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EA971C1" w14:textId="77777777">
        <w:trPr>
          <w:cantSplit/>
        </w:trPr>
        <w:tc>
          <w:tcPr>
            <w:tcW w:w="6911" w:type="dxa"/>
          </w:tcPr>
          <w:p w14:paraId="05964A7A" w14:textId="5213EC22" w:rsidR="000C0BC5" w:rsidRPr="000C0BC5" w:rsidRDefault="00D94637" w:rsidP="00F63A7D">
            <w:pPr>
              <w:tabs>
                <w:tab w:val="left" w:pos="5096"/>
              </w:tabs>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1E2786" w:rsidRPr="001E2786">
              <w:rPr>
                <w:rFonts w:hint="eastAsia"/>
                <w:b/>
                <w:bCs/>
                <w:color w:val="000000"/>
                <w:sz w:val="22"/>
                <w:szCs w:val="22"/>
                <w:lang w:eastAsia="zh-CN"/>
              </w:rPr>
              <w:t>最后会议，</w:t>
            </w:r>
            <w:r w:rsidR="001E2786" w:rsidRPr="001E2786">
              <w:rPr>
                <w:rFonts w:hint="eastAsia"/>
                <w:b/>
                <w:bCs/>
                <w:color w:val="000000"/>
                <w:sz w:val="22"/>
                <w:szCs w:val="22"/>
                <w:lang w:eastAsia="zh-CN"/>
              </w:rPr>
              <w:t>2022</w:t>
            </w:r>
            <w:r w:rsidR="001E2786" w:rsidRPr="001E2786">
              <w:rPr>
                <w:rFonts w:hint="eastAsia"/>
                <w:b/>
                <w:bCs/>
                <w:color w:val="000000"/>
                <w:sz w:val="22"/>
                <w:szCs w:val="22"/>
                <w:lang w:eastAsia="zh-CN"/>
              </w:rPr>
              <w:t>年</w:t>
            </w:r>
            <w:r w:rsidR="001E2786" w:rsidRPr="001E2786">
              <w:rPr>
                <w:rFonts w:hint="eastAsia"/>
                <w:b/>
                <w:bCs/>
                <w:color w:val="000000"/>
                <w:sz w:val="22"/>
                <w:szCs w:val="22"/>
                <w:lang w:eastAsia="zh-CN"/>
              </w:rPr>
              <w:t>9</w:t>
            </w:r>
            <w:r w:rsidR="001E2786" w:rsidRPr="001E2786">
              <w:rPr>
                <w:rFonts w:hint="eastAsia"/>
                <w:b/>
                <w:bCs/>
                <w:color w:val="000000"/>
                <w:sz w:val="22"/>
                <w:szCs w:val="22"/>
                <w:lang w:eastAsia="zh-CN"/>
              </w:rPr>
              <w:t>月</w:t>
            </w:r>
            <w:r w:rsidR="001E2786" w:rsidRPr="001E2786">
              <w:rPr>
                <w:rFonts w:hint="eastAsia"/>
                <w:b/>
                <w:bCs/>
                <w:color w:val="000000"/>
                <w:sz w:val="22"/>
                <w:szCs w:val="22"/>
                <w:lang w:eastAsia="zh-CN"/>
              </w:rPr>
              <w:t>24</w:t>
            </w:r>
            <w:r w:rsidR="001E2786" w:rsidRPr="001E2786">
              <w:rPr>
                <w:rFonts w:hint="eastAsia"/>
                <w:b/>
                <w:bCs/>
                <w:color w:val="000000"/>
                <w:sz w:val="22"/>
                <w:szCs w:val="22"/>
                <w:lang w:eastAsia="zh-CN"/>
              </w:rPr>
              <w:t>日，布加勒斯特</w:t>
            </w:r>
          </w:p>
        </w:tc>
        <w:tc>
          <w:tcPr>
            <w:tcW w:w="3120" w:type="dxa"/>
          </w:tcPr>
          <w:p w14:paraId="71B3ED74" w14:textId="77777777" w:rsidR="00700D1F" w:rsidRDefault="008418F5" w:rsidP="008418F5">
            <w:pPr>
              <w:spacing w:before="0"/>
            </w:pPr>
            <w:bookmarkStart w:id="0" w:name="ditulogo"/>
            <w:bookmarkEnd w:id="0"/>
            <w:r>
              <w:rPr>
                <w:noProof/>
                <w:lang w:val="en-US" w:eastAsia="zh-CN"/>
              </w:rPr>
              <w:drawing>
                <wp:inline distT="0" distB="0" distL="0" distR="0" wp14:anchorId="2A6C6F3B" wp14:editId="1CF3FF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697FB441" w14:textId="77777777">
        <w:trPr>
          <w:cantSplit/>
        </w:trPr>
        <w:tc>
          <w:tcPr>
            <w:tcW w:w="6911" w:type="dxa"/>
            <w:tcBorders>
              <w:bottom w:val="single" w:sz="12" w:space="0" w:color="auto"/>
            </w:tcBorders>
          </w:tcPr>
          <w:p w14:paraId="657DC144"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46C4AD6" w14:textId="77777777" w:rsidR="00700D1F" w:rsidRPr="00617BE4" w:rsidRDefault="00700D1F" w:rsidP="00001B77">
            <w:pPr>
              <w:spacing w:before="0"/>
              <w:rPr>
                <w:rFonts w:ascii="Verdana" w:hAnsi="Verdana"/>
                <w:szCs w:val="24"/>
              </w:rPr>
            </w:pPr>
          </w:p>
        </w:tc>
      </w:tr>
      <w:tr w:rsidR="00700D1F" w:rsidRPr="00617BE4" w14:paraId="5155C2F9" w14:textId="77777777">
        <w:trPr>
          <w:cantSplit/>
        </w:trPr>
        <w:tc>
          <w:tcPr>
            <w:tcW w:w="6911" w:type="dxa"/>
            <w:tcBorders>
              <w:top w:val="single" w:sz="12" w:space="0" w:color="auto"/>
            </w:tcBorders>
          </w:tcPr>
          <w:p w14:paraId="63330A83"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382728D2" w14:textId="77777777" w:rsidR="00700D1F" w:rsidRPr="00617BE4" w:rsidRDefault="00700D1F" w:rsidP="00001B77">
            <w:pPr>
              <w:spacing w:before="0"/>
              <w:rPr>
                <w:rFonts w:ascii="Verdana" w:hAnsi="Verdana"/>
                <w:szCs w:val="24"/>
              </w:rPr>
            </w:pPr>
          </w:p>
        </w:tc>
      </w:tr>
      <w:tr w:rsidR="00700D1F" w14:paraId="595A7797" w14:textId="77777777">
        <w:trPr>
          <w:cantSplit/>
          <w:trHeight w:val="23"/>
        </w:trPr>
        <w:tc>
          <w:tcPr>
            <w:tcW w:w="6911" w:type="dxa"/>
            <w:vMerge w:val="restart"/>
          </w:tcPr>
          <w:p w14:paraId="6225BD9F" w14:textId="3D9A1B7F"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8D24BF" w:rsidRPr="000C156A">
              <w:rPr>
                <w:b/>
              </w:rPr>
              <w:t>ADM 1</w:t>
            </w:r>
            <w:r w:rsidR="008D24BF">
              <w:rPr>
                <w:b/>
              </w:rPr>
              <w:t>1</w:t>
            </w:r>
          </w:p>
        </w:tc>
        <w:tc>
          <w:tcPr>
            <w:tcW w:w="3120" w:type="dxa"/>
          </w:tcPr>
          <w:p w14:paraId="5CE85D91"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8D24BF">
              <w:rPr>
                <w:b/>
                <w:bCs/>
                <w:szCs w:val="24"/>
                <w:lang w:eastAsia="zh-CN"/>
              </w:rPr>
              <w:t>43</w:t>
            </w:r>
            <w:r w:rsidRPr="00FC5386">
              <w:rPr>
                <w:b/>
                <w:bCs/>
                <w:szCs w:val="24"/>
                <w:lang w:eastAsia="zh-CN"/>
              </w:rPr>
              <w:t>-C</w:t>
            </w:r>
          </w:p>
        </w:tc>
      </w:tr>
      <w:bookmarkEnd w:id="1"/>
      <w:tr w:rsidR="00700D1F" w14:paraId="6D8935D0" w14:textId="77777777">
        <w:trPr>
          <w:cantSplit/>
          <w:trHeight w:val="23"/>
        </w:trPr>
        <w:tc>
          <w:tcPr>
            <w:tcW w:w="6911" w:type="dxa"/>
            <w:vMerge/>
          </w:tcPr>
          <w:p w14:paraId="7EAAB59E" w14:textId="77777777" w:rsidR="00700D1F" w:rsidRDefault="00700D1F" w:rsidP="00001B77">
            <w:pPr>
              <w:tabs>
                <w:tab w:val="left" w:pos="851"/>
              </w:tabs>
              <w:rPr>
                <w:b/>
                <w:lang w:eastAsia="zh-CN"/>
              </w:rPr>
            </w:pPr>
          </w:p>
        </w:tc>
        <w:tc>
          <w:tcPr>
            <w:tcW w:w="3120" w:type="dxa"/>
          </w:tcPr>
          <w:p w14:paraId="76065F76"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8D24BF">
              <w:rPr>
                <w:b/>
                <w:bCs/>
                <w:szCs w:val="24"/>
                <w:lang w:eastAsia="zh-CN"/>
              </w:rPr>
              <w:t>2</w:t>
            </w:r>
            <w:r w:rsidRPr="00FC5386">
              <w:rPr>
                <w:rFonts w:hint="eastAsia"/>
                <w:b/>
                <w:bCs/>
                <w:szCs w:val="24"/>
                <w:lang w:eastAsia="zh-CN"/>
              </w:rPr>
              <w:t>年</w:t>
            </w:r>
            <w:r w:rsidR="008D24BF">
              <w:rPr>
                <w:rFonts w:asciiTheme="minorHAnsi" w:hAnsiTheme="minorHAnsi" w:cstheme="minorHAnsi"/>
                <w:b/>
                <w:bCs/>
                <w:szCs w:val="24"/>
                <w:lang w:eastAsia="zh-CN"/>
              </w:rPr>
              <w:t>6</w:t>
            </w:r>
            <w:r w:rsidRPr="00FC5386">
              <w:rPr>
                <w:rFonts w:hint="eastAsia"/>
                <w:b/>
                <w:bCs/>
                <w:szCs w:val="24"/>
                <w:lang w:eastAsia="zh-CN"/>
              </w:rPr>
              <w:t>月</w:t>
            </w:r>
            <w:r w:rsidR="008D24BF">
              <w:rPr>
                <w:rFonts w:asciiTheme="minorHAnsi" w:hAnsiTheme="minorHAnsi" w:cstheme="minorHAnsi"/>
                <w:b/>
                <w:bCs/>
                <w:szCs w:val="24"/>
                <w:lang w:eastAsia="zh-CN"/>
              </w:rPr>
              <w:t>21</w:t>
            </w:r>
            <w:r w:rsidRPr="00FC5386">
              <w:rPr>
                <w:rFonts w:hint="eastAsia"/>
                <w:b/>
                <w:bCs/>
                <w:szCs w:val="24"/>
                <w:lang w:eastAsia="zh-CN"/>
              </w:rPr>
              <w:t>日</w:t>
            </w:r>
          </w:p>
        </w:tc>
      </w:tr>
      <w:tr w:rsidR="00700D1F" w14:paraId="590039DA" w14:textId="77777777">
        <w:trPr>
          <w:cantSplit/>
          <w:trHeight w:val="23"/>
        </w:trPr>
        <w:tc>
          <w:tcPr>
            <w:tcW w:w="6911" w:type="dxa"/>
            <w:vMerge/>
          </w:tcPr>
          <w:p w14:paraId="43E267D2" w14:textId="77777777" w:rsidR="00700D1F" w:rsidRDefault="00700D1F" w:rsidP="00001B77">
            <w:pPr>
              <w:tabs>
                <w:tab w:val="left" w:pos="851"/>
              </w:tabs>
              <w:rPr>
                <w:b/>
                <w:lang w:eastAsia="zh-CN"/>
              </w:rPr>
            </w:pPr>
          </w:p>
        </w:tc>
        <w:tc>
          <w:tcPr>
            <w:tcW w:w="3120" w:type="dxa"/>
          </w:tcPr>
          <w:p w14:paraId="5FB5B57C"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4E46C090" w14:textId="77777777">
        <w:trPr>
          <w:cantSplit/>
        </w:trPr>
        <w:tc>
          <w:tcPr>
            <w:tcW w:w="10031" w:type="dxa"/>
          </w:tcPr>
          <w:p w14:paraId="78B837EF"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04355FD8" w14:textId="77777777">
        <w:trPr>
          <w:cantSplit/>
        </w:trPr>
        <w:tc>
          <w:tcPr>
            <w:tcW w:w="10031" w:type="dxa"/>
          </w:tcPr>
          <w:p w14:paraId="0B562E28" w14:textId="155567D2" w:rsidR="0093362E" w:rsidRDefault="0085433F" w:rsidP="00001B77">
            <w:pPr>
              <w:pStyle w:val="Title1"/>
              <w:rPr>
                <w:bCs/>
                <w:lang w:eastAsia="zh-CN"/>
              </w:rPr>
            </w:pPr>
            <w:r w:rsidRPr="000C156A">
              <w:rPr>
                <w:szCs w:val="28"/>
                <w:lang w:val="en-US"/>
              </w:rPr>
              <w:t>202</w:t>
            </w:r>
            <w:r>
              <w:rPr>
                <w:szCs w:val="28"/>
                <w:lang w:val="en-US"/>
              </w:rPr>
              <w:t>1</w:t>
            </w:r>
            <w:r w:rsidRPr="000C156A">
              <w:rPr>
                <w:rFonts w:hint="eastAsia"/>
                <w:lang w:eastAsia="zh-CN"/>
              </w:rPr>
              <w:t>财年财务工作报告</w:t>
            </w:r>
          </w:p>
        </w:tc>
      </w:tr>
    </w:tbl>
    <w:p w14:paraId="410F9A5D"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16DE44F7"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792B36FF" w14:textId="77777777" w:rsidR="0085433F" w:rsidRPr="00006ED7" w:rsidRDefault="0085433F" w:rsidP="0085433F">
            <w:pPr>
              <w:pStyle w:val="Headingb"/>
              <w:rPr>
                <w:lang w:eastAsia="zh-CN"/>
              </w:rPr>
            </w:pPr>
            <w:bookmarkStart w:id="2" w:name="_Toc72744910"/>
            <w:bookmarkStart w:id="3" w:name="_Toc72747194"/>
            <w:bookmarkStart w:id="4" w:name="_Toc73460991"/>
            <w:bookmarkStart w:id="5" w:name="_Toc73518638"/>
            <w:bookmarkStart w:id="6" w:name="_Toc73518785"/>
            <w:bookmarkStart w:id="7" w:name="_Toc73519185"/>
            <w:bookmarkStart w:id="8" w:name="_Toc73636209"/>
            <w:r w:rsidRPr="000C156A">
              <w:rPr>
                <w:rFonts w:hint="eastAsia"/>
                <w:lang w:val="fr-FR" w:eastAsia="zh-CN"/>
              </w:rPr>
              <w:t>概</w:t>
            </w:r>
            <w:r w:rsidRPr="000C156A">
              <w:rPr>
                <w:rFonts w:hint="eastAsia"/>
                <w:lang w:eastAsia="zh-CN"/>
              </w:rPr>
              <w:t>要</w:t>
            </w:r>
            <w:bookmarkEnd w:id="2"/>
            <w:bookmarkEnd w:id="3"/>
            <w:bookmarkEnd w:id="4"/>
            <w:bookmarkEnd w:id="5"/>
            <w:bookmarkEnd w:id="6"/>
            <w:bookmarkEnd w:id="7"/>
            <w:bookmarkEnd w:id="8"/>
          </w:p>
          <w:p w14:paraId="09E9C46F" w14:textId="77777777" w:rsidR="0085433F" w:rsidRPr="000C156A" w:rsidRDefault="0085433F" w:rsidP="0085433F">
            <w:pPr>
              <w:ind w:firstLineChars="200" w:firstLine="480"/>
              <w:rPr>
                <w:lang w:eastAsia="zh-CN"/>
              </w:rPr>
            </w:pPr>
            <w:r w:rsidRPr="000C156A">
              <w:rPr>
                <w:rFonts w:hint="eastAsia"/>
                <w:lang w:eastAsia="zh-CN"/>
              </w:rPr>
              <w:t>根据国际电信联盟《公约》第</w:t>
            </w:r>
            <w:r w:rsidRPr="000C156A">
              <w:rPr>
                <w:lang w:eastAsia="zh-CN"/>
              </w:rPr>
              <w:t>101</w:t>
            </w:r>
            <w:r w:rsidRPr="000C156A">
              <w:rPr>
                <w:rFonts w:hint="eastAsia"/>
                <w:lang w:eastAsia="zh-CN"/>
              </w:rPr>
              <w:t>款和国际电联《财务规则》第</w:t>
            </w:r>
            <w:r w:rsidRPr="000C156A">
              <w:rPr>
                <w:lang w:eastAsia="zh-CN"/>
              </w:rPr>
              <w:t>30</w:t>
            </w:r>
            <w:r w:rsidRPr="000C156A">
              <w:rPr>
                <w:rFonts w:hint="eastAsia"/>
                <w:lang w:eastAsia="zh-CN"/>
              </w:rPr>
              <w:t>条的有关条款，秘书长需每年向理事会提交财务工作报告。</w:t>
            </w:r>
          </w:p>
          <w:p w14:paraId="68218A19" w14:textId="47EE7220" w:rsidR="0085433F" w:rsidRPr="000C156A" w:rsidRDefault="0085433F" w:rsidP="0085433F">
            <w:pPr>
              <w:ind w:firstLineChars="200" w:firstLine="480"/>
              <w:rPr>
                <w:lang w:eastAsia="zh-CN"/>
              </w:rPr>
            </w:pPr>
            <w:r w:rsidRPr="000C156A">
              <w:rPr>
                <w:rFonts w:cs="Calibri"/>
                <w:lang w:val="en-US" w:eastAsia="zh-CN"/>
              </w:rPr>
              <w:t>202</w:t>
            </w:r>
            <w:r>
              <w:rPr>
                <w:rFonts w:cs="Calibri"/>
                <w:lang w:val="en-US" w:eastAsia="zh-CN"/>
              </w:rPr>
              <w:t>1</w:t>
            </w:r>
            <w:r w:rsidRPr="000C156A">
              <w:rPr>
                <w:rFonts w:hint="eastAsia"/>
                <w:lang w:eastAsia="zh-CN"/>
              </w:rPr>
              <w:t>财年财务工作报告包括：</w:t>
            </w:r>
          </w:p>
          <w:p w14:paraId="69BBCEA0" w14:textId="1F78B026"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经审计的国际电联</w:t>
            </w:r>
            <w:r w:rsidRPr="000C156A">
              <w:rPr>
                <w:rFonts w:cs="Calibri"/>
                <w:lang w:val="en-US" w:eastAsia="zh-CN"/>
              </w:rPr>
              <w:t>202</w:t>
            </w:r>
            <w:r>
              <w:rPr>
                <w:rFonts w:cs="Calibri"/>
                <w:lang w:val="en-US" w:eastAsia="zh-CN"/>
              </w:rPr>
              <w:t>1</w:t>
            </w:r>
            <w:r w:rsidRPr="000C156A">
              <w:rPr>
                <w:rFonts w:hint="eastAsia"/>
                <w:lang w:eastAsia="zh-CN"/>
              </w:rPr>
              <w:t>财年预算账目。</w:t>
            </w:r>
          </w:p>
          <w:p w14:paraId="64F2BF64" w14:textId="4E229E0C"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经审计的</w:t>
            </w:r>
            <w:r w:rsidRPr="000C156A">
              <w:rPr>
                <w:rFonts w:cs="Calibri"/>
                <w:lang w:val="en-US" w:eastAsia="zh-CN"/>
              </w:rPr>
              <w:t>202</w:t>
            </w:r>
            <w:r>
              <w:rPr>
                <w:rFonts w:cs="Calibri"/>
                <w:lang w:val="en-US" w:eastAsia="zh-CN"/>
              </w:rPr>
              <w:t>1</w:t>
            </w:r>
            <w:r w:rsidRPr="000C156A">
              <w:rPr>
                <w:rFonts w:hint="eastAsia"/>
                <w:lang w:eastAsia="zh-CN"/>
              </w:rPr>
              <w:t>年技术合作项目、自愿捐款和国际电联职员退休和福利基金各账目。</w:t>
            </w:r>
          </w:p>
          <w:p w14:paraId="4FA5556A" w14:textId="684BB643" w:rsidR="0085433F" w:rsidRPr="000C156A" w:rsidRDefault="0085433F" w:rsidP="0085433F">
            <w:pPr>
              <w:pStyle w:val="enumlev1"/>
              <w:rPr>
                <w:szCs w:val="22"/>
                <w:lang w:eastAsia="zh-CN"/>
              </w:rPr>
            </w:pPr>
            <w:r w:rsidRPr="000C156A">
              <w:rPr>
                <w:lang w:eastAsia="zh-CN"/>
              </w:rPr>
              <w:t>•</w:t>
            </w:r>
            <w:r w:rsidRPr="000C156A">
              <w:rPr>
                <w:lang w:eastAsia="zh-CN"/>
              </w:rPr>
              <w:tab/>
            </w:r>
            <w:r w:rsidRPr="000C156A">
              <w:rPr>
                <w:rFonts w:hint="eastAsia"/>
                <w:lang w:eastAsia="zh-CN"/>
              </w:rPr>
              <w:t>经审计的国际电联</w:t>
            </w:r>
            <w:r w:rsidRPr="000C156A">
              <w:rPr>
                <w:rFonts w:cs="Calibri"/>
                <w:lang w:val="en-US" w:eastAsia="zh-CN"/>
              </w:rPr>
              <w:t>202</w:t>
            </w:r>
            <w:r>
              <w:rPr>
                <w:rFonts w:cs="Calibri"/>
                <w:lang w:val="en-US" w:eastAsia="zh-CN"/>
              </w:rPr>
              <w:t>1</w:t>
            </w:r>
            <w:r w:rsidRPr="000C156A">
              <w:rPr>
                <w:rFonts w:hint="eastAsia"/>
                <w:lang w:eastAsia="zh-CN"/>
              </w:rPr>
              <w:t>年世界电信展账目。</w:t>
            </w:r>
          </w:p>
          <w:p w14:paraId="14CAA78A" w14:textId="77777777" w:rsidR="0085433F" w:rsidRPr="000C156A" w:rsidRDefault="0085433F" w:rsidP="0085433F">
            <w:pPr>
              <w:pStyle w:val="Headingb"/>
              <w:rPr>
                <w:lang w:eastAsia="zh-CN"/>
              </w:rPr>
            </w:pPr>
            <w:bookmarkStart w:id="9" w:name="_Toc72744911"/>
            <w:bookmarkStart w:id="10" w:name="_Toc72747195"/>
            <w:bookmarkStart w:id="11" w:name="_Toc73460992"/>
            <w:bookmarkStart w:id="12" w:name="_Toc73518639"/>
            <w:bookmarkStart w:id="13" w:name="_Toc73518786"/>
            <w:bookmarkStart w:id="14" w:name="_Toc73519186"/>
            <w:bookmarkStart w:id="15" w:name="_Toc73636068"/>
            <w:bookmarkStart w:id="16" w:name="_Toc73636210"/>
            <w:r w:rsidRPr="000C156A">
              <w:rPr>
                <w:rFonts w:hint="eastAsia"/>
                <w:lang w:eastAsia="zh-CN"/>
              </w:rPr>
              <w:t>需采取的行动</w:t>
            </w:r>
            <w:bookmarkEnd w:id="9"/>
            <w:bookmarkEnd w:id="10"/>
            <w:bookmarkEnd w:id="11"/>
            <w:bookmarkEnd w:id="12"/>
            <w:bookmarkEnd w:id="13"/>
            <w:bookmarkEnd w:id="14"/>
            <w:bookmarkEnd w:id="15"/>
            <w:bookmarkEnd w:id="16"/>
          </w:p>
          <w:p w14:paraId="3D8A1F6B" w14:textId="77777777" w:rsidR="0085433F" w:rsidRPr="000C156A" w:rsidRDefault="0085433F" w:rsidP="0085433F">
            <w:pPr>
              <w:tabs>
                <w:tab w:val="left" w:pos="851"/>
                <w:tab w:val="left" w:pos="1418"/>
              </w:tabs>
              <w:spacing w:after="120"/>
              <w:ind w:firstLineChars="200" w:firstLine="480"/>
              <w:rPr>
                <w:lang w:eastAsia="zh-CN"/>
              </w:rPr>
            </w:pPr>
            <w:r w:rsidRPr="000C156A">
              <w:rPr>
                <w:rFonts w:hint="eastAsia"/>
                <w:lang w:eastAsia="zh-CN"/>
              </w:rPr>
              <w:t>有关审定账目的财务工作报告和附件</w:t>
            </w:r>
            <w:r w:rsidRPr="000C156A">
              <w:rPr>
                <w:rFonts w:hint="eastAsia"/>
                <w:lang w:eastAsia="zh-CN"/>
              </w:rPr>
              <w:t>A</w:t>
            </w:r>
            <w:r w:rsidRPr="000C156A">
              <w:rPr>
                <w:rFonts w:hint="eastAsia"/>
                <w:lang w:eastAsia="zh-CN"/>
              </w:rPr>
              <w:t>中的决议草案现提交理事会</w:t>
            </w:r>
            <w:r w:rsidRPr="000C156A">
              <w:rPr>
                <w:rFonts w:hint="eastAsia"/>
                <w:b/>
                <w:bCs/>
                <w:lang w:eastAsia="zh-CN"/>
              </w:rPr>
              <w:t>审议</w:t>
            </w:r>
            <w:r w:rsidRPr="000C156A">
              <w:rPr>
                <w:rFonts w:hint="eastAsia"/>
                <w:lang w:eastAsia="zh-CN"/>
              </w:rPr>
              <w:t>和</w:t>
            </w:r>
            <w:r w:rsidRPr="000C156A">
              <w:rPr>
                <w:rFonts w:hint="eastAsia"/>
                <w:b/>
                <w:bCs/>
                <w:lang w:eastAsia="zh-CN"/>
              </w:rPr>
              <w:t>批准</w:t>
            </w:r>
            <w:r w:rsidRPr="000C156A">
              <w:rPr>
                <w:rFonts w:hint="eastAsia"/>
                <w:lang w:eastAsia="zh-CN"/>
              </w:rPr>
              <w:t>。</w:t>
            </w:r>
          </w:p>
          <w:p w14:paraId="76E40DE1" w14:textId="77777777" w:rsidR="0085433F" w:rsidRPr="000C156A" w:rsidRDefault="0085433F" w:rsidP="0085433F">
            <w:pPr>
              <w:tabs>
                <w:tab w:val="left" w:pos="851"/>
                <w:tab w:val="left" w:pos="1418"/>
              </w:tabs>
              <w:spacing w:after="120"/>
              <w:ind w:firstLineChars="200" w:firstLine="480"/>
              <w:rPr>
                <w:lang w:eastAsia="zh-CN"/>
              </w:rPr>
            </w:pPr>
            <w:r w:rsidRPr="000C156A">
              <w:rPr>
                <w:rFonts w:hint="eastAsia"/>
                <w:lang w:eastAsia="zh-CN"/>
              </w:rPr>
              <w:t>在经理事会审查和批准后，报告</w:t>
            </w:r>
            <w:r w:rsidRPr="000C156A">
              <w:rPr>
                <w:rFonts w:hint="eastAsia"/>
                <w:szCs w:val="24"/>
                <w:lang w:eastAsia="zh-CN"/>
              </w:rPr>
              <w:t>将通报给国际电联成员国和部门成员</w:t>
            </w:r>
            <w:r w:rsidRPr="000C156A">
              <w:rPr>
                <w:rFonts w:hint="eastAsia"/>
                <w:lang w:eastAsia="zh-CN"/>
              </w:rPr>
              <w:t>。</w:t>
            </w:r>
          </w:p>
          <w:p w14:paraId="25F571EB" w14:textId="77777777" w:rsidR="0085433F" w:rsidRPr="000C156A" w:rsidRDefault="0085433F" w:rsidP="0085433F">
            <w:pPr>
              <w:jc w:val="center"/>
              <w:rPr>
                <w:sz w:val="28"/>
                <w:szCs w:val="22"/>
                <w:lang w:eastAsia="zh-CN"/>
              </w:rPr>
            </w:pPr>
            <w:r w:rsidRPr="000C156A">
              <w:rPr>
                <w:sz w:val="28"/>
                <w:szCs w:val="22"/>
                <w:lang w:eastAsia="zh-CN"/>
              </w:rPr>
              <w:t>______________</w:t>
            </w:r>
          </w:p>
          <w:p w14:paraId="541FFD8A" w14:textId="77777777" w:rsidR="0085433F" w:rsidRPr="000C156A" w:rsidRDefault="0085433F" w:rsidP="0085433F">
            <w:pPr>
              <w:pStyle w:val="Headingb"/>
              <w:rPr>
                <w:lang w:eastAsia="zh-CN"/>
              </w:rPr>
            </w:pPr>
            <w:bookmarkStart w:id="17" w:name="_Toc72744912"/>
            <w:bookmarkStart w:id="18" w:name="_Toc72747196"/>
            <w:bookmarkStart w:id="19" w:name="_Toc73460993"/>
            <w:bookmarkStart w:id="20" w:name="_Toc73518640"/>
            <w:bookmarkStart w:id="21" w:name="_Toc73518787"/>
            <w:bookmarkStart w:id="22" w:name="_Toc73519187"/>
            <w:bookmarkStart w:id="23" w:name="_Toc73636069"/>
            <w:bookmarkStart w:id="24" w:name="_Toc73636211"/>
            <w:r w:rsidRPr="000C156A">
              <w:rPr>
                <w:rFonts w:hint="eastAsia"/>
                <w:lang w:eastAsia="zh-CN"/>
              </w:rPr>
              <w:t>参考文件</w:t>
            </w:r>
            <w:bookmarkEnd w:id="17"/>
            <w:bookmarkEnd w:id="18"/>
            <w:bookmarkEnd w:id="19"/>
            <w:bookmarkEnd w:id="20"/>
            <w:bookmarkEnd w:id="21"/>
            <w:bookmarkEnd w:id="22"/>
            <w:bookmarkEnd w:id="23"/>
            <w:bookmarkEnd w:id="24"/>
          </w:p>
          <w:p w14:paraId="6A4E87AC" w14:textId="77777777" w:rsidR="0085433F" w:rsidRPr="000C156A" w:rsidRDefault="0085433F" w:rsidP="0085433F">
            <w:pPr>
              <w:rPr>
                <w:rFonts w:eastAsia="STKaiti" w:cs="Calibri"/>
                <w:szCs w:val="24"/>
                <w:lang w:eastAsia="zh-CN"/>
              </w:rPr>
            </w:pPr>
            <w:r w:rsidRPr="000C156A">
              <w:rPr>
                <w:rFonts w:eastAsia="STKaiti" w:cs="Calibri" w:hint="eastAsia"/>
                <w:szCs w:val="24"/>
                <w:lang w:eastAsia="zh-CN"/>
              </w:rPr>
              <w:t>《公约》：</w:t>
            </w:r>
            <w:hyperlink r:id="rId9" w:history="1">
              <w:r w:rsidRPr="000C156A">
                <w:rPr>
                  <w:rStyle w:val="Hyperlink"/>
                  <w:rFonts w:eastAsia="STKaiti" w:cs="Calibri" w:hint="eastAsia"/>
                  <w:szCs w:val="24"/>
                  <w:lang w:eastAsia="zh-CN"/>
                </w:rPr>
                <w:t>第</w:t>
              </w:r>
              <w:r w:rsidRPr="000C156A">
                <w:rPr>
                  <w:rStyle w:val="Hyperlink"/>
                  <w:rFonts w:eastAsia="STKaiti" w:cs="Calibri"/>
                  <w:szCs w:val="24"/>
                  <w:lang w:eastAsia="zh-CN"/>
                </w:rPr>
                <w:t>101</w:t>
              </w:r>
              <w:r w:rsidRPr="000C156A">
                <w:rPr>
                  <w:rStyle w:val="Hyperlink"/>
                  <w:rFonts w:eastAsia="STKaiti" w:cs="Calibri" w:hint="eastAsia"/>
                  <w:szCs w:val="24"/>
                  <w:lang w:eastAsia="zh-CN"/>
                </w:rPr>
                <w:t>款</w:t>
              </w:r>
            </w:hyperlink>
          </w:p>
          <w:p w14:paraId="4D38CB5B" w14:textId="61B7CAF1" w:rsidR="00B40A53" w:rsidRPr="008418F5" w:rsidRDefault="0085433F" w:rsidP="0085433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r w:rsidRPr="000C156A">
              <w:rPr>
                <w:rFonts w:eastAsia="STKaiti" w:cs="Calibri" w:hint="eastAsia"/>
                <w:szCs w:val="24"/>
                <w:lang w:eastAsia="zh-CN"/>
              </w:rPr>
              <w:t>国际电联《财务规则》：</w:t>
            </w:r>
            <w:hyperlink r:id="rId10" w:history="1">
              <w:r w:rsidRPr="000C156A">
                <w:rPr>
                  <w:rStyle w:val="Hyperlink"/>
                  <w:rFonts w:eastAsia="STKaiti" w:cs="Calibri" w:hint="eastAsia"/>
                  <w:szCs w:val="24"/>
                  <w:lang w:eastAsia="zh-CN"/>
                </w:rPr>
                <w:t>第</w:t>
              </w:r>
              <w:r w:rsidRPr="000C156A">
                <w:rPr>
                  <w:rStyle w:val="Hyperlink"/>
                  <w:rFonts w:eastAsia="STKaiti" w:cs="Calibri"/>
                  <w:szCs w:val="24"/>
                  <w:lang w:eastAsia="zh-CN"/>
                </w:rPr>
                <w:t>30</w:t>
              </w:r>
              <w:r w:rsidRPr="000C156A">
                <w:rPr>
                  <w:rStyle w:val="Hyperlink"/>
                  <w:rFonts w:eastAsia="STKaiti" w:cs="Calibri" w:hint="eastAsia"/>
                  <w:szCs w:val="24"/>
                  <w:lang w:eastAsia="zh-CN"/>
                </w:rPr>
                <w:t>条</w:t>
              </w:r>
            </w:hyperlink>
          </w:p>
        </w:tc>
      </w:tr>
    </w:tbl>
    <w:p w14:paraId="03AD2817" w14:textId="5BFC4BFD" w:rsidR="0085433F" w:rsidRPr="000C156A" w:rsidRDefault="0085433F" w:rsidP="0085433F">
      <w:pPr>
        <w:spacing w:before="960"/>
        <w:rPr>
          <w:lang w:val="en-US"/>
        </w:rPr>
      </w:pPr>
      <w:bookmarkStart w:id="25" w:name="_Hlk110003213"/>
      <w:r w:rsidRPr="000C156A">
        <w:rPr>
          <w:rFonts w:hint="eastAsia"/>
          <w:b/>
          <w:bCs/>
          <w:lang w:eastAsia="zh-CN"/>
        </w:rPr>
        <w:t>附件：</w:t>
      </w:r>
      <w:r w:rsidRPr="000C156A">
        <w:rPr>
          <w:lang w:eastAsia="zh-CN"/>
        </w:rPr>
        <w:t>1</w:t>
      </w:r>
      <w:r>
        <w:rPr>
          <w:lang w:eastAsia="zh-CN"/>
        </w:rPr>
        <w:t>1</w:t>
      </w:r>
      <w:r w:rsidRPr="000C156A">
        <w:rPr>
          <w:rFonts w:hint="eastAsia"/>
          <w:lang w:eastAsia="zh-CN"/>
        </w:rPr>
        <w:t>件</w:t>
      </w:r>
    </w:p>
    <w:p w14:paraId="41FC9C63" w14:textId="77777777" w:rsidR="0085433F" w:rsidRPr="000C156A" w:rsidRDefault="0085433F" w:rsidP="0085433F">
      <w:pPr>
        <w:overflowPunct/>
        <w:autoSpaceDE/>
        <w:autoSpaceDN/>
        <w:adjustRightInd/>
        <w:spacing w:before="0"/>
        <w:textAlignment w:val="auto"/>
        <w:rPr>
          <w:lang w:val="en-US"/>
        </w:rPr>
      </w:pPr>
      <w:r w:rsidRPr="000C156A">
        <w:rPr>
          <w:i/>
          <w:lang w:val="en-US"/>
        </w:rPr>
        <w:br w:type="page"/>
      </w:r>
      <w:bookmarkStart w:id="26" w:name="_Hlk108793256"/>
    </w:p>
    <w:p w14:paraId="13084CF9" w14:textId="77777777" w:rsidR="0085433F" w:rsidRPr="000C156A" w:rsidRDefault="0085433F" w:rsidP="0085433F">
      <w:pPr>
        <w:pStyle w:val="Title"/>
        <w:spacing w:before="840"/>
        <w:rPr>
          <w:sz w:val="28"/>
          <w:szCs w:val="28"/>
        </w:rPr>
      </w:pPr>
      <w:r w:rsidRPr="000C156A">
        <w:rPr>
          <w:noProof/>
          <w:lang w:val="en-US"/>
        </w:rPr>
        <w:lastRenderedPageBreak/>
        <w:drawing>
          <wp:inline distT="0" distB="0" distL="0" distR="0" wp14:anchorId="24D9BA2A" wp14:editId="4FC79C46">
            <wp:extent cx="684000" cy="738000"/>
            <wp:effectExtent l="0" t="0" r="1905" b="5080"/>
            <wp:docPr id="106"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9"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14:paraId="407D991D" w14:textId="77777777" w:rsidR="0085433F" w:rsidRPr="000C156A" w:rsidRDefault="0085433F" w:rsidP="0085433F">
      <w:pPr>
        <w:pStyle w:val="Title4"/>
        <w:spacing w:before="360"/>
        <w:rPr>
          <w:sz w:val="36"/>
          <w:szCs w:val="36"/>
          <w:lang w:eastAsia="zh-CN"/>
        </w:rPr>
      </w:pPr>
      <w:r w:rsidRPr="000C156A">
        <w:rPr>
          <w:rFonts w:hint="eastAsia"/>
          <w:sz w:val="36"/>
          <w:szCs w:val="36"/>
          <w:lang w:eastAsia="zh-CN"/>
        </w:rPr>
        <w:t>财务工作报告</w:t>
      </w:r>
    </w:p>
    <w:p w14:paraId="2D67D144" w14:textId="01D5C97D" w:rsidR="0085433F" w:rsidRPr="000C156A" w:rsidRDefault="0085433F" w:rsidP="0085433F">
      <w:pPr>
        <w:pStyle w:val="Normalaftertitle"/>
        <w:ind w:firstLineChars="200" w:firstLine="480"/>
        <w:rPr>
          <w:lang w:eastAsia="zh-CN"/>
        </w:rPr>
      </w:pPr>
      <w:r w:rsidRPr="000C156A">
        <w:rPr>
          <w:rFonts w:hint="eastAsia"/>
          <w:lang w:eastAsia="zh-CN"/>
        </w:rPr>
        <w:t>按照国际电联《财务规则》（</w:t>
      </w:r>
      <w:r w:rsidRPr="000C156A">
        <w:rPr>
          <w:lang w:eastAsia="zh-CN"/>
        </w:rPr>
        <w:t>2018</w:t>
      </w:r>
      <w:r w:rsidRPr="000C156A">
        <w:rPr>
          <w:rFonts w:hint="eastAsia"/>
          <w:lang w:eastAsia="zh-CN"/>
        </w:rPr>
        <w:t>年版）第</w:t>
      </w:r>
      <w:r w:rsidRPr="000C156A">
        <w:rPr>
          <w:lang w:eastAsia="zh-CN"/>
        </w:rPr>
        <w:t>30</w:t>
      </w:r>
      <w:r w:rsidRPr="000C156A">
        <w:rPr>
          <w:rFonts w:hint="eastAsia"/>
          <w:lang w:eastAsia="zh-CN"/>
        </w:rPr>
        <w:t>条的规定，有关</w:t>
      </w:r>
      <w:r w:rsidRPr="000C156A">
        <w:rPr>
          <w:rFonts w:hint="eastAsia"/>
          <w:lang w:val="en-US" w:eastAsia="zh-CN"/>
        </w:rPr>
        <w:t>各</w:t>
      </w:r>
      <w:r w:rsidRPr="000C156A">
        <w:rPr>
          <w:rFonts w:hint="eastAsia"/>
          <w:lang w:eastAsia="zh-CN"/>
        </w:rPr>
        <w:t>审定账目的本财务工作报告介绍了截至</w:t>
      </w:r>
      <w:r w:rsidRPr="000C156A">
        <w:rPr>
          <w:lang w:val="en-US" w:eastAsia="zh-CN"/>
        </w:rPr>
        <w:t>202</w:t>
      </w:r>
      <w:r>
        <w:rPr>
          <w:lang w:val="en-US"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日国际电信联盟（</w:t>
      </w:r>
      <w:r w:rsidRPr="000C156A">
        <w:rPr>
          <w:lang w:eastAsia="zh-CN"/>
        </w:rPr>
        <w:t>ITU</w:t>
      </w:r>
      <w:r w:rsidRPr="000C156A">
        <w:rPr>
          <w:rFonts w:hint="eastAsia"/>
          <w:lang w:eastAsia="zh-CN"/>
        </w:rPr>
        <w:t>）各项账目的财务结果：</w:t>
      </w:r>
    </w:p>
    <w:p w14:paraId="02D3EE7B" w14:textId="77777777" w:rsidR="0085433F" w:rsidRPr="000C156A" w:rsidRDefault="0085433F" w:rsidP="0085433F">
      <w:pPr>
        <w:ind w:firstLineChars="200" w:firstLine="480"/>
        <w:jc w:val="both"/>
        <w:rPr>
          <w:lang w:val="en-US" w:eastAsia="zh-CN"/>
        </w:rPr>
      </w:pPr>
      <w:r w:rsidRPr="000C156A">
        <w:rPr>
          <w:rFonts w:hint="eastAsia"/>
          <w:lang w:val="en-US" w:eastAsia="zh-CN"/>
        </w:rPr>
        <w:t>自</w:t>
      </w:r>
      <w:r w:rsidRPr="000C156A">
        <w:rPr>
          <w:rFonts w:hint="eastAsia"/>
          <w:lang w:val="en-US" w:eastAsia="zh-CN"/>
        </w:rPr>
        <w:t>2</w:t>
      </w:r>
      <w:r w:rsidRPr="000C156A">
        <w:rPr>
          <w:lang w:val="en-US" w:eastAsia="zh-CN"/>
        </w:rPr>
        <w:t>010</w:t>
      </w:r>
      <w:r w:rsidRPr="000C156A">
        <w:rPr>
          <w:rFonts w:hint="eastAsia"/>
          <w:lang w:val="en-US" w:eastAsia="zh-CN"/>
        </w:rPr>
        <w:t>年起，财务报表根据国际公共部门会计准则（</w:t>
      </w:r>
      <w:r w:rsidRPr="000C156A">
        <w:rPr>
          <w:rFonts w:hint="eastAsia"/>
          <w:lang w:val="en-US" w:eastAsia="zh-CN"/>
        </w:rPr>
        <w:t>IPSAS</w:t>
      </w:r>
      <w:r w:rsidRPr="000C156A">
        <w:rPr>
          <w:rFonts w:hint="eastAsia"/>
          <w:lang w:val="en-US" w:eastAsia="zh-CN"/>
        </w:rPr>
        <w:t>）起草，涵盖以下方面：</w:t>
      </w:r>
    </w:p>
    <w:p w14:paraId="177090D2" w14:textId="5F7802C1"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国际电联</w:t>
      </w:r>
      <w:r w:rsidRPr="000C156A">
        <w:rPr>
          <w:lang w:val="en-US" w:eastAsia="zh-CN"/>
        </w:rPr>
        <w:t>202</w:t>
      </w:r>
      <w:r>
        <w:rPr>
          <w:lang w:val="en-US" w:eastAsia="zh-CN"/>
        </w:rPr>
        <w:t>1</w:t>
      </w:r>
      <w:r w:rsidRPr="000C156A">
        <w:rPr>
          <w:rFonts w:hint="eastAsia"/>
          <w:lang w:eastAsia="zh-CN"/>
        </w:rPr>
        <w:t>财年</w:t>
      </w:r>
    </w:p>
    <w:p w14:paraId="54707B3E" w14:textId="3D2EFF3A" w:rsidR="0085433F" w:rsidRPr="000C156A" w:rsidRDefault="0085433F" w:rsidP="0085433F">
      <w:pPr>
        <w:pStyle w:val="enumlev1"/>
        <w:rPr>
          <w:lang w:eastAsia="zh-CN"/>
        </w:rPr>
      </w:pPr>
      <w:r w:rsidRPr="000C156A">
        <w:rPr>
          <w:lang w:eastAsia="zh-CN"/>
        </w:rPr>
        <w:t>–</w:t>
      </w:r>
      <w:r w:rsidRPr="000C156A">
        <w:rPr>
          <w:lang w:eastAsia="zh-CN"/>
        </w:rPr>
        <w:tab/>
      </w:r>
      <w:r w:rsidRPr="000C156A">
        <w:rPr>
          <w:lang w:val="en-US" w:eastAsia="zh-CN"/>
        </w:rPr>
        <w:t>202</w:t>
      </w:r>
      <w:r>
        <w:rPr>
          <w:lang w:val="en-US" w:eastAsia="zh-CN"/>
        </w:rPr>
        <w:t>1</w:t>
      </w:r>
      <w:r w:rsidRPr="000C156A">
        <w:rPr>
          <w:rFonts w:hint="eastAsia"/>
          <w:lang w:eastAsia="zh-CN"/>
        </w:rPr>
        <w:t>年度国际电联职员退休和福利基金</w:t>
      </w:r>
    </w:p>
    <w:p w14:paraId="7A34D7C8" w14:textId="1F692F2F" w:rsidR="0085433F" w:rsidRPr="000C156A" w:rsidRDefault="0085433F" w:rsidP="0085433F">
      <w:pPr>
        <w:pStyle w:val="enumlev1"/>
        <w:rPr>
          <w:lang w:eastAsia="zh-CN"/>
        </w:rPr>
      </w:pPr>
      <w:r w:rsidRPr="000C156A">
        <w:rPr>
          <w:lang w:eastAsia="zh-CN"/>
        </w:rPr>
        <w:t>–</w:t>
      </w:r>
      <w:r w:rsidRPr="000C156A">
        <w:rPr>
          <w:lang w:eastAsia="zh-CN"/>
        </w:rPr>
        <w:tab/>
      </w:r>
      <w:r w:rsidRPr="000C156A">
        <w:rPr>
          <w:lang w:val="en-US" w:eastAsia="zh-CN"/>
        </w:rPr>
        <w:t>202</w:t>
      </w:r>
      <w:r>
        <w:rPr>
          <w:lang w:val="en-US" w:eastAsia="zh-CN"/>
        </w:rPr>
        <w:t>1</w:t>
      </w:r>
      <w:r w:rsidRPr="000C156A">
        <w:rPr>
          <w:rFonts w:hint="eastAsia"/>
          <w:lang w:eastAsia="zh-CN"/>
        </w:rPr>
        <w:t>年度联合国合办职员养恤基金</w:t>
      </w:r>
    </w:p>
    <w:p w14:paraId="584700D3" w14:textId="44828099" w:rsidR="0085433F" w:rsidRPr="000C156A" w:rsidRDefault="0085433F" w:rsidP="0085433F">
      <w:pPr>
        <w:pStyle w:val="enumlev1"/>
        <w:rPr>
          <w:lang w:eastAsia="zh-CN"/>
        </w:rPr>
      </w:pPr>
      <w:r w:rsidRPr="000C156A">
        <w:rPr>
          <w:lang w:eastAsia="zh-CN"/>
        </w:rPr>
        <w:t>–</w:t>
      </w:r>
      <w:r w:rsidRPr="000C156A">
        <w:rPr>
          <w:lang w:eastAsia="zh-CN"/>
        </w:rPr>
        <w:tab/>
      </w:r>
      <w:r w:rsidRPr="000C156A">
        <w:rPr>
          <w:lang w:val="en-US" w:eastAsia="zh-CN"/>
        </w:rPr>
        <w:t>202</w:t>
      </w:r>
      <w:r>
        <w:rPr>
          <w:lang w:val="en-US" w:eastAsia="zh-CN"/>
        </w:rPr>
        <w:t>1</w:t>
      </w:r>
      <w:r w:rsidRPr="000C156A">
        <w:rPr>
          <w:rFonts w:hint="eastAsia"/>
          <w:lang w:eastAsia="zh-CN"/>
        </w:rPr>
        <w:t>年度联合国开发计划署（</w:t>
      </w:r>
      <w:r w:rsidRPr="000C156A">
        <w:rPr>
          <w:lang w:eastAsia="zh-CN"/>
        </w:rPr>
        <w:t>UNDP</w:t>
      </w:r>
      <w:r w:rsidRPr="000C156A">
        <w:rPr>
          <w:rFonts w:hint="eastAsia"/>
          <w:lang w:eastAsia="zh-CN"/>
        </w:rPr>
        <w:t>）资助的技术合作项目</w:t>
      </w:r>
    </w:p>
    <w:p w14:paraId="36F79185" w14:textId="69914C6C" w:rsidR="0085433F" w:rsidRPr="000C156A" w:rsidRDefault="0085433F" w:rsidP="0085433F">
      <w:pPr>
        <w:pStyle w:val="enumlev1"/>
        <w:rPr>
          <w:lang w:eastAsia="zh-CN"/>
        </w:rPr>
      </w:pPr>
      <w:r w:rsidRPr="000C156A">
        <w:rPr>
          <w:lang w:eastAsia="zh-CN"/>
        </w:rPr>
        <w:t>–</w:t>
      </w:r>
      <w:r w:rsidRPr="000C156A">
        <w:rPr>
          <w:lang w:eastAsia="zh-CN"/>
        </w:rPr>
        <w:tab/>
      </w:r>
      <w:r w:rsidRPr="000C156A">
        <w:rPr>
          <w:lang w:val="en-US" w:eastAsia="zh-CN"/>
        </w:rPr>
        <w:t>202</w:t>
      </w:r>
      <w:r>
        <w:rPr>
          <w:lang w:val="en-US" w:eastAsia="zh-CN"/>
        </w:rPr>
        <w:t>1</w:t>
      </w:r>
      <w:r w:rsidRPr="000C156A">
        <w:rPr>
          <w:rFonts w:hint="eastAsia"/>
          <w:lang w:eastAsia="zh-CN"/>
        </w:rPr>
        <w:t>年度信托基金</w:t>
      </w:r>
    </w:p>
    <w:p w14:paraId="52966040" w14:textId="2289BFE7" w:rsidR="0085433F" w:rsidRPr="000C156A" w:rsidRDefault="0085433F" w:rsidP="0085433F">
      <w:pPr>
        <w:pStyle w:val="enumlev1"/>
        <w:rPr>
          <w:lang w:eastAsia="zh-CN"/>
        </w:rPr>
      </w:pPr>
      <w:r w:rsidRPr="000C156A">
        <w:rPr>
          <w:lang w:eastAsia="zh-CN"/>
        </w:rPr>
        <w:t>–</w:t>
      </w:r>
      <w:r w:rsidRPr="000C156A">
        <w:rPr>
          <w:lang w:eastAsia="zh-CN"/>
        </w:rPr>
        <w:tab/>
      </w:r>
      <w:r w:rsidRPr="000C156A">
        <w:rPr>
          <w:lang w:val="en-US" w:eastAsia="zh-CN"/>
        </w:rPr>
        <w:t>202</w:t>
      </w:r>
      <w:r>
        <w:rPr>
          <w:lang w:val="en-US" w:eastAsia="zh-CN"/>
        </w:rPr>
        <w:t>1</w:t>
      </w:r>
      <w:r w:rsidRPr="000C156A">
        <w:rPr>
          <w:rFonts w:hint="eastAsia"/>
          <w:lang w:eastAsia="zh-CN"/>
        </w:rPr>
        <w:t>年度自愿捐款</w:t>
      </w:r>
    </w:p>
    <w:p w14:paraId="6DF75548" w14:textId="527C585D" w:rsidR="0085433F" w:rsidRPr="000C156A" w:rsidRDefault="0085433F" w:rsidP="0085433F">
      <w:pPr>
        <w:pStyle w:val="enumlev1"/>
        <w:rPr>
          <w:lang w:eastAsia="zh-CN"/>
        </w:rPr>
      </w:pPr>
      <w:r w:rsidRPr="000C156A">
        <w:rPr>
          <w:lang w:eastAsia="zh-CN"/>
        </w:rPr>
        <w:t>–</w:t>
      </w:r>
      <w:r w:rsidRPr="000C156A">
        <w:rPr>
          <w:lang w:eastAsia="zh-CN"/>
        </w:rPr>
        <w:tab/>
      </w:r>
      <w:r w:rsidRPr="000C156A">
        <w:rPr>
          <w:lang w:val="en-US" w:eastAsia="zh-CN"/>
        </w:rPr>
        <w:t>202</w:t>
      </w:r>
      <w:r>
        <w:rPr>
          <w:lang w:val="en-US" w:eastAsia="zh-CN"/>
        </w:rPr>
        <w:t>1</w:t>
      </w:r>
      <w:r w:rsidRPr="000C156A">
        <w:rPr>
          <w:rFonts w:hint="eastAsia"/>
          <w:lang w:eastAsia="zh-CN"/>
        </w:rPr>
        <w:t>年度信息通信技术发展基金</w:t>
      </w:r>
    </w:p>
    <w:p w14:paraId="448FA9C9" w14:textId="263DA993"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国际电联</w:t>
      </w:r>
      <w:r w:rsidRPr="000C156A">
        <w:rPr>
          <w:lang w:val="en-US" w:eastAsia="zh-CN"/>
        </w:rPr>
        <w:t>202</w:t>
      </w:r>
      <w:r>
        <w:rPr>
          <w:lang w:val="en-US" w:eastAsia="zh-CN"/>
        </w:rPr>
        <w:t>1</w:t>
      </w:r>
      <w:r w:rsidRPr="000C156A">
        <w:rPr>
          <w:rFonts w:hint="eastAsia"/>
          <w:lang w:eastAsia="zh-CN"/>
        </w:rPr>
        <w:t>年世界电信展</w:t>
      </w:r>
    </w:p>
    <w:p w14:paraId="56715CF5" w14:textId="77777777" w:rsidR="0085433F" w:rsidRPr="000C156A" w:rsidRDefault="0085433F" w:rsidP="0085433F">
      <w:pPr>
        <w:pStyle w:val="enumlev1"/>
        <w:rPr>
          <w:sz w:val="23"/>
          <w:szCs w:val="23"/>
          <w:lang w:val="en-US" w:eastAsia="zh-CN"/>
        </w:rPr>
      </w:pPr>
      <w:r w:rsidRPr="000C156A">
        <w:rPr>
          <w:lang w:eastAsia="zh-CN"/>
        </w:rPr>
        <w:t>–</w:t>
      </w:r>
      <w:r w:rsidRPr="000C156A">
        <w:rPr>
          <w:lang w:eastAsia="zh-CN"/>
        </w:rPr>
        <w:tab/>
      </w:r>
      <w:r w:rsidRPr="000C156A">
        <w:rPr>
          <w:rFonts w:hint="eastAsia"/>
          <w:lang w:eastAsia="zh-CN"/>
        </w:rPr>
        <w:t>新办公楼项目</w:t>
      </w:r>
    </w:p>
    <w:p w14:paraId="56081425" w14:textId="77777777" w:rsidR="0085433F" w:rsidRPr="000C156A" w:rsidRDefault="0085433F" w:rsidP="0085433F">
      <w:pPr>
        <w:spacing w:after="200"/>
        <w:rPr>
          <w:sz w:val="23"/>
          <w:szCs w:val="23"/>
          <w:lang w:val="en-US" w:eastAsia="zh-CN"/>
        </w:rPr>
      </w:pPr>
      <w:r w:rsidRPr="000C156A">
        <w:rPr>
          <w:sz w:val="23"/>
          <w:szCs w:val="23"/>
          <w:lang w:val="en-US" w:eastAsia="zh-CN"/>
        </w:rPr>
        <w:br w:type="page"/>
      </w:r>
    </w:p>
    <w:p w14:paraId="0EF9B3EC" w14:textId="228F2285" w:rsidR="0085433F" w:rsidRPr="000C156A" w:rsidRDefault="0085433F" w:rsidP="0085433F">
      <w:pPr>
        <w:pStyle w:val="Title3"/>
        <w:rPr>
          <w:b/>
          <w:bCs/>
          <w:lang w:val="fr-FR" w:eastAsia="zh-CN"/>
        </w:rPr>
      </w:pPr>
      <w:r w:rsidRPr="000C156A">
        <w:rPr>
          <w:rFonts w:cs="Microsoft YaHei" w:hint="eastAsia"/>
          <w:b/>
          <w:bCs/>
          <w:lang w:val="fr-FR" w:eastAsia="zh-CN"/>
        </w:rPr>
        <w:lastRenderedPageBreak/>
        <w:t>目录</w:t>
      </w:r>
    </w:p>
    <w:p w14:paraId="1C782E77" w14:textId="77777777" w:rsidR="0085433F" w:rsidRPr="000C156A" w:rsidRDefault="0085433F" w:rsidP="004C18AD">
      <w:pPr>
        <w:pStyle w:val="toc0"/>
        <w:spacing w:before="80"/>
        <w:ind w:right="425"/>
        <w:jc w:val="right"/>
        <w:rPr>
          <w:lang w:val="fr-FR"/>
        </w:rPr>
      </w:pPr>
      <w:r w:rsidRPr="000C156A">
        <w:rPr>
          <w:rFonts w:cs="Microsoft YaHei" w:hint="eastAsia"/>
          <w:lang w:val="fr-FR"/>
        </w:rPr>
        <w:t>页码</w:t>
      </w:r>
    </w:p>
    <w:sdt>
      <w:sdtPr>
        <w:id w:val="1567146310"/>
        <w:docPartObj>
          <w:docPartGallery w:val="Table of Contents"/>
          <w:docPartUnique/>
        </w:docPartObj>
      </w:sdtPr>
      <w:sdtEndPr>
        <w:rPr>
          <w:b/>
          <w:bCs/>
          <w:noProof/>
        </w:rPr>
      </w:sdtEndPr>
      <w:sdtContent>
        <w:p w14:paraId="56BB3FF8" w14:textId="2F0D5573" w:rsidR="00127CF4" w:rsidRDefault="009B5555"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r>
            <w:rPr>
              <w:rStyle w:val="Hyperlink"/>
              <w:lang w:eastAsia="zh-CN"/>
            </w:rPr>
            <w:fldChar w:fldCharType="begin"/>
          </w:r>
          <w:r>
            <w:rPr>
              <w:rStyle w:val="Hyperlink"/>
              <w:lang w:eastAsia="zh-CN"/>
            </w:rPr>
            <w:instrText xml:space="preserve"> TOC \o "1-3" \h \z \u </w:instrText>
          </w:r>
          <w:r>
            <w:rPr>
              <w:rStyle w:val="Hyperlink"/>
              <w:lang w:eastAsia="zh-CN"/>
            </w:rPr>
            <w:fldChar w:fldCharType="separate"/>
          </w:r>
          <w:hyperlink w:anchor="_Toc110330229" w:history="1">
            <w:r w:rsidR="00127CF4" w:rsidRPr="00C91641">
              <w:rPr>
                <w:rStyle w:val="Hyperlink"/>
                <w:rFonts w:hint="eastAsia"/>
                <w:noProof/>
                <w:lang w:eastAsia="zh-CN"/>
              </w:rPr>
              <w:t>秘书长的前言</w:t>
            </w:r>
            <w:r w:rsidR="00127CF4">
              <w:rPr>
                <w:noProof/>
                <w:webHidden/>
              </w:rPr>
              <w:tab/>
            </w:r>
            <w:r w:rsidR="00127CF4">
              <w:rPr>
                <w:noProof/>
                <w:webHidden/>
              </w:rPr>
              <w:fldChar w:fldCharType="begin"/>
            </w:r>
            <w:r w:rsidR="00127CF4">
              <w:rPr>
                <w:noProof/>
                <w:webHidden/>
              </w:rPr>
              <w:instrText xml:space="preserve"> PAGEREF _Toc110330229 \h </w:instrText>
            </w:r>
            <w:r w:rsidR="00127CF4">
              <w:rPr>
                <w:noProof/>
                <w:webHidden/>
              </w:rPr>
            </w:r>
            <w:r w:rsidR="00127CF4">
              <w:rPr>
                <w:noProof/>
                <w:webHidden/>
              </w:rPr>
              <w:fldChar w:fldCharType="separate"/>
            </w:r>
            <w:r w:rsidR="00127CF4">
              <w:rPr>
                <w:noProof/>
                <w:webHidden/>
              </w:rPr>
              <w:t>5</w:t>
            </w:r>
            <w:r w:rsidR="00127CF4">
              <w:rPr>
                <w:noProof/>
                <w:webHidden/>
              </w:rPr>
              <w:fldChar w:fldCharType="end"/>
            </w:r>
          </w:hyperlink>
        </w:p>
        <w:p w14:paraId="6891E0A3" w14:textId="1B91F4D0"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30" w:history="1">
            <w:r w:rsidR="00127CF4" w:rsidRPr="00C91641">
              <w:rPr>
                <w:rStyle w:val="Hyperlink"/>
                <w:noProof/>
                <w:w w:val="105"/>
                <w:lang w:val="en-US" w:eastAsia="zh-CN"/>
              </w:rPr>
              <w:t>2021</w:t>
            </w:r>
            <w:r w:rsidR="00127CF4" w:rsidRPr="00C91641">
              <w:rPr>
                <w:rStyle w:val="Hyperlink"/>
                <w:rFonts w:asciiTheme="majorHAnsi" w:eastAsiaTheme="majorEastAsia" w:hAnsiTheme="majorHAnsi" w:cstheme="majorBidi" w:hint="eastAsia"/>
                <w:noProof/>
                <w:lang w:eastAsia="zh-CN"/>
              </w:rPr>
              <w:t>年管理报告</w:t>
            </w:r>
            <w:r w:rsidR="00127CF4">
              <w:rPr>
                <w:noProof/>
                <w:webHidden/>
              </w:rPr>
              <w:tab/>
            </w:r>
            <w:r w:rsidR="00127CF4">
              <w:rPr>
                <w:noProof/>
                <w:webHidden/>
              </w:rPr>
              <w:fldChar w:fldCharType="begin"/>
            </w:r>
            <w:r w:rsidR="00127CF4">
              <w:rPr>
                <w:noProof/>
                <w:webHidden/>
              </w:rPr>
              <w:instrText xml:space="preserve"> PAGEREF _Toc110330230 \h </w:instrText>
            </w:r>
            <w:r w:rsidR="00127CF4">
              <w:rPr>
                <w:noProof/>
                <w:webHidden/>
              </w:rPr>
            </w:r>
            <w:r w:rsidR="00127CF4">
              <w:rPr>
                <w:noProof/>
                <w:webHidden/>
              </w:rPr>
              <w:fldChar w:fldCharType="separate"/>
            </w:r>
            <w:r w:rsidR="00127CF4">
              <w:rPr>
                <w:noProof/>
                <w:webHidden/>
              </w:rPr>
              <w:t>15</w:t>
            </w:r>
            <w:r w:rsidR="00127CF4">
              <w:rPr>
                <w:noProof/>
                <w:webHidden/>
              </w:rPr>
              <w:fldChar w:fldCharType="end"/>
            </w:r>
          </w:hyperlink>
        </w:p>
        <w:p w14:paraId="3F63BB5C" w14:textId="717B754B"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31" w:history="1">
            <w:r w:rsidR="00127CF4" w:rsidRPr="00C91641">
              <w:rPr>
                <w:rStyle w:val="Hyperlink"/>
                <w:rFonts w:cs="Arial"/>
                <w:noProof/>
                <w:lang w:eastAsia="zh-CN"/>
              </w:rPr>
              <w:t>2021</w:t>
            </w:r>
            <w:r w:rsidR="00127CF4" w:rsidRPr="00C91641">
              <w:rPr>
                <w:rStyle w:val="Hyperlink"/>
                <w:rFonts w:hint="eastAsia"/>
                <w:noProof/>
                <w:lang w:eastAsia="zh-CN"/>
              </w:rPr>
              <w:t>年内部控制声明</w:t>
            </w:r>
            <w:r w:rsidR="00127CF4">
              <w:rPr>
                <w:noProof/>
                <w:webHidden/>
              </w:rPr>
              <w:tab/>
            </w:r>
            <w:r w:rsidR="00127CF4">
              <w:rPr>
                <w:noProof/>
                <w:webHidden/>
              </w:rPr>
              <w:fldChar w:fldCharType="begin"/>
            </w:r>
            <w:r w:rsidR="00127CF4">
              <w:rPr>
                <w:noProof/>
                <w:webHidden/>
              </w:rPr>
              <w:instrText xml:space="preserve"> PAGEREF _Toc110330231 \h </w:instrText>
            </w:r>
            <w:r w:rsidR="00127CF4">
              <w:rPr>
                <w:noProof/>
                <w:webHidden/>
              </w:rPr>
            </w:r>
            <w:r w:rsidR="00127CF4">
              <w:rPr>
                <w:noProof/>
                <w:webHidden/>
              </w:rPr>
              <w:fldChar w:fldCharType="separate"/>
            </w:r>
            <w:r w:rsidR="00127CF4">
              <w:rPr>
                <w:noProof/>
                <w:webHidden/>
              </w:rPr>
              <w:t>18</w:t>
            </w:r>
            <w:r w:rsidR="00127CF4">
              <w:rPr>
                <w:noProof/>
                <w:webHidden/>
              </w:rPr>
              <w:fldChar w:fldCharType="end"/>
            </w:r>
          </w:hyperlink>
        </w:p>
        <w:p w14:paraId="701792B5" w14:textId="11ACA89B"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32" w:history="1">
            <w:r w:rsidR="00127CF4" w:rsidRPr="00C91641">
              <w:rPr>
                <w:rStyle w:val="Hyperlink"/>
                <w:noProof/>
                <w:lang w:val="fr-FR" w:eastAsia="zh-CN"/>
              </w:rPr>
              <w:t>2021</w:t>
            </w:r>
            <w:r w:rsidR="00127CF4" w:rsidRPr="00C91641">
              <w:rPr>
                <w:rStyle w:val="Hyperlink"/>
                <w:rFonts w:cs="Microsoft YaHei" w:hint="eastAsia"/>
                <w:noProof/>
                <w:lang w:val="fr-FR" w:eastAsia="zh-CN"/>
              </w:rPr>
              <w:t>年</w:t>
            </w:r>
            <w:r w:rsidR="00127CF4" w:rsidRPr="00C91641">
              <w:rPr>
                <w:rStyle w:val="Hyperlink"/>
                <w:noProof/>
                <w:lang w:val="fr-FR" w:eastAsia="zh-CN"/>
              </w:rPr>
              <w:t>12</w:t>
            </w:r>
            <w:r w:rsidR="00127CF4" w:rsidRPr="00C91641">
              <w:rPr>
                <w:rStyle w:val="Hyperlink"/>
                <w:rFonts w:cs="Microsoft YaHei" w:hint="eastAsia"/>
                <w:noProof/>
                <w:lang w:val="fr-FR" w:eastAsia="zh-CN"/>
              </w:rPr>
              <w:t>月</w:t>
            </w:r>
            <w:r w:rsidR="00127CF4" w:rsidRPr="00C91641">
              <w:rPr>
                <w:rStyle w:val="Hyperlink"/>
                <w:noProof/>
                <w:lang w:val="fr-FR" w:eastAsia="zh-CN"/>
              </w:rPr>
              <w:t>31</w:t>
            </w:r>
            <w:r w:rsidR="00127CF4" w:rsidRPr="00C91641">
              <w:rPr>
                <w:rStyle w:val="Hyperlink"/>
                <w:rFonts w:cs="Microsoft YaHei" w:hint="eastAsia"/>
                <w:noProof/>
                <w:lang w:val="fr-FR" w:eastAsia="zh-CN"/>
              </w:rPr>
              <w:t>日截止的年度财务报表证书</w:t>
            </w:r>
            <w:r w:rsidR="00127CF4">
              <w:rPr>
                <w:noProof/>
                <w:webHidden/>
              </w:rPr>
              <w:tab/>
            </w:r>
            <w:r w:rsidR="00127CF4">
              <w:rPr>
                <w:noProof/>
                <w:webHidden/>
              </w:rPr>
              <w:fldChar w:fldCharType="begin"/>
            </w:r>
            <w:r w:rsidR="00127CF4">
              <w:rPr>
                <w:noProof/>
                <w:webHidden/>
              </w:rPr>
              <w:instrText xml:space="preserve"> PAGEREF _Toc110330232 \h </w:instrText>
            </w:r>
            <w:r w:rsidR="00127CF4">
              <w:rPr>
                <w:noProof/>
                <w:webHidden/>
              </w:rPr>
            </w:r>
            <w:r w:rsidR="00127CF4">
              <w:rPr>
                <w:noProof/>
                <w:webHidden/>
              </w:rPr>
              <w:fldChar w:fldCharType="separate"/>
            </w:r>
            <w:r w:rsidR="00127CF4">
              <w:rPr>
                <w:noProof/>
                <w:webHidden/>
              </w:rPr>
              <w:t>22</w:t>
            </w:r>
            <w:r w:rsidR="00127CF4">
              <w:rPr>
                <w:noProof/>
                <w:webHidden/>
              </w:rPr>
              <w:fldChar w:fldCharType="end"/>
            </w:r>
          </w:hyperlink>
        </w:p>
        <w:p w14:paraId="5364253C" w14:textId="7DCA0881"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33" w:history="1">
            <w:r w:rsidR="00127CF4" w:rsidRPr="00C91641">
              <w:rPr>
                <w:rStyle w:val="Hyperlink"/>
                <w:rFonts w:hint="eastAsia"/>
                <w:noProof/>
                <w:lang w:eastAsia="zh-CN"/>
              </w:rPr>
              <w:t>财务报表</w:t>
            </w:r>
            <w:r w:rsidR="00127CF4">
              <w:rPr>
                <w:noProof/>
                <w:webHidden/>
              </w:rPr>
              <w:tab/>
            </w:r>
            <w:r w:rsidR="00127CF4">
              <w:rPr>
                <w:noProof/>
                <w:webHidden/>
              </w:rPr>
              <w:fldChar w:fldCharType="begin"/>
            </w:r>
            <w:r w:rsidR="00127CF4">
              <w:rPr>
                <w:noProof/>
                <w:webHidden/>
              </w:rPr>
              <w:instrText xml:space="preserve"> PAGEREF _Toc110330233 \h </w:instrText>
            </w:r>
            <w:r w:rsidR="00127CF4">
              <w:rPr>
                <w:noProof/>
                <w:webHidden/>
              </w:rPr>
            </w:r>
            <w:r w:rsidR="00127CF4">
              <w:rPr>
                <w:noProof/>
                <w:webHidden/>
              </w:rPr>
              <w:fldChar w:fldCharType="separate"/>
            </w:r>
            <w:r w:rsidR="00127CF4">
              <w:rPr>
                <w:noProof/>
                <w:webHidden/>
              </w:rPr>
              <w:t>23</w:t>
            </w:r>
            <w:r w:rsidR="00127CF4">
              <w:rPr>
                <w:noProof/>
                <w:webHidden/>
              </w:rPr>
              <w:fldChar w:fldCharType="end"/>
            </w:r>
          </w:hyperlink>
        </w:p>
        <w:p w14:paraId="49A0C3BA" w14:textId="28084EED"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85" w:history="1">
            <w:r w:rsidR="00127CF4" w:rsidRPr="00C91641">
              <w:rPr>
                <w:rStyle w:val="Hyperlink"/>
                <w:rFonts w:hint="eastAsia"/>
                <w:noProof/>
                <w:lang w:eastAsia="zh-CN"/>
              </w:rPr>
              <w:t>一</w:t>
            </w:r>
            <w:r w:rsidR="00127CF4">
              <w:rPr>
                <w:rFonts w:asciiTheme="minorHAnsi" w:eastAsiaTheme="minorEastAsia" w:hAnsiTheme="minorHAnsi" w:cstheme="minorBidi"/>
                <w:noProof/>
                <w:sz w:val="22"/>
                <w:szCs w:val="22"/>
                <w:lang w:eastAsia="zh-CN"/>
              </w:rPr>
              <w:tab/>
            </w:r>
            <w:r w:rsidR="00127CF4" w:rsidRPr="00C91641">
              <w:rPr>
                <w:rStyle w:val="Hyperlink"/>
                <w:rFonts w:hint="eastAsia"/>
                <w:noProof/>
                <w:lang w:eastAsia="zh-CN"/>
              </w:rPr>
              <w:t>正常预算（附件</w:t>
            </w:r>
            <w:r w:rsidR="00127CF4" w:rsidRPr="00C91641">
              <w:rPr>
                <w:rStyle w:val="Hyperlink"/>
                <w:noProof/>
                <w:lang w:eastAsia="zh-CN"/>
              </w:rPr>
              <w:t>B1</w:t>
            </w:r>
            <w:r w:rsidR="00127CF4" w:rsidRPr="00C91641">
              <w:rPr>
                <w:rStyle w:val="Hyperlink"/>
                <w:rFonts w:hint="eastAsia"/>
                <w:noProof/>
                <w:lang w:eastAsia="zh-CN"/>
              </w:rPr>
              <w:t>）</w:t>
            </w:r>
            <w:r w:rsidR="00127CF4">
              <w:rPr>
                <w:noProof/>
                <w:webHidden/>
              </w:rPr>
              <w:tab/>
            </w:r>
            <w:r w:rsidR="00127CF4">
              <w:rPr>
                <w:noProof/>
                <w:webHidden/>
              </w:rPr>
              <w:fldChar w:fldCharType="begin"/>
            </w:r>
            <w:r w:rsidR="00127CF4">
              <w:rPr>
                <w:noProof/>
                <w:webHidden/>
              </w:rPr>
              <w:instrText xml:space="preserve"> PAGEREF _Toc110330285 \h </w:instrText>
            </w:r>
            <w:r w:rsidR="00127CF4">
              <w:rPr>
                <w:noProof/>
                <w:webHidden/>
              </w:rPr>
            </w:r>
            <w:r w:rsidR="00127CF4">
              <w:rPr>
                <w:noProof/>
                <w:webHidden/>
              </w:rPr>
              <w:fldChar w:fldCharType="separate"/>
            </w:r>
            <w:r w:rsidR="00127CF4">
              <w:rPr>
                <w:noProof/>
                <w:webHidden/>
              </w:rPr>
              <w:t>69</w:t>
            </w:r>
            <w:r w:rsidR="00127CF4">
              <w:rPr>
                <w:noProof/>
                <w:webHidden/>
              </w:rPr>
              <w:fldChar w:fldCharType="end"/>
            </w:r>
          </w:hyperlink>
        </w:p>
        <w:p w14:paraId="3781A025" w14:textId="6695AA71"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86" w:history="1">
            <w:r w:rsidR="00127CF4" w:rsidRPr="00C91641">
              <w:rPr>
                <w:rStyle w:val="Hyperlink"/>
                <w:rFonts w:hint="eastAsia"/>
                <w:noProof/>
                <w:lang w:eastAsia="zh-CN"/>
              </w:rPr>
              <w:t>二</w:t>
            </w:r>
            <w:r w:rsidR="00127CF4">
              <w:rPr>
                <w:rFonts w:asciiTheme="minorHAnsi" w:eastAsiaTheme="minorEastAsia" w:hAnsiTheme="minorHAnsi" w:cstheme="minorBidi"/>
                <w:noProof/>
                <w:sz w:val="22"/>
                <w:szCs w:val="22"/>
                <w:lang w:eastAsia="zh-CN"/>
              </w:rPr>
              <w:tab/>
            </w:r>
            <w:r w:rsidR="00127CF4" w:rsidRPr="00C91641">
              <w:rPr>
                <w:rStyle w:val="Hyperlink"/>
                <w:rFonts w:hint="eastAsia"/>
                <w:noProof/>
                <w:lang w:eastAsia="zh-CN"/>
              </w:rPr>
              <w:t>总部新办公楼（附件</w:t>
            </w:r>
            <w:r w:rsidR="00127CF4" w:rsidRPr="00C91641">
              <w:rPr>
                <w:rStyle w:val="Hyperlink"/>
                <w:noProof/>
                <w:lang w:eastAsia="zh-CN"/>
              </w:rPr>
              <w:t>B2</w:t>
            </w:r>
            <w:r w:rsidR="00127CF4" w:rsidRPr="00C91641">
              <w:rPr>
                <w:rStyle w:val="Hyperlink"/>
                <w:rFonts w:hint="eastAsia"/>
                <w:noProof/>
                <w:lang w:eastAsia="zh-CN"/>
              </w:rPr>
              <w:t>）</w:t>
            </w:r>
            <w:r w:rsidR="00127CF4">
              <w:rPr>
                <w:noProof/>
                <w:webHidden/>
              </w:rPr>
              <w:tab/>
            </w:r>
            <w:r w:rsidR="00127CF4">
              <w:rPr>
                <w:noProof/>
                <w:webHidden/>
              </w:rPr>
              <w:fldChar w:fldCharType="begin"/>
            </w:r>
            <w:r w:rsidR="00127CF4">
              <w:rPr>
                <w:noProof/>
                <w:webHidden/>
              </w:rPr>
              <w:instrText xml:space="preserve"> PAGEREF _Toc110330286 \h </w:instrText>
            </w:r>
            <w:r w:rsidR="00127CF4">
              <w:rPr>
                <w:noProof/>
                <w:webHidden/>
              </w:rPr>
            </w:r>
            <w:r w:rsidR="00127CF4">
              <w:rPr>
                <w:noProof/>
                <w:webHidden/>
              </w:rPr>
              <w:fldChar w:fldCharType="separate"/>
            </w:r>
            <w:r w:rsidR="00127CF4">
              <w:rPr>
                <w:noProof/>
                <w:webHidden/>
              </w:rPr>
              <w:t>70</w:t>
            </w:r>
            <w:r w:rsidR="00127CF4">
              <w:rPr>
                <w:noProof/>
                <w:webHidden/>
              </w:rPr>
              <w:fldChar w:fldCharType="end"/>
            </w:r>
          </w:hyperlink>
        </w:p>
        <w:p w14:paraId="02E982A9" w14:textId="4472536F"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87" w:history="1">
            <w:r w:rsidR="00127CF4" w:rsidRPr="00C91641">
              <w:rPr>
                <w:rStyle w:val="Hyperlink"/>
                <w:rFonts w:hint="eastAsia"/>
                <w:noProof/>
                <w:lang w:eastAsia="zh-CN"/>
              </w:rPr>
              <w:t>三</w:t>
            </w:r>
            <w:r w:rsidR="00127CF4">
              <w:rPr>
                <w:rFonts w:asciiTheme="minorHAnsi" w:eastAsiaTheme="minorEastAsia" w:hAnsiTheme="minorHAnsi" w:cstheme="minorBidi"/>
                <w:noProof/>
                <w:sz w:val="22"/>
                <w:szCs w:val="22"/>
                <w:lang w:eastAsia="zh-CN"/>
              </w:rPr>
              <w:tab/>
            </w:r>
            <w:r w:rsidR="00127CF4" w:rsidRPr="00C91641">
              <w:rPr>
                <w:rStyle w:val="Hyperlink"/>
                <w:rFonts w:hint="eastAsia"/>
                <w:noProof/>
                <w:lang w:eastAsia="zh-CN"/>
              </w:rPr>
              <w:t>职员退休和福利基金（附件</w:t>
            </w:r>
            <w:r w:rsidR="00127CF4" w:rsidRPr="00C91641">
              <w:rPr>
                <w:rStyle w:val="Hyperlink"/>
                <w:noProof/>
                <w:lang w:eastAsia="zh-CN"/>
              </w:rPr>
              <w:t>B3</w:t>
            </w:r>
            <w:r w:rsidR="00127CF4" w:rsidRPr="00C91641">
              <w:rPr>
                <w:rStyle w:val="Hyperlink"/>
                <w:rFonts w:hint="eastAsia"/>
                <w:noProof/>
                <w:lang w:eastAsia="zh-CN"/>
              </w:rPr>
              <w:t>）</w:t>
            </w:r>
            <w:r w:rsidR="00127CF4">
              <w:rPr>
                <w:noProof/>
                <w:webHidden/>
              </w:rPr>
              <w:tab/>
            </w:r>
            <w:r w:rsidR="00127CF4">
              <w:rPr>
                <w:noProof/>
                <w:webHidden/>
              </w:rPr>
              <w:fldChar w:fldCharType="begin"/>
            </w:r>
            <w:r w:rsidR="00127CF4">
              <w:rPr>
                <w:noProof/>
                <w:webHidden/>
              </w:rPr>
              <w:instrText xml:space="preserve"> PAGEREF _Toc110330287 \h </w:instrText>
            </w:r>
            <w:r w:rsidR="00127CF4">
              <w:rPr>
                <w:noProof/>
                <w:webHidden/>
              </w:rPr>
            </w:r>
            <w:r w:rsidR="00127CF4">
              <w:rPr>
                <w:noProof/>
                <w:webHidden/>
              </w:rPr>
              <w:fldChar w:fldCharType="separate"/>
            </w:r>
            <w:r w:rsidR="00127CF4">
              <w:rPr>
                <w:noProof/>
                <w:webHidden/>
              </w:rPr>
              <w:t>71</w:t>
            </w:r>
            <w:r w:rsidR="00127CF4">
              <w:rPr>
                <w:noProof/>
                <w:webHidden/>
              </w:rPr>
              <w:fldChar w:fldCharType="end"/>
            </w:r>
          </w:hyperlink>
        </w:p>
        <w:p w14:paraId="5346515B" w14:textId="687A6593"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88" w:history="1">
            <w:r w:rsidR="00127CF4" w:rsidRPr="00C91641">
              <w:rPr>
                <w:rStyle w:val="Hyperlink"/>
                <w:rFonts w:hint="eastAsia"/>
                <w:noProof/>
                <w:lang w:val="en-US" w:eastAsia="zh-CN"/>
              </w:rPr>
              <w:t>四</w:t>
            </w:r>
            <w:r w:rsidR="00127CF4">
              <w:rPr>
                <w:rFonts w:asciiTheme="minorHAnsi" w:eastAsiaTheme="minorEastAsia" w:hAnsiTheme="minorHAnsi" w:cstheme="minorBidi"/>
                <w:noProof/>
                <w:sz w:val="22"/>
                <w:szCs w:val="22"/>
                <w:lang w:eastAsia="zh-CN"/>
              </w:rPr>
              <w:tab/>
            </w:r>
            <w:r w:rsidR="00127CF4" w:rsidRPr="00C91641">
              <w:rPr>
                <w:rStyle w:val="Hyperlink"/>
                <w:rFonts w:hint="eastAsia"/>
                <w:noProof/>
                <w:lang w:eastAsia="zh-CN"/>
              </w:rPr>
              <w:t>联合国开发计划署</w:t>
            </w:r>
            <w:r w:rsidR="00127CF4">
              <w:rPr>
                <w:noProof/>
                <w:webHidden/>
              </w:rPr>
              <w:tab/>
            </w:r>
            <w:r w:rsidR="00127CF4">
              <w:rPr>
                <w:noProof/>
                <w:webHidden/>
              </w:rPr>
              <w:fldChar w:fldCharType="begin"/>
            </w:r>
            <w:r w:rsidR="00127CF4">
              <w:rPr>
                <w:noProof/>
                <w:webHidden/>
              </w:rPr>
              <w:instrText xml:space="preserve"> PAGEREF _Toc110330288 \h </w:instrText>
            </w:r>
            <w:r w:rsidR="00127CF4">
              <w:rPr>
                <w:noProof/>
                <w:webHidden/>
              </w:rPr>
            </w:r>
            <w:r w:rsidR="00127CF4">
              <w:rPr>
                <w:noProof/>
                <w:webHidden/>
              </w:rPr>
              <w:fldChar w:fldCharType="separate"/>
            </w:r>
            <w:r w:rsidR="00127CF4">
              <w:rPr>
                <w:noProof/>
                <w:webHidden/>
              </w:rPr>
              <w:t>71</w:t>
            </w:r>
            <w:r w:rsidR="00127CF4">
              <w:rPr>
                <w:noProof/>
                <w:webHidden/>
              </w:rPr>
              <w:fldChar w:fldCharType="end"/>
            </w:r>
          </w:hyperlink>
        </w:p>
        <w:p w14:paraId="4BABE03C" w14:textId="6433E1CC"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89" w:history="1">
            <w:r w:rsidR="00127CF4" w:rsidRPr="00C91641">
              <w:rPr>
                <w:rStyle w:val="Hyperlink"/>
                <w:rFonts w:hint="eastAsia"/>
                <w:noProof/>
                <w:lang w:eastAsia="zh-CN"/>
              </w:rPr>
              <w:t>五</w:t>
            </w:r>
            <w:r w:rsidR="00127CF4">
              <w:rPr>
                <w:rFonts w:asciiTheme="minorHAnsi" w:eastAsiaTheme="minorEastAsia" w:hAnsiTheme="minorHAnsi" w:cstheme="minorBidi"/>
                <w:noProof/>
                <w:sz w:val="22"/>
                <w:szCs w:val="22"/>
                <w:lang w:eastAsia="zh-CN"/>
              </w:rPr>
              <w:tab/>
            </w:r>
            <w:r w:rsidR="00127CF4" w:rsidRPr="00C91641">
              <w:rPr>
                <w:rStyle w:val="Hyperlink"/>
                <w:rFonts w:hint="eastAsia"/>
                <w:noProof/>
                <w:lang w:eastAsia="zh-CN"/>
              </w:rPr>
              <w:t>信托基金（附件</w:t>
            </w:r>
            <w:r w:rsidR="00127CF4" w:rsidRPr="00C91641">
              <w:rPr>
                <w:rStyle w:val="Hyperlink"/>
                <w:noProof/>
                <w:lang w:eastAsia="zh-CN"/>
              </w:rPr>
              <w:t>B4</w:t>
            </w:r>
            <w:r w:rsidR="00127CF4" w:rsidRPr="00C91641">
              <w:rPr>
                <w:rStyle w:val="Hyperlink"/>
                <w:rFonts w:hint="eastAsia"/>
                <w:noProof/>
                <w:lang w:eastAsia="zh-CN"/>
              </w:rPr>
              <w:t>）</w:t>
            </w:r>
            <w:r w:rsidR="00127CF4">
              <w:rPr>
                <w:noProof/>
                <w:webHidden/>
              </w:rPr>
              <w:tab/>
            </w:r>
            <w:r w:rsidR="00127CF4">
              <w:rPr>
                <w:noProof/>
                <w:webHidden/>
              </w:rPr>
              <w:fldChar w:fldCharType="begin"/>
            </w:r>
            <w:r w:rsidR="00127CF4">
              <w:rPr>
                <w:noProof/>
                <w:webHidden/>
              </w:rPr>
              <w:instrText xml:space="preserve"> PAGEREF _Toc110330289 \h </w:instrText>
            </w:r>
            <w:r w:rsidR="00127CF4">
              <w:rPr>
                <w:noProof/>
                <w:webHidden/>
              </w:rPr>
            </w:r>
            <w:r w:rsidR="00127CF4">
              <w:rPr>
                <w:noProof/>
                <w:webHidden/>
              </w:rPr>
              <w:fldChar w:fldCharType="separate"/>
            </w:r>
            <w:r w:rsidR="00127CF4">
              <w:rPr>
                <w:noProof/>
                <w:webHidden/>
              </w:rPr>
              <w:t>71</w:t>
            </w:r>
            <w:r w:rsidR="00127CF4">
              <w:rPr>
                <w:noProof/>
                <w:webHidden/>
              </w:rPr>
              <w:fldChar w:fldCharType="end"/>
            </w:r>
          </w:hyperlink>
        </w:p>
        <w:p w14:paraId="1BC635EA" w14:textId="46A02DB4"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90" w:history="1">
            <w:r w:rsidR="00127CF4" w:rsidRPr="00C91641">
              <w:rPr>
                <w:rStyle w:val="Hyperlink"/>
                <w:rFonts w:hint="eastAsia"/>
                <w:noProof/>
                <w:lang w:eastAsia="zh-CN"/>
              </w:rPr>
              <w:t>六</w:t>
            </w:r>
            <w:r w:rsidR="00127CF4">
              <w:rPr>
                <w:rFonts w:asciiTheme="minorHAnsi" w:eastAsiaTheme="minorEastAsia" w:hAnsiTheme="minorHAnsi" w:cstheme="minorBidi"/>
                <w:noProof/>
                <w:sz w:val="22"/>
                <w:szCs w:val="22"/>
                <w:lang w:eastAsia="zh-CN"/>
              </w:rPr>
              <w:tab/>
            </w:r>
            <w:r w:rsidR="00127CF4" w:rsidRPr="00C91641">
              <w:rPr>
                <w:rStyle w:val="Hyperlink"/>
                <w:rFonts w:hint="eastAsia"/>
                <w:noProof/>
                <w:lang w:eastAsia="zh-CN"/>
              </w:rPr>
              <w:t>自愿捐款（附件</w:t>
            </w:r>
            <w:r w:rsidR="00127CF4" w:rsidRPr="00C91641">
              <w:rPr>
                <w:rStyle w:val="Hyperlink"/>
                <w:noProof/>
                <w:lang w:eastAsia="zh-CN"/>
              </w:rPr>
              <w:t>B5</w:t>
            </w:r>
            <w:r w:rsidR="00127CF4" w:rsidRPr="00C91641">
              <w:rPr>
                <w:rStyle w:val="Hyperlink"/>
                <w:rFonts w:hint="eastAsia"/>
                <w:noProof/>
                <w:lang w:eastAsia="zh-CN"/>
              </w:rPr>
              <w:t>）</w:t>
            </w:r>
            <w:r w:rsidR="00127CF4">
              <w:rPr>
                <w:noProof/>
                <w:webHidden/>
              </w:rPr>
              <w:tab/>
            </w:r>
            <w:r w:rsidR="00127CF4">
              <w:rPr>
                <w:noProof/>
                <w:webHidden/>
              </w:rPr>
              <w:fldChar w:fldCharType="begin"/>
            </w:r>
            <w:r w:rsidR="00127CF4">
              <w:rPr>
                <w:noProof/>
                <w:webHidden/>
              </w:rPr>
              <w:instrText xml:space="preserve"> PAGEREF _Toc110330290 \h </w:instrText>
            </w:r>
            <w:r w:rsidR="00127CF4">
              <w:rPr>
                <w:noProof/>
                <w:webHidden/>
              </w:rPr>
            </w:r>
            <w:r w:rsidR="00127CF4">
              <w:rPr>
                <w:noProof/>
                <w:webHidden/>
              </w:rPr>
              <w:fldChar w:fldCharType="separate"/>
            </w:r>
            <w:r w:rsidR="00127CF4">
              <w:rPr>
                <w:noProof/>
                <w:webHidden/>
              </w:rPr>
              <w:t>72</w:t>
            </w:r>
            <w:r w:rsidR="00127CF4">
              <w:rPr>
                <w:noProof/>
                <w:webHidden/>
              </w:rPr>
              <w:fldChar w:fldCharType="end"/>
            </w:r>
          </w:hyperlink>
        </w:p>
        <w:p w14:paraId="1E0F1CDD" w14:textId="2CCCC339"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91" w:history="1">
            <w:r w:rsidR="00127CF4" w:rsidRPr="00C91641">
              <w:rPr>
                <w:rStyle w:val="Hyperlink"/>
                <w:rFonts w:hint="eastAsia"/>
                <w:noProof/>
                <w:lang w:eastAsia="zh-CN"/>
              </w:rPr>
              <w:t>七</w:t>
            </w:r>
            <w:r w:rsidR="00127CF4">
              <w:rPr>
                <w:rFonts w:asciiTheme="minorHAnsi" w:eastAsiaTheme="minorEastAsia" w:hAnsiTheme="minorHAnsi" w:cstheme="minorBidi"/>
                <w:noProof/>
                <w:sz w:val="22"/>
                <w:szCs w:val="22"/>
                <w:lang w:eastAsia="zh-CN"/>
              </w:rPr>
              <w:tab/>
            </w:r>
            <w:r w:rsidR="00127CF4" w:rsidRPr="00C91641">
              <w:rPr>
                <w:rStyle w:val="Hyperlink"/>
                <w:rFonts w:hint="eastAsia"/>
                <w:noProof/>
                <w:lang w:eastAsia="zh-CN"/>
              </w:rPr>
              <w:t>信息通信技术（</w:t>
            </w:r>
            <w:r w:rsidR="00127CF4" w:rsidRPr="00C91641">
              <w:rPr>
                <w:rStyle w:val="Hyperlink"/>
                <w:noProof/>
                <w:lang w:eastAsia="zh-CN"/>
              </w:rPr>
              <w:t>ICT</w:t>
            </w:r>
            <w:r w:rsidR="00127CF4" w:rsidRPr="00C91641">
              <w:rPr>
                <w:rStyle w:val="Hyperlink"/>
                <w:rFonts w:hint="eastAsia"/>
                <w:noProof/>
                <w:lang w:eastAsia="zh-CN"/>
              </w:rPr>
              <w:t>）发展基金（附件</w:t>
            </w:r>
            <w:r w:rsidR="00127CF4" w:rsidRPr="00C91641">
              <w:rPr>
                <w:rStyle w:val="Hyperlink"/>
                <w:noProof/>
                <w:lang w:eastAsia="zh-CN"/>
              </w:rPr>
              <w:t>B6</w:t>
            </w:r>
            <w:r w:rsidR="00127CF4" w:rsidRPr="00C91641">
              <w:rPr>
                <w:rStyle w:val="Hyperlink"/>
                <w:rFonts w:hint="eastAsia"/>
                <w:noProof/>
                <w:lang w:eastAsia="zh-CN"/>
              </w:rPr>
              <w:t>）</w:t>
            </w:r>
            <w:r w:rsidR="00127CF4">
              <w:rPr>
                <w:noProof/>
                <w:webHidden/>
              </w:rPr>
              <w:tab/>
            </w:r>
            <w:r w:rsidR="00127CF4">
              <w:rPr>
                <w:noProof/>
                <w:webHidden/>
              </w:rPr>
              <w:fldChar w:fldCharType="begin"/>
            </w:r>
            <w:r w:rsidR="00127CF4">
              <w:rPr>
                <w:noProof/>
                <w:webHidden/>
              </w:rPr>
              <w:instrText xml:space="preserve"> PAGEREF _Toc110330291 \h </w:instrText>
            </w:r>
            <w:r w:rsidR="00127CF4">
              <w:rPr>
                <w:noProof/>
                <w:webHidden/>
              </w:rPr>
            </w:r>
            <w:r w:rsidR="00127CF4">
              <w:rPr>
                <w:noProof/>
                <w:webHidden/>
              </w:rPr>
              <w:fldChar w:fldCharType="separate"/>
            </w:r>
            <w:r w:rsidR="00127CF4">
              <w:rPr>
                <w:noProof/>
                <w:webHidden/>
              </w:rPr>
              <w:t>72</w:t>
            </w:r>
            <w:r w:rsidR="00127CF4">
              <w:rPr>
                <w:noProof/>
                <w:webHidden/>
              </w:rPr>
              <w:fldChar w:fldCharType="end"/>
            </w:r>
          </w:hyperlink>
        </w:p>
        <w:p w14:paraId="44D30F5E" w14:textId="739545E0"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92" w:history="1">
            <w:r w:rsidR="00127CF4" w:rsidRPr="00C91641">
              <w:rPr>
                <w:rStyle w:val="Hyperlink"/>
                <w:rFonts w:hint="eastAsia"/>
                <w:noProof/>
                <w:lang w:val="en-US" w:eastAsia="zh-CN"/>
              </w:rPr>
              <w:t>八</w:t>
            </w:r>
            <w:r w:rsidR="00127CF4">
              <w:rPr>
                <w:rFonts w:asciiTheme="minorHAnsi" w:eastAsiaTheme="minorEastAsia" w:hAnsiTheme="minorHAnsi" w:cstheme="minorBidi"/>
                <w:noProof/>
                <w:sz w:val="22"/>
                <w:szCs w:val="22"/>
                <w:lang w:eastAsia="zh-CN"/>
              </w:rPr>
              <w:tab/>
            </w:r>
            <w:r w:rsidR="00127CF4" w:rsidRPr="00C91641">
              <w:rPr>
                <w:rStyle w:val="Hyperlink"/>
                <w:rFonts w:hint="eastAsia"/>
                <w:noProof/>
                <w:lang w:val="en-US" w:eastAsia="zh-CN"/>
              </w:rPr>
              <w:t>国际电联</w:t>
            </w:r>
            <w:r w:rsidR="00127CF4" w:rsidRPr="00C91641">
              <w:rPr>
                <w:rStyle w:val="Hyperlink"/>
                <w:noProof/>
                <w:lang w:val="en-US" w:eastAsia="zh-CN"/>
              </w:rPr>
              <w:t>2019</w:t>
            </w:r>
            <w:r w:rsidR="00127CF4" w:rsidRPr="00C91641">
              <w:rPr>
                <w:rStyle w:val="Hyperlink"/>
                <w:rFonts w:hint="eastAsia"/>
                <w:noProof/>
                <w:lang w:val="en-US" w:eastAsia="zh-CN"/>
              </w:rPr>
              <w:t>年世界电信展（附件</w:t>
            </w:r>
            <w:r w:rsidR="00127CF4" w:rsidRPr="00C91641">
              <w:rPr>
                <w:rStyle w:val="Hyperlink"/>
                <w:noProof/>
                <w:lang w:eastAsia="zh-CN"/>
              </w:rPr>
              <w:t>B7</w:t>
            </w:r>
            <w:r w:rsidR="00127CF4" w:rsidRPr="00C91641">
              <w:rPr>
                <w:rStyle w:val="Hyperlink"/>
                <w:rFonts w:hint="eastAsia"/>
                <w:noProof/>
                <w:lang w:val="en-US" w:eastAsia="zh-CN"/>
              </w:rPr>
              <w:t>）</w:t>
            </w:r>
            <w:r w:rsidR="00127CF4">
              <w:rPr>
                <w:noProof/>
                <w:webHidden/>
              </w:rPr>
              <w:tab/>
            </w:r>
            <w:r w:rsidR="00127CF4">
              <w:rPr>
                <w:noProof/>
                <w:webHidden/>
              </w:rPr>
              <w:fldChar w:fldCharType="begin"/>
            </w:r>
            <w:r w:rsidR="00127CF4">
              <w:rPr>
                <w:noProof/>
                <w:webHidden/>
              </w:rPr>
              <w:instrText xml:space="preserve"> PAGEREF _Toc110330292 \h </w:instrText>
            </w:r>
            <w:r w:rsidR="00127CF4">
              <w:rPr>
                <w:noProof/>
                <w:webHidden/>
              </w:rPr>
            </w:r>
            <w:r w:rsidR="00127CF4">
              <w:rPr>
                <w:noProof/>
                <w:webHidden/>
              </w:rPr>
              <w:fldChar w:fldCharType="separate"/>
            </w:r>
            <w:r w:rsidR="00127CF4">
              <w:rPr>
                <w:noProof/>
                <w:webHidden/>
              </w:rPr>
              <w:t>72</w:t>
            </w:r>
            <w:r w:rsidR="00127CF4">
              <w:rPr>
                <w:noProof/>
                <w:webHidden/>
              </w:rPr>
              <w:fldChar w:fldCharType="end"/>
            </w:r>
          </w:hyperlink>
        </w:p>
        <w:p w14:paraId="7001751E" w14:textId="5150B530"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93" w:history="1">
            <w:r w:rsidR="00127CF4" w:rsidRPr="00C91641">
              <w:rPr>
                <w:rStyle w:val="Hyperlink"/>
                <w:rFonts w:hint="eastAsia"/>
                <w:noProof/>
                <w:lang w:eastAsia="zh-CN"/>
              </w:rPr>
              <w:t>九</w:t>
            </w:r>
            <w:r w:rsidR="00127CF4">
              <w:rPr>
                <w:rFonts w:asciiTheme="minorHAnsi" w:eastAsiaTheme="minorEastAsia" w:hAnsiTheme="minorHAnsi" w:cstheme="minorBidi"/>
                <w:noProof/>
                <w:sz w:val="22"/>
                <w:szCs w:val="22"/>
                <w:lang w:eastAsia="zh-CN"/>
              </w:rPr>
              <w:tab/>
            </w:r>
            <w:r w:rsidR="00127CF4" w:rsidRPr="00C91641">
              <w:rPr>
                <w:rStyle w:val="Hyperlink"/>
                <w:rFonts w:hint="eastAsia"/>
                <w:noProof/>
                <w:lang w:eastAsia="zh-CN"/>
              </w:rPr>
              <w:t>财务披露</w:t>
            </w:r>
            <w:r w:rsidR="00127CF4">
              <w:rPr>
                <w:noProof/>
                <w:webHidden/>
              </w:rPr>
              <w:tab/>
            </w:r>
            <w:r w:rsidR="00127CF4">
              <w:rPr>
                <w:noProof/>
                <w:webHidden/>
              </w:rPr>
              <w:fldChar w:fldCharType="begin"/>
            </w:r>
            <w:r w:rsidR="00127CF4">
              <w:rPr>
                <w:noProof/>
                <w:webHidden/>
              </w:rPr>
              <w:instrText xml:space="preserve"> PAGEREF _Toc110330293 \h </w:instrText>
            </w:r>
            <w:r w:rsidR="00127CF4">
              <w:rPr>
                <w:noProof/>
                <w:webHidden/>
              </w:rPr>
            </w:r>
            <w:r w:rsidR="00127CF4">
              <w:rPr>
                <w:noProof/>
                <w:webHidden/>
              </w:rPr>
              <w:fldChar w:fldCharType="separate"/>
            </w:r>
            <w:r w:rsidR="00127CF4">
              <w:rPr>
                <w:noProof/>
                <w:webHidden/>
              </w:rPr>
              <w:t>72</w:t>
            </w:r>
            <w:r w:rsidR="00127CF4">
              <w:rPr>
                <w:noProof/>
                <w:webHidden/>
              </w:rPr>
              <w:fldChar w:fldCharType="end"/>
            </w:r>
          </w:hyperlink>
        </w:p>
        <w:p w14:paraId="02F6F64A" w14:textId="64E966FD"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94" w:history="1">
            <w:r w:rsidR="00127CF4" w:rsidRPr="00C91641">
              <w:rPr>
                <w:rStyle w:val="Hyperlink"/>
                <w:rFonts w:hint="eastAsia"/>
                <w:noProof/>
                <w:lang w:eastAsia="zh-CN"/>
              </w:rPr>
              <w:t>十</w:t>
            </w:r>
            <w:r w:rsidR="00127CF4">
              <w:rPr>
                <w:rFonts w:asciiTheme="minorHAnsi" w:eastAsiaTheme="minorEastAsia" w:hAnsiTheme="minorHAnsi" w:cstheme="minorBidi"/>
                <w:noProof/>
                <w:sz w:val="22"/>
                <w:szCs w:val="22"/>
                <w:lang w:eastAsia="zh-CN"/>
              </w:rPr>
              <w:tab/>
            </w:r>
            <w:r w:rsidR="00127CF4" w:rsidRPr="00C91641">
              <w:rPr>
                <w:rStyle w:val="Hyperlink"/>
                <w:rFonts w:hint="eastAsia"/>
                <w:noProof/>
                <w:lang w:eastAsia="zh-CN"/>
              </w:rPr>
              <w:t>国际电联账目的外部审计</w:t>
            </w:r>
            <w:r w:rsidR="00127CF4">
              <w:rPr>
                <w:noProof/>
                <w:webHidden/>
              </w:rPr>
              <w:tab/>
            </w:r>
            <w:r w:rsidR="00127CF4">
              <w:rPr>
                <w:noProof/>
                <w:webHidden/>
              </w:rPr>
              <w:fldChar w:fldCharType="begin"/>
            </w:r>
            <w:r w:rsidR="00127CF4">
              <w:rPr>
                <w:noProof/>
                <w:webHidden/>
              </w:rPr>
              <w:instrText xml:space="preserve"> PAGEREF _Toc110330294 \h </w:instrText>
            </w:r>
            <w:r w:rsidR="00127CF4">
              <w:rPr>
                <w:noProof/>
                <w:webHidden/>
              </w:rPr>
            </w:r>
            <w:r w:rsidR="00127CF4">
              <w:rPr>
                <w:noProof/>
                <w:webHidden/>
              </w:rPr>
              <w:fldChar w:fldCharType="separate"/>
            </w:r>
            <w:r w:rsidR="00127CF4">
              <w:rPr>
                <w:noProof/>
                <w:webHidden/>
              </w:rPr>
              <w:t>73</w:t>
            </w:r>
            <w:r w:rsidR="00127CF4">
              <w:rPr>
                <w:noProof/>
                <w:webHidden/>
              </w:rPr>
              <w:fldChar w:fldCharType="end"/>
            </w:r>
          </w:hyperlink>
        </w:p>
        <w:p w14:paraId="2C34A39D" w14:textId="14E27B09"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95" w:history="1">
            <w:r w:rsidR="00127CF4" w:rsidRPr="00C91641">
              <w:rPr>
                <w:rStyle w:val="Hyperlink"/>
                <w:rFonts w:hint="eastAsia"/>
                <w:noProof/>
                <w:lang w:eastAsia="zh-CN"/>
              </w:rPr>
              <w:t>附件</w:t>
            </w:r>
            <w:r w:rsidR="00127CF4" w:rsidRPr="00C91641">
              <w:rPr>
                <w:rStyle w:val="Hyperlink"/>
                <w:noProof/>
                <w:lang w:eastAsia="zh-CN"/>
              </w:rPr>
              <w:t>A</w:t>
            </w:r>
          </w:hyperlink>
          <w:r w:rsidR="00127CF4" w:rsidRPr="00127CF4">
            <w:rPr>
              <w:rStyle w:val="Hyperlink"/>
              <w:noProof/>
              <w:u w:val="none"/>
            </w:rPr>
            <w:t xml:space="preserve"> </w:t>
          </w:r>
          <w:hyperlink w:anchor="_Toc110330296" w:history="1">
            <w:r w:rsidR="00127CF4" w:rsidRPr="00C91641">
              <w:rPr>
                <w:rStyle w:val="Hyperlink"/>
                <w:rFonts w:hint="eastAsia"/>
                <w:noProof/>
                <w:lang w:eastAsia="zh-CN"/>
              </w:rPr>
              <w:t>决议草案</w:t>
            </w:r>
            <w:r w:rsidR="00127CF4">
              <w:rPr>
                <w:noProof/>
                <w:webHidden/>
              </w:rPr>
              <w:tab/>
            </w:r>
            <w:r w:rsidR="00127CF4">
              <w:rPr>
                <w:noProof/>
                <w:webHidden/>
              </w:rPr>
              <w:fldChar w:fldCharType="begin"/>
            </w:r>
            <w:r w:rsidR="00127CF4">
              <w:rPr>
                <w:noProof/>
                <w:webHidden/>
              </w:rPr>
              <w:instrText xml:space="preserve"> PAGEREF _Toc110330296 \h </w:instrText>
            </w:r>
            <w:r w:rsidR="00127CF4">
              <w:rPr>
                <w:noProof/>
                <w:webHidden/>
              </w:rPr>
            </w:r>
            <w:r w:rsidR="00127CF4">
              <w:rPr>
                <w:noProof/>
                <w:webHidden/>
              </w:rPr>
              <w:fldChar w:fldCharType="separate"/>
            </w:r>
            <w:r w:rsidR="00127CF4">
              <w:rPr>
                <w:noProof/>
                <w:webHidden/>
              </w:rPr>
              <w:t>74</w:t>
            </w:r>
            <w:r w:rsidR="00127CF4">
              <w:rPr>
                <w:noProof/>
                <w:webHidden/>
              </w:rPr>
              <w:fldChar w:fldCharType="end"/>
            </w:r>
          </w:hyperlink>
        </w:p>
        <w:p w14:paraId="7A75988C" w14:textId="2DFF8F01"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97" w:history="1">
            <w:r w:rsidR="00127CF4" w:rsidRPr="00C91641">
              <w:rPr>
                <w:rStyle w:val="Hyperlink"/>
                <w:rFonts w:hint="eastAsia"/>
                <w:noProof/>
                <w:lang w:eastAsia="zh-CN"/>
              </w:rPr>
              <w:t>附件</w:t>
            </w:r>
            <w:r w:rsidR="00127CF4" w:rsidRPr="00C91641">
              <w:rPr>
                <w:rStyle w:val="Hyperlink"/>
                <w:noProof/>
                <w:lang w:eastAsia="zh-CN"/>
              </w:rPr>
              <w:t>B1</w:t>
            </w:r>
            <w:r w:rsidR="00127CF4">
              <w:rPr>
                <w:noProof/>
                <w:webHidden/>
              </w:rPr>
              <w:tab/>
            </w:r>
            <w:r w:rsidR="00127CF4">
              <w:rPr>
                <w:noProof/>
                <w:webHidden/>
              </w:rPr>
              <w:fldChar w:fldCharType="begin"/>
            </w:r>
            <w:r w:rsidR="00127CF4">
              <w:rPr>
                <w:noProof/>
                <w:webHidden/>
              </w:rPr>
              <w:instrText xml:space="preserve"> PAGEREF _Toc110330297 \h </w:instrText>
            </w:r>
            <w:r w:rsidR="00127CF4">
              <w:rPr>
                <w:noProof/>
                <w:webHidden/>
              </w:rPr>
            </w:r>
            <w:r w:rsidR="00127CF4">
              <w:rPr>
                <w:noProof/>
                <w:webHidden/>
              </w:rPr>
              <w:fldChar w:fldCharType="separate"/>
            </w:r>
            <w:r w:rsidR="00127CF4">
              <w:rPr>
                <w:noProof/>
                <w:webHidden/>
              </w:rPr>
              <w:t>75</w:t>
            </w:r>
            <w:r w:rsidR="00127CF4">
              <w:rPr>
                <w:noProof/>
                <w:webHidden/>
              </w:rPr>
              <w:fldChar w:fldCharType="end"/>
            </w:r>
          </w:hyperlink>
        </w:p>
        <w:p w14:paraId="0C6A1CE3" w14:textId="545BEDDA"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98" w:history="1">
            <w:r w:rsidR="00127CF4" w:rsidRPr="00C91641">
              <w:rPr>
                <w:rStyle w:val="Hyperlink"/>
                <w:rFonts w:cs="Microsoft YaHei" w:hint="eastAsia"/>
                <w:noProof/>
                <w:lang w:val="fr-CH"/>
              </w:rPr>
              <w:t>附件</w:t>
            </w:r>
            <w:r w:rsidR="00127CF4" w:rsidRPr="00C91641">
              <w:rPr>
                <w:rStyle w:val="Hyperlink"/>
                <w:noProof/>
                <w:lang w:val="fr-CH"/>
              </w:rPr>
              <w:t>B2</w:t>
            </w:r>
            <w:r w:rsidR="00127CF4">
              <w:rPr>
                <w:noProof/>
                <w:webHidden/>
              </w:rPr>
              <w:tab/>
            </w:r>
            <w:r w:rsidR="00127CF4">
              <w:rPr>
                <w:noProof/>
                <w:webHidden/>
              </w:rPr>
              <w:fldChar w:fldCharType="begin"/>
            </w:r>
            <w:r w:rsidR="00127CF4">
              <w:rPr>
                <w:noProof/>
                <w:webHidden/>
              </w:rPr>
              <w:instrText xml:space="preserve"> PAGEREF _Toc110330298 \h </w:instrText>
            </w:r>
            <w:r w:rsidR="00127CF4">
              <w:rPr>
                <w:noProof/>
                <w:webHidden/>
              </w:rPr>
            </w:r>
            <w:r w:rsidR="00127CF4">
              <w:rPr>
                <w:noProof/>
                <w:webHidden/>
              </w:rPr>
              <w:fldChar w:fldCharType="separate"/>
            </w:r>
            <w:r w:rsidR="00127CF4">
              <w:rPr>
                <w:noProof/>
                <w:webHidden/>
              </w:rPr>
              <w:t>76</w:t>
            </w:r>
            <w:r w:rsidR="00127CF4">
              <w:rPr>
                <w:noProof/>
                <w:webHidden/>
              </w:rPr>
              <w:fldChar w:fldCharType="end"/>
            </w:r>
          </w:hyperlink>
        </w:p>
        <w:p w14:paraId="5DE2E4D7" w14:textId="2A252950"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299" w:history="1">
            <w:r w:rsidR="00127CF4" w:rsidRPr="00C91641">
              <w:rPr>
                <w:rStyle w:val="Hyperlink"/>
                <w:rFonts w:cs="Calibri" w:hint="eastAsia"/>
                <w:noProof/>
                <w:w w:val="105"/>
                <w:lang w:val="en-US" w:eastAsia="zh-CN"/>
              </w:rPr>
              <w:t>附件</w:t>
            </w:r>
            <w:r w:rsidR="00127CF4" w:rsidRPr="00C91641">
              <w:rPr>
                <w:rStyle w:val="Hyperlink"/>
                <w:rFonts w:cs="Calibri"/>
                <w:noProof/>
                <w:w w:val="105"/>
                <w:lang w:val="en-US" w:eastAsia="zh-CN"/>
              </w:rPr>
              <w:t>B3</w:t>
            </w:r>
            <w:r w:rsidR="00127CF4">
              <w:rPr>
                <w:noProof/>
                <w:webHidden/>
              </w:rPr>
              <w:tab/>
            </w:r>
            <w:r w:rsidR="00127CF4">
              <w:rPr>
                <w:noProof/>
                <w:webHidden/>
              </w:rPr>
              <w:fldChar w:fldCharType="begin"/>
            </w:r>
            <w:r w:rsidR="00127CF4">
              <w:rPr>
                <w:noProof/>
                <w:webHidden/>
              </w:rPr>
              <w:instrText xml:space="preserve"> PAGEREF _Toc110330299 \h </w:instrText>
            </w:r>
            <w:r w:rsidR="00127CF4">
              <w:rPr>
                <w:noProof/>
                <w:webHidden/>
              </w:rPr>
            </w:r>
            <w:r w:rsidR="00127CF4">
              <w:rPr>
                <w:noProof/>
                <w:webHidden/>
              </w:rPr>
              <w:fldChar w:fldCharType="separate"/>
            </w:r>
            <w:r w:rsidR="00127CF4">
              <w:rPr>
                <w:noProof/>
                <w:webHidden/>
              </w:rPr>
              <w:t>78</w:t>
            </w:r>
            <w:r w:rsidR="00127CF4">
              <w:rPr>
                <w:noProof/>
                <w:webHidden/>
              </w:rPr>
              <w:fldChar w:fldCharType="end"/>
            </w:r>
          </w:hyperlink>
        </w:p>
        <w:p w14:paraId="6471E4AB" w14:textId="3E68D5BD"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300" w:history="1">
            <w:r w:rsidR="00127CF4" w:rsidRPr="00C91641">
              <w:rPr>
                <w:rStyle w:val="Hyperlink"/>
                <w:rFonts w:hint="eastAsia"/>
                <w:noProof/>
                <w:w w:val="105"/>
                <w:lang w:val="en-US" w:eastAsia="zh-CN"/>
              </w:rPr>
              <w:t>附件</w:t>
            </w:r>
            <w:r w:rsidR="00127CF4" w:rsidRPr="00C91641">
              <w:rPr>
                <w:rStyle w:val="Hyperlink"/>
                <w:noProof/>
                <w:w w:val="105"/>
                <w:lang w:val="en-US" w:eastAsia="zh-CN"/>
              </w:rPr>
              <w:t>B4</w:t>
            </w:r>
            <w:r w:rsidR="00127CF4">
              <w:rPr>
                <w:noProof/>
                <w:webHidden/>
              </w:rPr>
              <w:tab/>
            </w:r>
            <w:r w:rsidR="00127CF4">
              <w:rPr>
                <w:noProof/>
                <w:webHidden/>
              </w:rPr>
              <w:fldChar w:fldCharType="begin"/>
            </w:r>
            <w:r w:rsidR="00127CF4">
              <w:rPr>
                <w:noProof/>
                <w:webHidden/>
              </w:rPr>
              <w:instrText xml:space="preserve"> PAGEREF _Toc110330300 \h </w:instrText>
            </w:r>
            <w:r w:rsidR="00127CF4">
              <w:rPr>
                <w:noProof/>
                <w:webHidden/>
              </w:rPr>
            </w:r>
            <w:r w:rsidR="00127CF4">
              <w:rPr>
                <w:noProof/>
                <w:webHidden/>
              </w:rPr>
              <w:fldChar w:fldCharType="separate"/>
            </w:r>
            <w:r w:rsidR="00127CF4">
              <w:rPr>
                <w:noProof/>
                <w:webHidden/>
              </w:rPr>
              <w:t>79</w:t>
            </w:r>
            <w:r w:rsidR="00127CF4">
              <w:rPr>
                <w:noProof/>
                <w:webHidden/>
              </w:rPr>
              <w:fldChar w:fldCharType="end"/>
            </w:r>
          </w:hyperlink>
        </w:p>
        <w:p w14:paraId="005E68CA" w14:textId="676F2AAF"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301" w:history="1">
            <w:r w:rsidR="00127CF4" w:rsidRPr="00C91641">
              <w:rPr>
                <w:rStyle w:val="Hyperlink"/>
                <w:rFonts w:hint="eastAsia"/>
                <w:noProof/>
                <w:lang w:eastAsia="zh-CN"/>
              </w:rPr>
              <w:t>附件</w:t>
            </w:r>
            <w:r w:rsidR="00127CF4" w:rsidRPr="00C91641">
              <w:rPr>
                <w:rStyle w:val="Hyperlink"/>
                <w:noProof/>
                <w:lang w:eastAsia="zh-CN"/>
              </w:rPr>
              <w:t>B5</w:t>
            </w:r>
            <w:r w:rsidR="00127CF4">
              <w:rPr>
                <w:noProof/>
                <w:webHidden/>
              </w:rPr>
              <w:tab/>
            </w:r>
            <w:r w:rsidR="00127CF4">
              <w:rPr>
                <w:noProof/>
                <w:webHidden/>
              </w:rPr>
              <w:fldChar w:fldCharType="begin"/>
            </w:r>
            <w:r w:rsidR="00127CF4">
              <w:rPr>
                <w:noProof/>
                <w:webHidden/>
              </w:rPr>
              <w:instrText xml:space="preserve"> PAGEREF _Toc110330301 \h </w:instrText>
            </w:r>
            <w:r w:rsidR="00127CF4">
              <w:rPr>
                <w:noProof/>
                <w:webHidden/>
              </w:rPr>
            </w:r>
            <w:r w:rsidR="00127CF4">
              <w:rPr>
                <w:noProof/>
                <w:webHidden/>
              </w:rPr>
              <w:fldChar w:fldCharType="separate"/>
            </w:r>
            <w:r w:rsidR="00127CF4">
              <w:rPr>
                <w:noProof/>
                <w:webHidden/>
              </w:rPr>
              <w:t>91</w:t>
            </w:r>
            <w:r w:rsidR="00127CF4">
              <w:rPr>
                <w:noProof/>
                <w:webHidden/>
              </w:rPr>
              <w:fldChar w:fldCharType="end"/>
            </w:r>
          </w:hyperlink>
        </w:p>
        <w:p w14:paraId="40E6B9BE" w14:textId="68EB15CF"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302" w:history="1">
            <w:r w:rsidR="00127CF4" w:rsidRPr="00C91641">
              <w:rPr>
                <w:rStyle w:val="Hyperlink"/>
                <w:rFonts w:hint="eastAsia"/>
                <w:noProof/>
                <w:lang w:eastAsia="zh-CN"/>
              </w:rPr>
              <w:t>附件</w:t>
            </w:r>
            <w:r w:rsidR="00127CF4" w:rsidRPr="00C91641">
              <w:rPr>
                <w:rStyle w:val="Hyperlink"/>
                <w:noProof/>
                <w:lang w:eastAsia="zh-CN"/>
              </w:rPr>
              <w:t>B7</w:t>
            </w:r>
            <w:r w:rsidR="00127CF4">
              <w:rPr>
                <w:noProof/>
                <w:webHidden/>
              </w:rPr>
              <w:tab/>
            </w:r>
            <w:r w:rsidR="00127CF4">
              <w:rPr>
                <w:noProof/>
                <w:webHidden/>
              </w:rPr>
              <w:fldChar w:fldCharType="begin"/>
            </w:r>
            <w:r w:rsidR="00127CF4">
              <w:rPr>
                <w:noProof/>
                <w:webHidden/>
              </w:rPr>
              <w:instrText xml:space="preserve"> PAGEREF _Toc110330302 \h </w:instrText>
            </w:r>
            <w:r w:rsidR="00127CF4">
              <w:rPr>
                <w:noProof/>
                <w:webHidden/>
              </w:rPr>
            </w:r>
            <w:r w:rsidR="00127CF4">
              <w:rPr>
                <w:noProof/>
                <w:webHidden/>
              </w:rPr>
              <w:fldChar w:fldCharType="separate"/>
            </w:r>
            <w:r w:rsidR="00127CF4">
              <w:rPr>
                <w:noProof/>
                <w:webHidden/>
              </w:rPr>
              <w:t>95</w:t>
            </w:r>
            <w:r w:rsidR="00127CF4">
              <w:rPr>
                <w:noProof/>
                <w:webHidden/>
              </w:rPr>
              <w:fldChar w:fldCharType="end"/>
            </w:r>
          </w:hyperlink>
        </w:p>
        <w:p w14:paraId="6E7075E1" w14:textId="19323A07"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303" w:history="1">
            <w:r w:rsidR="00127CF4" w:rsidRPr="00C91641">
              <w:rPr>
                <w:rStyle w:val="Hyperlink"/>
                <w:rFonts w:hint="eastAsia"/>
                <w:noProof/>
                <w:lang w:eastAsia="zh-CN"/>
              </w:rPr>
              <w:t>附件</w:t>
            </w:r>
            <w:r w:rsidR="00127CF4" w:rsidRPr="00C91641">
              <w:rPr>
                <w:rStyle w:val="Hyperlink"/>
                <w:noProof/>
                <w:lang w:eastAsia="zh-CN"/>
              </w:rPr>
              <w:t>C</w:t>
            </w:r>
            <w:r w:rsidR="00127CF4">
              <w:rPr>
                <w:noProof/>
                <w:webHidden/>
              </w:rPr>
              <w:tab/>
            </w:r>
            <w:r w:rsidR="00127CF4">
              <w:rPr>
                <w:noProof/>
                <w:webHidden/>
              </w:rPr>
              <w:fldChar w:fldCharType="begin"/>
            </w:r>
            <w:r w:rsidR="00127CF4">
              <w:rPr>
                <w:noProof/>
                <w:webHidden/>
              </w:rPr>
              <w:instrText xml:space="preserve"> PAGEREF _Toc110330303 \h </w:instrText>
            </w:r>
            <w:r w:rsidR="00127CF4">
              <w:rPr>
                <w:noProof/>
                <w:webHidden/>
              </w:rPr>
            </w:r>
            <w:r w:rsidR="00127CF4">
              <w:rPr>
                <w:noProof/>
                <w:webHidden/>
              </w:rPr>
              <w:fldChar w:fldCharType="separate"/>
            </w:r>
            <w:r w:rsidR="00127CF4">
              <w:rPr>
                <w:noProof/>
                <w:webHidden/>
              </w:rPr>
              <w:t>96</w:t>
            </w:r>
            <w:r w:rsidR="00127CF4">
              <w:rPr>
                <w:noProof/>
                <w:webHidden/>
              </w:rPr>
              <w:fldChar w:fldCharType="end"/>
            </w:r>
          </w:hyperlink>
        </w:p>
        <w:p w14:paraId="6B672861" w14:textId="208DF04C" w:rsidR="00127CF4" w:rsidRDefault="00A97A32" w:rsidP="00D34F4D">
          <w:pPr>
            <w:pStyle w:val="TOC1"/>
            <w:tabs>
              <w:tab w:val="clear" w:pos="7938"/>
              <w:tab w:val="clear" w:pos="8789"/>
              <w:tab w:val="left" w:leader="dot" w:pos="9072"/>
              <w:tab w:val="center" w:pos="9639"/>
            </w:tabs>
            <w:spacing w:before="200"/>
            <w:rPr>
              <w:rFonts w:asciiTheme="minorHAnsi" w:eastAsiaTheme="minorEastAsia" w:hAnsiTheme="minorHAnsi" w:cstheme="minorBidi"/>
              <w:noProof/>
              <w:sz w:val="22"/>
              <w:szCs w:val="22"/>
              <w:lang w:eastAsia="zh-CN"/>
            </w:rPr>
          </w:pPr>
          <w:hyperlink w:anchor="_Toc110330304" w:history="1">
            <w:r w:rsidR="00127CF4" w:rsidRPr="00C91641">
              <w:rPr>
                <w:rStyle w:val="Hyperlink"/>
                <w:rFonts w:hint="eastAsia"/>
                <w:noProof/>
                <w:lang w:eastAsia="zh-CN"/>
              </w:rPr>
              <w:t>附件</w:t>
            </w:r>
            <w:r w:rsidR="00127CF4" w:rsidRPr="00C91641">
              <w:rPr>
                <w:rStyle w:val="Hyperlink"/>
                <w:noProof/>
                <w:lang w:eastAsia="zh-CN"/>
              </w:rPr>
              <w:t>D</w:t>
            </w:r>
            <w:r w:rsidR="00127CF4">
              <w:rPr>
                <w:noProof/>
                <w:webHidden/>
              </w:rPr>
              <w:tab/>
            </w:r>
            <w:r w:rsidR="00127CF4">
              <w:rPr>
                <w:noProof/>
                <w:webHidden/>
              </w:rPr>
              <w:fldChar w:fldCharType="begin"/>
            </w:r>
            <w:r w:rsidR="00127CF4">
              <w:rPr>
                <w:noProof/>
                <w:webHidden/>
              </w:rPr>
              <w:instrText xml:space="preserve"> PAGEREF _Toc110330304 \h </w:instrText>
            </w:r>
            <w:r w:rsidR="00127CF4">
              <w:rPr>
                <w:noProof/>
                <w:webHidden/>
              </w:rPr>
            </w:r>
            <w:r w:rsidR="00127CF4">
              <w:rPr>
                <w:noProof/>
                <w:webHidden/>
              </w:rPr>
              <w:fldChar w:fldCharType="separate"/>
            </w:r>
            <w:r w:rsidR="00127CF4">
              <w:rPr>
                <w:noProof/>
                <w:webHidden/>
              </w:rPr>
              <w:t>114</w:t>
            </w:r>
            <w:r w:rsidR="00127CF4">
              <w:rPr>
                <w:noProof/>
                <w:webHidden/>
              </w:rPr>
              <w:fldChar w:fldCharType="end"/>
            </w:r>
          </w:hyperlink>
        </w:p>
        <w:p w14:paraId="4DB6AF5B" w14:textId="713BDFA2" w:rsidR="0085433F" w:rsidRPr="000C156A" w:rsidRDefault="00A97A32" w:rsidP="00D34F4D">
          <w:pPr>
            <w:pStyle w:val="TOC1"/>
            <w:tabs>
              <w:tab w:val="clear" w:pos="7938"/>
              <w:tab w:val="clear" w:pos="8789"/>
              <w:tab w:val="left" w:leader="dot" w:pos="9072"/>
              <w:tab w:val="center" w:pos="9639"/>
            </w:tabs>
            <w:spacing w:before="200"/>
          </w:pPr>
          <w:hyperlink w:anchor="_Toc110330305" w:history="1">
            <w:r w:rsidR="00127CF4" w:rsidRPr="00C91641">
              <w:rPr>
                <w:rStyle w:val="Hyperlink"/>
                <w:rFonts w:hint="eastAsia"/>
                <w:noProof/>
                <w:lang w:eastAsia="zh-CN"/>
              </w:rPr>
              <w:t>附件</w:t>
            </w:r>
            <w:r w:rsidR="00127CF4" w:rsidRPr="00C91641">
              <w:rPr>
                <w:rStyle w:val="Hyperlink"/>
                <w:noProof/>
                <w:lang w:eastAsia="zh-CN"/>
              </w:rPr>
              <w:t>E</w:t>
            </w:r>
            <w:r w:rsidR="00127CF4">
              <w:rPr>
                <w:noProof/>
                <w:webHidden/>
              </w:rPr>
              <w:tab/>
            </w:r>
            <w:r w:rsidR="00127CF4">
              <w:rPr>
                <w:noProof/>
                <w:webHidden/>
              </w:rPr>
              <w:fldChar w:fldCharType="begin"/>
            </w:r>
            <w:r w:rsidR="00127CF4">
              <w:rPr>
                <w:noProof/>
                <w:webHidden/>
              </w:rPr>
              <w:instrText xml:space="preserve"> PAGEREF _Toc110330305 \h </w:instrText>
            </w:r>
            <w:r w:rsidR="00127CF4">
              <w:rPr>
                <w:noProof/>
                <w:webHidden/>
              </w:rPr>
            </w:r>
            <w:r w:rsidR="00127CF4">
              <w:rPr>
                <w:noProof/>
                <w:webHidden/>
              </w:rPr>
              <w:fldChar w:fldCharType="separate"/>
            </w:r>
            <w:r w:rsidR="00127CF4">
              <w:rPr>
                <w:noProof/>
                <w:webHidden/>
              </w:rPr>
              <w:t>119</w:t>
            </w:r>
            <w:r w:rsidR="00127CF4">
              <w:rPr>
                <w:noProof/>
                <w:webHidden/>
              </w:rPr>
              <w:fldChar w:fldCharType="end"/>
            </w:r>
          </w:hyperlink>
          <w:r w:rsidR="009B5555">
            <w:rPr>
              <w:rStyle w:val="Hyperlink"/>
              <w:lang w:eastAsia="zh-CN"/>
            </w:rPr>
            <w:fldChar w:fldCharType="end"/>
          </w:r>
        </w:p>
      </w:sdtContent>
    </w:sdt>
    <w:p w14:paraId="747202B5" w14:textId="77777777" w:rsidR="0085433F" w:rsidRPr="000C156A" w:rsidRDefault="0085433F" w:rsidP="00623C76">
      <w:pPr>
        <w:pStyle w:val="Heading1"/>
        <w:pageBreakBefore/>
        <w:rPr>
          <w:lang w:eastAsia="zh-CN"/>
        </w:rPr>
      </w:pPr>
      <w:bookmarkStart w:id="27" w:name="_Toc41907961"/>
      <w:bookmarkStart w:id="28" w:name="_Toc72744913"/>
      <w:bookmarkStart w:id="29" w:name="_Toc72747197"/>
      <w:bookmarkStart w:id="30" w:name="_Toc73460994"/>
      <w:bookmarkStart w:id="31" w:name="_Toc73636070"/>
      <w:bookmarkStart w:id="32" w:name="_Toc73636212"/>
      <w:bookmarkStart w:id="33" w:name="_Toc110264990"/>
      <w:bookmarkStart w:id="34" w:name="_Toc110265209"/>
      <w:bookmarkStart w:id="35" w:name="_Toc110265675"/>
      <w:bookmarkStart w:id="36" w:name="_Toc110330229"/>
      <w:r w:rsidRPr="000C156A">
        <w:rPr>
          <w:rFonts w:hint="eastAsia"/>
          <w:lang w:eastAsia="zh-CN"/>
        </w:rPr>
        <w:lastRenderedPageBreak/>
        <w:t>秘书长的前言</w:t>
      </w:r>
      <w:bookmarkEnd w:id="27"/>
      <w:bookmarkEnd w:id="28"/>
      <w:bookmarkEnd w:id="29"/>
      <w:bookmarkEnd w:id="30"/>
      <w:bookmarkEnd w:id="31"/>
      <w:bookmarkEnd w:id="32"/>
      <w:bookmarkEnd w:id="33"/>
      <w:bookmarkEnd w:id="34"/>
      <w:bookmarkEnd w:id="35"/>
      <w:bookmarkEnd w:id="36"/>
    </w:p>
    <w:p w14:paraId="54DED2FD" w14:textId="0079BD08" w:rsidR="0085433F" w:rsidRPr="000C156A" w:rsidRDefault="0085433F" w:rsidP="009F0637">
      <w:pPr>
        <w:rPr>
          <w:lang w:eastAsia="zh-CN"/>
        </w:rPr>
      </w:pPr>
      <w:r w:rsidRPr="000C156A">
        <w:rPr>
          <w:lang w:eastAsia="zh-CN"/>
        </w:rPr>
        <w:t>1</w:t>
      </w:r>
      <w:r w:rsidRPr="000C156A">
        <w:rPr>
          <w:lang w:eastAsia="zh-CN"/>
        </w:rPr>
        <w:tab/>
      </w:r>
      <w:r w:rsidRPr="000C156A">
        <w:rPr>
          <w:rFonts w:hint="eastAsia"/>
          <w:lang w:eastAsia="zh-CN"/>
        </w:rPr>
        <w:t>根据国际电联《财务规则》（</w:t>
      </w:r>
      <w:r w:rsidRPr="000C156A">
        <w:rPr>
          <w:lang w:eastAsia="zh-CN"/>
        </w:rPr>
        <w:t>201</w:t>
      </w:r>
      <w:r w:rsidRPr="000C156A">
        <w:rPr>
          <w:rFonts w:hint="eastAsia"/>
          <w:lang w:eastAsia="zh-CN"/>
        </w:rPr>
        <w:t>8</w:t>
      </w:r>
      <w:r w:rsidRPr="000C156A">
        <w:rPr>
          <w:rFonts w:hint="eastAsia"/>
          <w:lang w:eastAsia="zh-CN"/>
        </w:rPr>
        <w:t>年版）第</w:t>
      </w:r>
      <w:r w:rsidRPr="000C156A">
        <w:rPr>
          <w:lang w:eastAsia="zh-CN"/>
        </w:rPr>
        <w:t>30</w:t>
      </w:r>
      <w:r w:rsidRPr="000C156A">
        <w:rPr>
          <w:rFonts w:hint="eastAsia"/>
          <w:lang w:eastAsia="zh-CN"/>
        </w:rPr>
        <w:t>条的规定，我荣幸地向理事会提交截至</w:t>
      </w:r>
      <w:r w:rsidRPr="000C156A">
        <w:rPr>
          <w:lang w:eastAsia="zh-CN"/>
        </w:rPr>
        <w:t>202</w:t>
      </w:r>
      <w:r w:rsidR="00B6527A">
        <w:rPr>
          <w:lang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日财年的经审计财务报表，供</w:t>
      </w:r>
      <w:r w:rsidRPr="000C156A">
        <w:rPr>
          <w:lang w:eastAsia="zh-CN"/>
        </w:rPr>
        <w:t>审查</w:t>
      </w:r>
      <w:r w:rsidRPr="000C156A">
        <w:rPr>
          <w:rFonts w:hint="eastAsia"/>
          <w:lang w:eastAsia="zh-CN"/>
        </w:rPr>
        <w:t>。</w:t>
      </w:r>
    </w:p>
    <w:p w14:paraId="035109DB" w14:textId="15E12256" w:rsidR="0085433F" w:rsidRPr="000C156A" w:rsidRDefault="0085433F" w:rsidP="009F0637">
      <w:pPr>
        <w:rPr>
          <w:lang w:eastAsia="zh-CN"/>
        </w:rPr>
      </w:pPr>
      <w:r w:rsidRPr="000C156A">
        <w:rPr>
          <w:lang w:eastAsia="zh-CN"/>
        </w:rPr>
        <w:t>2</w:t>
      </w:r>
      <w:r w:rsidRPr="000C156A">
        <w:rPr>
          <w:lang w:eastAsia="zh-CN"/>
        </w:rPr>
        <w:tab/>
      </w:r>
      <w:r w:rsidRPr="000C156A">
        <w:rPr>
          <w:rFonts w:hint="eastAsia"/>
          <w:lang w:eastAsia="zh-CN"/>
        </w:rPr>
        <w:t>国际电联《财务规则》第</w:t>
      </w:r>
      <w:r w:rsidRPr="000C156A">
        <w:rPr>
          <w:lang w:eastAsia="zh-CN"/>
        </w:rPr>
        <w:t>28</w:t>
      </w:r>
      <w:r w:rsidRPr="000C156A">
        <w:rPr>
          <w:rFonts w:hint="eastAsia"/>
          <w:lang w:eastAsia="zh-CN"/>
        </w:rPr>
        <w:t>条和附件</w:t>
      </w:r>
      <w:r w:rsidRPr="000C156A">
        <w:rPr>
          <w:lang w:eastAsia="zh-CN"/>
        </w:rPr>
        <w:t>1</w:t>
      </w:r>
      <w:r w:rsidRPr="000C156A">
        <w:rPr>
          <w:rFonts w:hint="eastAsia"/>
          <w:lang w:eastAsia="zh-CN"/>
        </w:rPr>
        <w:t>所要求的外部审计员有关</w:t>
      </w:r>
      <w:r w:rsidRPr="000C156A">
        <w:rPr>
          <w:lang w:eastAsia="zh-CN"/>
        </w:rPr>
        <w:t>202</w:t>
      </w:r>
      <w:r w:rsidR="00B6527A">
        <w:rPr>
          <w:lang w:eastAsia="zh-CN"/>
        </w:rPr>
        <w:t>1</w:t>
      </w:r>
      <w:r w:rsidRPr="000C156A">
        <w:rPr>
          <w:rFonts w:hint="eastAsia"/>
          <w:lang w:eastAsia="zh-CN"/>
        </w:rPr>
        <w:t>年财务报表的报告及其有关财务报表的意见，将作为单独文件提交</w:t>
      </w:r>
      <w:r w:rsidRPr="000C156A">
        <w:rPr>
          <w:lang w:eastAsia="zh-CN"/>
        </w:rPr>
        <w:t>理事会</w:t>
      </w:r>
      <w:r w:rsidRPr="000C156A">
        <w:rPr>
          <w:rFonts w:hint="eastAsia"/>
          <w:lang w:eastAsia="zh-CN"/>
        </w:rPr>
        <w:t>。</w:t>
      </w:r>
    </w:p>
    <w:p w14:paraId="56F3D725" w14:textId="006AA1F8" w:rsidR="0085433F" w:rsidRPr="000C156A" w:rsidRDefault="0085433F" w:rsidP="009F0637">
      <w:pPr>
        <w:rPr>
          <w:lang w:eastAsia="zh-CN"/>
        </w:rPr>
      </w:pPr>
      <w:r w:rsidRPr="000C156A">
        <w:rPr>
          <w:lang w:eastAsia="zh-CN"/>
        </w:rPr>
        <w:t>3</w:t>
      </w:r>
      <w:r w:rsidRPr="000C156A">
        <w:rPr>
          <w:lang w:eastAsia="zh-CN"/>
        </w:rPr>
        <w:tab/>
        <w:t>202</w:t>
      </w:r>
      <w:r w:rsidR="00B6527A">
        <w:rPr>
          <w:lang w:eastAsia="zh-CN"/>
        </w:rPr>
        <w:t>1</w:t>
      </w:r>
      <w:r w:rsidRPr="000C156A">
        <w:rPr>
          <w:lang w:eastAsia="zh-CN"/>
        </w:rPr>
        <w:t>年财务报表根据国际公共部门会计准则（</w:t>
      </w:r>
      <w:r w:rsidRPr="000C156A">
        <w:rPr>
          <w:lang w:eastAsia="zh-CN"/>
        </w:rPr>
        <w:t>IPSAS</w:t>
      </w:r>
      <w:r w:rsidRPr="000C156A">
        <w:rPr>
          <w:lang w:eastAsia="zh-CN"/>
        </w:rPr>
        <w:t>）制定。《财务规则》规定了双年度预算期；然而，为全面实施</w:t>
      </w:r>
      <w:r w:rsidRPr="000C156A">
        <w:rPr>
          <w:lang w:eastAsia="zh-CN"/>
        </w:rPr>
        <w:t>IPSAS</w:t>
      </w:r>
      <w:r w:rsidRPr="000C156A">
        <w:rPr>
          <w:lang w:eastAsia="zh-CN"/>
        </w:rPr>
        <w:t>，财务报表按年度提交。</w:t>
      </w:r>
    </w:p>
    <w:p w14:paraId="6391964F" w14:textId="0F94D9DA" w:rsidR="0085433F" w:rsidRPr="000C156A" w:rsidRDefault="0085433F" w:rsidP="009F0637">
      <w:pPr>
        <w:rPr>
          <w:lang w:eastAsia="zh-CN"/>
        </w:rPr>
      </w:pPr>
      <w:r w:rsidRPr="000C156A">
        <w:rPr>
          <w:lang w:eastAsia="zh-CN"/>
        </w:rPr>
        <w:t>4</w:t>
      </w:r>
      <w:r w:rsidRPr="000C156A">
        <w:rPr>
          <w:lang w:eastAsia="zh-CN"/>
        </w:rPr>
        <w:tab/>
      </w:r>
      <w:r w:rsidRPr="000C156A">
        <w:rPr>
          <w:lang w:eastAsia="zh-CN"/>
        </w:rPr>
        <w:t>国际电联采用了</w:t>
      </w:r>
      <w:r w:rsidRPr="000C156A">
        <w:rPr>
          <w:lang w:eastAsia="zh-CN"/>
        </w:rPr>
        <w:t>202</w:t>
      </w:r>
      <w:r w:rsidR="00B6527A">
        <w:rPr>
          <w:lang w:eastAsia="zh-CN"/>
        </w:rPr>
        <w:t>1</w:t>
      </w:r>
      <w:r w:rsidRPr="000C156A">
        <w:rPr>
          <w:lang w:eastAsia="zh-CN"/>
        </w:rPr>
        <w:t>年</w:t>
      </w:r>
      <w:r w:rsidRPr="000C156A">
        <w:rPr>
          <w:lang w:eastAsia="zh-CN"/>
        </w:rPr>
        <w:t>1</w:t>
      </w:r>
      <w:r w:rsidRPr="000C156A">
        <w:rPr>
          <w:lang w:eastAsia="zh-CN"/>
        </w:rPr>
        <w:t>月</w:t>
      </w:r>
      <w:r w:rsidRPr="000C156A">
        <w:rPr>
          <w:lang w:eastAsia="zh-CN"/>
        </w:rPr>
        <w:t>1</w:t>
      </w:r>
      <w:r w:rsidRPr="000C156A">
        <w:rPr>
          <w:lang w:eastAsia="zh-CN"/>
        </w:rPr>
        <w:t>日有效的</w:t>
      </w:r>
      <w:r w:rsidRPr="000C156A">
        <w:rPr>
          <w:lang w:eastAsia="zh-CN"/>
        </w:rPr>
        <w:t>IPSAS</w:t>
      </w:r>
      <w:r w:rsidRPr="000C156A">
        <w:rPr>
          <w:lang w:eastAsia="zh-CN"/>
        </w:rPr>
        <w:t>标准。财务报表提及的唯一减损是出版物估值中直接劳动成本未进行资本化，但这违反了</w:t>
      </w:r>
      <w:r w:rsidRPr="000C156A">
        <w:rPr>
          <w:lang w:eastAsia="zh-CN"/>
        </w:rPr>
        <w:t>IPSAS</w:t>
      </w:r>
      <w:r w:rsidRPr="000C156A">
        <w:rPr>
          <w:lang w:eastAsia="zh-CN"/>
        </w:rPr>
        <w:t>第</w:t>
      </w:r>
      <w:r w:rsidRPr="000C156A">
        <w:rPr>
          <w:lang w:eastAsia="zh-CN"/>
        </w:rPr>
        <w:t>12</w:t>
      </w:r>
      <w:r w:rsidRPr="000C156A">
        <w:rPr>
          <w:lang w:eastAsia="zh-CN"/>
        </w:rPr>
        <w:t>号要求。劳动力成本的资本化可能使出版物估值结果大大超出根据目前出版物价格得出的可实现净值，因此，在减值中分别采用更低成本或可实现净值取代现有成本。</w:t>
      </w:r>
    </w:p>
    <w:p w14:paraId="63404CCF" w14:textId="77777777" w:rsidR="0085433F" w:rsidRPr="000C156A" w:rsidRDefault="0085433F" w:rsidP="009F0637">
      <w:pPr>
        <w:rPr>
          <w:rFonts w:asciiTheme="minorHAnsi" w:eastAsia="Times New Roman" w:hAnsiTheme="minorHAnsi"/>
          <w:lang w:eastAsia="zh-CN"/>
        </w:rPr>
      </w:pPr>
      <w:r w:rsidRPr="000C156A">
        <w:rPr>
          <w:rFonts w:asciiTheme="minorHAnsi" w:eastAsia="Times New Roman" w:hAnsiTheme="minorHAnsi" w:cs="Calibri"/>
          <w:szCs w:val="24"/>
          <w:lang w:val="en-US" w:eastAsia="zh-CN"/>
        </w:rPr>
        <w:t>5</w:t>
      </w:r>
      <w:r w:rsidRPr="000C156A">
        <w:rPr>
          <w:rFonts w:asciiTheme="minorHAnsi" w:eastAsia="Times New Roman" w:hAnsiTheme="minorHAnsi" w:cs="Calibri"/>
          <w:szCs w:val="24"/>
          <w:lang w:val="en-US" w:eastAsia="zh-CN"/>
        </w:rPr>
        <w:tab/>
      </w:r>
      <w:r w:rsidRPr="000C156A">
        <w:rPr>
          <w:rFonts w:asciiTheme="minorHAnsi" w:hAnsiTheme="minorHAnsi"/>
          <w:lang w:eastAsia="zh-CN"/>
        </w:rPr>
        <w:t>C11/INF/9</w:t>
      </w:r>
      <w:r w:rsidRPr="000C156A">
        <w:rPr>
          <w:rFonts w:asciiTheme="minorHAnsi" w:hAnsiTheme="minorHAnsi"/>
          <w:lang w:eastAsia="zh-CN"/>
        </w:rPr>
        <w:t>号文件提供了若干关键财务术语的定义，</w:t>
      </w:r>
      <w:r w:rsidRPr="000C156A">
        <w:rPr>
          <w:lang w:eastAsia="zh-CN"/>
        </w:rPr>
        <w:t>以方便读者使用和理解财务报表</w:t>
      </w:r>
      <w:r w:rsidRPr="000C156A">
        <w:rPr>
          <w:rFonts w:asciiTheme="minorHAnsi" w:hAnsiTheme="minorHAnsi"/>
          <w:lang w:eastAsia="zh-CN"/>
        </w:rPr>
        <w:t>。</w:t>
      </w:r>
    </w:p>
    <w:p w14:paraId="34CF818F" w14:textId="3F2E9DA2" w:rsidR="0085433F" w:rsidRPr="000C156A" w:rsidRDefault="0085433F" w:rsidP="0085433F">
      <w:pPr>
        <w:pStyle w:val="Headingb"/>
        <w:rPr>
          <w:lang w:eastAsia="zh-CN"/>
        </w:rPr>
      </w:pPr>
      <w:bookmarkStart w:id="37" w:name="_Toc72744914"/>
      <w:bookmarkStart w:id="38" w:name="_Toc72747198"/>
      <w:bookmarkStart w:id="39" w:name="_Toc73460995"/>
      <w:bookmarkStart w:id="40" w:name="_Toc73519189"/>
      <w:bookmarkStart w:id="41" w:name="_Toc73636071"/>
      <w:bookmarkStart w:id="42" w:name="_Toc73636213"/>
      <w:r w:rsidRPr="000C156A">
        <w:rPr>
          <w:bCs/>
          <w:lang w:val="en-US" w:eastAsia="zh-CN"/>
        </w:rPr>
        <w:t>202</w:t>
      </w:r>
      <w:r w:rsidR="00B6527A">
        <w:rPr>
          <w:bCs/>
          <w:lang w:val="en-US" w:eastAsia="zh-CN"/>
        </w:rPr>
        <w:t>1</w:t>
      </w:r>
      <w:r w:rsidRPr="000C156A">
        <w:rPr>
          <w:rFonts w:hint="eastAsia"/>
          <w:lang w:eastAsia="zh-CN"/>
        </w:rPr>
        <w:t>年财政期的重要活动</w:t>
      </w:r>
      <w:bookmarkEnd w:id="37"/>
      <w:bookmarkEnd w:id="38"/>
      <w:bookmarkEnd w:id="39"/>
      <w:bookmarkEnd w:id="40"/>
      <w:bookmarkEnd w:id="41"/>
      <w:bookmarkEnd w:id="42"/>
    </w:p>
    <w:p w14:paraId="17AA150E" w14:textId="3CB19347" w:rsidR="0085433F" w:rsidRPr="000C156A" w:rsidRDefault="0085433F" w:rsidP="009F0637">
      <w:pPr>
        <w:rPr>
          <w:lang w:eastAsia="zh-CN"/>
        </w:rPr>
      </w:pPr>
      <w:r w:rsidRPr="000C156A">
        <w:rPr>
          <w:lang w:val="en-US" w:eastAsia="zh-CN"/>
        </w:rPr>
        <w:t>6</w:t>
      </w:r>
      <w:r w:rsidRPr="000C156A">
        <w:rPr>
          <w:lang w:val="en-US" w:eastAsia="zh-CN"/>
        </w:rPr>
        <w:tab/>
      </w:r>
      <w:r w:rsidR="002A6F43" w:rsidRPr="002A6F43">
        <w:rPr>
          <w:rFonts w:hint="eastAsia"/>
          <w:lang w:val="en-US" w:eastAsia="zh-CN"/>
        </w:rPr>
        <w:t>流行全球的新冠肺炎疫情（</w:t>
      </w:r>
      <w:r w:rsidR="002A6F43" w:rsidRPr="002A6F43">
        <w:rPr>
          <w:rFonts w:hint="eastAsia"/>
          <w:lang w:val="en-US" w:eastAsia="zh-CN"/>
        </w:rPr>
        <w:t>COVID-19</w:t>
      </w:r>
      <w:r w:rsidR="002A6F43" w:rsidRPr="002A6F43">
        <w:rPr>
          <w:rFonts w:hint="eastAsia"/>
          <w:lang w:val="en-US" w:eastAsia="zh-CN"/>
        </w:rPr>
        <w:t>），迫使国际电联延续</w:t>
      </w:r>
      <w:r w:rsidR="002A6F43" w:rsidRPr="002A6F43">
        <w:rPr>
          <w:rFonts w:hint="eastAsia"/>
          <w:lang w:val="en-US" w:eastAsia="zh-CN"/>
        </w:rPr>
        <w:t>2020</w:t>
      </w:r>
      <w:r w:rsidR="002A6F43" w:rsidRPr="002A6F43">
        <w:rPr>
          <w:rFonts w:hint="eastAsia"/>
          <w:lang w:val="en-US" w:eastAsia="zh-CN"/>
        </w:rPr>
        <w:t>年的做法，以虚拟模式远程</w:t>
      </w:r>
      <w:r w:rsidR="00C618C5">
        <w:rPr>
          <w:rFonts w:hint="eastAsia"/>
          <w:lang w:val="en-US" w:eastAsia="zh-CN"/>
        </w:rPr>
        <w:t>办公</w:t>
      </w:r>
      <w:r w:rsidR="002A6F43" w:rsidRPr="002A6F43">
        <w:rPr>
          <w:rFonts w:hint="eastAsia"/>
          <w:lang w:val="en-US" w:eastAsia="zh-CN"/>
        </w:rPr>
        <w:t>和</w:t>
      </w:r>
      <w:r w:rsidR="00C618C5">
        <w:rPr>
          <w:rFonts w:hint="eastAsia"/>
          <w:lang w:val="en-US" w:eastAsia="zh-CN"/>
        </w:rPr>
        <w:t>举办</w:t>
      </w:r>
      <w:r w:rsidR="002A6F43" w:rsidRPr="002A6F43">
        <w:rPr>
          <w:rFonts w:hint="eastAsia"/>
          <w:lang w:val="en-US" w:eastAsia="zh-CN"/>
        </w:rPr>
        <w:t>会议。</w:t>
      </w:r>
      <w:r w:rsidR="00AA0A51">
        <w:rPr>
          <w:rFonts w:hint="eastAsia"/>
          <w:lang w:val="en-US" w:eastAsia="zh-CN"/>
        </w:rPr>
        <w:t>而</w:t>
      </w:r>
      <w:r w:rsidR="00FE6097">
        <w:rPr>
          <w:rFonts w:hint="eastAsia"/>
          <w:lang w:val="en-US" w:eastAsia="zh-CN"/>
        </w:rPr>
        <w:t>这一模式的采用，要归功于</w:t>
      </w:r>
      <w:r w:rsidR="002A6F43" w:rsidRPr="002A6F43">
        <w:rPr>
          <w:rFonts w:hint="eastAsia"/>
          <w:lang w:val="en-US" w:eastAsia="zh-CN"/>
        </w:rPr>
        <w:t>我们所有合作伙伴（成员国、部门成员、部门准成员和学术成员）</w:t>
      </w:r>
      <w:r w:rsidR="00AA0A51">
        <w:rPr>
          <w:rFonts w:hint="eastAsia"/>
          <w:lang w:val="en-US" w:eastAsia="zh-CN"/>
        </w:rPr>
        <w:t>的齐心</w:t>
      </w:r>
      <w:r w:rsidR="00C618C5">
        <w:rPr>
          <w:rFonts w:hint="eastAsia"/>
          <w:lang w:val="en-US" w:eastAsia="zh-CN"/>
        </w:rPr>
        <w:t>协力</w:t>
      </w:r>
      <w:r w:rsidR="002A6F43" w:rsidRPr="002A6F43">
        <w:rPr>
          <w:rFonts w:hint="eastAsia"/>
          <w:lang w:val="en-US" w:eastAsia="zh-CN"/>
        </w:rPr>
        <w:t>。</w:t>
      </w:r>
    </w:p>
    <w:p w14:paraId="72F68636" w14:textId="54FCE530" w:rsidR="0085433F" w:rsidRPr="000C156A" w:rsidRDefault="0085433F" w:rsidP="009F0637">
      <w:pPr>
        <w:rPr>
          <w:lang w:eastAsia="zh-CN"/>
        </w:rPr>
      </w:pPr>
      <w:r w:rsidRPr="000C156A">
        <w:rPr>
          <w:rFonts w:eastAsia="Times New Roman"/>
          <w:lang w:val="en-US" w:eastAsia="zh-CN"/>
        </w:rPr>
        <w:t>7</w:t>
      </w:r>
      <w:r w:rsidRPr="000C156A">
        <w:rPr>
          <w:rFonts w:eastAsia="Times New Roman"/>
          <w:lang w:val="en-US" w:eastAsia="zh-CN"/>
        </w:rPr>
        <w:tab/>
      </w:r>
      <w:r w:rsidR="00B6527A" w:rsidRPr="000C156A">
        <w:rPr>
          <w:rFonts w:hint="eastAsia"/>
          <w:lang w:eastAsia="zh-CN"/>
        </w:rPr>
        <w:t>国际电联</w:t>
      </w:r>
      <w:r w:rsidR="00B6527A" w:rsidRPr="000C156A">
        <w:rPr>
          <w:lang w:eastAsia="zh-CN"/>
        </w:rPr>
        <w:t>202</w:t>
      </w:r>
      <w:r w:rsidR="00B6527A">
        <w:rPr>
          <w:lang w:eastAsia="zh-CN"/>
        </w:rPr>
        <w:t>1</w:t>
      </w:r>
      <w:r w:rsidR="00B6527A" w:rsidRPr="000C156A">
        <w:rPr>
          <w:rFonts w:hint="eastAsia"/>
          <w:lang w:val="fr-CH" w:eastAsia="zh-CN"/>
        </w:rPr>
        <w:t>年开展的活动项目包括诸多虚拟会议</w:t>
      </w:r>
      <w:r w:rsidR="00B6527A" w:rsidRPr="000C156A">
        <w:rPr>
          <w:rFonts w:hint="eastAsia"/>
          <w:lang w:eastAsia="zh-CN"/>
        </w:rPr>
        <w:t>，</w:t>
      </w:r>
      <w:r w:rsidR="00B6527A" w:rsidRPr="000C156A">
        <w:rPr>
          <w:rFonts w:hint="eastAsia"/>
          <w:lang w:val="fr-CH" w:eastAsia="zh-CN"/>
        </w:rPr>
        <w:t>其中主要活动有</w:t>
      </w:r>
      <w:r w:rsidR="00B6527A" w:rsidRPr="000C156A">
        <w:rPr>
          <w:rFonts w:hint="eastAsia"/>
          <w:lang w:eastAsia="zh-CN"/>
        </w:rPr>
        <w:t>：</w:t>
      </w:r>
    </w:p>
    <w:p w14:paraId="7687B46F" w14:textId="2A4F79D8" w:rsidR="0085433F" w:rsidRPr="000C156A" w:rsidRDefault="0085433F" w:rsidP="009F0637">
      <w:pPr>
        <w:rPr>
          <w:lang w:eastAsia="zh-CN"/>
        </w:rPr>
      </w:pPr>
      <w:r w:rsidRPr="000C156A">
        <w:rPr>
          <w:rFonts w:eastAsia="Times New Roman"/>
          <w:lang w:val="en-US" w:eastAsia="zh-CN"/>
        </w:rPr>
        <w:t>8</w:t>
      </w:r>
      <w:r w:rsidRPr="000C156A">
        <w:rPr>
          <w:rFonts w:eastAsia="Times New Roman"/>
          <w:lang w:val="en-US" w:eastAsia="zh-CN"/>
        </w:rPr>
        <w:tab/>
      </w:r>
      <w:r w:rsidR="00AA0A51" w:rsidRPr="00AA0A51">
        <w:rPr>
          <w:rFonts w:eastAsia="Times New Roman" w:hint="eastAsia"/>
          <w:lang w:val="en-US" w:eastAsia="zh-CN"/>
        </w:rPr>
        <w:t>2021</w:t>
      </w:r>
      <w:r w:rsidR="00AA0A51" w:rsidRPr="00AA0A51">
        <w:rPr>
          <w:rFonts w:ascii="SimSun" w:hAnsi="SimSun" w:cs="SimSun" w:hint="eastAsia"/>
          <w:lang w:val="en-US" w:eastAsia="zh-CN"/>
        </w:rPr>
        <w:t>年</w:t>
      </w:r>
      <w:r w:rsidR="00AA0A51" w:rsidRPr="00AA0A51">
        <w:rPr>
          <w:rFonts w:eastAsia="Times New Roman" w:hint="eastAsia"/>
          <w:lang w:val="en-US" w:eastAsia="zh-CN"/>
        </w:rPr>
        <w:t>4</w:t>
      </w:r>
      <w:r w:rsidR="00AA0A51" w:rsidRPr="00AA0A51">
        <w:rPr>
          <w:rFonts w:ascii="SimSun" w:hAnsi="SimSun" w:cs="SimSun" w:hint="eastAsia"/>
          <w:lang w:val="en-US" w:eastAsia="zh-CN"/>
        </w:rPr>
        <w:t>月</w:t>
      </w:r>
      <w:r w:rsidR="00AA0A51" w:rsidRPr="00AA0A51">
        <w:rPr>
          <w:rFonts w:eastAsia="Times New Roman" w:hint="eastAsia"/>
          <w:lang w:val="en-US" w:eastAsia="zh-CN"/>
        </w:rPr>
        <w:t>22</w:t>
      </w:r>
      <w:r w:rsidR="00AA0A51" w:rsidRPr="00AA0A51">
        <w:rPr>
          <w:rFonts w:ascii="SimSun" w:hAnsi="SimSun" w:cs="SimSun" w:hint="eastAsia"/>
          <w:lang w:val="en-US" w:eastAsia="zh-CN"/>
        </w:rPr>
        <w:t>日，国际电联举办了以</w:t>
      </w:r>
      <w:r w:rsidR="002E009D" w:rsidRPr="002E009D">
        <w:rPr>
          <w:rFonts w:ascii="SimSun" w:hAnsi="SimSun"/>
          <w:lang w:val="en-US" w:eastAsia="zh-CN"/>
        </w:rPr>
        <w:t>“</w:t>
      </w:r>
      <w:r w:rsidR="00AA0A51" w:rsidRPr="00AA0A51">
        <w:rPr>
          <w:rFonts w:ascii="SimSun" w:hAnsi="SimSun" w:cs="SimSun" w:hint="eastAsia"/>
          <w:lang w:val="en-US" w:eastAsia="zh-CN"/>
        </w:rPr>
        <w:t>促进与女童的交流，创建更美好的未来</w:t>
      </w:r>
      <w:r w:rsidR="002E009D" w:rsidRPr="002E009D">
        <w:rPr>
          <w:rFonts w:ascii="SimSun" w:hAnsi="SimSun"/>
          <w:lang w:val="en-US" w:eastAsia="zh-CN"/>
        </w:rPr>
        <w:t>”</w:t>
      </w:r>
      <w:r w:rsidR="00AA0A51" w:rsidRPr="00AA0A51">
        <w:rPr>
          <w:rFonts w:ascii="SimSun" w:hAnsi="SimSun" w:cs="SimSun" w:hint="eastAsia"/>
          <w:lang w:val="en-US" w:eastAsia="zh-CN"/>
        </w:rPr>
        <w:t>为主题的信息通信年轻女性日</w:t>
      </w:r>
      <w:r w:rsidR="00AA0A51" w:rsidRPr="00AA0A51">
        <w:rPr>
          <w:rFonts w:eastAsia="Times New Roman" w:hint="eastAsia"/>
          <w:lang w:val="en-US" w:eastAsia="zh-CN"/>
        </w:rPr>
        <w:t>10</w:t>
      </w:r>
      <w:r w:rsidR="00AA0A51" w:rsidRPr="00AA0A51">
        <w:rPr>
          <w:rFonts w:ascii="SimSun" w:hAnsi="SimSun" w:cs="SimSun" w:hint="eastAsia"/>
          <w:lang w:val="en-US" w:eastAsia="zh-CN"/>
        </w:rPr>
        <w:t>周年庆祝活动。这项活动按惯例于每年</w:t>
      </w:r>
      <w:r w:rsidR="00AA0A51" w:rsidRPr="00AA0A51">
        <w:rPr>
          <w:rFonts w:eastAsia="Times New Roman" w:hint="eastAsia"/>
          <w:lang w:val="en-US" w:eastAsia="zh-CN"/>
        </w:rPr>
        <w:t>4</w:t>
      </w:r>
      <w:r w:rsidR="00AA0A51" w:rsidRPr="00AA0A51">
        <w:rPr>
          <w:rFonts w:ascii="SimSun" w:hAnsi="SimSun" w:cs="SimSun" w:hint="eastAsia"/>
          <w:lang w:val="en-US" w:eastAsia="zh-CN"/>
        </w:rPr>
        <w:t>月的第四个星期四举行，在信息通信年轻女性日庆祝活动的这一特殊年份，重点关注年轻女性生活中的</w:t>
      </w:r>
      <w:r w:rsidR="00AA0A51" w:rsidRPr="00AA0A51">
        <w:rPr>
          <w:rFonts w:eastAsia="Times New Roman" w:hint="eastAsia"/>
          <w:lang w:val="en-US" w:eastAsia="zh-CN"/>
        </w:rPr>
        <w:t>10</w:t>
      </w:r>
      <w:r w:rsidR="00AA0A51" w:rsidRPr="00AA0A51">
        <w:rPr>
          <w:rFonts w:ascii="SimSun" w:hAnsi="SimSun" w:cs="SimSun" w:hint="eastAsia"/>
          <w:lang w:val="en-US" w:eastAsia="zh-CN"/>
        </w:rPr>
        <w:t>个瞬间，聚焦那些负责在技术领域培养年轻女性的关键利益攸关方和行业。</w:t>
      </w:r>
    </w:p>
    <w:p w14:paraId="4F21F90A" w14:textId="1547A316" w:rsidR="0085433F" w:rsidRPr="000C156A" w:rsidRDefault="0085433F" w:rsidP="009F0637">
      <w:pPr>
        <w:rPr>
          <w:lang w:eastAsia="zh-CN"/>
        </w:rPr>
      </w:pPr>
      <w:r w:rsidRPr="000C156A">
        <w:rPr>
          <w:rFonts w:asciiTheme="minorHAnsi" w:eastAsia="Times New Roman" w:hAnsiTheme="minorHAnsi"/>
          <w:lang w:val="en-US" w:eastAsia="zh-CN"/>
        </w:rPr>
        <w:t>9</w:t>
      </w:r>
      <w:r w:rsidRPr="000C156A">
        <w:rPr>
          <w:rFonts w:asciiTheme="minorHAnsi" w:eastAsia="Times New Roman" w:hAnsiTheme="minorHAnsi"/>
          <w:lang w:val="en-US" w:eastAsia="zh-CN"/>
        </w:rPr>
        <w:tab/>
      </w:r>
      <w:r w:rsidR="005E1583" w:rsidRPr="005E1583">
        <w:rPr>
          <w:rFonts w:ascii="SimSun" w:hAnsi="SimSun" w:cs="SimSun" w:hint="eastAsia"/>
          <w:lang w:val="en-US" w:eastAsia="zh-CN"/>
        </w:rPr>
        <w:t>作为主要协调方的国际电联与联合国教科文组织、贸发会议和开发署以及</w:t>
      </w:r>
      <w:r w:rsidR="005E1583" w:rsidRPr="005E1583">
        <w:rPr>
          <w:rFonts w:asciiTheme="minorHAnsi" w:eastAsia="Times New Roman" w:hAnsiTheme="minorHAnsi" w:hint="eastAsia"/>
          <w:lang w:val="en-US" w:eastAsia="zh-CN"/>
        </w:rPr>
        <w:t>30</w:t>
      </w:r>
      <w:r w:rsidR="005E1583" w:rsidRPr="005E1583">
        <w:rPr>
          <w:rFonts w:ascii="SimSun" w:hAnsi="SimSun" w:cs="SimSun" w:hint="eastAsia"/>
          <w:lang w:val="en-US" w:eastAsia="zh-CN"/>
        </w:rPr>
        <w:t>多个联合国机构密切合作，以虚拟方式举办了</w:t>
      </w:r>
      <w:r w:rsidR="005E1583" w:rsidRPr="005E1583">
        <w:rPr>
          <w:rFonts w:asciiTheme="minorHAnsi" w:eastAsia="Times New Roman" w:hAnsiTheme="minorHAnsi" w:hint="eastAsia"/>
          <w:lang w:val="en-US" w:eastAsia="zh-CN"/>
        </w:rPr>
        <w:t>2021</w:t>
      </w:r>
      <w:r w:rsidR="005E1583" w:rsidRPr="005E1583">
        <w:rPr>
          <w:rFonts w:ascii="SimSun" w:hAnsi="SimSun" w:cs="SimSun" w:hint="eastAsia"/>
          <w:lang w:val="en-US" w:eastAsia="zh-CN"/>
        </w:rPr>
        <w:t>年信息社会世界峰会（</w:t>
      </w:r>
      <w:r w:rsidR="005E1583" w:rsidRPr="005E1583">
        <w:rPr>
          <w:rFonts w:asciiTheme="minorHAnsi" w:eastAsia="Times New Roman" w:hAnsiTheme="minorHAnsi" w:hint="eastAsia"/>
          <w:lang w:val="en-US" w:eastAsia="zh-CN"/>
        </w:rPr>
        <w:t>WSIS</w:t>
      </w:r>
      <w:r w:rsidR="005E1583" w:rsidRPr="005E1583">
        <w:rPr>
          <w:rFonts w:ascii="SimSun" w:hAnsi="SimSun" w:cs="SimSun" w:hint="eastAsia"/>
          <w:lang w:val="en-US" w:eastAsia="zh-CN"/>
        </w:rPr>
        <w:t>）论坛。以</w:t>
      </w:r>
      <w:r w:rsidR="005E1583">
        <w:rPr>
          <w:rFonts w:asciiTheme="minorEastAsia" w:eastAsiaTheme="minorEastAsia" w:hAnsiTheme="minorEastAsia" w:hint="eastAsia"/>
          <w:lang w:val="en-US" w:eastAsia="zh-CN"/>
        </w:rPr>
        <w:t>“</w:t>
      </w:r>
      <w:r w:rsidR="005E1583" w:rsidRPr="005E1583">
        <w:rPr>
          <w:rFonts w:ascii="SimSun" w:hAnsi="SimSun" w:cs="SimSun" w:hint="eastAsia"/>
          <w:lang w:val="en-US" w:eastAsia="zh-CN"/>
        </w:rPr>
        <w:t>信息通信技术推进包容性、复原力和可持续社会与经济体（用于实现可持续发展目标的</w:t>
      </w:r>
      <w:r w:rsidR="005E1583" w:rsidRPr="005E1583">
        <w:rPr>
          <w:rFonts w:asciiTheme="minorHAnsi" w:eastAsia="Times New Roman" w:hAnsiTheme="minorHAnsi" w:hint="eastAsia"/>
          <w:lang w:val="en-US" w:eastAsia="zh-CN"/>
        </w:rPr>
        <w:t>WSIS</w:t>
      </w:r>
      <w:r w:rsidR="005E1583" w:rsidRPr="005E1583">
        <w:rPr>
          <w:rFonts w:ascii="SimSun" w:hAnsi="SimSun" w:cs="SimSun" w:hint="eastAsia"/>
          <w:lang w:val="en-US" w:eastAsia="zh-CN"/>
        </w:rPr>
        <w:t>行动方面）</w:t>
      </w:r>
      <w:r w:rsidR="005E1583">
        <w:rPr>
          <w:rFonts w:asciiTheme="minorEastAsia" w:eastAsiaTheme="minorEastAsia" w:hAnsiTheme="minorEastAsia" w:hint="eastAsia"/>
          <w:lang w:val="en-US" w:eastAsia="zh-CN"/>
        </w:rPr>
        <w:t>”</w:t>
      </w:r>
      <w:r w:rsidR="005E1583" w:rsidRPr="005E1583">
        <w:rPr>
          <w:rFonts w:ascii="SimSun" w:hAnsi="SimSun" w:cs="SimSun" w:hint="eastAsia"/>
          <w:lang w:val="en-US" w:eastAsia="zh-CN"/>
        </w:rPr>
        <w:t>为主题的论坛，为</w:t>
      </w:r>
      <w:r w:rsidR="005E1583" w:rsidRPr="005E1583">
        <w:rPr>
          <w:rFonts w:asciiTheme="minorHAnsi" w:eastAsia="Times New Roman" w:hAnsiTheme="minorHAnsi" w:hint="eastAsia"/>
          <w:lang w:val="en-US" w:eastAsia="zh-CN"/>
        </w:rPr>
        <w:t>WSIS</w:t>
      </w:r>
      <w:r w:rsidR="005E1583" w:rsidRPr="005E1583">
        <w:rPr>
          <w:rFonts w:ascii="SimSun" w:hAnsi="SimSun" w:cs="SimSun" w:hint="eastAsia"/>
          <w:lang w:val="en-US" w:eastAsia="zh-CN"/>
        </w:rPr>
        <w:t>利益攸关方分享其利用（信通技术）的努力和创新</w:t>
      </w:r>
      <w:r w:rsidR="005E1583">
        <w:rPr>
          <w:rFonts w:ascii="SimSun" w:hAnsi="SimSun" w:cs="SimSun" w:hint="eastAsia"/>
          <w:lang w:val="en-US" w:eastAsia="zh-CN"/>
        </w:rPr>
        <w:t>思路</w:t>
      </w:r>
      <w:r w:rsidR="005E1583" w:rsidRPr="005E1583">
        <w:rPr>
          <w:rFonts w:ascii="SimSun" w:hAnsi="SimSun" w:cs="SimSun" w:hint="eastAsia"/>
          <w:lang w:val="en-US" w:eastAsia="zh-CN"/>
        </w:rPr>
        <w:t>创造了机会，并开展面向行动的对话，为新冠疫情（</w:t>
      </w:r>
      <w:r w:rsidR="005E1583" w:rsidRPr="005E1583">
        <w:rPr>
          <w:rFonts w:asciiTheme="minorHAnsi" w:eastAsia="Times New Roman" w:hAnsiTheme="minorHAnsi" w:hint="eastAsia"/>
          <w:lang w:val="en-US" w:eastAsia="zh-CN"/>
        </w:rPr>
        <w:t>COVID-19</w:t>
      </w:r>
      <w:r w:rsidR="005E1583" w:rsidRPr="005E1583">
        <w:rPr>
          <w:rFonts w:ascii="SimSun" w:hAnsi="SimSun" w:cs="SimSun" w:hint="eastAsia"/>
          <w:lang w:val="en-US" w:eastAsia="zh-CN"/>
        </w:rPr>
        <w:t>）大流行后的恢复工作和以落实</w:t>
      </w:r>
      <w:r w:rsidR="005E1583" w:rsidRPr="005E1583">
        <w:rPr>
          <w:rFonts w:asciiTheme="minorHAnsi" w:eastAsia="Times New Roman" w:hAnsiTheme="minorHAnsi" w:hint="eastAsia"/>
          <w:lang w:val="en-US" w:eastAsia="zh-CN"/>
        </w:rPr>
        <w:t>WSIS</w:t>
      </w:r>
      <w:r w:rsidR="005E1583" w:rsidRPr="005E1583">
        <w:rPr>
          <w:rFonts w:ascii="SimSun" w:hAnsi="SimSun" w:cs="SimSun" w:hint="eastAsia"/>
          <w:lang w:val="en-US" w:eastAsia="zh-CN"/>
        </w:rPr>
        <w:t>行动方面推动实现联合国可持续发展目标（</w:t>
      </w:r>
      <w:r w:rsidR="005E1583" w:rsidRPr="005E1583">
        <w:rPr>
          <w:rFonts w:asciiTheme="minorHAnsi" w:eastAsia="Times New Roman" w:hAnsiTheme="minorHAnsi" w:hint="eastAsia"/>
          <w:lang w:val="en-US" w:eastAsia="zh-CN"/>
        </w:rPr>
        <w:t>SDG</w:t>
      </w:r>
      <w:r w:rsidR="005E1583" w:rsidRPr="005E1583">
        <w:rPr>
          <w:rFonts w:ascii="SimSun" w:hAnsi="SimSun" w:cs="SimSun" w:hint="eastAsia"/>
          <w:lang w:val="en-US" w:eastAsia="zh-CN"/>
        </w:rPr>
        <w:t>）的举措推波助澜。在（自</w:t>
      </w:r>
      <w:r w:rsidR="005E1583" w:rsidRPr="005E1583">
        <w:rPr>
          <w:rFonts w:asciiTheme="minorHAnsi" w:eastAsia="Times New Roman" w:hAnsiTheme="minorHAnsi" w:hint="eastAsia"/>
          <w:lang w:val="en-US" w:eastAsia="zh-CN"/>
        </w:rPr>
        <w:t>2021</w:t>
      </w:r>
      <w:r w:rsidR="005E1583" w:rsidRPr="005E1583">
        <w:rPr>
          <w:rFonts w:ascii="SimSun" w:hAnsi="SimSun" w:cs="SimSun" w:hint="eastAsia"/>
          <w:lang w:val="en-US" w:eastAsia="zh-CN"/>
        </w:rPr>
        <w:t>年</w:t>
      </w:r>
      <w:r w:rsidR="005E1583" w:rsidRPr="005E1583">
        <w:rPr>
          <w:rFonts w:asciiTheme="minorHAnsi" w:eastAsia="Times New Roman" w:hAnsiTheme="minorHAnsi" w:hint="eastAsia"/>
          <w:lang w:val="en-US" w:eastAsia="zh-CN"/>
        </w:rPr>
        <w:t>1</w:t>
      </w:r>
      <w:r w:rsidR="005E1583" w:rsidRPr="005E1583">
        <w:rPr>
          <w:rFonts w:ascii="SimSun" w:hAnsi="SimSun" w:cs="SimSun" w:hint="eastAsia"/>
          <w:lang w:val="en-US" w:eastAsia="zh-CN"/>
        </w:rPr>
        <w:t>月起）</w:t>
      </w:r>
      <w:r w:rsidR="005E1583" w:rsidRPr="005E1583">
        <w:rPr>
          <w:rFonts w:asciiTheme="minorHAnsi" w:eastAsia="Times New Roman" w:hAnsiTheme="minorHAnsi" w:hint="eastAsia"/>
          <w:lang w:val="en-US" w:eastAsia="zh-CN"/>
        </w:rPr>
        <w:t>17</w:t>
      </w:r>
      <w:r w:rsidR="005E1583" w:rsidRPr="005E1583">
        <w:rPr>
          <w:rFonts w:ascii="SimSun" w:hAnsi="SimSun" w:cs="SimSun" w:hint="eastAsia"/>
          <w:lang w:val="en-US" w:eastAsia="zh-CN"/>
        </w:rPr>
        <w:t>周的时间里，</w:t>
      </w:r>
      <w:r w:rsidR="005E1583" w:rsidRPr="005E1583">
        <w:rPr>
          <w:rFonts w:asciiTheme="minorHAnsi" w:eastAsia="Times New Roman" w:hAnsiTheme="minorHAnsi" w:hint="eastAsia"/>
          <w:lang w:val="en-US" w:eastAsia="zh-CN"/>
        </w:rPr>
        <w:t>2021</w:t>
      </w:r>
      <w:r w:rsidR="005E1583" w:rsidRPr="005E1583">
        <w:rPr>
          <w:rFonts w:ascii="SimSun" w:hAnsi="SimSun" w:cs="SimSun" w:hint="eastAsia"/>
          <w:lang w:val="en-US" w:eastAsia="zh-CN"/>
        </w:rPr>
        <w:t>年</w:t>
      </w:r>
      <w:r w:rsidR="005E1583" w:rsidRPr="005E1583">
        <w:rPr>
          <w:rFonts w:asciiTheme="minorHAnsi" w:eastAsia="Times New Roman" w:hAnsiTheme="minorHAnsi" w:hint="eastAsia"/>
          <w:lang w:val="en-US" w:eastAsia="zh-CN"/>
        </w:rPr>
        <w:t>WSIS</w:t>
      </w:r>
      <w:r w:rsidR="005E1583" w:rsidRPr="005E1583">
        <w:rPr>
          <w:rFonts w:ascii="SimSun" w:hAnsi="SimSun" w:cs="SimSun" w:hint="eastAsia"/>
          <w:lang w:val="en-US" w:eastAsia="zh-CN"/>
        </w:rPr>
        <w:t>论坛举办了</w:t>
      </w:r>
      <w:r w:rsidR="005E1583" w:rsidRPr="005E1583">
        <w:rPr>
          <w:rFonts w:asciiTheme="minorHAnsi" w:eastAsia="Times New Roman" w:hAnsiTheme="minorHAnsi" w:hint="eastAsia"/>
          <w:lang w:val="en-US" w:eastAsia="zh-CN"/>
        </w:rPr>
        <w:t>250</w:t>
      </w:r>
      <w:r w:rsidR="005E1583" w:rsidRPr="005E1583">
        <w:rPr>
          <w:rFonts w:ascii="SimSun" w:hAnsi="SimSun" w:cs="SimSun" w:hint="eastAsia"/>
          <w:lang w:val="en-US" w:eastAsia="zh-CN"/>
        </w:rPr>
        <w:t>多场会议，包括研讨会、现场采访、</w:t>
      </w:r>
      <w:r w:rsidR="005E1583" w:rsidRPr="005E1583">
        <w:rPr>
          <w:rFonts w:asciiTheme="minorHAnsi" w:eastAsia="Times New Roman" w:hAnsiTheme="minorHAnsi" w:hint="eastAsia"/>
          <w:lang w:val="en-US" w:eastAsia="zh-CN"/>
        </w:rPr>
        <w:t>WSIS TalkX</w:t>
      </w:r>
      <w:r w:rsidR="005E1583" w:rsidRPr="005E1583">
        <w:rPr>
          <w:rFonts w:ascii="SimSun" w:hAnsi="SimSun" w:cs="SimSun" w:hint="eastAsia"/>
          <w:lang w:val="en-US" w:eastAsia="zh-CN"/>
        </w:rPr>
        <w:t>、高级别会议、黑客马拉松等。</w:t>
      </w:r>
      <w:r w:rsidR="005E1583" w:rsidRPr="005E1583">
        <w:rPr>
          <w:rFonts w:asciiTheme="minorHAnsi" w:eastAsia="Times New Roman" w:hAnsiTheme="minorHAnsi" w:hint="eastAsia"/>
          <w:lang w:val="en-US" w:eastAsia="zh-CN"/>
        </w:rPr>
        <w:t>2021</w:t>
      </w:r>
      <w:r w:rsidR="005E1583" w:rsidRPr="005E1583">
        <w:rPr>
          <w:rFonts w:ascii="SimSun" w:hAnsi="SimSun" w:cs="SimSun" w:hint="eastAsia"/>
          <w:lang w:val="en-US" w:eastAsia="zh-CN"/>
        </w:rPr>
        <w:t>年</w:t>
      </w:r>
      <w:r w:rsidR="005E1583" w:rsidRPr="005E1583">
        <w:rPr>
          <w:rFonts w:asciiTheme="minorHAnsi" w:eastAsia="Times New Roman" w:hAnsiTheme="minorHAnsi" w:hint="eastAsia"/>
          <w:lang w:val="en-US" w:eastAsia="zh-CN"/>
        </w:rPr>
        <w:t>WSIS</w:t>
      </w:r>
      <w:r w:rsidR="005E1583" w:rsidRPr="005E1583">
        <w:rPr>
          <w:rFonts w:ascii="SimSun" w:hAnsi="SimSun" w:cs="SimSun" w:hint="eastAsia"/>
          <w:lang w:val="en-US" w:eastAsia="zh-CN"/>
        </w:rPr>
        <w:t>论坛在全球范围内引</w:t>
      </w:r>
      <w:r w:rsidR="005E1583">
        <w:rPr>
          <w:rFonts w:ascii="SimSun" w:hAnsi="SimSun" w:cs="SimSun" w:hint="eastAsia"/>
          <w:lang w:val="en-US" w:eastAsia="zh-CN"/>
        </w:rPr>
        <w:t>发</w:t>
      </w:r>
      <w:r w:rsidR="005E1583" w:rsidRPr="005E1583">
        <w:rPr>
          <w:rFonts w:ascii="SimSun" w:hAnsi="SimSun" w:cs="SimSun" w:hint="eastAsia"/>
          <w:lang w:val="en-US" w:eastAsia="zh-CN"/>
        </w:rPr>
        <w:t>了极大的兴趣和热情，共有来自</w:t>
      </w:r>
      <w:r w:rsidR="005E1583" w:rsidRPr="005E1583">
        <w:rPr>
          <w:rFonts w:asciiTheme="minorHAnsi" w:eastAsia="Times New Roman" w:hAnsiTheme="minorHAnsi" w:hint="eastAsia"/>
          <w:lang w:val="en-US" w:eastAsia="zh-CN"/>
        </w:rPr>
        <w:t>185</w:t>
      </w:r>
      <w:r w:rsidR="005E1583" w:rsidRPr="005E1583">
        <w:rPr>
          <w:rFonts w:ascii="SimSun" w:hAnsi="SimSun" w:cs="SimSun" w:hint="eastAsia"/>
          <w:lang w:val="en-US" w:eastAsia="zh-CN"/>
        </w:rPr>
        <w:t>个国家的政府、民间团体、学术界</w:t>
      </w:r>
      <w:r w:rsidR="005E1583">
        <w:rPr>
          <w:rFonts w:ascii="SimSun" w:hAnsi="SimSun" w:cs="SimSun" w:hint="eastAsia"/>
          <w:lang w:val="en-US" w:eastAsia="zh-CN"/>
        </w:rPr>
        <w:t>和</w:t>
      </w:r>
      <w:r w:rsidR="005E1583" w:rsidRPr="005E1583">
        <w:rPr>
          <w:rFonts w:ascii="SimSun" w:hAnsi="SimSun" w:cs="SimSun" w:hint="eastAsia"/>
          <w:lang w:val="en-US" w:eastAsia="zh-CN"/>
        </w:rPr>
        <w:t>私营部门</w:t>
      </w:r>
      <w:r w:rsidR="005E1583">
        <w:rPr>
          <w:rFonts w:ascii="SimSun" w:hAnsi="SimSun" w:cs="SimSun" w:hint="eastAsia"/>
          <w:lang w:val="en-US" w:eastAsia="zh-CN"/>
        </w:rPr>
        <w:t>以及</w:t>
      </w:r>
      <w:r w:rsidR="005E1583" w:rsidRPr="005E1583">
        <w:rPr>
          <w:rFonts w:ascii="SimSun" w:hAnsi="SimSun" w:cs="SimSun" w:hint="eastAsia"/>
          <w:lang w:val="en-US" w:eastAsia="zh-CN"/>
        </w:rPr>
        <w:t>联合国的</w:t>
      </w:r>
      <w:r w:rsidR="005E1583" w:rsidRPr="005E1583">
        <w:rPr>
          <w:rFonts w:asciiTheme="minorHAnsi" w:eastAsia="Times New Roman" w:hAnsiTheme="minorHAnsi" w:hint="eastAsia"/>
          <w:lang w:val="en-US" w:eastAsia="zh-CN"/>
        </w:rPr>
        <w:t>50</w:t>
      </w:r>
      <w:r w:rsidR="002E009D">
        <w:rPr>
          <w:rFonts w:ascii="SimSun" w:hAnsi="SimSun" w:cs="SimSun"/>
          <w:lang w:val="en-US" w:eastAsia="zh-CN"/>
        </w:rPr>
        <w:t xml:space="preserve"> </w:t>
      </w:r>
      <w:r w:rsidR="005E1583" w:rsidRPr="005E1583">
        <w:rPr>
          <w:rFonts w:asciiTheme="minorHAnsi" w:eastAsia="Times New Roman" w:hAnsiTheme="minorHAnsi" w:hint="eastAsia"/>
          <w:lang w:val="en-US" w:eastAsia="zh-CN"/>
        </w:rPr>
        <w:t>000</w:t>
      </w:r>
      <w:r w:rsidR="005E1583" w:rsidRPr="005E1583">
        <w:rPr>
          <w:rFonts w:ascii="SimSun" w:hAnsi="SimSun" w:cs="SimSun" w:hint="eastAsia"/>
          <w:lang w:val="en-US" w:eastAsia="zh-CN"/>
        </w:rPr>
        <w:t>多名与会者（以</w:t>
      </w:r>
      <w:r w:rsidR="005E1583" w:rsidRPr="005E1583">
        <w:rPr>
          <w:rFonts w:asciiTheme="minorHAnsi" w:eastAsia="Times New Roman" w:hAnsiTheme="minorHAnsi" w:hint="eastAsia"/>
          <w:lang w:val="en-US" w:eastAsia="zh-CN"/>
        </w:rPr>
        <w:t>zoom room</w:t>
      </w:r>
      <w:r w:rsidR="005E1583" w:rsidRPr="005E1583">
        <w:rPr>
          <w:rFonts w:ascii="SimSun" w:hAnsi="SimSun" w:cs="SimSun" w:hint="eastAsia"/>
          <w:lang w:val="en-US" w:eastAsia="zh-CN"/>
        </w:rPr>
        <w:t>、</w:t>
      </w:r>
      <w:r w:rsidR="005E1583" w:rsidRPr="005E1583">
        <w:rPr>
          <w:rFonts w:asciiTheme="minorHAnsi" w:eastAsia="Times New Roman" w:hAnsiTheme="minorHAnsi" w:hint="eastAsia"/>
          <w:lang w:val="en-US" w:eastAsia="zh-CN"/>
        </w:rPr>
        <w:t>zoom recording</w:t>
      </w:r>
      <w:r w:rsidR="005E1583" w:rsidRPr="005E1583">
        <w:rPr>
          <w:rFonts w:ascii="SimSun" w:hAnsi="SimSun" w:cs="SimSun" w:hint="eastAsia"/>
          <w:lang w:val="en-US" w:eastAsia="zh-CN"/>
        </w:rPr>
        <w:t>、脸书直播视频、</w:t>
      </w:r>
      <w:r w:rsidR="005E1583" w:rsidRPr="005E1583">
        <w:rPr>
          <w:rFonts w:asciiTheme="minorHAnsi" w:eastAsia="Times New Roman" w:hAnsiTheme="minorHAnsi" w:hint="eastAsia"/>
          <w:lang w:val="en-US" w:eastAsia="zh-CN"/>
        </w:rPr>
        <w:t>YouTube</w:t>
      </w:r>
      <w:r w:rsidR="005E1583" w:rsidRPr="005E1583">
        <w:rPr>
          <w:rFonts w:ascii="SimSun" w:hAnsi="SimSun" w:cs="SimSun" w:hint="eastAsia"/>
          <w:lang w:val="en-US" w:eastAsia="zh-CN"/>
        </w:rPr>
        <w:t>和其他形式），就强化信息和知识社会的新兴信息通信技术问题进行了交流。</w:t>
      </w:r>
    </w:p>
    <w:p w14:paraId="655BD211" w14:textId="211A4F0C" w:rsidR="0085433F" w:rsidRPr="000C156A" w:rsidRDefault="0085433F" w:rsidP="009F0637">
      <w:pPr>
        <w:rPr>
          <w:lang w:eastAsia="zh-CN"/>
        </w:rPr>
      </w:pPr>
      <w:r w:rsidRPr="000C156A">
        <w:rPr>
          <w:rFonts w:asciiTheme="minorHAnsi" w:hAnsiTheme="minorHAnsi"/>
          <w:lang w:val="en-US" w:eastAsia="zh-CN"/>
        </w:rPr>
        <w:t>10</w:t>
      </w:r>
      <w:r w:rsidRPr="000C156A">
        <w:rPr>
          <w:rFonts w:asciiTheme="minorHAnsi" w:hAnsiTheme="minorHAnsi"/>
          <w:lang w:val="en-US" w:eastAsia="zh-CN"/>
        </w:rPr>
        <w:tab/>
      </w:r>
      <w:r w:rsidR="001F286C" w:rsidRPr="001F286C">
        <w:rPr>
          <w:rFonts w:asciiTheme="minorHAnsi" w:hAnsiTheme="minorHAnsi" w:hint="eastAsia"/>
          <w:lang w:val="en-US" w:eastAsia="zh-CN"/>
        </w:rPr>
        <w:t>由于</w:t>
      </w:r>
      <w:r w:rsidR="001F286C" w:rsidRPr="001F286C">
        <w:rPr>
          <w:rFonts w:asciiTheme="minorHAnsi" w:hAnsiTheme="minorHAnsi" w:hint="eastAsia"/>
          <w:lang w:val="en-US" w:eastAsia="zh-CN"/>
        </w:rPr>
        <w:t>2020</w:t>
      </w:r>
      <w:r w:rsidR="001F286C" w:rsidRPr="001F286C">
        <w:rPr>
          <w:rFonts w:asciiTheme="minorHAnsi" w:hAnsiTheme="minorHAnsi" w:hint="eastAsia"/>
          <w:lang w:val="en-US" w:eastAsia="zh-CN"/>
        </w:rPr>
        <w:t>年</w:t>
      </w:r>
      <w:r w:rsidR="001F286C" w:rsidRPr="001F286C">
        <w:rPr>
          <w:rFonts w:asciiTheme="minorHAnsi" w:hAnsiTheme="minorHAnsi" w:hint="eastAsia"/>
          <w:lang w:val="en-US" w:eastAsia="zh-CN"/>
        </w:rPr>
        <w:t>COVID-19</w:t>
      </w:r>
      <w:r w:rsidR="001F286C" w:rsidRPr="001F286C">
        <w:rPr>
          <w:rFonts w:asciiTheme="minorHAnsi" w:hAnsiTheme="minorHAnsi" w:hint="eastAsia"/>
          <w:lang w:val="en-US" w:eastAsia="zh-CN"/>
        </w:rPr>
        <w:t>大流行，人工智能惠及人类全球峰会变成了为期一年的虚拟活动，而且这一形式在</w:t>
      </w:r>
      <w:r w:rsidR="001F286C" w:rsidRPr="001F286C">
        <w:rPr>
          <w:rFonts w:asciiTheme="minorHAnsi" w:hAnsiTheme="minorHAnsi" w:hint="eastAsia"/>
          <w:lang w:val="en-US" w:eastAsia="zh-CN"/>
        </w:rPr>
        <w:t>2021</w:t>
      </w:r>
      <w:r w:rsidR="001F286C" w:rsidRPr="001F286C">
        <w:rPr>
          <w:rFonts w:asciiTheme="minorHAnsi" w:hAnsiTheme="minorHAnsi" w:hint="eastAsia"/>
          <w:lang w:val="en-US" w:eastAsia="zh-CN"/>
        </w:rPr>
        <w:t>年得到延续。按周实施的数字日程包括</w:t>
      </w:r>
      <w:r w:rsidR="001F286C">
        <w:rPr>
          <w:rFonts w:asciiTheme="minorHAnsi" w:hAnsiTheme="minorHAnsi" w:hint="eastAsia"/>
          <w:lang w:val="en-US" w:eastAsia="zh-CN"/>
        </w:rPr>
        <w:t>举办</w:t>
      </w:r>
      <w:r w:rsidR="001F286C" w:rsidRPr="001F286C">
        <w:rPr>
          <w:rFonts w:asciiTheme="minorHAnsi" w:hAnsiTheme="minorHAnsi" w:hint="eastAsia"/>
          <w:lang w:val="en-US" w:eastAsia="zh-CN"/>
        </w:rPr>
        <w:t>新的主题演讲、专家网络研讨会、项目推介、问答、演示和联谊交流等至少</w:t>
      </w:r>
      <w:r w:rsidR="001F286C" w:rsidRPr="001F286C">
        <w:rPr>
          <w:rFonts w:asciiTheme="minorHAnsi" w:hAnsiTheme="minorHAnsi" w:hint="eastAsia"/>
          <w:lang w:val="en-US" w:eastAsia="zh-CN"/>
        </w:rPr>
        <w:t>50</w:t>
      </w:r>
      <w:r w:rsidR="001F286C" w:rsidRPr="001F286C">
        <w:rPr>
          <w:rFonts w:asciiTheme="minorHAnsi" w:hAnsiTheme="minorHAnsi" w:hint="eastAsia"/>
          <w:lang w:val="en-US" w:eastAsia="zh-CN"/>
        </w:rPr>
        <w:t>场活动</w:t>
      </w:r>
      <w:r w:rsidR="001F286C">
        <w:rPr>
          <w:rFonts w:asciiTheme="minorHAnsi" w:hAnsiTheme="minorHAnsi" w:hint="eastAsia"/>
          <w:lang w:val="en-US" w:eastAsia="zh-CN"/>
        </w:rPr>
        <w:t>，并在这一年</w:t>
      </w:r>
      <w:r w:rsidR="001611E7">
        <w:rPr>
          <w:rFonts w:asciiTheme="minorHAnsi" w:hAnsiTheme="minorHAnsi" w:hint="eastAsia"/>
          <w:lang w:val="en-US" w:eastAsia="zh-CN"/>
        </w:rPr>
        <w:t>期间</w:t>
      </w:r>
      <w:r w:rsidR="001F286C">
        <w:rPr>
          <w:rFonts w:asciiTheme="minorHAnsi" w:hAnsiTheme="minorHAnsi" w:hint="eastAsia"/>
          <w:lang w:val="en-US" w:eastAsia="zh-CN"/>
        </w:rPr>
        <w:t>，</w:t>
      </w:r>
      <w:r w:rsidR="001F286C" w:rsidRPr="001F286C">
        <w:rPr>
          <w:rFonts w:asciiTheme="minorHAnsi" w:hAnsiTheme="minorHAnsi" w:hint="eastAsia"/>
          <w:lang w:val="en-US" w:eastAsia="zh-CN"/>
        </w:rPr>
        <w:t>研究探讨了人工智能促进心脑健康、走向社会智能机器人、研究气候变化的机器学习、人工智能促进心脏病防治、人工智能防止现代奴役、人口贩卖以及强迫劳动和童工等</w:t>
      </w:r>
      <w:r w:rsidR="001F286C">
        <w:rPr>
          <w:rFonts w:asciiTheme="minorHAnsi" w:hAnsiTheme="minorHAnsi" w:hint="eastAsia"/>
          <w:lang w:val="en-US" w:eastAsia="zh-CN"/>
        </w:rPr>
        <w:t>诸多</w:t>
      </w:r>
      <w:r w:rsidR="001F286C" w:rsidRPr="001F286C">
        <w:rPr>
          <w:rFonts w:asciiTheme="minorHAnsi" w:hAnsiTheme="minorHAnsi" w:hint="eastAsia"/>
          <w:lang w:val="en-US" w:eastAsia="zh-CN"/>
        </w:rPr>
        <w:t>问题。</w:t>
      </w:r>
    </w:p>
    <w:p w14:paraId="0E96C36D" w14:textId="3AE0930E" w:rsidR="0085433F" w:rsidRPr="009F0637" w:rsidRDefault="0085433F" w:rsidP="009F0637">
      <w:pPr>
        <w:keepNext/>
        <w:keepLines/>
        <w:rPr>
          <w:rStyle w:val="ms-rtethemefontface-1"/>
          <w:lang w:eastAsia="zh-CN"/>
        </w:rPr>
      </w:pPr>
      <w:r w:rsidRPr="009F0637">
        <w:rPr>
          <w:rStyle w:val="ms-rtethemefontface-1"/>
          <w:lang w:eastAsia="zh-CN"/>
        </w:rPr>
        <w:lastRenderedPageBreak/>
        <w:t>11</w:t>
      </w:r>
      <w:r w:rsidRPr="009F0637">
        <w:rPr>
          <w:rStyle w:val="ms-rtethemefontface-1"/>
          <w:lang w:eastAsia="zh-CN"/>
        </w:rPr>
        <w:tab/>
      </w:r>
      <w:r w:rsidR="001F286C" w:rsidRPr="009F0637">
        <w:rPr>
          <w:rStyle w:val="ms-rtethemefontface-1"/>
          <w:rFonts w:hint="eastAsia"/>
          <w:lang w:eastAsia="zh-CN"/>
        </w:rPr>
        <w:t>与</w:t>
      </w:r>
      <w:r w:rsidR="001F286C" w:rsidRPr="009F0637">
        <w:rPr>
          <w:rStyle w:val="ms-rtethemefontface-1"/>
          <w:rFonts w:hint="eastAsia"/>
          <w:lang w:eastAsia="zh-CN"/>
        </w:rPr>
        <w:t>2020</w:t>
      </w:r>
      <w:r w:rsidR="001F286C" w:rsidRPr="009F0637">
        <w:rPr>
          <w:rStyle w:val="ms-rtethemefontface-1"/>
          <w:rFonts w:hint="eastAsia"/>
          <w:lang w:eastAsia="zh-CN"/>
        </w:rPr>
        <w:t>年</w:t>
      </w:r>
      <w:r w:rsidR="00AA17D0" w:rsidRPr="009F0637">
        <w:rPr>
          <w:rStyle w:val="ms-rtethemefontface-1"/>
          <w:rFonts w:hint="eastAsia"/>
          <w:lang w:eastAsia="zh-CN"/>
        </w:rPr>
        <w:t>的情况相同</w:t>
      </w:r>
      <w:r w:rsidR="001F286C" w:rsidRPr="009F0637">
        <w:rPr>
          <w:rStyle w:val="ms-rtethemefontface-1"/>
          <w:rFonts w:hint="eastAsia"/>
          <w:lang w:eastAsia="zh-CN"/>
        </w:rPr>
        <w:t>，</w:t>
      </w:r>
      <w:r w:rsidR="00AA17D0" w:rsidRPr="009F0637">
        <w:rPr>
          <w:rStyle w:val="ms-rtethemefontface-1"/>
          <w:rFonts w:hint="eastAsia"/>
          <w:lang w:eastAsia="zh-CN"/>
        </w:rPr>
        <w:t>持续不断的</w:t>
      </w:r>
      <w:r w:rsidR="001F286C" w:rsidRPr="009F0637">
        <w:rPr>
          <w:rStyle w:val="ms-rtethemefontface-1"/>
          <w:rFonts w:hint="eastAsia"/>
          <w:lang w:eastAsia="zh-CN"/>
        </w:rPr>
        <w:t>新冠肺炎疫情</w:t>
      </w:r>
      <w:r w:rsidR="00AA17D0" w:rsidRPr="009F0637">
        <w:rPr>
          <w:rStyle w:val="ms-rtethemefontface-1"/>
          <w:rFonts w:hint="eastAsia"/>
          <w:lang w:eastAsia="zh-CN"/>
        </w:rPr>
        <w:t>令实体会议</w:t>
      </w:r>
      <w:r w:rsidR="001F286C" w:rsidRPr="009F0637">
        <w:rPr>
          <w:rStyle w:val="ms-rtethemefontface-1"/>
          <w:rFonts w:hint="eastAsia"/>
          <w:lang w:eastAsia="zh-CN"/>
        </w:rPr>
        <w:t>无法举</w:t>
      </w:r>
      <w:r w:rsidR="00AA17D0" w:rsidRPr="009F0637">
        <w:rPr>
          <w:rStyle w:val="ms-rtethemefontface-1"/>
          <w:rFonts w:hint="eastAsia"/>
          <w:lang w:eastAsia="zh-CN"/>
        </w:rPr>
        <w:t>行</w:t>
      </w:r>
      <w:r w:rsidR="001F286C" w:rsidRPr="009F0637">
        <w:rPr>
          <w:rStyle w:val="ms-rtethemefontface-1"/>
          <w:rFonts w:hint="eastAsia"/>
          <w:lang w:eastAsia="zh-CN"/>
        </w:rPr>
        <w:t>。</w:t>
      </w:r>
      <w:r w:rsidR="00AA17D0" w:rsidRPr="009F0637">
        <w:rPr>
          <w:rStyle w:val="ms-rtethemefontface-1"/>
          <w:rFonts w:hint="eastAsia"/>
          <w:lang w:eastAsia="zh-CN"/>
        </w:rPr>
        <w:t>遂</w:t>
      </w:r>
      <w:r w:rsidR="001F286C" w:rsidRPr="009F0637">
        <w:rPr>
          <w:rStyle w:val="ms-rtethemefontface-1"/>
          <w:rFonts w:hint="eastAsia"/>
          <w:lang w:eastAsia="zh-CN"/>
        </w:rPr>
        <w:t>经与东道国越南协商，决定继续为国际电联</w:t>
      </w:r>
      <w:r w:rsidR="001F286C" w:rsidRPr="009F0637">
        <w:rPr>
          <w:rStyle w:val="ms-rtethemefontface-1"/>
          <w:rFonts w:hint="eastAsia"/>
          <w:lang w:eastAsia="zh-CN"/>
        </w:rPr>
        <w:t>2021</w:t>
      </w:r>
      <w:r w:rsidR="001F286C" w:rsidRPr="009F0637">
        <w:rPr>
          <w:rStyle w:val="ms-rtethemefontface-1"/>
          <w:rFonts w:hint="eastAsia"/>
          <w:lang w:eastAsia="zh-CN"/>
        </w:rPr>
        <w:t>年数字世界展举办虚拟活动。与仅举行了三天虚拟活动的</w:t>
      </w:r>
      <w:r w:rsidR="001F286C" w:rsidRPr="009F0637">
        <w:rPr>
          <w:rStyle w:val="ms-rtethemefontface-1"/>
          <w:rFonts w:hint="eastAsia"/>
          <w:lang w:eastAsia="zh-CN"/>
        </w:rPr>
        <w:t>2020</w:t>
      </w:r>
      <w:r w:rsidR="001F286C" w:rsidRPr="009F0637">
        <w:rPr>
          <w:rStyle w:val="ms-rtethemefontface-1"/>
          <w:rFonts w:hint="eastAsia"/>
          <w:lang w:eastAsia="zh-CN"/>
        </w:rPr>
        <w:t>年不同，</w:t>
      </w:r>
      <w:r w:rsidR="001F286C" w:rsidRPr="009F0637">
        <w:rPr>
          <w:rStyle w:val="ms-rtethemefontface-1"/>
          <w:rFonts w:hint="eastAsia"/>
          <w:lang w:eastAsia="zh-CN"/>
        </w:rPr>
        <w:t>2021</w:t>
      </w:r>
      <w:r w:rsidR="001F286C" w:rsidRPr="009F0637">
        <w:rPr>
          <w:rStyle w:val="ms-rtethemefontface-1"/>
          <w:rFonts w:hint="eastAsia"/>
          <w:lang w:eastAsia="zh-CN"/>
        </w:rPr>
        <w:t>年的虚拟活动自</w:t>
      </w:r>
      <w:r w:rsidR="001F286C" w:rsidRPr="009F0637">
        <w:rPr>
          <w:rStyle w:val="ms-rtethemefontface-1"/>
          <w:rFonts w:hint="eastAsia"/>
          <w:lang w:eastAsia="zh-CN"/>
        </w:rPr>
        <w:t>2021</w:t>
      </w:r>
      <w:r w:rsidR="001F286C" w:rsidRPr="009F0637">
        <w:rPr>
          <w:rStyle w:val="ms-rtethemefontface-1"/>
          <w:rFonts w:hint="eastAsia"/>
          <w:lang w:eastAsia="zh-CN"/>
        </w:rPr>
        <w:t>年</w:t>
      </w:r>
      <w:r w:rsidR="001F286C" w:rsidRPr="009F0637">
        <w:rPr>
          <w:rStyle w:val="ms-rtethemefontface-1"/>
          <w:rFonts w:hint="eastAsia"/>
          <w:lang w:eastAsia="zh-CN"/>
        </w:rPr>
        <w:t>10</w:t>
      </w:r>
      <w:r w:rsidR="001F286C" w:rsidRPr="009F0637">
        <w:rPr>
          <w:rStyle w:val="ms-rtethemefontface-1"/>
          <w:rFonts w:hint="eastAsia"/>
          <w:lang w:eastAsia="zh-CN"/>
        </w:rPr>
        <w:t>月至</w:t>
      </w:r>
      <w:r w:rsidR="001F286C" w:rsidRPr="009F0637">
        <w:rPr>
          <w:rStyle w:val="ms-rtethemefontface-1"/>
          <w:rFonts w:hint="eastAsia"/>
          <w:lang w:eastAsia="zh-CN"/>
        </w:rPr>
        <w:t>12</w:t>
      </w:r>
      <w:r w:rsidR="001F286C" w:rsidRPr="009F0637">
        <w:rPr>
          <w:rStyle w:val="ms-rtethemefontface-1"/>
          <w:rFonts w:hint="eastAsia"/>
          <w:lang w:eastAsia="zh-CN"/>
        </w:rPr>
        <w:t>月持续了三个多月。</w:t>
      </w:r>
      <w:r w:rsidR="001F286C" w:rsidRPr="009F0637">
        <w:rPr>
          <w:rStyle w:val="ms-rtethemefontface-1"/>
          <w:rFonts w:hint="eastAsia"/>
          <w:lang w:eastAsia="zh-CN"/>
        </w:rPr>
        <w:t>2021</w:t>
      </w:r>
      <w:r w:rsidR="001F286C" w:rsidRPr="009F0637">
        <w:rPr>
          <w:rStyle w:val="ms-rtethemefontface-1"/>
          <w:rFonts w:hint="eastAsia"/>
          <w:lang w:eastAsia="zh-CN"/>
        </w:rPr>
        <w:t>年</w:t>
      </w:r>
      <w:r w:rsidR="001F286C" w:rsidRPr="009F0637">
        <w:rPr>
          <w:rStyle w:val="ms-rtethemefontface-1"/>
          <w:rFonts w:hint="eastAsia"/>
          <w:lang w:eastAsia="zh-CN"/>
        </w:rPr>
        <w:t>9</w:t>
      </w:r>
      <w:r w:rsidR="001F286C" w:rsidRPr="009F0637">
        <w:rPr>
          <w:rStyle w:val="ms-rtethemefontface-1"/>
          <w:rFonts w:hint="eastAsia"/>
          <w:lang w:eastAsia="zh-CN"/>
        </w:rPr>
        <w:t>月至</w:t>
      </w:r>
      <w:r w:rsidR="001F286C" w:rsidRPr="009F0637">
        <w:rPr>
          <w:rStyle w:val="ms-rtethemefontface-1"/>
          <w:rFonts w:hint="eastAsia"/>
          <w:lang w:eastAsia="zh-CN"/>
        </w:rPr>
        <w:t>11</w:t>
      </w:r>
      <w:r w:rsidR="001F286C" w:rsidRPr="009F0637">
        <w:rPr>
          <w:rStyle w:val="ms-rtethemefontface-1"/>
          <w:rFonts w:hint="eastAsia"/>
          <w:lang w:eastAsia="zh-CN"/>
        </w:rPr>
        <w:t>月间，就国际电联各部门与东道国商定的各项主题举行了一系列论坛会议，还于</w:t>
      </w:r>
      <w:r w:rsidR="001F286C" w:rsidRPr="009F0637">
        <w:rPr>
          <w:rStyle w:val="ms-rtethemefontface-1"/>
          <w:rFonts w:hint="eastAsia"/>
          <w:lang w:eastAsia="zh-CN"/>
        </w:rPr>
        <w:t>2021</w:t>
      </w:r>
      <w:r w:rsidR="001F286C" w:rsidRPr="009F0637">
        <w:rPr>
          <w:rStyle w:val="ms-rtethemefontface-1"/>
          <w:rFonts w:hint="eastAsia"/>
          <w:lang w:eastAsia="zh-CN"/>
        </w:rPr>
        <w:t>年</w:t>
      </w:r>
      <w:r w:rsidR="001F286C" w:rsidRPr="009F0637">
        <w:rPr>
          <w:rStyle w:val="ms-rtethemefontface-1"/>
          <w:rFonts w:hint="eastAsia"/>
          <w:lang w:eastAsia="zh-CN"/>
        </w:rPr>
        <w:t>10</w:t>
      </w:r>
      <w:r w:rsidR="001F286C" w:rsidRPr="009F0637">
        <w:rPr>
          <w:rStyle w:val="ms-rtethemefontface-1"/>
          <w:rFonts w:hint="eastAsia"/>
          <w:lang w:eastAsia="zh-CN"/>
        </w:rPr>
        <w:t>月初召开了行业圆桌会议。越南总理和国际电联秘书长出席了在河内举行的开幕式，后于</w:t>
      </w:r>
      <w:r w:rsidR="001F286C" w:rsidRPr="009F0637">
        <w:rPr>
          <w:rStyle w:val="ms-rtethemefontface-1"/>
          <w:rFonts w:hint="eastAsia"/>
          <w:lang w:eastAsia="zh-CN"/>
        </w:rPr>
        <w:t>10</w:t>
      </w:r>
      <w:r w:rsidR="001F286C" w:rsidRPr="009F0637">
        <w:rPr>
          <w:rStyle w:val="ms-rtethemefontface-1"/>
          <w:rFonts w:hint="eastAsia"/>
          <w:lang w:eastAsia="zh-CN"/>
        </w:rPr>
        <w:t>月中旬举行了为期三天的部长级圆桌会议。</w:t>
      </w:r>
    </w:p>
    <w:p w14:paraId="48D3D9A1" w14:textId="4A3348E3" w:rsidR="0085433F" w:rsidRPr="009F0637" w:rsidRDefault="0085433F" w:rsidP="009F0637">
      <w:pPr>
        <w:rPr>
          <w:rStyle w:val="ms-rtethemefontface-1"/>
          <w:lang w:eastAsia="zh-CN"/>
        </w:rPr>
      </w:pPr>
      <w:r w:rsidRPr="009F0637">
        <w:rPr>
          <w:rStyle w:val="ms-rtethemefontface-1"/>
          <w:lang w:eastAsia="zh-CN"/>
        </w:rPr>
        <w:t>12</w:t>
      </w:r>
      <w:r w:rsidRPr="009F0637">
        <w:rPr>
          <w:rStyle w:val="ms-rtethemefontface-1"/>
          <w:lang w:eastAsia="zh-CN"/>
        </w:rPr>
        <w:tab/>
      </w:r>
      <w:r w:rsidR="003674AB" w:rsidRPr="009F0637">
        <w:rPr>
          <w:rStyle w:val="ms-rtethemefontface-1"/>
          <w:rFonts w:hint="eastAsia"/>
          <w:lang w:eastAsia="zh-CN"/>
        </w:rPr>
        <w:t>国际电联在</w:t>
      </w:r>
      <w:r w:rsidR="003674AB" w:rsidRPr="009F0637">
        <w:rPr>
          <w:rStyle w:val="ms-rtethemefontface-1"/>
          <w:lang w:eastAsia="zh-CN"/>
        </w:rPr>
        <w:t>2021</w:t>
      </w:r>
      <w:r w:rsidR="003674AB" w:rsidRPr="009F0637">
        <w:rPr>
          <w:rStyle w:val="ms-rtethemefontface-1"/>
          <w:rFonts w:hint="eastAsia"/>
          <w:lang w:eastAsia="zh-CN"/>
        </w:rPr>
        <w:t>年期间继续按照第</w:t>
      </w:r>
      <w:r w:rsidR="003674AB" w:rsidRPr="009F0637">
        <w:rPr>
          <w:rStyle w:val="ms-rtethemefontface-1"/>
          <w:lang w:eastAsia="zh-CN"/>
        </w:rPr>
        <w:t>5</w:t>
      </w:r>
      <w:r w:rsidR="003674AB" w:rsidRPr="009F0637">
        <w:rPr>
          <w:rStyle w:val="ms-rtethemefontface-1"/>
          <w:rFonts w:hint="eastAsia"/>
          <w:lang w:eastAsia="zh-CN"/>
        </w:rPr>
        <w:t>号决定（</w:t>
      </w:r>
      <w:r w:rsidR="003674AB" w:rsidRPr="009F0637">
        <w:rPr>
          <w:rStyle w:val="ms-rtethemefontface-1"/>
          <w:lang w:eastAsia="zh-CN"/>
        </w:rPr>
        <w:t>2018</w:t>
      </w:r>
      <w:r w:rsidR="003674AB" w:rsidRPr="009F0637">
        <w:rPr>
          <w:rStyle w:val="ms-rtethemefontface-1"/>
          <w:rFonts w:hint="eastAsia"/>
          <w:lang w:eastAsia="zh-CN"/>
        </w:rPr>
        <w:t>年，迪拜，修订版）附件</w:t>
      </w:r>
      <w:r w:rsidR="003674AB" w:rsidRPr="009F0637">
        <w:rPr>
          <w:rStyle w:val="ms-rtethemefontface-1"/>
          <w:lang w:eastAsia="zh-CN"/>
        </w:rPr>
        <w:t>2</w:t>
      </w:r>
      <w:r w:rsidR="003674AB" w:rsidRPr="009F0637">
        <w:rPr>
          <w:rStyle w:val="ms-rtethemefontface-1"/>
          <w:rFonts w:hint="eastAsia"/>
          <w:lang w:eastAsia="zh-CN"/>
        </w:rPr>
        <w:t>的要求</w:t>
      </w:r>
      <w:r w:rsidR="009F0637">
        <w:rPr>
          <w:rStyle w:val="ms-rtethemefontface-1"/>
          <w:rFonts w:hint="eastAsia"/>
          <w:lang w:eastAsia="zh-CN"/>
        </w:rPr>
        <w:t>，</w:t>
      </w:r>
      <w:r w:rsidR="003674AB" w:rsidRPr="009F0637">
        <w:rPr>
          <w:rStyle w:val="ms-rtethemefontface-1"/>
          <w:rFonts w:hint="eastAsia"/>
          <w:lang w:eastAsia="zh-CN"/>
        </w:rPr>
        <w:t>协调改善工作流程和节约成本的工作。</w:t>
      </w:r>
    </w:p>
    <w:p w14:paraId="0250D5B3" w14:textId="452B7F45" w:rsidR="0085433F" w:rsidRPr="009F0637" w:rsidRDefault="0085433F" w:rsidP="009F0637">
      <w:pPr>
        <w:rPr>
          <w:rStyle w:val="ms-rtethemefontface-1"/>
          <w:lang w:eastAsia="zh-CN"/>
        </w:rPr>
      </w:pPr>
      <w:r w:rsidRPr="009F0637">
        <w:rPr>
          <w:rStyle w:val="ms-rtethemefontface-1"/>
          <w:lang w:eastAsia="zh-CN"/>
        </w:rPr>
        <w:t>13</w:t>
      </w:r>
      <w:r w:rsidRPr="009F0637">
        <w:rPr>
          <w:rStyle w:val="ms-rtethemefontface-1"/>
          <w:lang w:eastAsia="zh-CN"/>
        </w:rPr>
        <w:tab/>
      </w:r>
      <w:r w:rsidR="003674AB" w:rsidRPr="009F0637">
        <w:rPr>
          <w:rStyle w:val="ms-rtethemefontface-1"/>
          <w:rFonts w:hint="eastAsia"/>
          <w:lang w:eastAsia="zh-CN"/>
        </w:rPr>
        <w:t>国际电联积极参与了</w:t>
      </w:r>
      <w:bookmarkStart w:id="43" w:name="_Hlk55993177"/>
      <w:r w:rsidR="003674AB" w:rsidRPr="009F0637">
        <w:rPr>
          <w:rStyle w:val="ms-rtethemefontface-1"/>
          <w:rFonts w:hint="eastAsia"/>
          <w:lang w:eastAsia="zh-CN"/>
        </w:rPr>
        <w:t>联合国共同出资的活动</w:t>
      </w:r>
      <w:bookmarkEnd w:id="43"/>
      <w:r w:rsidR="003674AB" w:rsidRPr="009F0637">
        <w:rPr>
          <w:rStyle w:val="ms-rtethemefontface-1"/>
          <w:rFonts w:hint="eastAsia"/>
          <w:lang w:eastAsia="zh-CN"/>
        </w:rPr>
        <w:t>。最近的一系列举措降低了参与实体的成本，即，降低了用电、办公用品、燃油和邮政服务的费用并</w:t>
      </w:r>
      <w:bookmarkStart w:id="44" w:name="_Hlk55993465"/>
      <w:r w:rsidR="003674AB" w:rsidRPr="009F0637">
        <w:rPr>
          <w:rStyle w:val="ms-rtethemefontface-1"/>
          <w:rFonts w:hint="eastAsia"/>
          <w:lang w:eastAsia="zh-CN"/>
        </w:rPr>
        <w:t>通过谈判得到航空公司的折扣</w:t>
      </w:r>
      <w:bookmarkEnd w:id="44"/>
      <w:r w:rsidR="009F0637">
        <w:rPr>
          <w:rStyle w:val="ms-rtethemefontface-1"/>
          <w:rFonts w:hint="eastAsia"/>
          <w:lang w:eastAsia="zh-CN"/>
        </w:rPr>
        <w:t>。</w:t>
      </w:r>
    </w:p>
    <w:p w14:paraId="6E4DA08D" w14:textId="77777777" w:rsidR="0085433F" w:rsidRPr="000C156A" w:rsidRDefault="0085433F" w:rsidP="0085433F">
      <w:pPr>
        <w:pStyle w:val="Headingb"/>
        <w:rPr>
          <w:spacing w:val="-6"/>
          <w:w w:val="105"/>
          <w:lang w:val="en-US" w:eastAsia="zh-CN"/>
        </w:rPr>
      </w:pPr>
      <w:bookmarkStart w:id="45" w:name="_Toc72744915"/>
      <w:bookmarkStart w:id="46" w:name="_Toc72747199"/>
      <w:bookmarkStart w:id="47" w:name="_Toc73460996"/>
      <w:bookmarkStart w:id="48" w:name="_Toc73518643"/>
      <w:bookmarkStart w:id="49" w:name="_Toc73519190"/>
      <w:bookmarkStart w:id="50" w:name="_Toc73636072"/>
      <w:bookmarkStart w:id="51" w:name="_Toc73636214"/>
      <w:r w:rsidRPr="000C156A">
        <w:rPr>
          <w:rFonts w:hint="eastAsia"/>
          <w:w w:val="105"/>
          <w:lang w:val="en-US" w:eastAsia="zh-CN"/>
        </w:rPr>
        <w:t>财务工作报告要点</w:t>
      </w:r>
      <w:bookmarkEnd w:id="45"/>
      <w:bookmarkEnd w:id="46"/>
      <w:bookmarkEnd w:id="47"/>
      <w:bookmarkEnd w:id="48"/>
      <w:bookmarkEnd w:id="49"/>
      <w:bookmarkEnd w:id="50"/>
      <w:bookmarkEnd w:id="51"/>
    </w:p>
    <w:p w14:paraId="331538CF" w14:textId="0D1B9F31" w:rsidR="0085433F" w:rsidRPr="000C156A" w:rsidRDefault="001446D1" w:rsidP="009F0637">
      <w:pPr>
        <w:rPr>
          <w:lang w:eastAsia="zh-CN"/>
        </w:rPr>
      </w:pPr>
      <w:r>
        <w:rPr>
          <w:rFonts w:asciiTheme="minorHAnsi" w:eastAsia="Times New Roman" w:hAnsiTheme="minorHAnsi" w:cs="Calibri"/>
          <w:szCs w:val="24"/>
          <w:lang w:val="en-US" w:eastAsia="zh-CN"/>
        </w:rPr>
        <w:t>14</w:t>
      </w:r>
      <w:r w:rsidR="0085433F" w:rsidRPr="000C156A">
        <w:rPr>
          <w:rFonts w:asciiTheme="minorHAnsi" w:eastAsia="Times New Roman" w:hAnsiTheme="minorHAnsi" w:cs="Calibri"/>
          <w:szCs w:val="24"/>
          <w:lang w:val="en-US" w:eastAsia="zh-CN"/>
        </w:rPr>
        <w:tab/>
      </w:r>
      <w:r w:rsidR="0085433F" w:rsidRPr="000C156A">
        <w:rPr>
          <w:rFonts w:hint="eastAsia"/>
          <w:lang w:eastAsia="zh-CN"/>
        </w:rPr>
        <w:t>国际电联账目以瑞郎为单位，提交的财务报表包含国际电联的预算外活动。</w:t>
      </w:r>
    </w:p>
    <w:p w14:paraId="50313324" w14:textId="1EAEF80C" w:rsidR="0085433F" w:rsidRPr="000C156A" w:rsidRDefault="001446D1" w:rsidP="009F0637">
      <w:pPr>
        <w:rPr>
          <w:lang w:eastAsia="zh-CN"/>
        </w:rPr>
      </w:pPr>
      <w:r>
        <w:rPr>
          <w:rFonts w:asciiTheme="minorHAnsi" w:hAnsiTheme="minorHAnsi" w:cs="Calibri"/>
          <w:szCs w:val="24"/>
          <w:lang w:val="en-US" w:eastAsia="zh-CN"/>
        </w:rPr>
        <w:t>15</w:t>
      </w:r>
      <w:r w:rsidR="0085433F" w:rsidRPr="000C156A">
        <w:rPr>
          <w:rFonts w:asciiTheme="minorHAnsi" w:hAnsiTheme="minorHAnsi" w:cs="Calibri"/>
          <w:szCs w:val="24"/>
          <w:lang w:val="en-US" w:eastAsia="zh-CN"/>
        </w:rPr>
        <w:tab/>
      </w:r>
      <w:r w:rsidR="0085433F" w:rsidRPr="000C156A">
        <w:rPr>
          <w:rFonts w:hint="eastAsia"/>
          <w:lang w:eastAsia="zh-CN"/>
        </w:rPr>
        <w:t>下表归纳了与</w:t>
      </w:r>
      <w:r w:rsidR="0085433F" w:rsidRPr="000C156A">
        <w:rPr>
          <w:lang w:eastAsia="zh-CN"/>
        </w:rPr>
        <w:t>20</w:t>
      </w:r>
      <w:r>
        <w:rPr>
          <w:lang w:eastAsia="zh-CN"/>
        </w:rPr>
        <w:t>20</w:t>
      </w:r>
      <w:r w:rsidR="0085433F" w:rsidRPr="000C156A">
        <w:rPr>
          <w:rFonts w:hint="eastAsia"/>
          <w:lang w:eastAsia="zh-CN"/>
        </w:rPr>
        <w:t>年相对比的国际电联</w:t>
      </w:r>
      <w:r w:rsidR="0085433F" w:rsidRPr="000C156A">
        <w:rPr>
          <w:lang w:eastAsia="zh-CN"/>
        </w:rPr>
        <w:t>202</w:t>
      </w:r>
      <w:r>
        <w:rPr>
          <w:lang w:eastAsia="zh-CN"/>
        </w:rPr>
        <w:t>1</w:t>
      </w:r>
      <w:r w:rsidR="0085433F" w:rsidRPr="000C156A">
        <w:rPr>
          <w:rFonts w:hint="eastAsia"/>
          <w:lang w:eastAsia="zh-CN"/>
        </w:rPr>
        <w:t>年财务状况。</w:t>
      </w:r>
    </w:p>
    <w:tbl>
      <w:tblPr>
        <w:tblW w:w="6227" w:type="dxa"/>
        <w:jc w:val="center"/>
        <w:tblLook w:val="04A0" w:firstRow="1" w:lastRow="0" w:firstColumn="1" w:lastColumn="0" w:noHBand="0" w:noVBand="1"/>
      </w:tblPr>
      <w:tblGrid>
        <w:gridCol w:w="2117"/>
        <w:gridCol w:w="1842"/>
        <w:gridCol w:w="2268"/>
      </w:tblGrid>
      <w:tr w:rsidR="0085433F" w:rsidRPr="000C156A" w14:paraId="633B84AC" w14:textId="77777777" w:rsidTr="003A64C9">
        <w:trPr>
          <w:trHeight w:val="510"/>
          <w:jc w:val="center"/>
        </w:trPr>
        <w:tc>
          <w:tcPr>
            <w:tcW w:w="2117" w:type="dxa"/>
            <w:tcBorders>
              <w:top w:val="single" w:sz="8" w:space="0" w:color="auto"/>
              <w:left w:val="single" w:sz="8" w:space="0" w:color="auto"/>
              <w:bottom w:val="single" w:sz="8" w:space="0" w:color="auto"/>
              <w:right w:val="nil"/>
            </w:tcBorders>
            <w:vAlign w:val="center"/>
          </w:tcPr>
          <w:p w14:paraId="0A83D308" w14:textId="5C30C196" w:rsidR="0085433F" w:rsidRPr="002E009D" w:rsidRDefault="0085433F" w:rsidP="003A64C9">
            <w:pPr>
              <w:pStyle w:val="Tablehead"/>
              <w:rPr>
                <w:b w:val="0"/>
                <w:bCs/>
                <w:lang w:eastAsia="zh-CN"/>
              </w:rPr>
            </w:pPr>
            <w:r w:rsidRPr="002E009D">
              <w:rPr>
                <w:rFonts w:hint="eastAsia"/>
                <w:b w:val="0"/>
                <w:bCs/>
                <w:lang w:eastAsia="zh-CN"/>
              </w:rPr>
              <w:t>单位</w:t>
            </w:r>
            <w:r w:rsidRPr="002E009D">
              <w:rPr>
                <w:rFonts w:hint="eastAsia"/>
                <w:b w:val="0"/>
                <w:bCs/>
                <w:lang w:val="fr-CH" w:eastAsia="zh-CN"/>
              </w:rPr>
              <w:t>：</w:t>
            </w:r>
            <w:r w:rsidRPr="002E009D">
              <w:rPr>
                <w:rFonts w:hint="eastAsia"/>
                <w:b w:val="0"/>
                <w:bCs/>
                <w:lang w:eastAsia="zh-CN"/>
              </w:rPr>
              <w:t>千瑞郎</w:t>
            </w:r>
          </w:p>
        </w:tc>
        <w:tc>
          <w:tcPr>
            <w:tcW w:w="1842" w:type="dxa"/>
            <w:tcBorders>
              <w:top w:val="single" w:sz="8" w:space="0" w:color="auto"/>
              <w:left w:val="nil"/>
              <w:bottom w:val="single" w:sz="8" w:space="0" w:color="auto"/>
              <w:right w:val="nil"/>
            </w:tcBorders>
            <w:shd w:val="clear" w:color="auto" w:fill="auto"/>
            <w:noWrap/>
            <w:vAlign w:val="center"/>
            <w:hideMark/>
          </w:tcPr>
          <w:p w14:paraId="7E43A368" w14:textId="66FC8DC9" w:rsidR="0085433F" w:rsidRPr="002E009D" w:rsidRDefault="0085433F" w:rsidP="003A64C9">
            <w:pPr>
              <w:pStyle w:val="Tablehead"/>
              <w:jc w:val="right"/>
              <w:rPr>
                <w:rFonts w:asciiTheme="minorHAnsi" w:hAnsiTheme="minorHAnsi" w:cs="Arial"/>
                <w:b w:val="0"/>
                <w:bCs/>
                <w:color w:val="000000"/>
                <w:lang w:eastAsia="zh-CN"/>
              </w:rPr>
            </w:pPr>
            <w:r w:rsidRPr="002E009D">
              <w:rPr>
                <w:rFonts w:asciiTheme="minorHAnsi" w:hAnsiTheme="minorHAnsi" w:cs="Arial"/>
                <w:b w:val="0"/>
                <w:bCs/>
                <w:color w:val="000000"/>
                <w:lang w:eastAsia="zh-CN"/>
              </w:rPr>
              <w:t>202</w:t>
            </w:r>
            <w:r w:rsidR="001446D1" w:rsidRPr="002E009D">
              <w:rPr>
                <w:rFonts w:asciiTheme="minorHAnsi" w:hAnsiTheme="minorHAnsi" w:cs="Arial"/>
                <w:b w:val="0"/>
                <w:bCs/>
                <w:color w:val="000000"/>
                <w:lang w:eastAsia="zh-CN"/>
              </w:rPr>
              <w:t>1</w:t>
            </w:r>
            <w:r w:rsidRPr="002E009D">
              <w:rPr>
                <w:rFonts w:cs="Calibri" w:hint="eastAsia"/>
                <w:b w:val="0"/>
                <w:bCs/>
                <w:lang w:eastAsia="zh-CN"/>
              </w:rPr>
              <w:t>年</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03E0D441" w14:textId="1FE609F3" w:rsidR="0085433F" w:rsidRPr="002E009D" w:rsidRDefault="0085433F" w:rsidP="003A64C9">
            <w:pPr>
              <w:pStyle w:val="Tablehead"/>
              <w:jc w:val="right"/>
              <w:rPr>
                <w:rFonts w:asciiTheme="minorHAnsi" w:hAnsiTheme="minorHAnsi" w:cs="Arial"/>
                <w:b w:val="0"/>
                <w:bCs/>
                <w:color w:val="000000"/>
                <w:lang w:eastAsia="zh-CN"/>
              </w:rPr>
            </w:pPr>
            <w:r w:rsidRPr="002E009D">
              <w:rPr>
                <w:rFonts w:asciiTheme="minorHAnsi" w:hAnsiTheme="minorHAnsi"/>
                <w:b w:val="0"/>
                <w:bCs/>
                <w:color w:val="000000"/>
              </w:rPr>
              <w:t>20</w:t>
            </w:r>
            <w:r w:rsidR="001446D1" w:rsidRPr="002E009D">
              <w:rPr>
                <w:rFonts w:asciiTheme="minorHAnsi" w:hAnsiTheme="minorHAnsi"/>
                <w:b w:val="0"/>
                <w:bCs/>
                <w:color w:val="000000"/>
              </w:rPr>
              <w:t>20</w:t>
            </w:r>
            <w:r w:rsidRPr="002E009D">
              <w:rPr>
                <w:rFonts w:cs="Calibri" w:hint="eastAsia"/>
                <w:b w:val="0"/>
                <w:bCs/>
                <w:lang w:eastAsia="zh-CN"/>
              </w:rPr>
              <w:t>年</w:t>
            </w:r>
          </w:p>
        </w:tc>
      </w:tr>
      <w:tr w:rsidR="001446D1" w:rsidRPr="000C156A" w14:paraId="490D0419" w14:textId="77777777" w:rsidTr="003A64C9">
        <w:trPr>
          <w:trHeight w:val="255"/>
          <w:jc w:val="center"/>
        </w:trPr>
        <w:tc>
          <w:tcPr>
            <w:tcW w:w="2117" w:type="dxa"/>
            <w:tcBorders>
              <w:top w:val="nil"/>
              <w:left w:val="single" w:sz="8" w:space="0" w:color="auto"/>
              <w:bottom w:val="nil"/>
              <w:right w:val="nil"/>
            </w:tcBorders>
            <w:vAlign w:val="bottom"/>
          </w:tcPr>
          <w:p w14:paraId="7D5DAA20" w14:textId="77777777" w:rsidR="001446D1" w:rsidRPr="000C156A" w:rsidRDefault="001446D1" w:rsidP="001446D1">
            <w:pPr>
              <w:pStyle w:val="Tabletext"/>
              <w:jc w:val="center"/>
            </w:pPr>
            <w:r w:rsidRPr="000C156A">
              <w:rPr>
                <w:rFonts w:hint="eastAsia"/>
              </w:rPr>
              <w:t>收入</w:t>
            </w:r>
          </w:p>
        </w:tc>
        <w:tc>
          <w:tcPr>
            <w:tcW w:w="1842" w:type="dxa"/>
            <w:tcBorders>
              <w:top w:val="nil"/>
              <w:left w:val="nil"/>
              <w:bottom w:val="nil"/>
              <w:right w:val="nil"/>
            </w:tcBorders>
            <w:shd w:val="clear" w:color="auto" w:fill="auto"/>
            <w:noWrap/>
            <w:vAlign w:val="bottom"/>
            <w:hideMark/>
          </w:tcPr>
          <w:p w14:paraId="0D548032" w14:textId="4FAF00FB" w:rsidR="001446D1" w:rsidRPr="000C156A" w:rsidRDefault="001446D1" w:rsidP="001446D1">
            <w:pPr>
              <w:pStyle w:val="Tabletext"/>
              <w:jc w:val="right"/>
              <w:rPr>
                <w:rFonts w:asciiTheme="minorHAnsi" w:hAnsiTheme="minorHAnsi" w:cs="Arial"/>
                <w:color w:val="000000"/>
                <w:lang w:val="en-US" w:eastAsia="zh-CN"/>
              </w:rPr>
            </w:pPr>
            <w:r w:rsidRPr="00DC182C">
              <w:rPr>
                <w:rFonts w:asciiTheme="minorHAnsi" w:hAnsiTheme="minorHAnsi" w:cs="Arial"/>
                <w:color w:val="000000"/>
                <w:szCs w:val="24"/>
                <w:lang w:val="en-US" w:eastAsia="zh-CN"/>
              </w:rPr>
              <w:t>1</w:t>
            </w:r>
            <w:r>
              <w:rPr>
                <w:rFonts w:asciiTheme="minorHAnsi" w:hAnsiTheme="minorHAnsi" w:cs="Arial"/>
                <w:color w:val="000000"/>
                <w:szCs w:val="24"/>
                <w:lang w:val="en-US" w:eastAsia="zh-CN"/>
              </w:rPr>
              <w:t>75 556</w:t>
            </w:r>
          </w:p>
        </w:tc>
        <w:tc>
          <w:tcPr>
            <w:tcW w:w="2268" w:type="dxa"/>
            <w:tcBorders>
              <w:top w:val="nil"/>
              <w:left w:val="nil"/>
              <w:bottom w:val="nil"/>
              <w:right w:val="single" w:sz="8" w:space="0" w:color="auto"/>
            </w:tcBorders>
            <w:shd w:val="clear" w:color="auto" w:fill="auto"/>
            <w:noWrap/>
            <w:vAlign w:val="bottom"/>
            <w:hideMark/>
          </w:tcPr>
          <w:p w14:paraId="7DC6A74C" w14:textId="3F511D62" w:rsidR="001446D1" w:rsidRPr="000C156A" w:rsidRDefault="001446D1" w:rsidP="001446D1">
            <w:pPr>
              <w:pStyle w:val="Tabletext"/>
              <w:jc w:val="right"/>
              <w:rPr>
                <w:rFonts w:asciiTheme="minorHAnsi" w:hAnsiTheme="minorHAnsi" w:cs="Arial"/>
                <w:color w:val="000000"/>
                <w:lang w:val="en-US" w:eastAsia="zh-CN"/>
              </w:rPr>
            </w:pPr>
            <w:r w:rsidRPr="00DC182C">
              <w:rPr>
                <w:rFonts w:asciiTheme="minorHAnsi" w:hAnsiTheme="minorHAnsi" w:cs="Arial"/>
                <w:color w:val="000000"/>
                <w:szCs w:val="24"/>
                <w:lang w:val="en-US" w:eastAsia="zh-CN"/>
              </w:rPr>
              <w:t>1</w:t>
            </w:r>
            <w:r>
              <w:rPr>
                <w:rFonts w:asciiTheme="minorHAnsi" w:hAnsiTheme="minorHAnsi" w:cs="Arial"/>
                <w:color w:val="000000"/>
                <w:szCs w:val="24"/>
                <w:lang w:val="en-US" w:eastAsia="zh-CN"/>
              </w:rPr>
              <w:t>70 373</w:t>
            </w:r>
          </w:p>
        </w:tc>
      </w:tr>
      <w:tr w:rsidR="001446D1" w:rsidRPr="000C156A" w14:paraId="131AC8BF" w14:textId="77777777" w:rsidTr="003A64C9">
        <w:trPr>
          <w:trHeight w:val="255"/>
          <w:jc w:val="center"/>
        </w:trPr>
        <w:tc>
          <w:tcPr>
            <w:tcW w:w="2117" w:type="dxa"/>
            <w:tcBorders>
              <w:top w:val="nil"/>
              <w:left w:val="single" w:sz="8" w:space="0" w:color="auto"/>
              <w:bottom w:val="nil"/>
              <w:right w:val="nil"/>
            </w:tcBorders>
            <w:vAlign w:val="bottom"/>
          </w:tcPr>
          <w:p w14:paraId="136305BB" w14:textId="77777777" w:rsidR="001446D1" w:rsidRPr="000C156A" w:rsidRDefault="001446D1" w:rsidP="001446D1">
            <w:pPr>
              <w:pStyle w:val="Tabletext"/>
              <w:jc w:val="center"/>
            </w:pPr>
            <w:r w:rsidRPr="000C156A">
              <w:rPr>
                <w:rFonts w:hint="eastAsia"/>
              </w:rPr>
              <w:t>支出</w:t>
            </w:r>
          </w:p>
        </w:tc>
        <w:tc>
          <w:tcPr>
            <w:tcW w:w="1842" w:type="dxa"/>
            <w:tcBorders>
              <w:top w:val="nil"/>
              <w:left w:val="nil"/>
              <w:bottom w:val="nil"/>
              <w:right w:val="nil"/>
            </w:tcBorders>
            <w:shd w:val="clear" w:color="auto" w:fill="auto"/>
            <w:noWrap/>
            <w:vAlign w:val="bottom"/>
            <w:hideMark/>
          </w:tcPr>
          <w:p w14:paraId="58DF97D2" w14:textId="47734060" w:rsidR="001446D1" w:rsidRPr="000C156A" w:rsidRDefault="001446D1" w:rsidP="001446D1">
            <w:pPr>
              <w:pStyle w:val="Tabletext"/>
              <w:jc w:val="right"/>
              <w:rPr>
                <w:rFonts w:asciiTheme="minorHAnsi" w:hAnsiTheme="minorHAnsi" w:cs="Arial"/>
                <w:color w:val="000000"/>
                <w:lang w:val="en-US" w:eastAsia="zh-CN"/>
              </w:rPr>
            </w:pPr>
            <w:r>
              <w:rPr>
                <w:rFonts w:asciiTheme="minorHAnsi" w:hAnsiTheme="minorHAnsi" w:cs="Arial"/>
                <w:color w:val="000000"/>
                <w:szCs w:val="24"/>
                <w:lang w:val="en-US" w:eastAsia="zh-CN"/>
              </w:rPr>
              <w:t>190 413</w:t>
            </w:r>
          </w:p>
        </w:tc>
        <w:tc>
          <w:tcPr>
            <w:tcW w:w="2268" w:type="dxa"/>
            <w:tcBorders>
              <w:top w:val="nil"/>
              <w:left w:val="nil"/>
              <w:bottom w:val="nil"/>
              <w:right w:val="single" w:sz="8" w:space="0" w:color="auto"/>
            </w:tcBorders>
            <w:shd w:val="clear" w:color="auto" w:fill="auto"/>
            <w:noWrap/>
            <w:vAlign w:val="bottom"/>
            <w:hideMark/>
          </w:tcPr>
          <w:p w14:paraId="14D038AC" w14:textId="70F6F007" w:rsidR="001446D1" w:rsidRPr="000C156A" w:rsidRDefault="001446D1" w:rsidP="001446D1">
            <w:pPr>
              <w:pStyle w:val="Tabletext"/>
              <w:jc w:val="right"/>
              <w:rPr>
                <w:rFonts w:asciiTheme="minorHAnsi" w:hAnsiTheme="minorHAnsi" w:cs="Arial"/>
                <w:color w:val="000000"/>
                <w:lang w:val="en-US" w:eastAsia="zh-CN"/>
              </w:rPr>
            </w:pPr>
            <w:r>
              <w:rPr>
                <w:rFonts w:asciiTheme="minorHAnsi" w:hAnsiTheme="minorHAnsi" w:cs="Arial"/>
                <w:color w:val="000000"/>
                <w:szCs w:val="24"/>
                <w:lang w:val="en-US" w:eastAsia="zh-CN"/>
              </w:rPr>
              <w:t>217 632</w:t>
            </w:r>
          </w:p>
        </w:tc>
      </w:tr>
      <w:tr w:rsidR="001446D1" w:rsidRPr="000C156A" w14:paraId="1E2C3826" w14:textId="77777777" w:rsidTr="003A64C9">
        <w:trPr>
          <w:trHeight w:val="270"/>
          <w:jc w:val="center"/>
        </w:trPr>
        <w:tc>
          <w:tcPr>
            <w:tcW w:w="2117" w:type="dxa"/>
            <w:tcBorders>
              <w:top w:val="single" w:sz="8" w:space="0" w:color="auto"/>
              <w:left w:val="single" w:sz="8" w:space="0" w:color="auto"/>
              <w:bottom w:val="single" w:sz="8" w:space="0" w:color="auto"/>
              <w:right w:val="nil"/>
            </w:tcBorders>
            <w:vAlign w:val="bottom"/>
          </w:tcPr>
          <w:p w14:paraId="05940BF3" w14:textId="77777777" w:rsidR="001446D1" w:rsidRPr="000C156A" w:rsidRDefault="001446D1" w:rsidP="001446D1">
            <w:pPr>
              <w:pStyle w:val="Tabletext"/>
              <w:jc w:val="center"/>
              <w:rPr>
                <w:b/>
                <w:bCs/>
              </w:rPr>
            </w:pPr>
            <w:r w:rsidRPr="000C156A">
              <w:rPr>
                <w:rFonts w:hint="eastAsia"/>
                <w:b/>
                <w:bCs/>
              </w:rPr>
              <w:t>盈余（赤字）</w:t>
            </w:r>
          </w:p>
        </w:tc>
        <w:tc>
          <w:tcPr>
            <w:tcW w:w="1842" w:type="dxa"/>
            <w:tcBorders>
              <w:top w:val="single" w:sz="8" w:space="0" w:color="auto"/>
              <w:left w:val="nil"/>
              <w:bottom w:val="single" w:sz="8" w:space="0" w:color="auto"/>
              <w:right w:val="nil"/>
            </w:tcBorders>
            <w:shd w:val="clear" w:color="auto" w:fill="auto"/>
            <w:noWrap/>
            <w:vAlign w:val="center"/>
            <w:hideMark/>
          </w:tcPr>
          <w:p w14:paraId="1B9B2479" w14:textId="1207EC36" w:rsidR="001446D1" w:rsidRPr="000C156A" w:rsidRDefault="001446D1" w:rsidP="001446D1">
            <w:pPr>
              <w:pStyle w:val="Tabletext"/>
              <w:jc w:val="right"/>
              <w:rPr>
                <w:rFonts w:asciiTheme="minorHAnsi" w:hAnsiTheme="minorHAnsi" w:cs="Arial"/>
                <w:b/>
                <w:bCs/>
                <w:color w:val="000000"/>
                <w:lang w:val="en-US" w:eastAsia="zh-CN"/>
              </w:rPr>
            </w:pPr>
            <w:r w:rsidRPr="00DC182C">
              <w:rPr>
                <w:rFonts w:asciiTheme="minorHAnsi" w:hAnsiTheme="minorHAnsi" w:cs="Arial"/>
                <w:b/>
                <w:bCs/>
                <w:color w:val="000000"/>
                <w:szCs w:val="24"/>
                <w:lang w:val="en-US" w:eastAsia="zh-CN"/>
              </w:rPr>
              <w:t>-</w:t>
            </w:r>
            <w:r>
              <w:rPr>
                <w:rFonts w:asciiTheme="minorHAnsi" w:hAnsiTheme="minorHAnsi" w:cs="Arial"/>
                <w:b/>
                <w:bCs/>
                <w:color w:val="000000"/>
                <w:szCs w:val="24"/>
                <w:lang w:val="en-US" w:eastAsia="zh-CN"/>
              </w:rPr>
              <w:t>14 858</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29D2FC77" w14:textId="1EC4036B" w:rsidR="001446D1" w:rsidRPr="000C156A" w:rsidRDefault="001446D1" w:rsidP="001446D1">
            <w:pPr>
              <w:pStyle w:val="Tabletext"/>
              <w:jc w:val="right"/>
              <w:rPr>
                <w:rFonts w:asciiTheme="minorHAnsi" w:hAnsiTheme="minorHAnsi" w:cs="Arial"/>
                <w:b/>
                <w:bCs/>
                <w:color w:val="000000"/>
                <w:lang w:val="en-US" w:eastAsia="zh-CN"/>
              </w:rPr>
            </w:pPr>
            <w:r w:rsidRPr="00DC182C">
              <w:rPr>
                <w:rFonts w:asciiTheme="minorHAnsi" w:hAnsiTheme="minorHAnsi" w:cs="Arial"/>
                <w:b/>
                <w:bCs/>
                <w:color w:val="000000"/>
                <w:szCs w:val="24"/>
                <w:lang w:val="en-US" w:eastAsia="zh-CN"/>
              </w:rPr>
              <w:t>-</w:t>
            </w:r>
            <w:r>
              <w:rPr>
                <w:rFonts w:asciiTheme="minorHAnsi" w:hAnsiTheme="minorHAnsi" w:cs="Arial"/>
                <w:b/>
                <w:bCs/>
                <w:color w:val="000000"/>
                <w:szCs w:val="24"/>
                <w:lang w:val="en-US" w:eastAsia="zh-CN"/>
              </w:rPr>
              <w:t>47 259</w:t>
            </w:r>
          </w:p>
        </w:tc>
      </w:tr>
      <w:tr w:rsidR="001446D1" w:rsidRPr="000C156A" w14:paraId="26F3F701" w14:textId="77777777" w:rsidTr="003A64C9">
        <w:trPr>
          <w:trHeight w:val="255"/>
          <w:jc w:val="center"/>
        </w:trPr>
        <w:tc>
          <w:tcPr>
            <w:tcW w:w="2117" w:type="dxa"/>
            <w:tcBorders>
              <w:top w:val="nil"/>
              <w:left w:val="single" w:sz="8" w:space="0" w:color="auto"/>
              <w:bottom w:val="nil"/>
              <w:right w:val="nil"/>
            </w:tcBorders>
            <w:vAlign w:val="bottom"/>
          </w:tcPr>
          <w:p w14:paraId="2172D842" w14:textId="77777777" w:rsidR="001446D1" w:rsidRPr="000C156A" w:rsidRDefault="001446D1" w:rsidP="001446D1">
            <w:pPr>
              <w:pStyle w:val="Tabletext"/>
              <w:jc w:val="center"/>
            </w:pPr>
            <w:r w:rsidRPr="000C156A">
              <w:rPr>
                <w:rFonts w:hint="eastAsia"/>
              </w:rPr>
              <w:t>资产</w:t>
            </w:r>
          </w:p>
        </w:tc>
        <w:tc>
          <w:tcPr>
            <w:tcW w:w="1842" w:type="dxa"/>
            <w:tcBorders>
              <w:top w:val="nil"/>
              <w:left w:val="nil"/>
              <w:bottom w:val="nil"/>
              <w:right w:val="nil"/>
            </w:tcBorders>
            <w:shd w:val="clear" w:color="auto" w:fill="auto"/>
            <w:noWrap/>
            <w:vAlign w:val="bottom"/>
            <w:hideMark/>
          </w:tcPr>
          <w:p w14:paraId="4DDF1645" w14:textId="53E32B41" w:rsidR="001446D1" w:rsidRPr="000C156A" w:rsidRDefault="001446D1" w:rsidP="001446D1">
            <w:pPr>
              <w:pStyle w:val="Tabletext"/>
              <w:jc w:val="right"/>
              <w:rPr>
                <w:rFonts w:asciiTheme="minorHAnsi" w:hAnsiTheme="minorHAnsi" w:cs="Arial"/>
                <w:color w:val="000000"/>
                <w:lang w:val="en-US" w:eastAsia="zh-CN"/>
              </w:rPr>
            </w:pPr>
            <w:r w:rsidRPr="00DC182C">
              <w:rPr>
                <w:rFonts w:asciiTheme="minorHAnsi" w:hAnsiTheme="minorHAnsi" w:cs="Arial"/>
                <w:color w:val="000000"/>
                <w:szCs w:val="24"/>
                <w:lang w:val="en-US" w:eastAsia="zh-CN"/>
              </w:rPr>
              <w:t>4</w:t>
            </w:r>
            <w:r>
              <w:rPr>
                <w:rFonts w:asciiTheme="minorHAnsi" w:hAnsiTheme="minorHAnsi" w:cs="Arial"/>
                <w:color w:val="000000"/>
                <w:szCs w:val="24"/>
                <w:lang w:val="en-US" w:eastAsia="zh-CN"/>
              </w:rPr>
              <w:t>24 943</w:t>
            </w:r>
          </w:p>
        </w:tc>
        <w:tc>
          <w:tcPr>
            <w:tcW w:w="2268" w:type="dxa"/>
            <w:tcBorders>
              <w:top w:val="nil"/>
              <w:left w:val="nil"/>
              <w:bottom w:val="nil"/>
              <w:right w:val="single" w:sz="8" w:space="0" w:color="auto"/>
            </w:tcBorders>
            <w:shd w:val="clear" w:color="auto" w:fill="auto"/>
            <w:noWrap/>
            <w:vAlign w:val="bottom"/>
            <w:hideMark/>
          </w:tcPr>
          <w:p w14:paraId="02663B0C" w14:textId="751DFA37" w:rsidR="001446D1" w:rsidRPr="000C156A" w:rsidRDefault="001446D1" w:rsidP="001446D1">
            <w:pPr>
              <w:pStyle w:val="Tabletext"/>
              <w:jc w:val="right"/>
              <w:rPr>
                <w:rFonts w:asciiTheme="minorHAnsi" w:hAnsiTheme="minorHAnsi" w:cs="Arial"/>
                <w:color w:val="000000"/>
                <w:lang w:val="en-US" w:eastAsia="zh-CN"/>
              </w:rPr>
            </w:pPr>
            <w:r w:rsidRPr="00DC182C">
              <w:rPr>
                <w:rFonts w:asciiTheme="minorHAnsi" w:hAnsiTheme="minorHAnsi" w:cs="Arial"/>
                <w:color w:val="000000"/>
                <w:szCs w:val="24"/>
                <w:lang w:val="en-US" w:eastAsia="zh-CN"/>
              </w:rPr>
              <w:t>4</w:t>
            </w:r>
            <w:r>
              <w:rPr>
                <w:rFonts w:asciiTheme="minorHAnsi" w:hAnsiTheme="minorHAnsi" w:cs="Arial"/>
                <w:color w:val="000000"/>
                <w:szCs w:val="24"/>
                <w:lang w:val="en-US" w:eastAsia="zh-CN"/>
              </w:rPr>
              <w:t>08 974</w:t>
            </w:r>
          </w:p>
        </w:tc>
      </w:tr>
      <w:tr w:rsidR="001446D1" w:rsidRPr="000C156A" w14:paraId="7941F4EE" w14:textId="77777777" w:rsidTr="003A64C9">
        <w:trPr>
          <w:trHeight w:val="255"/>
          <w:jc w:val="center"/>
        </w:trPr>
        <w:tc>
          <w:tcPr>
            <w:tcW w:w="2117" w:type="dxa"/>
            <w:tcBorders>
              <w:top w:val="nil"/>
              <w:left w:val="single" w:sz="8" w:space="0" w:color="auto"/>
              <w:bottom w:val="nil"/>
              <w:right w:val="nil"/>
            </w:tcBorders>
            <w:vAlign w:val="bottom"/>
          </w:tcPr>
          <w:p w14:paraId="7857AB51" w14:textId="77777777" w:rsidR="001446D1" w:rsidRPr="000C156A" w:rsidRDefault="001446D1" w:rsidP="001446D1">
            <w:pPr>
              <w:pStyle w:val="Tabletext"/>
              <w:jc w:val="center"/>
            </w:pPr>
            <w:r w:rsidRPr="000C156A">
              <w:rPr>
                <w:rFonts w:hint="eastAsia"/>
              </w:rPr>
              <w:t>负债</w:t>
            </w:r>
          </w:p>
        </w:tc>
        <w:tc>
          <w:tcPr>
            <w:tcW w:w="1842" w:type="dxa"/>
            <w:tcBorders>
              <w:top w:val="nil"/>
              <w:left w:val="nil"/>
              <w:bottom w:val="nil"/>
              <w:right w:val="nil"/>
            </w:tcBorders>
            <w:shd w:val="clear" w:color="auto" w:fill="auto"/>
            <w:noWrap/>
            <w:vAlign w:val="bottom"/>
            <w:hideMark/>
          </w:tcPr>
          <w:p w14:paraId="56543DFB" w14:textId="34EF8EB0" w:rsidR="001446D1" w:rsidRPr="000C156A" w:rsidRDefault="001446D1" w:rsidP="001446D1">
            <w:pPr>
              <w:pStyle w:val="Tabletext"/>
              <w:jc w:val="right"/>
              <w:rPr>
                <w:rFonts w:asciiTheme="minorHAnsi" w:hAnsiTheme="minorHAnsi" w:cs="Arial"/>
                <w:color w:val="000000"/>
                <w:lang w:val="en-US" w:eastAsia="zh-CN"/>
              </w:rPr>
            </w:pPr>
            <w:r>
              <w:rPr>
                <w:rFonts w:asciiTheme="minorHAnsi" w:hAnsiTheme="minorHAnsi" w:cs="Arial"/>
                <w:color w:val="000000"/>
                <w:szCs w:val="24"/>
                <w:lang w:val="en-US" w:eastAsia="zh-CN"/>
              </w:rPr>
              <w:t>838 654</w:t>
            </w:r>
            <w:r w:rsidRPr="00DC182C">
              <w:rPr>
                <w:rFonts w:asciiTheme="minorHAnsi" w:hAnsiTheme="minorHAnsi" w:cs="Arial"/>
                <w:color w:val="000000"/>
                <w:szCs w:val="24"/>
                <w:lang w:val="en-US" w:eastAsia="zh-CN"/>
              </w:rPr>
              <w:t xml:space="preserve"> </w:t>
            </w:r>
          </w:p>
        </w:tc>
        <w:tc>
          <w:tcPr>
            <w:tcW w:w="2268" w:type="dxa"/>
            <w:tcBorders>
              <w:top w:val="nil"/>
              <w:left w:val="nil"/>
              <w:bottom w:val="nil"/>
              <w:right w:val="single" w:sz="8" w:space="0" w:color="auto"/>
            </w:tcBorders>
            <w:shd w:val="clear" w:color="auto" w:fill="auto"/>
            <w:noWrap/>
            <w:vAlign w:val="bottom"/>
            <w:hideMark/>
          </w:tcPr>
          <w:p w14:paraId="78DAB440" w14:textId="267F917A" w:rsidR="001446D1" w:rsidRPr="000C156A" w:rsidRDefault="001446D1" w:rsidP="001446D1">
            <w:pPr>
              <w:pStyle w:val="Tabletext"/>
              <w:jc w:val="right"/>
              <w:rPr>
                <w:rFonts w:asciiTheme="minorHAnsi" w:hAnsiTheme="minorHAnsi" w:cs="Arial"/>
                <w:color w:val="000000"/>
                <w:lang w:val="en-US" w:eastAsia="zh-CN"/>
              </w:rPr>
            </w:pPr>
            <w:r>
              <w:rPr>
                <w:rFonts w:asciiTheme="minorHAnsi" w:hAnsiTheme="minorHAnsi" w:cs="Arial"/>
                <w:color w:val="000000"/>
                <w:szCs w:val="24"/>
                <w:lang w:val="en-US" w:eastAsia="zh-CN"/>
              </w:rPr>
              <w:t>909 543</w:t>
            </w:r>
            <w:r w:rsidRPr="00DC182C">
              <w:rPr>
                <w:rFonts w:asciiTheme="minorHAnsi" w:hAnsiTheme="minorHAnsi" w:cs="Arial"/>
                <w:color w:val="000000"/>
                <w:szCs w:val="24"/>
                <w:lang w:val="en-US" w:eastAsia="zh-CN"/>
              </w:rPr>
              <w:t xml:space="preserve"> </w:t>
            </w:r>
          </w:p>
        </w:tc>
      </w:tr>
      <w:tr w:rsidR="001446D1" w:rsidRPr="000C156A" w14:paraId="617E5D0F" w14:textId="77777777" w:rsidTr="003A64C9">
        <w:trPr>
          <w:trHeight w:val="270"/>
          <w:jc w:val="center"/>
        </w:trPr>
        <w:tc>
          <w:tcPr>
            <w:tcW w:w="2117" w:type="dxa"/>
            <w:tcBorders>
              <w:top w:val="single" w:sz="8" w:space="0" w:color="auto"/>
              <w:left w:val="single" w:sz="8" w:space="0" w:color="auto"/>
              <w:bottom w:val="single" w:sz="8" w:space="0" w:color="auto"/>
              <w:right w:val="nil"/>
            </w:tcBorders>
            <w:vAlign w:val="bottom"/>
          </w:tcPr>
          <w:p w14:paraId="725E4E10" w14:textId="77777777" w:rsidR="001446D1" w:rsidRPr="000C156A" w:rsidRDefault="001446D1" w:rsidP="001446D1">
            <w:pPr>
              <w:pStyle w:val="Tabletext"/>
              <w:jc w:val="center"/>
              <w:rPr>
                <w:b/>
                <w:bCs/>
              </w:rPr>
            </w:pPr>
            <w:r w:rsidRPr="000C156A">
              <w:rPr>
                <w:rFonts w:hint="eastAsia"/>
                <w:b/>
                <w:bCs/>
              </w:rPr>
              <w:t>净资产</w:t>
            </w:r>
          </w:p>
        </w:tc>
        <w:tc>
          <w:tcPr>
            <w:tcW w:w="1842" w:type="dxa"/>
            <w:tcBorders>
              <w:top w:val="single" w:sz="8" w:space="0" w:color="auto"/>
              <w:left w:val="nil"/>
              <w:bottom w:val="single" w:sz="8" w:space="0" w:color="auto"/>
              <w:right w:val="nil"/>
            </w:tcBorders>
            <w:shd w:val="clear" w:color="auto" w:fill="auto"/>
            <w:noWrap/>
            <w:vAlign w:val="center"/>
            <w:hideMark/>
          </w:tcPr>
          <w:p w14:paraId="26E5A28B" w14:textId="2BB288EC" w:rsidR="001446D1" w:rsidRPr="000C156A" w:rsidRDefault="001446D1" w:rsidP="001446D1">
            <w:pPr>
              <w:pStyle w:val="Tabletext"/>
              <w:jc w:val="right"/>
              <w:rPr>
                <w:rFonts w:asciiTheme="minorHAnsi" w:hAnsiTheme="minorHAnsi" w:cs="Arial"/>
                <w:b/>
                <w:bCs/>
                <w:color w:val="000000"/>
                <w:lang w:val="en-US" w:eastAsia="zh-CN"/>
              </w:rPr>
            </w:pPr>
            <w:r>
              <w:rPr>
                <w:rFonts w:asciiTheme="minorHAnsi" w:hAnsiTheme="minorHAnsi" w:cs="Arial"/>
                <w:b/>
                <w:bCs/>
                <w:color w:val="000000"/>
                <w:szCs w:val="24"/>
                <w:lang w:val="en-US" w:eastAsia="zh-CN"/>
              </w:rPr>
              <w:t>-413 711</w:t>
            </w:r>
            <w:r w:rsidRPr="00DC182C">
              <w:rPr>
                <w:rFonts w:asciiTheme="minorHAnsi" w:hAnsiTheme="minorHAnsi" w:cs="Arial"/>
                <w:b/>
                <w:bCs/>
                <w:color w:val="000000"/>
                <w:szCs w:val="24"/>
                <w:lang w:val="en-US" w:eastAsia="zh-CN"/>
              </w:rPr>
              <w:t xml:space="preserve"> </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5299632B" w14:textId="363DE06A" w:rsidR="001446D1" w:rsidRPr="000C156A" w:rsidRDefault="001446D1" w:rsidP="001446D1">
            <w:pPr>
              <w:pStyle w:val="Tabletext"/>
              <w:jc w:val="right"/>
              <w:rPr>
                <w:rFonts w:asciiTheme="minorHAnsi" w:hAnsiTheme="minorHAnsi" w:cs="Arial"/>
                <w:b/>
                <w:bCs/>
                <w:color w:val="000000"/>
                <w:lang w:val="en-US" w:eastAsia="zh-CN"/>
              </w:rPr>
            </w:pPr>
            <w:r>
              <w:rPr>
                <w:rFonts w:asciiTheme="minorHAnsi" w:hAnsiTheme="minorHAnsi" w:cs="Arial"/>
                <w:b/>
                <w:bCs/>
                <w:color w:val="000000"/>
                <w:szCs w:val="24"/>
                <w:lang w:val="en-US" w:eastAsia="zh-CN"/>
              </w:rPr>
              <w:t>-500 570</w:t>
            </w:r>
            <w:r w:rsidRPr="00DC182C">
              <w:rPr>
                <w:rFonts w:asciiTheme="minorHAnsi" w:hAnsiTheme="minorHAnsi" w:cs="Arial"/>
                <w:b/>
                <w:bCs/>
                <w:color w:val="000000"/>
                <w:szCs w:val="24"/>
                <w:lang w:val="en-US" w:eastAsia="zh-CN"/>
              </w:rPr>
              <w:t xml:space="preserve"> </w:t>
            </w:r>
          </w:p>
        </w:tc>
      </w:tr>
    </w:tbl>
    <w:p w14:paraId="47C4ECA1" w14:textId="173F63A1" w:rsidR="0085433F" w:rsidRPr="000C156A" w:rsidRDefault="004634A7" w:rsidP="009F0637">
      <w:pPr>
        <w:rPr>
          <w:lang w:eastAsia="zh-CN"/>
        </w:rPr>
      </w:pPr>
      <w:r>
        <w:rPr>
          <w:rFonts w:asciiTheme="minorHAnsi" w:eastAsia="Times New Roman" w:hAnsiTheme="minorHAnsi" w:cs="Calibri"/>
          <w:szCs w:val="24"/>
          <w:lang w:val="en-US" w:eastAsia="zh-CN"/>
        </w:rPr>
        <w:t>16</w:t>
      </w:r>
      <w:r w:rsidR="0085433F" w:rsidRPr="000C156A">
        <w:rPr>
          <w:rFonts w:asciiTheme="minorHAnsi" w:eastAsia="Times New Roman" w:hAnsiTheme="minorHAnsi" w:cs="Calibri"/>
          <w:szCs w:val="24"/>
          <w:lang w:val="en-US" w:eastAsia="zh-CN"/>
        </w:rPr>
        <w:tab/>
      </w:r>
      <w:r w:rsidR="0085433F" w:rsidRPr="000C156A">
        <w:rPr>
          <w:rFonts w:hint="eastAsia"/>
          <w:lang w:eastAsia="zh-CN"/>
        </w:rPr>
        <w:t>上表显示的财务结果包括折旧和离职后健康保险基金（</w:t>
      </w:r>
      <w:r w:rsidR="0085433F" w:rsidRPr="000C156A">
        <w:rPr>
          <w:lang w:eastAsia="zh-CN"/>
        </w:rPr>
        <w:t>ASHI</w:t>
      </w:r>
      <w:r w:rsidR="0085433F" w:rsidRPr="000C156A">
        <w:rPr>
          <w:lang w:eastAsia="zh-CN"/>
        </w:rPr>
        <w:t>）</w:t>
      </w:r>
      <w:r w:rsidR="0085433F" w:rsidRPr="000C156A">
        <w:rPr>
          <w:rFonts w:hint="eastAsia"/>
          <w:lang w:eastAsia="zh-CN"/>
        </w:rPr>
        <w:t>准备金调整等未列入预算的项目。根据</w:t>
      </w:r>
      <w:r w:rsidR="0085433F" w:rsidRPr="000C156A">
        <w:rPr>
          <w:lang w:eastAsia="zh-CN"/>
        </w:rPr>
        <w:t>IPSAS 24</w:t>
      </w:r>
      <w:r w:rsidR="0085433F" w:rsidRPr="000C156A">
        <w:rPr>
          <w:rFonts w:hint="eastAsia"/>
          <w:lang w:eastAsia="zh-CN"/>
        </w:rPr>
        <w:t>的要求，财务报表的表五提供了可比基础上的预算和实际数额的比较。</w:t>
      </w:r>
    </w:p>
    <w:p w14:paraId="68B6B0B5" w14:textId="09574366" w:rsidR="0085433F" w:rsidRPr="000C156A" w:rsidRDefault="0085433F" w:rsidP="009F0637">
      <w:pPr>
        <w:keepNext/>
        <w:rPr>
          <w:lang w:eastAsia="zh-CN"/>
        </w:rPr>
      </w:pPr>
      <w:r w:rsidRPr="000C156A">
        <w:rPr>
          <w:lang w:val="en-US" w:eastAsia="zh-CN"/>
        </w:rPr>
        <w:lastRenderedPageBreak/>
        <w:t>1</w:t>
      </w:r>
      <w:r w:rsidR="004634A7">
        <w:rPr>
          <w:lang w:val="en-US" w:eastAsia="zh-CN"/>
        </w:rPr>
        <w:t>7</w:t>
      </w:r>
      <w:r w:rsidRPr="000C156A">
        <w:rPr>
          <w:lang w:val="en-US" w:eastAsia="zh-CN"/>
        </w:rPr>
        <w:tab/>
      </w:r>
      <w:r w:rsidR="00670A38" w:rsidRPr="00670A38">
        <w:rPr>
          <w:rFonts w:hint="eastAsia"/>
          <w:lang w:val="en-US" w:eastAsia="zh-CN"/>
        </w:rPr>
        <w:t>国际电联</w:t>
      </w:r>
      <w:r w:rsidR="00670A38" w:rsidRPr="00670A38">
        <w:rPr>
          <w:rFonts w:hint="eastAsia"/>
          <w:lang w:val="en-US" w:eastAsia="zh-CN"/>
        </w:rPr>
        <w:t>2021</w:t>
      </w:r>
      <w:r w:rsidR="00670A38" w:rsidRPr="00670A38">
        <w:rPr>
          <w:rFonts w:hint="eastAsia"/>
          <w:lang w:val="en-US" w:eastAsia="zh-CN"/>
        </w:rPr>
        <w:t>年的预算盈余为</w:t>
      </w:r>
      <w:r w:rsidR="00670A38" w:rsidRPr="00670A38">
        <w:rPr>
          <w:rFonts w:hint="eastAsia"/>
          <w:lang w:val="en-US" w:eastAsia="zh-CN"/>
        </w:rPr>
        <w:t>366</w:t>
      </w:r>
      <w:r w:rsidR="00670A38" w:rsidRPr="00670A38">
        <w:rPr>
          <w:rFonts w:hint="eastAsia"/>
          <w:lang w:val="en-US" w:eastAsia="zh-CN"/>
        </w:rPr>
        <w:t>万瑞郎。</w:t>
      </w:r>
    </w:p>
    <w:p w14:paraId="1363CE90" w14:textId="77777777" w:rsidR="004634A7" w:rsidRPr="00FE30D6" w:rsidRDefault="004634A7" w:rsidP="002E009D">
      <w:pPr>
        <w:pStyle w:val="ListParagraph"/>
        <w:keepNext/>
        <w:keepLines/>
        <w:rPr>
          <w:rFonts w:cs="Calibri"/>
          <w:lang w:eastAsia="zh-CN"/>
        </w:rPr>
      </w:pPr>
    </w:p>
    <w:tbl>
      <w:tblPr>
        <w:tblW w:w="6580" w:type="dxa"/>
        <w:jc w:val="center"/>
        <w:tblLook w:val="04A0" w:firstRow="1" w:lastRow="0" w:firstColumn="1" w:lastColumn="0" w:noHBand="0" w:noVBand="1"/>
      </w:tblPr>
      <w:tblGrid>
        <w:gridCol w:w="4784"/>
        <w:gridCol w:w="1796"/>
      </w:tblGrid>
      <w:tr w:rsidR="004634A7" w:rsidRPr="001D233F" w14:paraId="2A33A22F" w14:textId="77777777" w:rsidTr="003A64C9">
        <w:trPr>
          <w:trHeight w:val="435"/>
          <w:jc w:val="center"/>
        </w:trPr>
        <w:tc>
          <w:tcPr>
            <w:tcW w:w="6580"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6F82F18" w14:textId="4B996A91" w:rsidR="004634A7" w:rsidRPr="001D233F" w:rsidRDefault="00670A38" w:rsidP="002E009D">
            <w:pPr>
              <w:keepNext/>
              <w:keepLines/>
              <w:overflowPunct/>
              <w:autoSpaceDE/>
              <w:autoSpaceDN/>
              <w:adjustRightInd/>
              <w:spacing w:before="0"/>
              <w:textAlignment w:val="auto"/>
              <w:rPr>
                <w:rFonts w:cs="Calibri"/>
                <w:b/>
                <w:bCs/>
                <w:color w:val="000000"/>
                <w:sz w:val="32"/>
                <w:szCs w:val="32"/>
                <w:lang w:eastAsia="en-GB"/>
              </w:rPr>
            </w:pPr>
            <w:r w:rsidRPr="00670A38">
              <w:rPr>
                <w:rFonts w:cs="Calibri" w:hint="eastAsia"/>
                <w:b/>
                <w:bCs/>
                <w:color w:val="000000"/>
                <w:sz w:val="32"/>
                <w:szCs w:val="32"/>
                <w:lang w:eastAsia="en-GB"/>
              </w:rPr>
              <w:t>2021</w:t>
            </w:r>
            <w:r w:rsidRPr="00670A38">
              <w:rPr>
                <w:rFonts w:cs="Calibri" w:hint="eastAsia"/>
                <w:b/>
                <w:bCs/>
                <w:color w:val="000000"/>
                <w:sz w:val="32"/>
                <w:szCs w:val="32"/>
                <w:lang w:eastAsia="en-GB"/>
              </w:rPr>
              <w:t>年预算执行盈余</w:t>
            </w:r>
          </w:p>
        </w:tc>
      </w:tr>
      <w:tr w:rsidR="004634A7" w:rsidRPr="001D233F" w14:paraId="0C89A6BE" w14:textId="77777777" w:rsidTr="003A64C9">
        <w:trPr>
          <w:trHeight w:val="435"/>
          <w:jc w:val="center"/>
        </w:trPr>
        <w:tc>
          <w:tcPr>
            <w:tcW w:w="4784" w:type="dxa"/>
            <w:tcBorders>
              <w:top w:val="nil"/>
              <w:left w:val="single" w:sz="4" w:space="0" w:color="auto"/>
              <w:bottom w:val="nil"/>
              <w:right w:val="single" w:sz="8" w:space="0" w:color="auto"/>
            </w:tcBorders>
            <w:shd w:val="clear" w:color="auto" w:fill="auto"/>
            <w:noWrap/>
            <w:vAlign w:val="center"/>
            <w:hideMark/>
          </w:tcPr>
          <w:p w14:paraId="19E19F4C" w14:textId="77777777" w:rsidR="004634A7" w:rsidRPr="001D233F" w:rsidRDefault="004634A7" w:rsidP="002E009D">
            <w:pPr>
              <w:keepNext/>
              <w:keepLines/>
              <w:overflowPunct/>
              <w:autoSpaceDE/>
              <w:autoSpaceDN/>
              <w:adjustRightInd/>
              <w:spacing w:before="0"/>
              <w:jc w:val="center"/>
              <w:textAlignment w:val="auto"/>
              <w:rPr>
                <w:rFonts w:cs="Calibri"/>
                <w:b/>
                <w:bCs/>
                <w:color w:val="000000"/>
                <w:sz w:val="32"/>
                <w:szCs w:val="32"/>
                <w:lang w:eastAsia="en-GB"/>
              </w:rPr>
            </w:pPr>
            <w:r w:rsidRPr="001D233F">
              <w:rPr>
                <w:rFonts w:cs="Calibri"/>
                <w:b/>
                <w:bCs/>
                <w:color w:val="000000"/>
                <w:sz w:val="32"/>
                <w:szCs w:val="32"/>
                <w:lang w:eastAsia="en-GB"/>
              </w:rPr>
              <w:t> </w:t>
            </w:r>
          </w:p>
        </w:tc>
        <w:tc>
          <w:tcPr>
            <w:tcW w:w="1796" w:type="dxa"/>
            <w:tcBorders>
              <w:top w:val="nil"/>
              <w:left w:val="nil"/>
              <w:bottom w:val="single" w:sz="8" w:space="0" w:color="auto"/>
              <w:right w:val="single" w:sz="4" w:space="0" w:color="auto"/>
            </w:tcBorders>
            <w:shd w:val="clear" w:color="auto" w:fill="auto"/>
            <w:noWrap/>
            <w:vAlign w:val="center"/>
            <w:hideMark/>
          </w:tcPr>
          <w:p w14:paraId="7FA8DF40" w14:textId="06E26F2E" w:rsidR="004634A7" w:rsidRPr="00670A38" w:rsidRDefault="00670A38" w:rsidP="002E009D">
            <w:pPr>
              <w:keepNext/>
              <w:keepLines/>
              <w:overflowPunct/>
              <w:autoSpaceDE/>
              <w:autoSpaceDN/>
              <w:adjustRightInd/>
              <w:spacing w:before="0"/>
              <w:jc w:val="center"/>
              <w:textAlignment w:val="auto"/>
              <w:rPr>
                <w:rFonts w:ascii="STKaiti" w:eastAsia="STKaiti" w:hAnsi="STKaiti" w:cs="Calibri"/>
                <w:b/>
                <w:bCs/>
                <w:color w:val="000000"/>
                <w:sz w:val="22"/>
                <w:szCs w:val="22"/>
                <w:lang w:eastAsia="en-GB"/>
              </w:rPr>
            </w:pPr>
            <w:r w:rsidRPr="00670A38">
              <w:rPr>
                <w:rFonts w:ascii="STKaiti" w:eastAsia="STKaiti" w:hAnsi="STKaiti" w:cs="Calibri" w:hint="eastAsia"/>
                <w:b/>
                <w:bCs/>
                <w:color w:val="000000"/>
                <w:sz w:val="22"/>
                <w:szCs w:val="22"/>
                <w:lang w:eastAsia="zh-CN"/>
              </w:rPr>
              <w:t>瑞郎</w:t>
            </w:r>
          </w:p>
        </w:tc>
      </w:tr>
      <w:tr w:rsidR="004634A7" w:rsidRPr="001D233F" w14:paraId="5E4DAB02" w14:textId="77777777" w:rsidTr="003A64C9">
        <w:trPr>
          <w:trHeight w:val="315"/>
          <w:jc w:val="center"/>
        </w:trPr>
        <w:tc>
          <w:tcPr>
            <w:tcW w:w="4784" w:type="dxa"/>
            <w:tcBorders>
              <w:top w:val="single" w:sz="8" w:space="0" w:color="auto"/>
              <w:left w:val="single" w:sz="4" w:space="0" w:color="auto"/>
              <w:bottom w:val="single" w:sz="8" w:space="0" w:color="auto"/>
              <w:right w:val="single" w:sz="8" w:space="0" w:color="auto"/>
            </w:tcBorders>
            <w:shd w:val="clear" w:color="000000" w:fill="D9E1F2"/>
            <w:noWrap/>
            <w:vAlign w:val="center"/>
            <w:hideMark/>
          </w:tcPr>
          <w:p w14:paraId="17CE90AE" w14:textId="49BEE31E" w:rsidR="004634A7" w:rsidRPr="001D233F" w:rsidRDefault="00670A38" w:rsidP="002E009D">
            <w:pPr>
              <w:keepNext/>
              <w:keepLines/>
              <w:overflowPunct/>
              <w:autoSpaceDE/>
              <w:autoSpaceDN/>
              <w:adjustRightInd/>
              <w:spacing w:before="0"/>
              <w:textAlignment w:val="auto"/>
              <w:rPr>
                <w:rFonts w:cs="Calibri"/>
                <w:b/>
                <w:bCs/>
                <w:color w:val="000000"/>
                <w:sz w:val="22"/>
                <w:szCs w:val="22"/>
                <w:lang w:eastAsia="en-GB"/>
              </w:rPr>
            </w:pPr>
            <w:r w:rsidRPr="00670A38">
              <w:rPr>
                <w:rFonts w:cs="Calibri" w:hint="eastAsia"/>
                <w:b/>
                <w:bCs/>
                <w:color w:val="000000"/>
                <w:sz w:val="22"/>
                <w:szCs w:val="22"/>
                <w:lang w:eastAsia="en-GB"/>
              </w:rPr>
              <w:t>2021</w:t>
            </w:r>
            <w:r w:rsidRPr="00670A38">
              <w:rPr>
                <w:rFonts w:cs="Calibri" w:hint="eastAsia"/>
                <w:b/>
                <w:bCs/>
                <w:color w:val="000000"/>
                <w:sz w:val="22"/>
                <w:szCs w:val="22"/>
                <w:lang w:eastAsia="en-GB"/>
              </w:rPr>
              <w:t>年盈余</w:t>
            </w:r>
          </w:p>
        </w:tc>
        <w:tc>
          <w:tcPr>
            <w:tcW w:w="1796" w:type="dxa"/>
            <w:tcBorders>
              <w:top w:val="single" w:sz="8" w:space="0" w:color="auto"/>
              <w:left w:val="nil"/>
              <w:bottom w:val="single" w:sz="8" w:space="0" w:color="auto"/>
              <w:right w:val="single" w:sz="4" w:space="0" w:color="auto"/>
            </w:tcBorders>
            <w:shd w:val="clear" w:color="000000" w:fill="D9E1F2"/>
            <w:noWrap/>
            <w:vAlign w:val="center"/>
            <w:hideMark/>
          </w:tcPr>
          <w:p w14:paraId="6A912BE4" w14:textId="7D764D32" w:rsidR="004634A7" w:rsidRPr="001D233F" w:rsidRDefault="004634A7" w:rsidP="002E009D">
            <w:pPr>
              <w:keepNext/>
              <w:keepLines/>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3</w:t>
            </w:r>
            <w:r w:rsidR="002E009D">
              <w:rPr>
                <w:rFonts w:cs="Calibri"/>
                <w:b/>
                <w:bCs/>
                <w:color w:val="000000"/>
                <w:sz w:val="22"/>
                <w:szCs w:val="22"/>
                <w:lang w:eastAsia="en-GB"/>
              </w:rPr>
              <w:t> </w:t>
            </w:r>
            <w:r>
              <w:rPr>
                <w:rFonts w:cs="Calibri"/>
                <w:b/>
                <w:bCs/>
                <w:color w:val="000000"/>
                <w:sz w:val="22"/>
                <w:szCs w:val="22"/>
                <w:lang w:eastAsia="en-GB"/>
              </w:rPr>
              <w:t>665</w:t>
            </w:r>
            <w:r w:rsidR="002E009D">
              <w:rPr>
                <w:rFonts w:cs="Calibri"/>
                <w:b/>
                <w:bCs/>
                <w:color w:val="000000"/>
                <w:sz w:val="22"/>
                <w:szCs w:val="22"/>
                <w:lang w:eastAsia="en-GB"/>
              </w:rPr>
              <w:t> </w:t>
            </w:r>
            <w:r>
              <w:rPr>
                <w:rFonts w:cs="Calibri"/>
                <w:b/>
                <w:bCs/>
                <w:color w:val="000000"/>
                <w:sz w:val="22"/>
                <w:szCs w:val="22"/>
                <w:lang w:eastAsia="en-GB"/>
              </w:rPr>
              <w:t>716</w:t>
            </w:r>
            <w:r w:rsidRPr="001D233F">
              <w:rPr>
                <w:rFonts w:cs="Calibri"/>
                <w:b/>
                <w:bCs/>
                <w:color w:val="000000"/>
                <w:sz w:val="22"/>
                <w:szCs w:val="22"/>
                <w:lang w:eastAsia="en-GB"/>
              </w:rPr>
              <w:t xml:space="preserve"> </w:t>
            </w:r>
          </w:p>
        </w:tc>
      </w:tr>
      <w:tr w:rsidR="004634A7" w:rsidRPr="001D233F" w14:paraId="02B6B9D1" w14:textId="77777777" w:rsidTr="003A64C9">
        <w:trPr>
          <w:trHeight w:val="315"/>
          <w:jc w:val="center"/>
        </w:trPr>
        <w:tc>
          <w:tcPr>
            <w:tcW w:w="4784" w:type="dxa"/>
            <w:tcBorders>
              <w:top w:val="nil"/>
              <w:left w:val="single" w:sz="4" w:space="0" w:color="auto"/>
              <w:bottom w:val="single" w:sz="8" w:space="0" w:color="auto"/>
              <w:right w:val="single" w:sz="8" w:space="0" w:color="auto"/>
            </w:tcBorders>
            <w:shd w:val="clear" w:color="auto" w:fill="auto"/>
            <w:noWrap/>
            <w:vAlign w:val="center"/>
            <w:hideMark/>
          </w:tcPr>
          <w:p w14:paraId="64A65C1E" w14:textId="474D2544" w:rsidR="004634A7" w:rsidRPr="001D233F" w:rsidRDefault="00670A38" w:rsidP="002E009D">
            <w:pPr>
              <w:keepNext/>
              <w:keepLines/>
              <w:overflowPunct/>
              <w:autoSpaceDE/>
              <w:autoSpaceDN/>
              <w:adjustRightInd/>
              <w:spacing w:before="0"/>
              <w:textAlignment w:val="auto"/>
              <w:rPr>
                <w:rFonts w:cs="Calibri"/>
                <w:color w:val="000000"/>
                <w:sz w:val="22"/>
                <w:szCs w:val="22"/>
                <w:lang w:eastAsia="en-GB"/>
              </w:rPr>
            </w:pPr>
            <w:r w:rsidRPr="00670A38">
              <w:rPr>
                <w:rFonts w:cs="Calibri" w:hint="eastAsia"/>
                <w:color w:val="000000"/>
                <w:sz w:val="22"/>
                <w:szCs w:val="22"/>
                <w:lang w:eastAsia="en-GB"/>
              </w:rPr>
              <w:t>前一年的可用结余</w:t>
            </w:r>
          </w:p>
        </w:tc>
        <w:tc>
          <w:tcPr>
            <w:tcW w:w="1796" w:type="dxa"/>
            <w:tcBorders>
              <w:top w:val="nil"/>
              <w:left w:val="nil"/>
              <w:bottom w:val="single" w:sz="8" w:space="0" w:color="auto"/>
              <w:right w:val="single" w:sz="4" w:space="0" w:color="auto"/>
            </w:tcBorders>
            <w:shd w:val="clear" w:color="auto" w:fill="auto"/>
            <w:noWrap/>
            <w:vAlign w:val="center"/>
            <w:hideMark/>
          </w:tcPr>
          <w:p w14:paraId="5D28D66B" w14:textId="021C8AB3" w:rsidR="004634A7" w:rsidRPr="00F710B1" w:rsidRDefault="004634A7" w:rsidP="002E009D">
            <w:pPr>
              <w:keepNext/>
              <w:keepLines/>
              <w:overflowPunct/>
              <w:autoSpaceDE/>
              <w:autoSpaceDN/>
              <w:adjustRightInd/>
              <w:spacing w:before="0"/>
              <w:jc w:val="right"/>
              <w:textAlignment w:val="auto"/>
              <w:rPr>
                <w:rFonts w:cs="Calibri"/>
                <w:b/>
                <w:bCs/>
                <w:color w:val="000000"/>
                <w:sz w:val="22"/>
                <w:szCs w:val="22"/>
                <w:lang w:eastAsia="en-GB"/>
              </w:rPr>
            </w:pPr>
            <w:r w:rsidRPr="00F710B1">
              <w:rPr>
                <w:rFonts w:cs="Calibri"/>
                <w:b/>
                <w:bCs/>
                <w:color w:val="000000"/>
                <w:sz w:val="22"/>
                <w:szCs w:val="22"/>
                <w:lang w:eastAsia="en-GB"/>
              </w:rPr>
              <w:t>1</w:t>
            </w:r>
            <w:r w:rsidR="002E009D">
              <w:rPr>
                <w:rFonts w:cs="Calibri"/>
                <w:b/>
                <w:bCs/>
                <w:color w:val="000000"/>
                <w:sz w:val="22"/>
                <w:szCs w:val="22"/>
                <w:lang w:eastAsia="en-GB"/>
              </w:rPr>
              <w:t> </w:t>
            </w:r>
            <w:r w:rsidRPr="00F710B1">
              <w:rPr>
                <w:rFonts w:cs="Calibri"/>
                <w:b/>
                <w:bCs/>
                <w:color w:val="000000"/>
                <w:sz w:val="22"/>
                <w:szCs w:val="22"/>
                <w:lang w:eastAsia="en-GB"/>
              </w:rPr>
              <w:t>230</w:t>
            </w:r>
            <w:r w:rsidR="002E009D">
              <w:rPr>
                <w:rFonts w:cs="Calibri"/>
                <w:b/>
                <w:bCs/>
                <w:color w:val="000000"/>
                <w:sz w:val="22"/>
                <w:szCs w:val="22"/>
                <w:lang w:eastAsia="en-GB"/>
              </w:rPr>
              <w:t> </w:t>
            </w:r>
            <w:r w:rsidRPr="00F710B1">
              <w:rPr>
                <w:rFonts w:cs="Calibri"/>
                <w:b/>
                <w:bCs/>
                <w:color w:val="000000"/>
                <w:sz w:val="22"/>
                <w:szCs w:val="22"/>
                <w:lang w:eastAsia="en-GB"/>
              </w:rPr>
              <w:t>240</w:t>
            </w:r>
          </w:p>
        </w:tc>
      </w:tr>
      <w:tr w:rsidR="004634A7" w:rsidRPr="001D233F" w14:paraId="602B9A15" w14:textId="77777777" w:rsidTr="003A64C9">
        <w:trPr>
          <w:trHeight w:val="315"/>
          <w:jc w:val="center"/>
        </w:trPr>
        <w:tc>
          <w:tcPr>
            <w:tcW w:w="478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7032C77" w14:textId="3A4B7EFF" w:rsidR="004634A7" w:rsidRPr="00F710B1" w:rsidRDefault="004634A7" w:rsidP="002E009D">
            <w:pPr>
              <w:keepNext/>
              <w:keepLines/>
              <w:overflowPunct/>
              <w:autoSpaceDE/>
              <w:autoSpaceDN/>
              <w:adjustRightInd/>
              <w:spacing w:before="0"/>
              <w:textAlignment w:val="auto"/>
              <w:rPr>
                <w:rFonts w:cs="Calibri"/>
                <w:b/>
                <w:bCs/>
                <w:color w:val="000000"/>
                <w:sz w:val="22"/>
                <w:szCs w:val="22"/>
                <w:lang w:eastAsia="en-GB"/>
              </w:rPr>
            </w:pPr>
            <w:r w:rsidRPr="00F710B1">
              <w:rPr>
                <w:rFonts w:cs="Calibri"/>
                <w:b/>
                <w:bCs/>
                <w:color w:val="000000"/>
                <w:sz w:val="22"/>
                <w:szCs w:val="22"/>
                <w:lang w:eastAsia="en-GB"/>
              </w:rPr>
              <w:t> </w:t>
            </w:r>
            <w:r w:rsidR="00A22C81">
              <w:rPr>
                <w:rFonts w:cs="Calibri" w:hint="eastAsia"/>
                <w:b/>
                <w:bCs/>
                <w:color w:val="000000"/>
                <w:sz w:val="22"/>
                <w:szCs w:val="22"/>
                <w:lang w:eastAsia="zh-CN"/>
              </w:rPr>
              <w:t>可分配数额</w:t>
            </w:r>
          </w:p>
        </w:tc>
        <w:tc>
          <w:tcPr>
            <w:tcW w:w="1796" w:type="dxa"/>
            <w:tcBorders>
              <w:top w:val="single" w:sz="8" w:space="0" w:color="auto"/>
              <w:left w:val="nil"/>
              <w:bottom w:val="single" w:sz="4" w:space="0" w:color="auto"/>
              <w:right w:val="single" w:sz="4" w:space="0" w:color="auto"/>
            </w:tcBorders>
            <w:shd w:val="clear" w:color="auto" w:fill="auto"/>
            <w:noWrap/>
            <w:vAlign w:val="center"/>
            <w:hideMark/>
          </w:tcPr>
          <w:p w14:paraId="0FCDAB26" w14:textId="644222C4" w:rsidR="004634A7" w:rsidRPr="001D233F" w:rsidRDefault="004634A7" w:rsidP="002E009D">
            <w:pPr>
              <w:keepNext/>
              <w:keepLines/>
              <w:overflowPunct/>
              <w:autoSpaceDE/>
              <w:autoSpaceDN/>
              <w:adjustRightInd/>
              <w:spacing w:before="0"/>
              <w:jc w:val="right"/>
              <w:textAlignment w:val="auto"/>
              <w:rPr>
                <w:rFonts w:cs="Calibri"/>
                <w:b/>
                <w:bCs/>
                <w:color w:val="000000"/>
                <w:sz w:val="22"/>
                <w:szCs w:val="22"/>
                <w:lang w:eastAsia="en-GB"/>
              </w:rPr>
            </w:pPr>
            <w:r w:rsidRPr="00F710B1">
              <w:rPr>
                <w:rFonts w:cs="Calibri"/>
                <w:b/>
                <w:bCs/>
                <w:color w:val="000000"/>
                <w:sz w:val="22"/>
                <w:szCs w:val="22"/>
                <w:lang w:eastAsia="en-GB"/>
              </w:rPr>
              <w:t>4</w:t>
            </w:r>
            <w:r w:rsidR="002E009D">
              <w:rPr>
                <w:rFonts w:cs="Calibri"/>
                <w:b/>
                <w:bCs/>
                <w:color w:val="000000"/>
                <w:sz w:val="22"/>
                <w:szCs w:val="22"/>
                <w:lang w:eastAsia="en-GB"/>
              </w:rPr>
              <w:t> </w:t>
            </w:r>
            <w:r w:rsidRPr="00F710B1">
              <w:rPr>
                <w:rFonts w:cs="Calibri"/>
                <w:b/>
                <w:bCs/>
                <w:color w:val="000000"/>
                <w:sz w:val="22"/>
                <w:szCs w:val="22"/>
                <w:lang w:eastAsia="en-GB"/>
              </w:rPr>
              <w:t>895</w:t>
            </w:r>
            <w:r w:rsidR="002E009D">
              <w:rPr>
                <w:rFonts w:cs="Calibri"/>
                <w:b/>
                <w:bCs/>
                <w:color w:val="000000"/>
                <w:sz w:val="22"/>
                <w:szCs w:val="22"/>
                <w:lang w:eastAsia="en-GB"/>
              </w:rPr>
              <w:t> </w:t>
            </w:r>
            <w:r w:rsidRPr="00F710B1">
              <w:rPr>
                <w:rFonts w:cs="Calibri"/>
                <w:b/>
                <w:bCs/>
                <w:color w:val="000000"/>
                <w:sz w:val="22"/>
                <w:szCs w:val="22"/>
                <w:lang w:eastAsia="en-GB"/>
              </w:rPr>
              <w:t>956</w:t>
            </w:r>
          </w:p>
        </w:tc>
      </w:tr>
      <w:tr w:rsidR="004634A7" w:rsidRPr="001D233F" w14:paraId="5D763C03" w14:textId="77777777" w:rsidTr="003A64C9">
        <w:trPr>
          <w:trHeight w:val="300"/>
          <w:jc w:val="center"/>
        </w:trPr>
        <w:tc>
          <w:tcPr>
            <w:tcW w:w="4784" w:type="dxa"/>
            <w:tcBorders>
              <w:top w:val="single" w:sz="4" w:space="0" w:color="auto"/>
              <w:left w:val="single" w:sz="4" w:space="0" w:color="auto"/>
              <w:bottom w:val="nil"/>
              <w:right w:val="single" w:sz="8" w:space="0" w:color="auto"/>
            </w:tcBorders>
            <w:shd w:val="clear" w:color="000000" w:fill="E2EFDA"/>
            <w:noWrap/>
            <w:vAlign w:val="center"/>
            <w:hideMark/>
          </w:tcPr>
          <w:p w14:paraId="03C30A33" w14:textId="5FFFBF6F" w:rsidR="004634A7" w:rsidRPr="001D233F" w:rsidRDefault="00A22C81" w:rsidP="002E009D">
            <w:pPr>
              <w:keepNext/>
              <w:keepLines/>
              <w:overflowPunct/>
              <w:autoSpaceDE/>
              <w:autoSpaceDN/>
              <w:adjustRightInd/>
              <w:spacing w:before="0"/>
              <w:textAlignment w:val="auto"/>
              <w:rPr>
                <w:rFonts w:cs="Calibri"/>
                <w:color w:val="000000"/>
                <w:sz w:val="22"/>
                <w:szCs w:val="22"/>
                <w:lang w:eastAsia="en-GB"/>
              </w:rPr>
            </w:pPr>
            <w:r w:rsidRPr="00A22C81">
              <w:rPr>
                <w:rFonts w:cs="Calibri" w:hint="eastAsia"/>
                <w:color w:val="000000"/>
                <w:sz w:val="22"/>
                <w:szCs w:val="22"/>
                <w:lang w:eastAsia="en-GB"/>
              </w:rPr>
              <w:t>第</w:t>
            </w:r>
            <w:r w:rsidRPr="00A22C81">
              <w:rPr>
                <w:rFonts w:cs="Calibri" w:hint="eastAsia"/>
                <w:color w:val="000000"/>
                <w:sz w:val="22"/>
                <w:szCs w:val="22"/>
                <w:lang w:eastAsia="en-GB"/>
              </w:rPr>
              <w:t>1405</w:t>
            </w:r>
            <w:r w:rsidRPr="00A22C81">
              <w:rPr>
                <w:rFonts w:cs="Calibri" w:hint="eastAsia"/>
                <w:color w:val="000000"/>
                <w:sz w:val="22"/>
                <w:szCs w:val="22"/>
                <w:lang w:eastAsia="en-GB"/>
              </w:rPr>
              <w:t>号决议</w:t>
            </w:r>
            <w:r>
              <w:rPr>
                <w:rFonts w:cs="Calibri" w:hint="eastAsia"/>
                <w:color w:val="000000"/>
                <w:sz w:val="22"/>
                <w:szCs w:val="22"/>
                <w:lang w:eastAsia="zh-CN"/>
              </w:rPr>
              <w:t>：</w:t>
            </w:r>
          </w:p>
        </w:tc>
        <w:tc>
          <w:tcPr>
            <w:tcW w:w="1796" w:type="dxa"/>
            <w:tcBorders>
              <w:top w:val="single" w:sz="4" w:space="0" w:color="auto"/>
              <w:left w:val="nil"/>
              <w:bottom w:val="nil"/>
              <w:right w:val="single" w:sz="4" w:space="0" w:color="auto"/>
            </w:tcBorders>
            <w:shd w:val="clear" w:color="000000" w:fill="E2EFDA"/>
            <w:noWrap/>
            <w:vAlign w:val="center"/>
            <w:hideMark/>
          </w:tcPr>
          <w:p w14:paraId="6C6AEF96" w14:textId="1E1AE2A7" w:rsidR="004634A7" w:rsidRPr="001D233F" w:rsidRDefault="004634A7" w:rsidP="002E009D">
            <w:pPr>
              <w:keepNext/>
              <w:keepLines/>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3</w:t>
            </w:r>
            <w:r w:rsidR="002E009D">
              <w:rPr>
                <w:rFonts w:cs="Calibri"/>
                <w:color w:val="000000"/>
                <w:sz w:val="22"/>
                <w:szCs w:val="22"/>
                <w:lang w:eastAsia="en-GB"/>
              </w:rPr>
              <w:t> </w:t>
            </w:r>
            <w:r>
              <w:rPr>
                <w:rFonts w:cs="Calibri"/>
                <w:color w:val="000000"/>
                <w:sz w:val="22"/>
                <w:szCs w:val="22"/>
                <w:lang w:eastAsia="en-GB"/>
              </w:rPr>
              <w:t>766</w:t>
            </w:r>
            <w:r w:rsidR="002E009D">
              <w:rPr>
                <w:rFonts w:cs="Calibri"/>
                <w:color w:val="000000"/>
                <w:sz w:val="22"/>
                <w:szCs w:val="22"/>
                <w:lang w:eastAsia="en-GB"/>
              </w:rPr>
              <w:t> </w:t>
            </w:r>
            <w:r w:rsidRPr="001D233F">
              <w:rPr>
                <w:rFonts w:cs="Calibri"/>
                <w:color w:val="000000"/>
                <w:sz w:val="22"/>
                <w:szCs w:val="22"/>
                <w:lang w:eastAsia="en-GB"/>
              </w:rPr>
              <w:t>000</w:t>
            </w:r>
          </w:p>
        </w:tc>
      </w:tr>
      <w:tr w:rsidR="004634A7" w:rsidRPr="001D233F" w14:paraId="5BD24A1D" w14:textId="77777777" w:rsidTr="003A64C9">
        <w:trPr>
          <w:trHeight w:val="300"/>
          <w:jc w:val="center"/>
        </w:trPr>
        <w:tc>
          <w:tcPr>
            <w:tcW w:w="4784" w:type="dxa"/>
            <w:tcBorders>
              <w:top w:val="nil"/>
              <w:left w:val="single" w:sz="4" w:space="0" w:color="auto"/>
              <w:bottom w:val="nil"/>
              <w:right w:val="single" w:sz="8" w:space="0" w:color="auto"/>
            </w:tcBorders>
            <w:shd w:val="clear" w:color="000000" w:fill="E2EFDA"/>
            <w:noWrap/>
            <w:vAlign w:val="center"/>
            <w:hideMark/>
          </w:tcPr>
          <w:p w14:paraId="1BE915EF" w14:textId="699517C8" w:rsidR="004634A7" w:rsidRPr="001D233F" w:rsidRDefault="00A22C81" w:rsidP="002E009D">
            <w:pPr>
              <w:keepNext/>
              <w:keepLines/>
              <w:overflowPunct/>
              <w:autoSpaceDE/>
              <w:autoSpaceDN/>
              <w:adjustRightInd/>
              <w:spacing w:before="0"/>
              <w:textAlignment w:val="auto"/>
              <w:rPr>
                <w:rFonts w:cs="Calibri"/>
                <w:color w:val="000000"/>
                <w:sz w:val="22"/>
                <w:szCs w:val="22"/>
                <w:lang w:eastAsia="zh-CN"/>
              </w:rPr>
            </w:pPr>
            <w:r w:rsidRPr="00A22C81">
              <w:rPr>
                <w:rFonts w:cs="Calibri" w:hint="eastAsia"/>
                <w:color w:val="000000"/>
                <w:sz w:val="22"/>
                <w:szCs w:val="22"/>
                <w:lang w:eastAsia="zh-CN"/>
              </w:rPr>
              <w:t>第</w:t>
            </w:r>
            <w:r w:rsidRPr="00A22C81">
              <w:rPr>
                <w:rFonts w:cs="Calibri" w:hint="eastAsia"/>
                <w:color w:val="000000"/>
                <w:sz w:val="22"/>
                <w:szCs w:val="22"/>
                <w:lang w:eastAsia="zh-CN"/>
              </w:rPr>
              <w:t>619</w:t>
            </w:r>
            <w:r w:rsidRPr="00A22C81">
              <w:rPr>
                <w:rFonts w:cs="Calibri" w:hint="eastAsia"/>
                <w:color w:val="000000"/>
                <w:sz w:val="22"/>
                <w:szCs w:val="22"/>
                <w:lang w:eastAsia="zh-CN"/>
              </w:rPr>
              <w:t>号决定新办公楼</w:t>
            </w:r>
            <w:r w:rsidRPr="00A22C81">
              <w:rPr>
                <w:rFonts w:cs="Calibri" w:hint="eastAsia"/>
                <w:color w:val="000000"/>
                <w:sz w:val="22"/>
                <w:szCs w:val="22"/>
                <w:lang w:eastAsia="zh-CN"/>
              </w:rPr>
              <w:t>/</w:t>
            </w:r>
            <w:r w:rsidRPr="00A22C81">
              <w:rPr>
                <w:rFonts w:cs="Calibri" w:hint="eastAsia"/>
                <w:color w:val="000000"/>
                <w:sz w:val="22"/>
                <w:szCs w:val="22"/>
                <w:lang w:eastAsia="zh-CN"/>
              </w:rPr>
              <w:t>间接费用</w:t>
            </w:r>
          </w:p>
        </w:tc>
        <w:tc>
          <w:tcPr>
            <w:tcW w:w="1796" w:type="dxa"/>
            <w:tcBorders>
              <w:top w:val="nil"/>
              <w:left w:val="nil"/>
              <w:bottom w:val="nil"/>
              <w:right w:val="single" w:sz="4" w:space="0" w:color="auto"/>
            </w:tcBorders>
            <w:shd w:val="clear" w:color="000000" w:fill="E2EFDA"/>
            <w:noWrap/>
            <w:vAlign w:val="center"/>
            <w:hideMark/>
          </w:tcPr>
          <w:p w14:paraId="57FB394E" w14:textId="2C9D3280" w:rsidR="004634A7" w:rsidRPr="001D233F" w:rsidRDefault="004634A7" w:rsidP="002E009D">
            <w:pPr>
              <w:keepNext/>
              <w:keepLines/>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785</w:t>
            </w:r>
            <w:r w:rsidR="002E009D">
              <w:rPr>
                <w:rFonts w:cs="Calibri"/>
                <w:color w:val="000000"/>
                <w:sz w:val="22"/>
                <w:szCs w:val="22"/>
                <w:lang w:eastAsia="en-GB"/>
              </w:rPr>
              <w:t> </w:t>
            </w:r>
            <w:r w:rsidRPr="001D233F">
              <w:rPr>
                <w:rFonts w:cs="Calibri"/>
                <w:color w:val="000000"/>
                <w:sz w:val="22"/>
                <w:szCs w:val="22"/>
                <w:lang w:eastAsia="en-GB"/>
              </w:rPr>
              <w:t>000</w:t>
            </w:r>
          </w:p>
        </w:tc>
      </w:tr>
      <w:tr w:rsidR="004634A7" w:rsidRPr="001D233F" w14:paraId="72405D15" w14:textId="77777777" w:rsidTr="003A64C9">
        <w:trPr>
          <w:trHeight w:val="300"/>
          <w:jc w:val="center"/>
        </w:trPr>
        <w:tc>
          <w:tcPr>
            <w:tcW w:w="4784" w:type="dxa"/>
            <w:tcBorders>
              <w:top w:val="nil"/>
              <w:left w:val="single" w:sz="4" w:space="0" w:color="auto"/>
              <w:bottom w:val="nil"/>
              <w:right w:val="single" w:sz="8" w:space="0" w:color="auto"/>
            </w:tcBorders>
            <w:shd w:val="clear" w:color="000000" w:fill="E2EFDA"/>
            <w:noWrap/>
            <w:vAlign w:val="center"/>
          </w:tcPr>
          <w:p w14:paraId="2D722024" w14:textId="77777777" w:rsidR="004634A7" w:rsidRPr="001D233F" w:rsidRDefault="004634A7" w:rsidP="002E009D">
            <w:pPr>
              <w:keepNext/>
              <w:keepLines/>
              <w:overflowPunct/>
              <w:autoSpaceDE/>
              <w:autoSpaceDN/>
              <w:adjustRightInd/>
              <w:spacing w:before="0"/>
              <w:textAlignment w:val="auto"/>
              <w:rPr>
                <w:rFonts w:cs="Calibri"/>
                <w:color w:val="000000"/>
                <w:sz w:val="22"/>
                <w:szCs w:val="22"/>
                <w:lang w:eastAsia="en-GB"/>
              </w:rPr>
            </w:pPr>
            <w:r>
              <w:rPr>
                <w:rFonts w:cs="Calibri"/>
                <w:color w:val="000000"/>
                <w:sz w:val="22"/>
                <w:szCs w:val="22"/>
                <w:lang w:eastAsia="en-GB"/>
              </w:rPr>
              <w:t>C21/DT4 – BR</w:t>
            </w:r>
          </w:p>
        </w:tc>
        <w:tc>
          <w:tcPr>
            <w:tcW w:w="1796" w:type="dxa"/>
            <w:tcBorders>
              <w:top w:val="nil"/>
              <w:left w:val="nil"/>
              <w:bottom w:val="nil"/>
              <w:right w:val="single" w:sz="4" w:space="0" w:color="auto"/>
            </w:tcBorders>
            <w:shd w:val="clear" w:color="000000" w:fill="E2EFDA"/>
            <w:noWrap/>
            <w:vAlign w:val="center"/>
          </w:tcPr>
          <w:p w14:paraId="0E47C43F" w14:textId="1965AF3D" w:rsidR="004634A7" w:rsidRPr="001D233F" w:rsidRDefault="004634A7" w:rsidP="002E009D">
            <w:pPr>
              <w:keepNext/>
              <w:keepLines/>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140</w:t>
            </w:r>
            <w:r w:rsidR="002E009D">
              <w:rPr>
                <w:rFonts w:cs="Calibri"/>
                <w:color w:val="000000"/>
                <w:sz w:val="22"/>
                <w:szCs w:val="22"/>
                <w:lang w:eastAsia="en-GB"/>
              </w:rPr>
              <w:t> </w:t>
            </w:r>
            <w:r>
              <w:rPr>
                <w:rFonts w:cs="Calibri"/>
                <w:color w:val="000000"/>
                <w:sz w:val="22"/>
                <w:szCs w:val="22"/>
                <w:lang w:eastAsia="en-GB"/>
              </w:rPr>
              <w:t>000</w:t>
            </w:r>
          </w:p>
        </w:tc>
      </w:tr>
      <w:tr w:rsidR="004634A7" w:rsidRPr="001D233F" w14:paraId="56E93A0F" w14:textId="77777777" w:rsidTr="003A64C9">
        <w:trPr>
          <w:trHeight w:val="300"/>
          <w:jc w:val="center"/>
        </w:trPr>
        <w:tc>
          <w:tcPr>
            <w:tcW w:w="4784" w:type="dxa"/>
            <w:tcBorders>
              <w:top w:val="nil"/>
              <w:left w:val="single" w:sz="4" w:space="0" w:color="auto"/>
              <w:bottom w:val="nil"/>
              <w:right w:val="single" w:sz="8" w:space="0" w:color="auto"/>
            </w:tcBorders>
            <w:shd w:val="clear" w:color="000000" w:fill="E2EFDA"/>
            <w:noWrap/>
            <w:vAlign w:val="center"/>
          </w:tcPr>
          <w:p w14:paraId="2A3FD150" w14:textId="77777777" w:rsidR="004634A7" w:rsidRPr="001D233F" w:rsidRDefault="004634A7" w:rsidP="002E009D">
            <w:pPr>
              <w:keepNext/>
              <w:keepLines/>
              <w:overflowPunct/>
              <w:autoSpaceDE/>
              <w:autoSpaceDN/>
              <w:adjustRightInd/>
              <w:spacing w:before="0"/>
              <w:textAlignment w:val="auto"/>
              <w:rPr>
                <w:rFonts w:cs="Calibri"/>
                <w:color w:val="000000"/>
                <w:sz w:val="22"/>
                <w:szCs w:val="22"/>
                <w:lang w:eastAsia="en-GB"/>
              </w:rPr>
            </w:pPr>
            <w:r>
              <w:rPr>
                <w:rFonts w:cs="Calibri"/>
                <w:color w:val="000000"/>
                <w:sz w:val="22"/>
                <w:szCs w:val="22"/>
                <w:lang w:eastAsia="en-GB"/>
              </w:rPr>
              <w:t>C21/DT4 -TSB</w:t>
            </w:r>
          </w:p>
        </w:tc>
        <w:tc>
          <w:tcPr>
            <w:tcW w:w="1796" w:type="dxa"/>
            <w:tcBorders>
              <w:top w:val="nil"/>
              <w:left w:val="nil"/>
              <w:bottom w:val="nil"/>
              <w:right w:val="single" w:sz="4" w:space="0" w:color="auto"/>
            </w:tcBorders>
            <w:shd w:val="clear" w:color="000000" w:fill="E2EFDA"/>
            <w:noWrap/>
            <w:vAlign w:val="center"/>
          </w:tcPr>
          <w:p w14:paraId="6D4DA614" w14:textId="45860FB0" w:rsidR="004634A7" w:rsidRPr="001D233F" w:rsidRDefault="004634A7" w:rsidP="002E009D">
            <w:pPr>
              <w:keepNext/>
              <w:keepLines/>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161</w:t>
            </w:r>
            <w:r w:rsidR="002E009D">
              <w:rPr>
                <w:rFonts w:cs="Calibri"/>
                <w:color w:val="000000"/>
                <w:sz w:val="22"/>
                <w:szCs w:val="22"/>
                <w:lang w:eastAsia="en-GB"/>
              </w:rPr>
              <w:t> </w:t>
            </w:r>
            <w:r>
              <w:rPr>
                <w:rFonts w:cs="Calibri"/>
                <w:color w:val="000000"/>
                <w:sz w:val="22"/>
                <w:szCs w:val="22"/>
                <w:lang w:eastAsia="en-GB"/>
              </w:rPr>
              <w:t>000</w:t>
            </w:r>
          </w:p>
        </w:tc>
      </w:tr>
      <w:tr w:rsidR="004634A7" w:rsidRPr="001D233F" w14:paraId="70F45A6D" w14:textId="77777777" w:rsidTr="003A64C9">
        <w:trPr>
          <w:trHeight w:val="300"/>
          <w:jc w:val="center"/>
        </w:trPr>
        <w:tc>
          <w:tcPr>
            <w:tcW w:w="4784" w:type="dxa"/>
            <w:tcBorders>
              <w:top w:val="single" w:sz="8" w:space="0" w:color="auto"/>
              <w:left w:val="single" w:sz="4" w:space="0" w:color="auto"/>
              <w:bottom w:val="single" w:sz="8" w:space="0" w:color="auto"/>
              <w:right w:val="single" w:sz="8" w:space="0" w:color="auto"/>
            </w:tcBorders>
            <w:shd w:val="clear" w:color="000000" w:fill="C6E0B4"/>
            <w:noWrap/>
            <w:vAlign w:val="center"/>
          </w:tcPr>
          <w:p w14:paraId="4C6547C3" w14:textId="77777777" w:rsidR="004634A7" w:rsidRPr="001D233F" w:rsidRDefault="004634A7" w:rsidP="002E009D">
            <w:pPr>
              <w:keepNext/>
              <w:keepLines/>
              <w:overflowPunct/>
              <w:autoSpaceDE/>
              <w:autoSpaceDN/>
              <w:adjustRightInd/>
              <w:spacing w:before="0"/>
              <w:textAlignment w:val="auto"/>
              <w:rPr>
                <w:rFonts w:cs="Calibri"/>
                <w:color w:val="000000"/>
                <w:sz w:val="22"/>
                <w:szCs w:val="22"/>
                <w:lang w:eastAsia="en-GB"/>
              </w:rPr>
            </w:pPr>
          </w:p>
        </w:tc>
        <w:tc>
          <w:tcPr>
            <w:tcW w:w="1796" w:type="dxa"/>
            <w:tcBorders>
              <w:top w:val="single" w:sz="8" w:space="0" w:color="auto"/>
              <w:left w:val="nil"/>
              <w:bottom w:val="single" w:sz="8" w:space="0" w:color="auto"/>
              <w:right w:val="single" w:sz="4" w:space="0" w:color="auto"/>
            </w:tcBorders>
            <w:shd w:val="clear" w:color="000000" w:fill="C6E0B4"/>
            <w:noWrap/>
            <w:vAlign w:val="center"/>
          </w:tcPr>
          <w:p w14:paraId="647ED669" w14:textId="77777777" w:rsidR="004634A7" w:rsidRPr="001D233F" w:rsidRDefault="004634A7" w:rsidP="002E009D">
            <w:pPr>
              <w:keepNext/>
              <w:keepLines/>
              <w:overflowPunct/>
              <w:autoSpaceDE/>
              <w:autoSpaceDN/>
              <w:adjustRightInd/>
              <w:spacing w:before="0"/>
              <w:jc w:val="right"/>
              <w:textAlignment w:val="auto"/>
              <w:rPr>
                <w:rFonts w:cs="Calibri"/>
                <w:color w:val="000000"/>
                <w:sz w:val="22"/>
                <w:szCs w:val="22"/>
                <w:lang w:eastAsia="en-GB"/>
              </w:rPr>
            </w:pPr>
          </w:p>
        </w:tc>
      </w:tr>
      <w:tr w:rsidR="004634A7" w:rsidRPr="001D233F" w14:paraId="10E6B0F7" w14:textId="77777777" w:rsidTr="003A64C9">
        <w:trPr>
          <w:trHeight w:val="315"/>
          <w:jc w:val="center"/>
        </w:trPr>
        <w:tc>
          <w:tcPr>
            <w:tcW w:w="4784" w:type="dxa"/>
            <w:tcBorders>
              <w:top w:val="nil"/>
              <w:left w:val="single" w:sz="4" w:space="0" w:color="auto"/>
              <w:bottom w:val="single" w:sz="8" w:space="0" w:color="auto"/>
              <w:right w:val="single" w:sz="8" w:space="0" w:color="auto"/>
            </w:tcBorders>
            <w:shd w:val="clear" w:color="000000" w:fill="FFF2CC"/>
            <w:noWrap/>
            <w:vAlign w:val="center"/>
            <w:hideMark/>
          </w:tcPr>
          <w:p w14:paraId="693DF118" w14:textId="0E5900FD" w:rsidR="004634A7" w:rsidRPr="001D233F" w:rsidRDefault="00A22C81" w:rsidP="002E009D">
            <w:pPr>
              <w:keepNext/>
              <w:keepLines/>
              <w:overflowPunct/>
              <w:autoSpaceDE/>
              <w:autoSpaceDN/>
              <w:adjustRightInd/>
              <w:spacing w:before="0"/>
              <w:textAlignment w:val="auto"/>
              <w:rPr>
                <w:rFonts w:cs="Calibri"/>
                <w:color w:val="000000"/>
                <w:sz w:val="22"/>
                <w:szCs w:val="22"/>
                <w:lang w:eastAsia="zh-CN"/>
              </w:rPr>
            </w:pPr>
            <w:r w:rsidRPr="00A22C81">
              <w:rPr>
                <w:rFonts w:cs="Calibri" w:hint="eastAsia"/>
                <w:b/>
                <w:bCs/>
                <w:color w:val="000000"/>
                <w:sz w:val="22"/>
                <w:szCs w:val="22"/>
                <w:lang w:eastAsia="zh-CN"/>
              </w:rPr>
              <w:t>将转入储备金账目的现有盈余</w:t>
            </w:r>
          </w:p>
        </w:tc>
        <w:tc>
          <w:tcPr>
            <w:tcW w:w="1796" w:type="dxa"/>
            <w:tcBorders>
              <w:top w:val="nil"/>
              <w:left w:val="nil"/>
              <w:bottom w:val="single" w:sz="8" w:space="0" w:color="auto"/>
              <w:right w:val="single" w:sz="4" w:space="0" w:color="auto"/>
            </w:tcBorders>
            <w:shd w:val="clear" w:color="000000" w:fill="FFF2CC"/>
            <w:noWrap/>
            <w:vAlign w:val="center"/>
            <w:hideMark/>
          </w:tcPr>
          <w:p w14:paraId="08571C55" w14:textId="098033A0" w:rsidR="004634A7" w:rsidRPr="001D233F" w:rsidRDefault="004634A7" w:rsidP="002E009D">
            <w:pPr>
              <w:keepNext/>
              <w:keepLines/>
              <w:overflowPunct/>
              <w:autoSpaceDE/>
              <w:autoSpaceDN/>
              <w:adjustRightInd/>
              <w:spacing w:before="0"/>
              <w:jc w:val="right"/>
              <w:textAlignment w:val="auto"/>
              <w:rPr>
                <w:rFonts w:cs="Calibri"/>
                <w:color w:val="000000"/>
                <w:sz w:val="22"/>
                <w:szCs w:val="22"/>
                <w:lang w:eastAsia="en-GB"/>
              </w:rPr>
            </w:pPr>
            <w:r>
              <w:rPr>
                <w:rFonts w:cs="Calibri"/>
                <w:b/>
                <w:bCs/>
                <w:color w:val="000000"/>
                <w:sz w:val="22"/>
                <w:szCs w:val="22"/>
                <w:lang w:eastAsia="en-GB"/>
              </w:rPr>
              <w:t>43</w:t>
            </w:r>
            <w:r w:rsidR="002E009D">
              <w:rPr>
                <w:rFonts w:cs="Calibri"/>
                <w:b/>
                <w:bCs/>
                <w:color w:val="000000"/>
                <w:sz w:val="22"/>
                <w:szCs w:val="22"/>
                <w:lang w:eastAsia="en-GB"/>
              </w:rPr>
              <w:t> </w:t>
            </w:r>
            <w:r>
              <w:rPr>
                <w:rFonts w:cs="Calibri"/>
                <w:b/>
                <w:bCs/>
                <w:color w:val="000000"/>
                <w:sz w:val="22"/>
                <w:szCs w:val="22"/>
                <w:lang w:eastAsia="en-GB"/>
              </w:rPr>
              <w:t>956</w:t>
            </w:r>
            <w:r w:rsidRPr="001D233F">
              <w:rPr>
                <w:rFonts w:cs="Calibri"/>
                <w:b/>
                <w:bCs/>
                <w:color w:val="000000"/>
                <w:sz w:val="22"/>
                <w:szCs w:val="22"/>
                <w:lang w:eastAsia="en-GB"/>
              </w:rPr>
              <w:t xml:space="preserve"> </w:t>
            </w:r>
          </w:p>
        </w:tc>
      </w:tr>
      <w:tr w:rsidR="004634A7" w:rsidRPr="001D233F" w14:paraId="02D08924" w14:textId="77777777" w:rsidTr="003A64C9">
        <w:trPr>
          <w:trHeight w:val="315"/>
          <w:jc w:val="center"/>
        </w:trPr>
        <w:tc>
          <w:tcPr>
            <w:tcW w:w="4784" w:type="dxa"/>
            <w:tcBorders>
              <w:top w:val="nil"/>
              <w:left w:val="single" w:sz="4" w:space="0" w:color="auto"/>
              <w:bottom w:val="single" w:sz="8" w:space="0" w:color="auto"/>
              <w:right w:val="single" w:sz="8" w:space="0" w:color="auto"/>
            </w:tcBorders>
            <w:shd w:val="clear" w:color="000000" w:fill="FFF2CC"/>
            <w:noWrap/>
            <w:vAlign w:val="center"/>
            <w:hideMark/>
          </w:tcPr>
          <w:p w14:paraId="7D1F9D2A" w14:textId="77777777" w:rsidR="004634A7" w:rsidRPr="001D233F" w:rsidRDefault="004634A7" w:rsidP="002E009D">
            <w:pPr>
              <w:keepNext/>
              <w:keepLines/>
              <w:overflowPunct/>
              <w:autoSpaceDE/>
              <w:autoSpaceDN/>
              <w:adjustRightInd/>
              <w:spacing w:before="0"/>
              <w:textAlignment w:val="auto"/>
              <w:rPr>
                <w:rFonts w:cs="Calibri"/>
                <w:b/>
                <w:bCs/>
                <w:color w:val="000000"/>
                <w:sz w:val="22"/>
                <w:szCs w:val="22"/>
                <w:lang w:eastAsia="en-GB"/>
              </w:rPr>
            </w:pPr>
          </w:p>
        </w:tc>
        <w:tc>
          <w:tcPr>
            <w:tcW w:w="1796" w:type="dxa"/>
            <w:tcBorders>
              <w:top w:val="nil"/>
              <w:left w:val="nil"/>
              <w:bottom w:val="single" w:sz="8" w:space="0" w:color="auto"/>
              <w:right w:val="single" w:sz="4" w:space="0" w:color="auto"/>
            </w:tcBorders>
            <w:shd w:val="clear" w:color="000000" w:fill="FFF2CC"/>
            <w:noWrap/>
            <w:vAlign w:val="center"/>
            <w:hideMark/>
          </w:tcPr>
          <w:p w14:paraId="40DD3F41" w14:textId="77777777" w:rsidR="004634A7" w:rsidRPr="001D233F" w:rsidRDefault="004634A7" w:rsidP="002E009D">
            <w:pPr>
              <w:keepNext/>
              <w:keepLines/>
              <w:overflowPunct/>
              <w:autoSpaceDE/>
              <w:autoSpaceDN/>
              <w:adjustRightInd/>
              <w:spacing w:before="0"/>
              <w:jc w:val="right"/>
              <w:textAlignment w:val="auto"/>
              <w:rPr>
                <w:rFonts w:cs="Calibri"/>
                <w:b/>
                <w:bCs/>
                <w:color w:val="000000"/>
                <w:sz w:val="22"/>
                <w:szCs w:val="22"/>
                <w:lang w:eastAsia="en-GB"/>
              </w:rPr>
            </w:pPr>
          </w:p>
        </w:tc>
      </w:tr>
      <w:tr w:rsidR="004634A7" w:rsidRPr="001D233F" w14:paraId="27F3BE9D" w14:textId="77777777" w:rsidTr="003A64C9">
        <w:trPr>
          <w:trHeight w:val="390"/>
          <w:jc w:val="center"/>
        </w:trPr>
        <w:tc>
          <w:tcPr>
            <w:tcW w:w="4784" w:type="dxa"/>
            <w:tcBorders>
              <w:top w:val="nil"/>
              <w:left w:val="single" w:sz="4" w:space="0" w:color="auto"/>
              <w:bottom w:val="single" w:sz="8" w:space="0" w:color="auto"/>
              <w:right w:val="single" w:sz="8" w:space="0" w:color="auto"/>
            </w:tcBorders>
            <w:shd w:val="clear" w:color="000000" w:fill="FFF2CC"/>
            <w:noWrap/>
            <w:vAlign w:val="center"/>
          </w:tcPr>
          <w:p w14:paraId="1529EC78" w14:textId="77777777" w:rsidR="004634A7" w:rsidRPr="00594EBF" w:rsidRDefault="004634A7" w:rsidP="002E009D">
            <w:pPr>
              <w:keepNext/>
              <w:keepLines/>
              <w:overflowPunct/>
              <w:autoSpaceDE/>
              <w:autoSpaceDN/>
              <w:adjustRightInd/>
              <w:spacing w:before="0"/>
              <w:textAlignment w:val="auto"/>
              <w:rPr>
                <w:rFonts w:cs="Calibri"/>
                <w:b/>
                <w:bCs/>
                <w:color w:val="000000"/>
                <w:sz w:val="22"/>
                <w:szCs w:val="22"/>
                <w:lang w:eastAsia="en-GB"/>
              </w:rPr>
            </w:pPr>
          </w:p>
        </w:tc>
        <w:tc>
          <w:tcPr>
            <w:tcW w:w="1796" w:type="dxa"/>
            <w:tcBorders>
              <w:top w:val="nil"/>
              <w:left w:val="nil"/>
              <w:bottom w:val="single" w:sz="8" w:space="0" w:color="auto"/>
              <w:right w:val="single" w:sz="4" w:space="0" w:color="auto"/>
            </w:tcBorders>
            <w:shd w:val="clear" w:color="000000" w:fill="FFF2CC"/>
            <w:noWrap/>
            <w:vAlign w:val="center"/>
          </w:tcPr>
          <w:p w14:paraId="04616887" w14:textId="77777777" w:rsidR="004634A7" w:rsidRPr="001D233F" w:rsidRDefault="004634A7" w:rsidP="002E009D">
            <w:pPr>
              <w:keepNext/>
              <w:keepLines/>
              <w:overflowPunct/>
              <w:autoSpaceDE/>
              <w:autoSpaceDN/>
              <w:adjustRightInd/>
              <w:spacing w:before="0"/>
              <w:textAlignment w:val="auto"/>
              <w:rPr>
                <w:rFonts w:cs="Calibri"/>
                <w:b/>
                <w:bCs/>
                <w:color w:val="000000"/>
                <w:sz w:val="22"/>
                <w:szCs w:val="22"/>
                <w:lang w:eastAsia="en-GB"/>
              </w:rPr>
            </w:pPr>
          </w:p>
        </w:tc>
      </w:tr>
    </w:tbl>
    <w:p w14:paraId="4CE45005" w14:textId="77777777" w:rsidR="004634A7" w:rsidRPr="00FE30D6" w:rsidRDefault="004634A7" w:rsidP="004634A7">
      <w:pPr>
        <w:snapToGrid w:val="0"/>
        <w:jc w:val="both"/>
        <w:rPr>
          <w:rFonts w:cs="Calibri"/>
        </w:rPr>
      </w:pPr>
    </w:p>
    <w:p w14:paraId="43A5EFE3" w14:textId="17BE4540" w:rsidR="00806451" w:rsidRPr="000C156A" w:rsidRDefault="004634A7" w:rsidP="009F0637">
      <w:pPr>
        <w:rPr>
          <w:lang w:eastAsia="zh-CN"/>
        </w:rPr>
      </w:pPr>
      <w:r>
        <w:rPr>
          <w:lang w:val="en-US" w:eastAsia="zh-CN"/>
        </w:rPr>
        <w:t>18</w:t>
      </w:r>
      <w:r w:rsidR="0085433F" w:rsidRPr="000C156A">
        <w:rPr>
          <w:lang w:val="en-US" w:eastAsia="zh-CN"/>
        </w:rPr>
        <w:tab/>
      </w:r>
      <w:bookmarkStart w:id="52" w:name="_Hlk39136047"/>
      <w:bookmarkStart w:id="53" w:name="_Hlk39136102"/>
      <w:r w:rsidR="009F0999" w:rsidRPr="009F0999">
        <w:rPr>
          <w:rFonts w:hint="eastAsia"/>
          <w:lang w:val="en-US" w:eastAsia="zh-CN"/>
        </w:rPr>
        <w:t>国际电联</w:t>
      </w:r>
      <w:r w:rsidR="009F0999" w:rsidRPr="009F0999">
        <w:rPr>
          <w:rFonts w:hint="eastAsia"/>
          <w:lang w:val="en-US" w:eastAsia="zh-CN"/>
        </w:rPr>
        <w:t>2021</w:t>
      </w:r>
      <w:r w:rsidR="009F0999" w:rsidRPr="009F0999">
        <w:rPr>
          <w:rFonts w:hint="eastAsia"/>
          <w:lang w:val="en-US" w:eastAsia="zh-CN"/>
        </w:rPr>
        <w:t>年的收入</w:t>
      </w:r>
      <w:r w:rsidR="00E04BEC">
        <w:rPr>
          <w:rFonts w:hint="eastAsia"/>
          <w:lang w:val="en-US" w:eastAsia="zh-CN"/>
        </w:rPr>
        <w:t>为</w:t>
      </w:r>
      <w:r w:rsidR="009F0999" w:rsidRPr="009F0999">
        <w:rPr>
          <w:rFonts w:hint="eastAsia"/>
          <w:lang w:val="en-US" w:eastAsia="zh-CN"/>
        </w:rPr>
        <w:t>1.75527</w:t>
      </w:r>
      <w:r w:rsidR="009F0999" w:rsidRPr="009F0999">
        <w:rPr>
          <w:rFonts w:hint="eastAsia"/>
          <w:lang w:val="en-US" w:eastAsia="zh-CN"/>
        </w:rPr>
        <w:t>亿瑞郎（</w:t>
      </w:r>
      <w:r w:rsidR="009F0999" w:rsidRPr="009F0999">
        <w:rPr>
          <w:rFonts w:hint="eastAsia"/>
          <w:lang w:val="en-US" w:eastAsia="zh-CN"/>
        </w:rPr>
        <w:t>2020</w:t>
      </w:r>
      <w:r w:rsidR="009F0999" w:rsidRPr="009F0999">
        <w:rPr>
          <w:rFonts w:hint="eastAsia"/>
          <w:lang w:val="en-US" w:eastAsia="zh-CN"/>
        </w:rPr>
        <w:t>年为</w:t>
      </w:r>
      <w:r w:rsidR="009F0999" w:rsidRPr="009F0999">
        <w:rPr>
          <w:rFonts w:hint="eastAsia"/>
          <w:lang w:val="en-US" w:eastAsia="zh-CN"/>
        </w:rPr>
        <w:t>1.70373</w:t>
      </w:r>
      <w:r w:rsidR="009F0999" w:rsidRPr="009F0999">
        <w:rPr>
          <w:rFonts w:hint="eastAsia"/>
          <w:lang w:val="en-US" w:eastAsia="zh-CN"/>
        </w:rPr>
        <w:t>亿瑞郎），详情如下：</w:t>
      </w:r>
    </w:p>
    <w:p w14:paraId="043BDC9B" w14:textId="3A96D3CD" w:rsidR="0085433F" w:rsidRDefault="0085433F" w:rsidP="0085433F">
      <w:pPr>
        <w:rPr>
          <w:lang w:eastAsia="zh-CN"/>
        </w:rPr>
      </w:pPr>
    </w:p>
    <w:p w14:paraId="474835F1" w14:textId="1FA95742" w:rsidR="00806451" w:rsidRDefault="00806451" w:rsidP="00806451">
      <w:pPr>
        <w:jc w:val="center"/>
        <w:rPr>
          <w:lang w:eastAsia="zh-CN"/>
        </w:rPr>
      </w:pPr>
      <w:r>
        <w:rPr>
          <w:noProof/>
          <w:lang w:val="en-US" w:eastAsia="zh-CN"/>
        </w:rPr>
        <w:drawing>
          <wp:inline distT="0" distB="0" distL="0" distR="0" wp14:anchorId="499E7F79" wp14:editId="48676809">
            <wp:extent cx="4572000" cy="2853690"/>
            <wp:effectExtent l="0" t="0" r="0" b="3810"/>
            <wp:docPr id="4" name="Chart 4">
              <a:extLst xmlns:a="http://schemas.openxmlformats.org/drawingml/2006/main">
                <a:ext uri="{FF2B5EF4-FFF2-40B4-BE49-F238E27FC236}">
                  <a16:creationId xmlns:a16="http://schemas.microsoft.com/office/drawing/2014/main" id="{FD5816AA-70E2-455F-BCAE-9A65C4D262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854FF9" w14:textId="77777777" w:rsidR="00806451" w:rsidRPr="000C156A" w:rsidRDefault="00806451" w:rsidP="0085433F">
      <w:pPr>
        <w:rPr>
          <w:lang w:eastAsia="zh-CN"/>
        </w:rPr>
      </w:pPr>
    </w:p>
    <w:p w14:paraId="73996510" w14:textId="3E9D4CE0" w:rsidR="0085433F" w:rsidRDefault="00806451" w:rsidP="009F0637">
      <w:pPr>
        <w:rPr>
          <w:lang w:eastAsia="zh-CN"/>
        </w:rPr>
      </w:pPr>
      <w:bookmarkStart w:id="54" w:name="_Hlk39136284"/>
      <w:bookmarkEnd w:id="52"/>
      <w:bookmarkEnd w:id="53"/>
      <w:r>
        <w:rPr>
          <w:rFonts w:asciiTheme="minorHAnsi" w:hAnsiTheme="minorHAnsi" w:cs="Calibri"/>
          <w:szCs w:val="24"/>
          <w:lang w:val="en-US" w:eastAsia="zh-CN"/>
        </w:rPr>
        <w:t>19</w:t>
      </w:r>
      <w:r w:rsidR="0085433F" w:rsidRPr="000C156A">
        <w:rPr>
          <w:rFonts w:asciiTheme="minorHAnsi" w:hAnsiTheme="minorHAnsi" w:cs="Calibri"/>
          <w:szCs w:val="24"/>
          <w:lang w:val="en-US" w:eastAsia="zh-CN"/>
        </w:rPr>
        <w:tab/>
      </w:r>
      <w:r w:rsidR="0085433F" w:rsidRPr="000C156A">
        <w:rPr>
          <w:rFonts w:hint="eastAsia"/>
          <w:lang w:eastAsia="zh-CN"/>
        </w:rPr>
        <w:t>分摊会费是收入的主要来源，</w:t>
      </w:r>
      <w:r w:rsidR="0085433F" w:rsidRPr="000C156A">
        <w:rPr>
          <w:lang w:eastAsia="zh-CN"/>
        </w:rPr>
        <w:t>202</w:t>
      </w:r>
      <w:r>
        <w:rPr>
          <w:lang w:eastAsia="zh-CN"/>
        </w:rPr>
        <w:t>1</w:t>
      </w:r>
      <w:r w:rsidR="0085433F" w:rsidRPr="000C156A">
        <w:rPr>
          <w:rFonts w:hint="eastAsia"/>
          <w:lang w:eastAsia="zh-CN"/>
        </w:rPr>
        <w:t>年占总收入的</w:t>
      </w:r>
      <w:r w:rsidR="0085433F" w:rsidRPr="000C156A">
        <w:rPr>
          <w:lang w:eastAsia="zh-CN"/>
        </w:rPr>
        <w:t>7</w:t>
      </w:r>
      <w:r>
        <w:rPr>
          <w:lang w:eastAsia="zh-CN"/>
        </w:rPr>
        <w:t>2</w:t>
      </w:r>
      <w:r w:rsidR="0085433F" w:rsidRPr="000C156A">
        <w:rPr>
          <w:lang w:eastAsia="zh-CN"/>
        </w:rPr>
        <w:t>%</w:t>
      </w:r>
      <w:r w:rsidR="0085433F" w:rsidRPr="000C156A">
        <w:rPr>
          <w:rFonts w:hint="eastAsia"/>
          <w:lang w:eastAsia="zh-CN"/>
        </w:rPr>
        <w:t>，与</w:t>
      </w:r>
      <w:r w:rsidR="0085433F" w:rsidRPr="000C156A">
        <w:rPr>
          <w:lang w:eastAsia="zh-CN"/>
        </w:rPr>
        <w:t>20</w:t>
      </w:r>
      <w:r>
        <w:rPr>
          <w:lang w:eastAsia="zh-CN"/>
        </w:rPr>
        <w:t>20</w:t>
      </w:r>
      <w:r w:rsidR="0085433F" w:rsidRPr="000C156A">
        <w:rPr>
          <w:rFonts w:hint="eastAsia"/>
          <w:lang w:eastAsia="zh-CN"/>
        </w:rPr>
        <w:t>年相比略有增加，其后为占比</w:t>
      </w:r>
      <w:r>
        <w:rPr>
          <w:rFonts w:hint="eastAsia"/>
          <w:lang w:eastAsia="zh-CN"/>
        </w:rPr>
        <w:t>1</w:t>
      </w:r>
      <w:r>
        <w:rPr>
          <w:lang w:eastAsia="zh-CN"/>
        </w:rPr>
        <w:t>9</w:t>
      </w:r>
      <w:r w:rsidR="0085433F" w:rsidRPr="000C156A">
        <w:rPr>
          <w:lang w:eastAsia="zh-CN"/>
        </w:rPr>
        <w:t>%</w:t>
      </w:r>
      <w:r w:rsidR="0085433F" w:rsidRPr="000C156A">
        <w:rPr>
          <w:rFonts w:hint="eastAsia"/>
          <w:lang w:eastAsia="zh-CN"/>
        </w:rPr>
        <w:t>的成本回收收入，主要包括出版物销售和卫星网络申报资料。</w:t>
      </w:r>
    </w:p>
    <w:p w14:paraId="31A6E75C" w14:textId="27DF9973" w:rsidR="00806451" w:rsidRPr="000C156A" w:rsidRDefault="00806451" w:rsidP="0085433F">
      <w:pPr>
        <w:spacing w:before="360" w:after="240"/>
        <w:rPr>
          <w:lang w:eastAsia="zh-CN"/>
        </w:rPr>
      </w:pPr>
      <w:r>
        <w:rPr>
          <w:noProof/>
          <w:lang w:val="en-US" w:eastAsia="zh-CN"/>
        </w:rPr>
        <w:lastRenderedPageBreak/>
        <w:drawing>
          <wp:inline distT="0" distB="0" distL="0" distR="0" wp14:anchorId="480E9809" wp14:editId="2D8BB8FF">
            <wp:extent cx="5425440" cy="3745231"/>
            <wp:effectExtent l="0" t="0" r="3810" b="7620"/>
            <wp:docPr id="8" name="Chart 8">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54"/>
    <w:p w14:paraId="5EC6FC7D" w14:textId="6444E866" w:rsidR="0085433F" w:rsidRPr="000C156A" w:rsidRDefault="0085433F" w:rsidP="0085433F">
      <w:pPr>
        <w:pStyle w:val="Figure"/>
        <w:keepNext w:val="0"/>
        <w:rPr>
          <w:rFonts w:eastAsia="Times New Roman"/>
          <w:noProof/>
          <w:lang w:val="en-US" w:eastAsia="zh-CN"/>
        </w:rPr>
      </w:pPr>
    </w:p>
    <w:p w14:paraId="12D133FC" w14:textId="327F161B" w:rsidR="0085433F" w:rsidRDefault="00CE044E" w:rsidP="009F0637">
      <w:pPr>
        <w:rPr>
          <w:lang w:eastAsia="zh-CN"/>
        </w:rPr>
      </w:pPr>
      <w:r>
        <w:rPr>
          <w:lang w:val="en-US" w:eastAsia="zh-CN"/>
        </w:rPr>
        <w:t>20</w:t>
      </w:r>
      <w:r w:rsidR="0085433F" w:rsidRPr="000C156A">
        <w:rPr>
          <w:lang w:val="en-US" w:eastAsia="zh-CN"/>
        </w:rPr>
        <w:tab/>
      </w:r>
      <w:r w:rsidR="00E04BEC" w:rsidRPr="00E04BEC">
        <w:rPr>
          <w:rFonts w:hint="eastAsia"/>
          <w:lang w:val="en-US" w:eastAsia="zh-CN"/>
        </w:rPr>
        <w:t>国际电联</w:t>
      </w:r>
      <w:r w:rsidR="00E04BEC" w:rsidRPr="00E04BEC">
        <w:rPr>
          <w:rFonts w:hint="eastAsia"/>
          <w:lang w:val="en-US" w:eastAsia="zh-CN"/>
        </w:rPr>
        <w:t>2021</w:t>
      </w:r>
      <w:r w:rsidR="00E04BEC" w:rsidRPr="00E04BEC">
        <w:rPr>
          <w:rFonts w:hint="eastAsia"/>
          <w:lang w:val="en-US" w:eastAsia="zh-CN"/>
        </w:rPr>
        <w:t>年的支出</w:t>
      </w:r>
      <w:r w:rsidR="00E04BEC">
        <w:rPr>
          <w:rFonts w:hint="eastAsia"/>
          <w:lang w:val="en-US" w:eastAsia="zh-CN"/>
        </w:rPr>
        <w:t>为</w:t>
      </w:r>
      <w:r w:rsidR="00E04BEC" w:rsidRPr="00E04BEC">
        <w:rPr>
          <w:rFonts w:hint="eastAsia"/>
          <w:lang w:val="en-US" w:eastAsia="zh-CN"/>
        </w:rPr>
        <w:t>1.90413</w:t>
      </w:r>
      <w:r w:rsidR="00E04BEC" w:rsidRPr="00E04BEC">
        <w:rPr>
          <w:rFonts w:hint="eastAsia"/>
          <w:lang w:val="en-US" w:eastAsia="zh-CN"/>
        </w:rPr>
        <w:t>亿瑞郎（</w:t>
      </w:r>
      <w:r w:rsidR="00E04BEC" w:rsidRPr="00E04BEC">
        <w:rPr>
          <w:rFonts w:hint="eastAsia"/>
          <w:lang w:val="en-US" w:eastAsia="zh-CN"/>
        </w:rPr>
        <w:t>2020</w:t>
      </w:r>
      <w:r w:rsidR="00E04BEC" w:rsidRPr="00E04BEC">
        <w:rPr>
          <w:rFonts w:hint="eastAsia"/>
          <w:lang w:val="en-US" w:eastAsia="zh-CN"/>
        </w:rPr>
        <w:t>年为</w:t>
      </w:r>
      <w:r w:rsidR="00E04BEC" w:rsidRPr="00E04BEC">
        <w:rPr>
          <w:rFonts w:hint="eastAsia"/>
          <w:lang w:val="en-US" w:eastAsia="zh-CN"/>
        </w:rPr>
        <w:t>2.17632</w:t>
      </w:r>
      <w:r w:rsidR="00E04BEC" w:rsidRPr="00E04BEC">
        <w:rPr>
          <w:rFonts w:hint="eastAsia"/>
          <w:lang w:val="en-US" w:eastAsia="zh-CN"/>
        </w:rPr>
        <w:t>亿瑞郎），详见下图：</w:t>
      </w:r>
    </w:p>
    <w:p w14:paraId="1BE46EFB" w14:textId="0905DF4E" w:rsidR="002F6AC0" w:rsidRPr="000C156A" w:rsidRDefault="002F6AC0" w:rsidP="002F6AC0">
      <w:pPr>
        <w:keepNext/>
        <w:keepLines/>
        <w:snapToGrid w:val="0"/>
        <w:spacing w:before="240" w:after="240"/>
        <w:jc w:val="center"/>
        <w:rPr>
          <w:rFonts w:asciiTheme="minorHAnsi" w:hAnsiTheme="minorHAnsi" w:cstheme="minorHAnsi"/>
          <w:lang w:eastAsia="zh-CN"/>
        </w:rPr>
      </w:pPr>
      <w:r>
        <w:rPr>
          <w:noProof/>
          <w:lang w:val="en-US" w:eastAsia="zh-CN"/>
        </w:rPr>
        <w:drawing>
          <wp:inline distT="0" distB="0" distL="0" distR="0" wp14:anchorId="41546025" wp14:editId="6B9020A7">
            <wp:extent cx="5581650" cy="3784821"/>
            <wp:effectExtent l="0" t="0" r="0" b="6350"/>
            <wp:docPr id="5" name="Chart 5">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C40596" w14:textId="2E2AD90F" w:rsidR="0085433F" w:rsidRPr="000C156A" w:rsidRDefault="0085433F" w:rsidP="0085433F">
      <w:pPr>
        <w:snapToGrid w:val="0"/>
        <w:jc w:val="center"/>
        <w:rPr>
          <w:rFonts w:asciiTheme="minorHAnsi" w:hAnsiTheme="minorHAnsi" w:cstheme="minorHAnsi"/>
          <w:lang w:eastAsia="zh-CN"/>
        </w:rPr>
      </w:pPr>
      <w:bookmarkStart w:id="55" w:name="_Hlk39136654"/>
    </w:p>
    <w:p w14:paraId="411750CA" w14:textId="3DBDB306" w:rsidR="0085433F" w:rsidRPr="009F0637" w:rsidRDefault="0085433F" w:rsidP="0085433F">
      <w:pPr>
        <w:pStyle w:val="Headingb"/>
        <w:spacing w:before="240" w:after="240"/>
        <w:rPr>
          <w:sz w:val="28"/>
          <w:szCs w:val="22"/>
          <w:u w:val="single"/>
          <w:lang w:eastAsia="zh-CN"/>
        </w:rPr>
      </w:pPr>
      <w:bookmarkStart w:id="56" w:name="_Toc72744916"/>
      <w:bookmarkStart w:id="57" w:name="_Toc72747200"/>
      <w:bookmarkStart w:id="58" w:name="_Toc73460997"/>
      <w:bookmarkStart w:id="59" w:name="_Toc73518644"/>
      <w:bookmarkStart w:id="60" w:name="_Toc73518791"/>
      <w:bookmarkStart w:id="61" w:name="_Toc73519191"/>
      <w:bookmarkStart w:id="62" w:name="_Toc73636073"/>
      <w:bookmarkStart w:id="63" w:name="_Toc73636215"/>
      <w:bookmarkEnd w:id="55"/>
      <w:r w:rsidRPr="009F0637">
        <w:rPr>
          <w:rFonts w:hint="eastAsia"/>
          <w:sz w:val="28"/>
          <w:szCs w:val="22"/>
          <w:u w:val="single"/>
          <w:lang w:eastAsia="zh-CN"/>
        </w:rPr>
        <w:lastRenderedPageBreak/>
        <w:t>财务状况：</w:t>
      </w:r>
      <w:r w:rsidRPr="009F0637">
        <w:rPr>
          <w:sz w:val="32"/>
          <w:szCs w:val="32"/>
          <w:u w:val="single"/>
          <w:lang w:eastAsia="zh-CN"/>
        </w:rPr>
        <w:t>202</w:t>
      </w:r>
      <w:r w:rsidR="006F66EB" w:rsidRPr="009F0637">
        <w:rPr>
          <w:sz w:val="32"/>
          <w:szCs w:val="32"/>
          <w:u w:val="single"/>
          <w:lang w:eastAsia="zh-CN"/>
        </w:rPr>
        <w:t>1</w:t>
      </w:r>
      <w:r w:rsidRPr="009F0637">
        <w:rPr>
          <w:rFonts w:hint="eastAsia"/>
          <w:sz w:val="28"/>
          <w:szCs w:val="22"/>
          <w:u w:val="single"/>
          <w:lang w:eastAsia="zh-CN"/>
        </w:rPr>
        <w:t>年资产状况的呈现</w:t>
      </w:r>
      <w:bookmarkEnd w:id="56"/>
      <w:bookmarkEnd w:id="57"/>
      <w:bookmarkEnd w:id="58"/>
      <w:bookmarkEnd w:id="59"/>
      <w:bookmarkEnd w:id="60"/>
      <w:bookmarkEnd w:id="61"/>
      <w:bookmarkEnd w:id="62"/>
      <w:bookmarkEnd w:id="63"/>
    </w:p>
    <w:p w14:paraId="3189CDFD" w14:textId="58060B29" w:rsidR="006F66EB" w:rsidRDefault="006F66EB" w:rsidP="006F66EB">
      <w:pPr>
        <w:jc w:val="center"/>
        <w:rPr>
          <w:lang w:eastAsia="zh-CN"/>
        </w:rPr>
      </w:pPr>
      <w:r>
        <w:rPr>
          <w:noProof/>
          <w:lang w:val="en-US" w:eastAsia="zh-CN"/>
        </w:rPr>
        <w:drawing>
          <wp:inline distT="0" distB="0" distL="0" distR="0" wp14:anchorId="7AE6FA95" wp14:editId="4DBA2909">
            <wp:extent cx="5038725" cy="3390900"/>
            <wp:effectExtent l="0" t="0" r="9525" b="0"/>
            <wp:docPr id="1" name="Chart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3FF8A2" w14:textId="77777777" w:rsidR="006F66EB" w:rsidRPr="006F66EB" w:rsidRDefault="006F66EB" w:rsidP="006F66EB">
      <w:pPr>
        <w:rPr>
          <w:lang w:eastAsia="zh-CN"/>
        </w:rPr>
      </w:pPr>
    </w:p>
    <w:p w14:paraId="62866611" w14:textId="77C27E7C" w:rsidR="0085433F" w:rsidRPr="009F0637" w:rsidRDefault="0085433F" w:rsidP="0085433F">
      <w:pPr>
        <w:pStyle w:val="Headingb"/>
        <w:spacing w:after="240"/>
        <w:rPr>
          <w:sz w:val="28"/>
          <w:szCs w:val="22"/>
          <w:u w:val="single"/>
          <w:lang w:eastAsia="zh-CN"/>
        </w:rPr>
      </w:pPr>
      <w:bookmarkStart w:id="64" w:name="_Toc73460998"/>
      <w:bookmarkStart w:id="65" w:name="_Toc73518645"/>
      <w:bookmarkStart w:id="66" w:name="_Toc73518792"/>
      <w:bookmarkStart w:id="67" w:name="_Toc73519192"/>
      <w:bookmarkStart w:id="68" w:name="_Toc73636074"/>
      <w:bookmarkStart w:id="69" w:name="_Toc73636216"/>
      <w:r w:rsidRPr="009F0637">
        <w:rPr>
          <w:rFonts w:hint="eastAsia"/>
          <w:sz w:val="28"/>
          <w:szCs w:val="22"/>
          <w:u w:val="single"/>
          <w:lang w:eastAsia="zh-CN"/>
        </w:rPr>
        <w:t>财务状况：</w:t>
      </w:r>
      <w:r w:rsidRPr="009F0637">
        <w:rPr>
          <w:sz w:val="28"/>
          <w:szCs w:val="22"/>
          <w:u w:val="single"/>
          <w:lang w:eastAsia="zh-CN"/>
        </w:rPr>
        <w:t>202</w:t>
      </w:r>
      <w:r w:rsidR="006F66EB" w:rsidRPr="009F0637">
        <w:rPr>
          <w:sz w:val="28"/>
          <w:szCs w:val="22"/>
          <w:u w:val="single"/>
          <w:lang w:eastAsia="zh-CN"/>
        </w:rPr>
        <w:t>1</w:t>
      </w:r>
      <w:r w:rsidRPr="009F0637">
        <w:rPr>
          <w:rFonts w:hint="eastAsia"/>
          <w:sz w:val="28"/>
          <w:szCs w:val="22"/>
          <w:u w:val="single"/>
          <w:lang w:eastAsia="zh-CN"/>
        </w:rPr>
        <w:t>年与</w:t>
      </w:r>
      <w:r w:rsidRPr="009F0637">
        <w:rPr>
          <w:sz w:val="28"/>
          <w:szCs w:val="22"/>
          <w:u w:val="single"/>
          <w:lang w:eastAsia="zh-CN"/>
        </w:rPr>
        <w:t>20</w:t>
      </w:r>
      <w:r w:rsidR="006F66EB" w:rsidRPr="009F0637">
        <w:rPr>
          <w:sz w:val="28"/>
          <w:szCs w:val="22"/>
          <w:u w:val="single"/>
          <w:lang w:eastAsia="zh-CN"/>
        </w:rPr>
        <w:t>20</w:t>
      </w:r>
      <w:r w:rsidRPr="009F0637">
        <w:rPr>
          <w:rFonts w:hint="eastAsia"/>
          <w:sz w:val="28"/>
          <w:szCs w:val="22"/>
          <w:u w:val="single"/>
          <w:lang w:eastAsia="zh-CN"/>
        </w:rPr>
        <w:t>年的资产对比</w:t>
      </w:r>
      <w:bookmarkEnd w:id="64"/>
      <w:bookmarkEnd w:id="65"/>
      <w:bookmarkEnd w:id="66"/>
      <w:bookmarkEnd w:id="67"/>
      <w:bookmarkEnd w:id="68"/>
      <w:bookmarkEnd w:id="69"/>
    </w:p>
    <w:p w14:paraId="7B7B5F71" w14:textId="31A0956C" w:rsidR="006F66EB" w:rsidRDefault="006F66EB" w:rsidP="006F66EB">
      <w:pPr>
        <w:jc w:val="center"/>
        <w:rPr>
          <w:lang w:eastAsia="zh-CN"/>
        </w:rPr>
      </w:pPr>
      <w:r>
        <w:rPr>
          <w:noProof/>
          <w:lang w:val="en-US" w:eastAsia="zh-CN"/>
        </w:rPr>
        <w:drawing>
          <wp:inline distT="0" distB="0" distL="0" distR="0" wp14:anchorId="7891123E" wp14:editId="4380E3C9">
            <wp:extent cx="5143500" cy="3124200"/>
            <wp:effectExtent l="0" t="0" r="0" b="0"/>
            <wp:docPr id="12" name="Chart 12">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377BF2" w14:textId="7E8264B4" w:rsidR="006F66EB" w:rsidRPr="006F66EB" w:rsidRDefault="006F66EB" w:rsidP="006F66EB">
      <w:pPr>
        <w:rPr>
          <w:lang w:eastAsia="zh-CN"/>
        </w:rPr>
      </w:pPr>
    </w:p>
    <w:p w14:paraId="69133E4F" w14:textId="2A8F4814" w:rsidR="0085433F" w:rsidRPr="000C156A" w:rsidRDefault="00841254" w:rsidP="009F0637">
      <w:pPr>
        <w:rPr>
          <w:lang w:eastAsia="zh-CN"/>
        </w:rPr>
      </w:pPr>
      <w:bookmarkStart w:id="70" w:name="_Hlk70502937"/>
      <w:r>
        <w:rPr>
          <w:lang w:val="en-US" w:eastAsia="zh-CN"/>
        </w:rPr>
        <w:t>21</w:t>
      </w:r>
      <w:r w:rsidR="0085433F" w:rsidRPr="000C156A">
        <w:rPr>
          <w:lang w:val="en-US" w:eastAsia="zh-CN"/>
        </w:rPr>
        <w:tab/>
      </w:r>
      <w:r w:rsidR="00E04BEC" w:rsidRPr="00E04BEC">
        <w:rPr>
          <w:rFonts w:hint="eastAsia"/>
          <w:lang w:val="en-US" w:eastAsia="zh-CN"/>
        </w:rPr>
        <w:t>2021</w:t>
      </w:r>
      <w:r w:rsidR="00E04BEC" w:rsidRPr="00E04BEC">
        <w:rPr>
          <w:rFonts w:hint="eastAsia"/>
          <w:lang w:val="en-US" w:eastAsia="zh-CN"/>
        </w:rPr>
        <w:t>年，投资因负利率而持平。值得注意的是，现金和现金等价物的增长，可归因于多项自愿捐款和信托基金协议的签署和支付。</w:t>
      </w:r>
    </w:p>
    <w:p w14:paraId="224A5DCE" w14:textId="3BC1CA41" w:rsidR="0085433F" w:rsidRPr="000C156A" w:rsidRDefault="00841254" w:rsidP="009F0637">
      <w:pPr>
        <w:rPr>
          <w:b/>
          <w:bCs/>
          <w:sz w:val="28"/>
          <w:szCs w:val="28"/>
          <w:u w:val="single"/>
          <w:lang w:eastAsia="zh-CN"/>
        </w:rPr>
      </w:pPr>
      <w:bookmarkStart w:id="71" w:name="_Hlk39137255"/>
      <w:bookmarkEnd w:id="70"/>
      <w:r>
        <w:rPr>
          <w:rFonts w:asciiTheme="minorHAnsi" w:hAnsiTheme="minorHAnsi"/>
          <w:lang w:val="en-US" w:eastAsia="zh-CN"/>
        </w:rPr>
        <w:t>22</w:t>
      </w:r>
      <w:r w:rsidR="0085433F" w:rsidRPr="000C156A">
        <w:rPr>
          <w:rFonts w:asciiTheme="minorHAnsi" w:hAnsiTheme="minorHAnsi"/>
          <w:lang w:val="en-US" w:eastAsia="zh-CN"/>
        </w:rPr>
        <w:tab/>
      </w:r>
      <w:r w:rsidR="0085433F" w:rsidRPr="000C156A">
        <w:rPr>
          <w:lang w:eastAsia="zh-CN"/>
        </w:rPr>
        <w:t>由于对预算</w:t>
      </w:r>
      <w:r w:rsidR="0085433F" w:rsidRPr="000C156A">
        <w:rPr>
          <w:rFonts w:hint="eastAsia"/>
          <w:lang w:eastAsia="zh-CN"/>
        </w:rPr>
        <w:t>进行</w:t>
      </w:r>
      <w:r w:rsidR="0085433F" w:rsidRPr="000C156A">
        <w:rPr>
          <w:lang w:eastAsia="zh-CN"/>
        </w:rPr>
        <w:t>严格</w:t>
      </w:r>
      <w:r w:rsidR="0085433F" w:rsidRPr="000C156A">
        <w:rPr>
          <w:rFonts w:hint="eastAsia"/>
          <w:lang w:eastAsia="zh-CN"/>
        </w:rPr>
        <w:t>监督</w:t>
      </w:r>
      <w:r w:rsidR="0085433F" w:rsidRPr="000C156A">
        <w:rPr>
          <w:lang w:eastAsia="zh-CN"/>
        </w:rPr>
        <w:t>，</w:t>
      </w:r>
      <w:r w:rsidR="0085433F" w:rsidRPr="000C156A">
        <w:rPr>
          <w:rFonts w:hint="eastAsia"/>
          <w:lang w:eastAsia="zh-CN"/>
        </w:rPr>
        <w:t>因此</w:t>
      </w:r>
      <w:r w:rsidR="0085433F" w:rsidRPr="000C156A">
        <w:rPr>
          <w:lang w:eastAsia="zh-CN"/>
        </w:rPr>
        <w:t>202</w:t>
      </w:r>
      <w:r>
        <w:rPr>
          <w:lang w:eastAsia="zh-CN"/>
        </w:rPr>
        <w:t>1</w:t>
      </w:r>
      <w:r w:rsidR="0085433F" w:rsidRPr="000C156A">
        <w:rPr>
          <w:lang w:eastAsia="zh-CN"/>
        </w:rPr>
        <w:t>年预算执行的</w:t>
      </w:r>
      <w:r w:rsidR="0085433F" w:rsidRPr="000C156A">
        <w:rPr>
          <w:rFonts w:hint="eastAsia"/>
          <w:lang w:eastAsia="zh-CN"/>
        </w:rPr>
        <w:t>常规</w:t>
      </w:r>
      <w:r w:rsidR="0085433F" w:rsidRPr="000C156A">
        <w:rPr>
          <w:lang w:eastAsia="zh-CN"/>
        </w:rPr>
        <w:t>费用保持稳定</w:t>
      </w:r>
      <w:r w:rsidR="0085433F" w:rsidRPr="000C156A">
        <w:rPr>
          <w:rFonts w:hint="eastAsia"/>
          <w:lang w:eastAsia="zh-CN"/>
        </w:rPr>
        <w:t>。</w:t>
      </w:r>
    </w:p>
    <w:p w14:paraId="19FD5A0A" w14:textId="0A7620B2" w:rsidR="0085433F" w:rsidRPr="009F0637" w:rsidRDefault="0085433F" w:rsidP="0085433F">
      <w:pPr>
        <w:pStyle w:val="Headingb"/>
        <w:spacing w:after="240"/>
        <w:rPr>
          <w:sz w:val="28"/>
          <w:szCs w:val="28"/>
          <w:u w:val="single"/>
          <w:lang w:eastAsia="zh-CN"/>
        </w:rPr>
      </w:pPr>
      <w:bookmarkStart w:id="72" w:name="_Toc73460999"/>
      <w:bookmarkStart w:id="73" w:name="_Toc73518646"/>
      <w:bookmarkStart w:id="74" w:name="_Toc73518793"/>
      <w:bookmarkStart w:id="75" w:name="_Toc73519193"/>
      <w:bookmarkStart w:id="76" w:name="_Toc73636075"/>
      <w:bookmarkStart w:id="77" w:name="_Toc73636217"/>
      <w:bookmarkEnd w:id="71"/>
      <w:r w:rsidRPr="009F0637">
        <w:rPr>
          <w:rFonts w:hint="eastAsia"/>
          <w:sz w:val="28"/>
          <w:szCs w:val="28"/>
          <w:u w:val="single"/>
          <w:lang w:eastAsia="zh-CN"/>
        </w:rPr>
        <w:lastRenderedPageBreak/>
        <w:t>财务状况：</w:t>
      </w:r>
      <w:r w:rsidRPr="009F0637">
        <w:rPr>
          <w:sz w:val="28"/>
          <w:szCs w:val="28"/>
          <w:u w:val="single"/>
          <w:lang w:eastAsia="zh-CN"/>
        </w:rPr>
        <w:t>202</w:t>
      </w:r>
      <w:r w:rsidR="00841254" w:rsidRPr="009F0637">
        <w:rPr>
          <w:sz w:val="28"/>
          <w:szCs w:val="28"/>
          <w:u w:val="single"/>
          <w:lang w:eastAsia="zh-CN"/>
        </w:rPr>
        <w:t>1</w:t>
      </w:r>
      <w:r w:rsidRPr="009F0637">
        <w:rPr>
          <w:rFonts w:hint="eastAsia"/>
          <w:sz w:val="28"/>
          <w:szCs w:val="28"/>
          <w:u w:val="single"/>
          <w:lang w:eastAsia="zh-CN"/>
        </w:rPr>
        <w:t>年负债</w:t>
      </w:r>
      <w:r w:rsidRPr="009F0637">
        <w:rPr>
          <w:sz w:val="28"/>
          <w:szCs w:val="28"/>
          <w:u w:val="single"/>
          <w:lang w:eastAsia="zh-CN"/>
        </w:rPr>
        <w:t>状况</w:t>
      </w:r>
      <w:r w:rsidRPr="009F0637">
        <w:rPr>
          <w:rFonts w:hint="eastAsia"/>
          <w:sz w:val="28"/>
          <w:szCs w:val="28"/>
          <w:u w:val="single"/>
          <w:lang w:eastAsia="zh-CN"/>
        </w:rPr>
        <w:t>的</w:t>
      </w:r>
      <w:r w:rsidRPr="009F0637">
        <w:rPr>
          <w:sz w:val="28"/>
          <w:szCs w:val="28"/>
          <w:u w:val="single"/>
          <w:lang w:eastAsia="zh-CN"/>
        </w:rPr>
        <w:t>呈现</w:t>
      </w:r>
      <w:bookmarkEnd w:id="72"/>
      <w:bookmarkEnd w:id="73"/>
      <w:bookmarkEnd w:id="74"/>
      <w:bookmarkEnd w:id="75"/>
      <w:bookmarkEnd w:id="76"/>
      <w:bookmarkEnd w:id="77"/>
    </w:p>
    <w:p w14:paraId="2773FFEF" w14:textId="6F6E4338" w:rsidR="0085433F" w:rsidRPr="000C156A" w:rsidRDefault="00841254" w:rsidP="00841254">
      <w:pPr>
        <w:jc w:val="center"/>
        <w:rPr>
          <w:noProof/>
          <w:lang w:val="en-US" w:eastAsia="zh-CN"/>
        </w:rPr>
      </w:pPr>
      <w:r>
        <w:rPr>
          <w:noProof/>
          <w:lang w:val="en-US" w:eastAsia="zh-CN"/>
        </w:rPr>
        <w:drawing>
          <wp:inline distT="0" distB="0" distL="0" distR="0" wp14:anchorId="514206AE" wp14:editId="74B1410B">
            <wp:extent cx="4572000" cy="2949892"/>
            <wp:effectExtent l="0" t="0" r="0" b="3175"/>
            <wp:docPr id="10" name="Chart 10">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2E468C" w14:textId="3A640C6B" w:rsidR="0085433F" w:rsidRPr="009F0637" w:rsidRDefault="0085433F" w:rsidP="0085433F">
      <w:pPr>
        <w:pStyle w:val="Headingb"/>
        <w:spacing w:before="240" w:after="240"/>
        <w:rPr>
          <w:sz w:val="28"/>
          <w:szCs w:val="28"/>
          <w:u w:val="single"/>
          <w:lang w:eastAsia="zh-CN"/>
        </w:rPr>
      </w:pPr>
      <w:bookmarkStart w:id="78" w:name="_Toc73461000"/>
      <w:bookmarkStart w:id="79" w:name="_Toc73518647"/>
      <w:bookmarkStart w:id="80" w:name="_Toc73518794"/>
      <w:bookmarkStart w:id="81" w:name="_Toc73519194"/>
      <w:bookmarkStart w:id="82" w:name="_Toc73636076"/>
      <w:bookmarkStart w:id="83" w:name="_Toc73636218"/>
      <w:r w:rsidRPr="009F0637">
        <w:rPr>
          <w:rFonts w:hint="eastAsia"/>
          <w:sz w:val="28"/>
          <w:szCs w:val="28"/>
          <w:u w:val="single"/>
          <w:lang w:val="fr-FR" w:eastAsia="zh-CN"/>
        </w:rPr>
        <w:t>负债比较</w:t>
      </w:r>
      <w:r w:rsidRPr="009F0637">
        <w:rPr>
          <w:rFonts w:hint="eastAsia"/>
          <w:sz w:val="28"/>
          <w:szCs w:val="28"/>
          <w:u w:val="single"/>
          <w:lang w:eastAsia="zh-CN"/>
        </w:rPr>
        <w:t>：</w:t>
      </w:r>
      <w:r w:rsidRPr="009F0637">
        <w:rPr>
          <w:sz w:val="28"/>
          <w:szCs w:val="28"/>
          <w:u w:val="single"/>
          <w:lang w:eastAsia="zh-CN"/>
        </w:rPr>
        <w:t>202</w:t>
      </w:r>
      <w:r w:rsidR="00841254" w:rsidRPr="009F0637">
        <w:rPr>
          <w:sz w:val="28"/>
          <w:szCs w:val="28"/>
          <w:u w:val="single"/>
          <w:lang w:eastAsia="zh-CN"/>
        </w:rPr>
        <w:t>1</w:t>
      </w:r>
      <w:r w:rsidRPr="009F0637">
        <w:rPr>
          <w:rFonts w:hint="eastAsia"/>
          <w:sz w:val="28"/>
          <w:szCs w:val="28"/>
          <w:u w:val="single"/>
          <w:lang w:eastAsia="zh-CN"/>
        </w:rPr>
        <w:t>年</w:t>
      </w:r>
      <w:r w:rsidRPr="009F0637">
        <w:rPr>
          <w:sz w:val="28"/>
          <w:szCs w:val="28"/>
          <w:u w:val="single"/>
          <w:lang w:eastAsia="zh-CN"/>
        </w:rPr>
        <w:t>12</w:t>
      </w:r>
      <w:r w:rsidRPr="009F0637">
        <w:rPr>
          <w:rFonts w:hint="eastAsia"/>
          <w:sz w:val="28"/>
          <w:szCs w:val="28"/>
          <w:u w:val="single"/>
          <w:lang w:eastAsia="zh-CN"/>
        </w:rPr>
        <w:t>月</w:t>
      </w:r>
      <w:r w:rsidRPr="009F0637">
        <w:rPr>
          <w:sz w:val="28"/>
          <w:szCs w:val="28"/>
          <w:u w:val="single"/>
          <w:lang w:eastAsia="zh-CN"/>
        </w:rPr>
        <w:t>31</w:t>
      </w:r>
      <w:r w:rsidRPr="009F0637">
        <w:rPr>
          <w:rFonts w:hint="eastAsia"/>
          <w:sz w:val="28"/>
          <w:szCs w:val="28"/>
          <w:u w:val="single"/>
          <w:lang w:eastAsia="zh-CN"/>
        </w:rPr>
        <w:t>日负债总计</w:t>
      </w:r>
      <w:r w:rsidR="00841254" w:rsidRPr="009F0637">
        <w:rPr>
          <w:sz w:val="28"/>
          <w:szCs w:val="28"/>
          <w:u w:val="single"/>
          <w:lang w:eastAsia="zh-CN"/>
        </w:rPr>
        <w:t>838 654</w:t>
      </w:r>
      <w:r w:rsidRPr="009F0637">
        <w:rPr>
          <w:rFonts w:hint="eastAsia"/>
          <w:sz w:val="28"/>
          <w:szCs w:val="28"/>
          <w:u w:val="single"/>
          <w:lang w:eastAsia="zh-CN"/>
        </w:rPr>
        <w:t>瑞郎</w:t>
      </w:r>
      <w:bookmarkEnd w:id="78"/>
      <w:bookmarkEnd w:id="79"/>
      <w:bookmarkEnd w:id="80"/>
      <w:bookmarkEnd w:id="81"/>
      <w:bookmarkEnd w:id="82"/>
      <w:bookmarkEnd w:id="83"/>
    </w:p>
    <w:p w14:paraId="2B3D2888" w14:textId="4C1D2041" w:rsidR="00841254" w:rsidRDefault="00841254" w:rsidP="00841254">
      <w:pPr>
        <w:jc w:val="center"/>
        <w:rPr>
          <w:lang w:eastAsia="zh-CN"/>
        </w:rPr>
      </w:pPr>
      <w:r>
        <w:rPr>
          <w:noProof/>
          <w:lang w:val="en-US" w:eastAsia="zh-CN"/>
        </w:rPr>
        <w:drawing>
          <wp:inline distT="0" distB="0" distL="0" distR="0" wp14:anchorId="146B3CB3" wp14:editId="29EDA88E">
            <wp:extent cx="4572000" cy="2842260"/>
            <wp:effectExtent l="0" t="0" r="0" b="15240"/>
            <wp:docPr id="19" name="Chart 19">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3ABDBC" w14:textId="28B30F50" w:rsidR="0085433F" w:rsidRPr="000C156A" w:rsidRDefault="00841254" w:rsidP="009F0637">
      <w:pPr>
        <w:rPr>
          <w:lang w:eastAsia="zh-CN"/>
        </w:rPr>
      </w:pPr>
      <w:r>
        <w:rPr>
          <w:lang w:val="en-US" w:eastAsia="zh-CN"/>
        </w:rPr>
        <w:t>23</w:t>
      </w:r>
      <w:r w:rsidR="0085433F" w:rsidRPr="000C156A">
        <w:rPr>
          <w:lang w:val="en-US" w:eastAsia="zh-CN"/>
        </w:rPr>
        <w:tab/>
      </w:r>
      <w:r w:rsidR="002B29DC" w:rsidRPr="002B29DC">
        <w:rPr>
          <w:rFonts w:hint="eastAsia"/>
          <w:lang w:val="en-US" w:eastAsia="zh-CN"/>
        </w:rPr>
        <w:t>最大的负债是职员和退休人员累积的未来职员福利。</w:t>
      </w:r>
      <w:r w:rsidR="002B29DC">
        <w:rPr>
          <w:rFonts w:hint="eastAsia"/>
          <w:lang w:val="en-US" w:eastAsia="zh-CN"/>
        </w:rPr>
        <w:t>截至</w:t>
      </w:r>
      <w:r w:rsidR="002B29DC" w:rsidRPr="002B29DC">
        <w:rPr>
          <w:rFonts w:hint="eastAsia"/>
          <w:lang w:val="en-US" w:eastAsia="zh-CN"/>
        </w:rPr>
        <w:t>2021</w:t>
      </w:r>
      <w:r w:rsidR="002B29DC" w:rsidRPr="002B29DC">
        <w:rPr>
          <w:rFonts w:hint="eastAsia"/>
          <w:lang w:val="en-US" w:eastAsia="zh-CN"/>
        </w:rPr>
        <w:t>年</w:t>
      </w:r>
      <w:r w:rsidR="002B29DC" w:rsidRPr="002B29DC">
        <w:rPr>
          <w:rFonts w:hint="eastAsia"/>
          <w:lang w:val="en-US" w:eastAsia="zh-CN"/>
        </w:rPr>
        <w:t>12</w:t>
      </w:r>
      <w:r w:rsidR="002B29DC" w:rsidRPr="002B29DC">
        <w:rPr>
          <w:rFonts w:hint="eastAsia"/>
          <w:lang w:val="en-US" w:eastAsia="zh-CN"/>
        </w:rPr>
        <w:t>月</w:t>
      </w:r>
      <w:r w:rsidR="002B29DC" w:rsidRPr="002B29DC">
        <w:rPr>
          <w:rFonts w:hint="eastAsia"/>
          <w:lang w:val="en-US" w:eastAsia="zh-CN"/>
        </w:rPr>
        <w:t>31</w:t>
      </w:r>
      <w:r w:rsidR="002B29DC" w:rsidRPr="002B29DC">
        <w:rPr>
          <w:rFonts w:hint="eastAsia"/>
          <w:lang w:val="en-US" w:eastAsia="zh-CN"/>
        </w:rPr>
        <w:t>日，这类负债占国际电联总负债的</w:t>
      </w:r>
      <w:r w:rsidR="002B29DC" w:rsidRPr="002B29DC">
        <w:rPr>
          <w:rFonts w:hint="eastAsia"/>
          <w:lang w:val="en-US" w:eastAsia="zh-CN"/>
        </w:rPr>
        <w:t>68%</w:t>
      </w:r>
      <w:r w:rsidR="002B29DC" w:rsidRPr="002B29DC">
        <w:rPr>
          <w:rFonts w:hint="eastAsia"/>
          <w:lang w:val="en-US" w:eastAsia="zh-CN"/>
        </w:rPr>
        <w:t>。</w:t>
      </w:r>
      <w:r w:rsidR="003D3A3C">
        <w:rPr>
          <w:rFonts w:hint="eastAsia"/>
          <w:lang w:val="en-US" w:eastAsia="zh-CN"/>
        </w:rPr>
        <w:t>这种可见的下降走势</w:t>
      </w:r>
      <w:r w:rsidR="00F57C42" w:rsidRPr="002B29DC">
        <w:rPr>
          <w:rFonts w:hint="eastAsia"/>
          <w:lang w:val="en-US" w:eastAsia="zh-CN"/>
        </w:rPr>
        <w:t>可</w:t>
      </w:r>
      <w:r w:rsidR="00F57C42">
        <w:rPr>
          <w:rFonts w:hint="eastAsia"/>
          <w:lang w:val="en-US" w:eastAsia="zh-CN"/>
        </w:rPr>
        <w:t>归功</w:t>
      </w:r>
      <w:r w:rsidR="002B29DC" w:rsidRPr="002B29DC">
        <w:rPr>
          <w:rFonts w:hint="eastAsia"/>
          <w:lang w:val="en-US" w:eastAsia="zh-CN"/>
        </w:rPr>
        <w:t>于</w:t>
      </w:r>
      <w:r w:rsidR="002B29DC" w:rsidRPr="002B29DC">
        <w:rPr>
          <w:rFonts w:hint="eastAsia"/>
          <w:lang w:val="en-US" w:eastAsia="zh-CN"/>
        </w:rPr>
        <w:t>ASHI</w:t>
      </w:r>
      <w:r w:rsidR="002B29DC" w:rsidRPr="002B29DC">
        <w:rPr>
          <w:rFonts w:hint="eastAsia"/>
          <w:lang w:val="en-US" w:eastAsia="zh-CN"/>
        </w:rPr>
        <w:t>负债的减少。</w:t>
      </w:r>
    </w:p>
    <w:p w14:paraId="0D8DCCA9" w14:textId="785F31D9" w:rsidR="0085433F" w:rsidRPr="000C156A" w:rsidRDefault="00063C5B" w:rsidP="009F0637">
      <w:pPr>
        <w:rPr>
          <w:lang w:eastAsia="zh-CN"/>
        </w:rPr>
      </w:pPr>
      <w:r>
        <w:rPr>
          <w:lang w:val="en-US" w:eastAsia="zh-CN"/>
        </w:rPr>
        <w:t>24</w:t>
      </w:r>
      <w:r w:rsidR="0085433F" w:rsidRPr="000C156A">
        <w:rPr>
          <w:lang w:val="en-US" w:eastAsia="zh-CN"/>
        </w:rPr>
        <w:tab/>
      </w:r>
      <w:r w:rsidR="00F57C42" w:rsidRPr="00F57C42">
        <w:rPr>
          <w:rFonts w:hint="eastAsia"/>
          <w:lang w:val="en-US" w:eastAsia="zh-CN"/>
        </w:rPr>
        <w:t>尽管</w:t>
      </w:r>
      <w:r w:rsidR="00F57C42" w:rsidRPr="00F57C42">
        <w:rPr>
          <w:rFonts w:hint="eastAsia"/>
          <w:lang w:val="en-US" w:eastAsia="zh-CN"/>
        </w:rPr>
        <w:t>ASHI</w:t>
      </w:r>
      <w:r w:rsidR="00F57C42" w:rsidRPr="00F57C42">
        <w:rPr>
          <w:rFonts w:hint="eastAsia"/>
          <w:lang w:val="en-US" w:eastAsia="zh-CN"/>
        </w:rPr>
        <w:t>负债因贴现率从</w:t>
      </w:r>
      <w:r w:rsidR="00F57C42" w:rsidRPr="00F57C42">
        <w:rPr>
          <w:rFonts w:hint="eastAsia"/>
          <w:lang w:val="en-US" w:eastAsia="zh-CN"/>
        </w:rPr>
        <w:t>0.2%</w:t>
      </w:r>
      <w:r w:rsidR="00F57C42" w:rsidRPr="00F57C42">
        <w:rPr>
          <w:rFonts w:hint="eastAsia"/>
          <w:lang w:val="en-US" w:eastAsia="zh-CN"/>
        </w:rPr>
        <w:t>增至</w:t>
      </w:r>
      <w:r w:rsidR="00F57C42" w:rsidRPr="00F57C42">
        <w:rPr>
          <w:rFonts w:hint="eastAsia"/>
          <w:lang w:val="en-US" w:eastAsia="zh-CN"/>
        </w:rPr>
        <w:t>0.5%</w:t>
      </w:r>
      <w:r w:rsidR="00F57C42" w:rsidRPr="00F57C42">
        <w:rPr>
          <w:rFonts w:hint="eastAsia"/>
          <w:lang w:val="en-US" w:eastAsia="zh-CN"/>
        </w:rPr>
        <w:t>而有所减少，离职后健康保险（</w:t>
      </w:r>
      <w:r w:rsidR="00F57C42" w:rsidRPr="00F57C42">
        <w:rPr>
          <w:rFonts w:hint="eastAsia"/>
          <w:lang w:val="en-US" w:eastAsia="zh-CN"/>
        </w:rPr>
        <w:t>ASHI</w:t>
      </w:r>
      <w:r w:rsidR="00F57C42" w:rsidRPr="00F57C42">
        <w:rPr>
          <w:rFonts w:hint="eastAsia"/>
          <w:lang w:val="en-US" w:eastAsia="zh-CN"/>
        </w:rPr>
        <w:t>）负债仍占职员福利负债总额的</w:t>
      </w:r>
      <w:r w:rsidR="00F57C42" w:rsidRPr="00F57C42">
        <w:rPr>
          <w:rFonts w:hint="eastAsia"/>
          <w:lang w:val="en-US" w:eastAsia="zh-CN"/>
        </w:rPr>
        <w:t>96%</w:t>
      </w:r>
      <w:r w:rsidR="00F57C42" w:rsidRPr="00F57C42">
        <w:rPr>
          <w:rFonts w:hint="eastAsia"/>
          <w:lang w:val="en-US" w:eastAsia="zh-CN"/>
        </w:rPr>
        <w:t>。</w:t>
      </w:r>
    </w:p>
    <w:p w14:paraId="13F1306F" w14:textId="476952FF" w:rsidR="0085433F" w:rsidRPr="000C156A" w:rsidRDefault="00063C5B" w:rsidP="009F0637">
      <w:pPr>
        <w:rPr>
          <w:lang w:eastAsia="zh-CN"/>
        </w:rPr>
      </w:pPr>
      <w:r>
        <w:rPr>
          <w:lang w:val="en-US" w:eastAsia="zh-CN"/>
        </w:rPr>
        <w:t>25</w:t>
      </w:r>
      <w:r w:rsidR="0085433F" w:rsidRPr="000C156A">
        <w:rPr>
          <w:lang w:val="en-US" w:eastAsia="zh-CN"/>
        </w:rPr>
        <w:tab/>
      </w:r>
      <w:r w:rsidR="0085433F" w:rsidRPr="000C156A">
        <w:rPr>
          <w:rFonts w:hint="eastAsia"/>
          <w:lang w:eastAsia="zh-CN"/>
        </w:rPr>
        <w:t>应当指出，某些费用未列入预算，其中主要涉及折旧、未实现的兑换率损益和离职后健康保险（</w:t>
      </w:r>
      <w:r w:rsidR="0085433F" w:rsidRPr="000C156A">
        <w:rPr>
          <w:lang w:eastAsia="zh-CN"/>
        </w:rPr>
        <w:t>ASHI</w:t>
      </w:r>
      <w:r w:rsidR="0085433F" w:rsidRPr="000C156A">
        <w:rPr>
          <w:rFonts w:hint="eastAsia"/>
          <w:lang w:eastAsia="zh-CN"/>
        </w:rPr>
        <w:t>）准备金的调整。这些费用基本属于统计数据，不代表该年度的现金流出量。这些情况概貌见本文件表五</w:t>
      </w:r>
      <w:r w:rsidR="0085433F" w:rsidRPr="000C156A">
        <w:rPr>
          <w:rFonts w:hint="eastAsia"/>
          <w:lang w:eastAsia="zh-CN"/>
        </w:rPr>
        <w:t xml:space="preserve"> </w:t>
      </w:r>
      <w:r w:rsidR="0085433F" w:rsidRPr="000C156A">
        <w:rPr>
          <w:lang w:eastAsia="zh-CN"/>
        </w:rPr>
        <w:t>– 202</w:t>
      </w:r>
      <w:r>
        <w:rPr>
          <w:lang w:eastAsia="zh-CN"/>
        </w:rPr>
        <w:t>1</w:t>
      </w:r>
      <w:r w:rsidR="0085433F" w:rsidRPr="000C156A">
        <w:rPr>
          <w:rFonts w:hint="eastAsia"/>
          <w:lang w:eastAsia="zh-CN"/>
        </w:rPr>
        <w:t>财政期预算金额和实际发生金额的对比。</w:t>
      </w:r>
    </w:p>
    <w:p w14:paraId="26DBDF47" w14:textId="507FC680" w:rsidR="0085433F" w:rsidRPr="000C156A" w:rsidRDefault="00063C5B" w:rsidP="009F0637">
      <w:pPr>
        <w:rPr>
          <w:lang w:eastAsia="zh-CN"/>
        </w:rPr>
      </w:pPr>
      <w:r>
        <w:rPr>
          <w:lang w:val="en-US" w:eastAsia="zh-CN"/>
        </w:rPr>
        <w:t>26</w:t>
      </w:r>
      <w:r w:rsidR="0085433F" w:rsidRPr="000C156A">
        <w:rPr>
          <w:lang w:val="en-US" w:eastAsia="zh-CN"/>
        </w:rPr>
        <w:tab/>
      </w:r>
      <w:r w:rsidR="00F57C42" w:rsidRPr="00F57C42">
        <w:rPr>
          <w:rFonts w:hint="eastAsia"/>
          <w:lang w:val="en-US" w:eastAsia="zh-CN"/>
        </w:rPr>
        <w:t>由于多</w:t>
      </w:r>
      <w:r w:rsidR="00F57C42">
        <w:rPr>
          <w:rFonts w:hint="eastAsia"/>
          <w:lang w:val="en-US" w:eastAsia="zh-CN"/>
        </w:rPr>
        <w:t>个</w:t>
      </w:r>
      <w:r w:rsidR="00F57C42" w:rsidRPr="00F57C42">
        <w:rPr>
          <w:rFonts w:hint="eastAsia"/>
          <w:lang w:val="en-US" w:eastAsia="zh-CN"/>
        </w:rPr>
        <w:t>项目协议签署带来的巨额增长，</w:t>
      </w:r>
      <w:r w:rsidR="00F57C42" w:rsidRPr="00F57C42">
        <w:rPr>
          <w:rFonts w:hint="eastAsia"/>
          <w:lang w:val="en-US" w:eastAsia="zh-CN"/>
        </w:rPr>
        <w:t>2021</w:t>
      </w:r>
      <w:r w:rsidR="00F57C42" w:rsidRPr="00F57C42">
        <w:rPr>
          <w:rFonts w:hint="eastAsia"/>
          <w:lang w:val="en-US" w:eastAsia="zh-CN"/>
        </w:rPr>
        <w:t>年信托基金收到的现金捐款达</w:t>
      </w:r>
      <w:r w:rsidR="00F57C42" w:rsidRPr="00F57C42">
        <w:rPr>
          <w:rFonts w:hint="eastAsia"/>
          <w:lang w:val="en-US" w:eastAsia="zh-CN"/>
        </w:rPr>
        <w:t>1700</w:t>
      </w:r>
      <w:r w:rsidR="00F57C42" w:rsidRPr="00F57C42">
        <w:rPr>
          <w:rFonts w:hint="eastAsia"/>
          <w:lang w:val="en-US" w:eastAsia="zh-CN"/>
        </w:rPr>
        <w:t>万瑞郎（</w:t>
      </w:r>
      <w:r w:rsidR="00F57C42" w:rsidRPr="00F57C42">
        <w:rPr>
          <w:rFonts w:hint="eastAsia"/>
          <w:lang w:val="en-US" w:eastAsia="zh-CN"/>
        </w:rPr>
        <w:t>2020</w:t>
      </w:r>
      <w:r w:rsidR="00F57C42" w:rsidRPr="00F57C42">
        <w:rPr>
          <w:rFonts w:hint="eastAsia"/>
          <w:lang w:val="en-US" w:eastAsia="zh-CN"/>
        </w:rPr>
        <w:t>年为</w:t>
      </w:r>
      <w:r w:rsidR="00F57C42" w:rsidRPr="00F57C42">
        <w:rPr>
          <w:rFonts w:hint="eastAsia"/>
          <w:lang w:val="en-US" w:eastAsia="zh-CN"/>
        </w:rPr>
        <w:t>800</w:t>
      </w:r>
      <w:r w:rsidR="00F57C42" w:rsidRPr="00F57C42">
        <w:rPr>
          <w:rFonts w:hint="eastAsia"/>
          <w:lang w:val="en-US" w:eastAsia="zh-CN"/>
        </w:rPr>
        <w:t>万瑞郎）。</w:t>
      </w:r>
    </w:p>
    <w:p w14:paraId="5C116F2C" w14:textId="50EEFB49" w:rsidR="0085433F" w:rsidRPr="000C156A" w:rsidRDefault="00063C5B" w:rsidP="009F0637">
      <w:pPr>
        <w:rPr>
          <w:lang w:eastAsia="zh-CN"/>
        </w:rPr>
      </w:pPr>
      <w:r>
        <w:rPr>
          <w:lang w:val="en-US" w:eastAsia="zh-CN"/>
        </w:rPr>
        <w:lastRenderedPageBreak/>
        <w:t>27</w:t>
      </w:r>
      <w:r w:rsidR="0085433F" w:rsidRPr="000C156A">
        <w:rPr>
          <w:lang w:val="en-US" w:eastAsia="zh-CN"/>
        </w:rPr>
        <w:tab/>
      </w:r>
      <w:r w:rsidR="003300DE" w:rsidRPr="003300DE">
        <w:rPr>
          <w:rFonts w:hint="eastAsia"/>
          <w:lang w:val="en-US" w:eastAsia="zh-CN"/>
        </w:rPr>
        <w:t>2021</w:t>
      </w:r>
      <w:r w:rsidR="003300DE" w:rsidRPr="003300DE">
        <w:rPr>
          <w:rFonts w:hint="eastAsia"/>
          <w:lang w:val="en-US" w:eastAsia="zh-CN"/>
        </w:rPr>
        <w:t>年各种活动收到的自愿捐款</w:t>
      </w:r>
      <w:r w:rsidR="002F74CE">
        <w:rPr>
          <w:rFonts w:hint="eastAsia"/>
          <w:lang w:val="en-US" w:eastAsia="zh-CN"/>
        </w:rPr>
        <w:t>稳定</w:t>
      </w:r>
      <w:r w:rsidR="003300DE" w:rsidRPr="003300DE">
        <w:rPr>
          <w:rFonts w:hint="eastAsia"/>
          <w:lang w:val="en-US" w:eastAsia="zh-CN"/>
        </w:rPr>
        <w:t>在</w:t>
      </w:r>
      <w:r w:rsidR="003300DE" w:rsidRPr="003300DE">
        <w:rPr>
          <w:rFonts w:hint="eastAsia"/>
          <w:lang w:val="en-US" w:eastAsia="zh-CN"/>
        </w:rPr>
        <w:t>280</w:t>
      </w:r>
      <w:r w:rsidR="003300DE" w:rsidRPr="003300DE">
        <w:rPr>
          <w:rFonts w:hint="eastAsia"/>
          <w:lang w:val="en-US" w:eastAsia="zh-CN"/>
        </w:rPr>
        <w:t>万瑞郎。</w:t>
      </w:r>
    </w:p>
    <w:p w14:paraId="23E2D6A9" w14:textId="39627EF8" w:rsidR="0085433F" w:rsidRPr="000C156A" w:rsidRDefault="00063C5B" w:rsidP="009F0637">
      <w:pPr>
        <w:rPr>
          <w:lang w:eastAsia="zh-CN"/>
        </w:rPr>
      </w:pPr>
      <w:r>
        <w:rPr>
          <w:lang w:val="en-US" w:eastAsia="zh-CN"/>
        </w:rPr>
        <w:t>28</w:t>
      </w:r>
      <w:r w:rsidR="0085433F" w:rsidRPr="000C156A">
        <w:rPr>
          <w:lang w:val="en-US" w:eastAsia="zh-CN"/>
        </w:rPr>
        <w:tab/>
      </w:r>
      <w:r w:rsidR="006D49F5" w:rsidRPr="006D49F5">
        <w:rPr>
          <w:rFonts w:hint="eastAsia"/>
          <w:lang w:val="en-US" w:eastAsia="zh-CN"/>
        </w:rPr>
        <w:t>截至</w:t>
      </w:r>
      <w:r w:rsidR="006D49F5" w:rsidRPr="006D49F5">
        <w:rPr>
          <w:rFonts w:hint="eastAsia"/>
          <w:lang w:val="en-US" w:eastAsia="zh-CN"/>
        </w:rPr>
        <w:t>2021</w:t>
      </w:r>
      <w:r w:rsidR="006D49F5" w:rsidRPr="006D49F5">
        <w:rPr>
          <w:rFonts w:hint="eastAsia"/>
          <w:lang w:val="en-US" w:eastAsia="zh-CN"/>
        </w:rPr>
        <w:t>年</w:t>
      </w:r>
      <w:r w:rsidR="006D49F5" w:rsidRPr="006D49F5">
        <w:rPr>
          <w:rFonts w:hint="eastAsia"/>
          <w:lang w:val="en-US" w:eastAsia="zh-CN"/>
        </w:rPr>
        <w:t>12</w:t>
      </w:r>
      <w:r w:rsidR="006D49F5" w:rsidRPr="006D49F5">
        <w:rPr>
          <w:rFonts w:hint="eastAsia"/>
          <w:lang w:val="en-US" w:eastAsia="zh-CN"/>
        </w:rPr>
        <w:t>月</w:t>
      </w:r>
      <w:r w:rsidR="006D49F5" w:rsidRPr="006D49F5">
        <w:rPr>
          <w:rFonts w:hint="eastAsia"/>
          <w:lang w:val="en-US" w:eastAsia="zh-CN"/>
        </w:rPr>
        <w:t>31</w:t>
      </w:r>
      <w:r w:rsidR="006D49F5" w:rsidRPr="006D49F5">
        <w:rPr>
          <w:rFonts w:hint="eastAsia"/>
          <w:lang w:val="en-US" w:eastAsia="zh-CN"/>
        </w:rPr>
        <w:t>日</w:t>
      </w:r>
      <w:r w:rsidR="006D49F5">
        <w:rPr>
          <w:rFonts w:hint="eastAsia"/>
          <w:lang w:val="en-US" w:eastAsia="zh-CN"/>
        </w:rPr>
        <w:t>，</w:t>
      </w:r>
      <w:r w:rsidR="006D49F5" w:rsidRPr="006D49F5">
        <w:rPr>
          <w:rFonts w:hint="eastAsia"/>
          <w:lang w:val="en-US" w:eastAsia="zh-CN"/>
        </w:rPr>
        <w:t>ICT</w:t>
      </w:r>
      <w:r w:rsidR="006D49F5" w:rsidRPr="006D49F5">
        <w:rPr>
          <w:rFonts w:hint="eastAsia"/>
          <w:lang w:val="en-US" w:eastAsia="zh-CN"/>
        </w:rPr>
        <w:t>发展基金的余额为</w:t>
      </w:r>
      <w:r w:rsidR="006D49F5" w:rsidRPr="006D49F5">
        <w:rPr>
          <w:rFonts w:hint="eastAsia"/>
          <w:lang w:val="en-US" w:eastAsia="zh-CN"/>
        </w:rPr>
        <w:t>310</w:t>
      </w:r>
      <w:r w:rsidR="006D49F5" w:rsidRPr="006D49F5">
        <w:rPr>
          <w:rFonts w:hint="eastAsia"/>
          <w:lang w:val="en-US" w:eastAsia="zh-CN"/>
        </w:rPr>
        <w:t>万瑞郎（</w:t>
      </w:r>
      <w:r w:rsidR="006D49F5" w:rsidRPr="006D49F5">
        <w:rPr>
          <w:rFonts w:hint="eastAsia"/>
          <w:lang w:val="en-US" w:eastAsia="zh-CN"/>
        </w:rPr>
        <w:t>2020</w:t>
      </w:r>
      <w:r w:rsidR="006D49F5" w:rsidRPr="006D49F5">
        <w:rPr>
          <w:rFonts w:hint="eastAsia"/>
          <w:lang w:val="en-US" w:eastAsia="zh-CN"/>
        </w:rPr>
        <w:t>年</w:t>
      </w:r>
      <w:r w:rsidR="006D49F5" w:rsidRPr="006D49F5">
        <w:rPr>
          <w:rFonts w:hint="eastAsia"/>
          <w:lang w:val="en-US" w:eastAsia="zh-CN"/>
        </w:rPr>
        <w:t>12</w:t>
      </w:r>
      <w:r w:rsidR="006D49F5" w:rsidRPr="006D49F5">
        <w:rPr>
          <w:rFonts w:hint="eastAsia"/>
          <w:lang w:val="en-US" w:eastAsia="zh-CN"/>
        </w:rPr>
        <w:t>月</w:t>
      </w:r>
      <w:r w:rsidR="006D49F5" w:rsidRPr="006D49F5">
        <w:rPr>
          <w:rFonts w:hint="eastAsia"/>
          <w:lang w:val="en-US" w:eastAsia="zh-CN"/>
        </w:rPr>
        <w:t>31</w:t>
      </w:r>
      <w:r w:rsidR="006D49F5" w:rsidRPr="006D49F5">
        <w:rPr>
          <w:rFonts w:hint="eastAsia"/>
          <w:lang w:val="en-US" w:eastAsia="zh-CN"/>
        </w:rPr>
        <w:t>日为</w:t>
      </w:r>
      <w:r w:rsidR="006D49F5" w:rsidRPr="006D49F5">
        <w:rPr>
          <w:rFonts w:hint="eastAsia"/>
          <w:lang w:val="en-US" w:eastAsia="zh-CN"/>
        </w:rPr>
        <w:t>380</w:t>
      </w:r>
      <w:r w:rsidR="006D49F5" w:rsidRPr="006D49F5">
        <w:rPr>
          <w:rFonts w:hint="eastAsia"/>
          <w:lang w:val="en-US" w:eastAsia="zh-CN"/>
        </w:rPr>
        <w:t>万瑞郎）。</w:t>
      </w:r>
    </w:p>
    <w:p w14:paraId="5051C58B" w14:textId="7B2AF0BD" w:rsidR="0085433F" w:rsidRPr="000C156A" w:rsidRDefault="00063C5B" w:rsidP="009F0637">
      <w:pPr>
        <w:rPr>
          <w:lang w:eastAsia="zh-CN"/>
        </w:rPr>
      </w:pPr>
      <w:r>
        <w:rPr>
          <w:lang w:val="en-US" w:eastAsia="zh-CN"/>
        </w:rPr>
        <w:t>29</w:t>
      </w:r>
      <w:r w:rsidR="0085433F" w:rsidRPr="000C156A">
        <w:rPr>
          <w:lang w:val="en-US" w:eastAsia="zh-CN"/>
        </w:rPr>
        <w:tab/>
      </w:r>
      <w:r w:rsidR="006D49F5" w:rsidRPr="006D49F5">
        <w:rPr>
          <w:rFonts w:hint="eastAsia"/>
          <w:lang w:val="en-US" w:eastAsia="zh-CN"/>
        </w:rPr>
        <w:t>2021</w:t>
      </w:r>
      <w:r w:rsidR="006D49F5" w:rsidRPr="006D49F5">
        <w:rPr>
          <w:rFonts w:hint="eastAsia"/>
          <w:lang w:val="en-US" w:eastAsia="zh-CN"/>
        </w:rPr>
        <w:t>年，信托基金总支出为</w:t>
      </w:r>
      <w:r w:rsidR="006D49F5" w:rsidRPr="006D49F5">
        <w:rPr>
          <w:rFonts w:hint="eastAsia"/>
          <w:lang w:val="en-US" w:eastAsia="zh-CN"/>
        </w:rPr>
        <w:t>1240</w:t>
      </w:r>
      <w:r w:rsidR="006D49F5" w:rsidRPr="006D49F5">
        <w:rPr>
          <w:rFonts w:hint="eastAsia"/>
          <w:lang w:val="en-US" w:eastAsia="zh-CN"/>
        </w:rPr>
        <w:t>万瑞郎，</w:t>
      </w:r>
      <w:r w:rsidR="001D31CA">
        <w:rPr>
          <w:rFonts w:hint="eastAsia"/>
          <w:lang w:val="en-US" w:eastAsia="zh-CN"/>
        </w:rPr>
        <w:t>生成</w:t>
      </w:r>
      <w:r w:rsidR="006D49F5" w:rsidRPr="006D49F5">
        <w:rPr>
          <w:rFonts w:hint="eastAsia"/>
          <w:lang w:val="en-US" w:eastAsia="zh-CN"/>
        </w:rPr>
        <w:t>项目支持收入</w:t>
      </w:r>
      <w:r w:rsidR="006D49F5" w:rsidRPr="006D49F5">
        <w:rPr>
          <w:rFonts w:hint="eastAsia"/>
          <w:lang w:val="en-US" w:eastAsia="zh-CN"/>
        </w:rPr>
        <w:t>72</w:t>
      </w:r>
      <w:r w:rsidR="006D49F5" w:rsidRPr="006D49F5">
        <w:rPr>
          <w:rFonts w:hint="eastAsia"/>
          <w:lang w:val="en-US" w:eastAsia="zh-CN"/>
        </w:rPr>
        <w:t>万瑞郎。</w:t>
      </w:r>
    </w:p>
    <w:p w14:paraId="6C144F84" w14:textId="12ADB0C3" w:rsidR="0085433F" w:rsidRPr="000C156A" w:rsidRDefault="00063C5B" w:rsidP="009F0637">
      <w:pPr>
        <w:rPr>
          <w:lang w:eastAsia="zh-CN"/>
        </w:rPr>
      </w:pPr>
      <w:r>
        <w:rPr>
          <w:lang w:val="en-US" w:eastAsia="zh-CN"/>
        </w:rPr>
        <w:t>30</w:t>
      </w:r>
      <w:r w:rsidR="0085433F" w:rsidRPr="000C156A">
        <w:rPr>
          <w:lang w:val="en-US" w:eastAsia="zh-CN"/>
        </w:rPr>
        <w:tab/>
      </w:r>
      <w:r w:rsidR="001D31CA" w:rsidRPr="001D31CA">
        <w:rPr>
          <w:rFonts w:hint="eastAsia"/>
          <w:lang w:val="en-US" w:eastAsia="zh-CN"/>
        </w:rPr>
        <w:t>由于</w:t>
      </w:r>
      <w:r w:rsidR="001D31CA" w:rsidRPr="001D31CA">
        <w:rPr>
          <w:rFonts w:hint="eastAsia"/>
          <w:lang w:val="en-US" w:eastAsia="zh-CN"/>
        </w:rPr>
        <w:t>COVID-19</w:t>
      </w:r>
      <w:r w:rsidR="001D31CA">
        <w:rPr>
          <w:rFonts w:hint="eastAsia"/>
          <w:lang w:val="en-US" w:eastAsia="zh-CN"/>
        </w:rPr>
        <w:t>的影响</w:t>
      </w:r>
      <w:r w:rsidR="001D31CA" w:rsidRPr="001D31CA">
        <w:rPr>
          <w:rFonts w:hint="eastAsia"/>
          <w:lang w:val="en-US" w:eastAsia="zh-CN"/>
        </w:rPr>
        <w:t>，国际电联世界电信展被推迟到</w:t>
      </w:r>
      <w:r w:rsidR="001D31CA" w:rsidRPr="001D31CA">
        <w:rPr>
          <w:rFonts w:hint="eastAsia"/>
          <w:lang w:val="en-US" w:eastAsia="zh-CN"/>
        </w:rPr>
        <w:t>2021</w:t>
      </w:r>
      <w:r w:rsidR="001D31CA" w:rsidRPr="001D31CA">
        <w:rPr>
          <w:rFonts w:hint="eastAsia"/>
          <w:lang w:val="en-US" w:eastAsia="zh-CN"/>
        </w:rPr>
        <w:t>年以虚拟方式举行。虽然电信展览部秘书处仍需支付诸如工资等直接开支，但不可能提高收入，而且国际电联</w:t>
      </w:r>
      <w:r w:rsidR="001D31CA" w:rsidRPr="001D31CA">
        <w:rPr>
          <w:rFonts w:hint="eastAsia"/>
          <w:lang w:val="en-US" w:eastAsia="zh-CN"/>
        </w:rPr>
        <w:t>2021</w:t>
      </w:r>
      <w:r w:rsidR="001D31CA" w:rsidRPr="001D31CA">
        <w:rPr>
          <w:rFonts w:hint="eastAsia"/>
          <w:lang w:val="en-US" w:eastAsia="zh-CN"/>
        </w:rPr>
        <w:t>年数字世界</w:t>
      </w:r>
      <w:r w:rsidR="001D31CA">
        <w:rPr>
          <w:rFonts w:hint="eastAsia"/>
          <w:lang w:val="en-US" w:eastAsia="zh-CN"/>
        </w:rPr>
        <w:t>活动</w:t>
      </w:r>
      <w:r w:rsidR="001D31CA" w:rsidRPr="001D31CA">
        <w:rPr>
          <w:rFonts w:hint="eastAsia"/>
          <w:lang w:val="en-US" w:eastAsia="zh-CN"/>
        </w:rPr>
        <w:t>存在提自电信展周转基金的</w:t>
      </w:r>
      <w:r w:rsidR="001D31CA" w:rsidRPr="001D31CA">
        <w:rPr>
          <w:rFonts w:hint="eastAsia"/>
          <w:lang w:val="en-US" w:eastAsia="zh-CN"/>
        </w:rPr>
        <w:t>200</w:t>
      </w:r>
      <w:r w:rsidR="001D31CA" w:rsidRPr="001D31CA">
        <w:rPr>
          <w:rFonts w:hint="eastAsia"/>
          <w:lang w:val="en-US" w:eastAsia="zh-CN"/>
        </w:rPr>
        <w:t>万瑞郎赤字。截至</w:t>
      </w:r>
      <w:r w:rsidR="001D31CA" w:rsidRPr="001D31CA">
        <w:rPr>
          <w:rFonts w:hint="eastAsia"/>
          <w:lang w:val="en-US" w:eastAsia="zh-CN"/>
        </w:rPr>
        <w:t>2021</w:t>
      </w:r>
      <w:r w:rsidR="001D31CA" w:rsidRPr="001D31CA">
        <w:rPr>
          <w:rFonts w:hint="eastAsia"/>
          <w:lang w:val="en-US" w:eastAsia="zh-CN"/>
        </w:rPr>
        <w:t>年</w:t>
      </w:r>
      <w:r w:rsidR="001D31CA" w:rsidRPr="001D31CA">
        <w:rPr>
          <w:rFonts w:hint="eastAsia"/>
          <w:lang w:val="en-US" w:eastAsia="zh-CN"/>
        </w:rPr>
        <w:t>12</w:t>
      </w:r>
      <w:r w:rsidR="001D31CA" w:rsidRPr="001D31CA">
        <w:rPr>
          <w:rFonts w:hint="eastAsia"/>
          <w:lang w:val="en-US" w:eastAsia="zh-CN"/>
        </w:rPr>
        <w:t>月</w:t>
      </w:r>
      <w:r w:rsidR="001D31CA" w:rsidRPr="001D31CA">
        <w:rPr>
          <w:rFonts w:hint="eastAsia"/>
          <w:lang w:val="en-US" w:eastAsia="zh-CN"/>
        </w:rPr>
        <w:t>31</w:t>
      </w:r>
      <w:r w:rsidR="001D31CA" w:rsidRPr="001D31CA">
        <w:rPr>
          <w:rFonts w:hint="eastAsia"/>
          <w:lang w:val="en-US" w:eastAsia="zh-CN"/>
        </w:rPr>
        <w:t>日，电信展周转基金余额为</w:t>
      </w:r>
      <w:r w:rsidR="001D31CA" w:rsidRPr="001D31CA">
        <w:rPr>
          <w:rFonts w:hint="eastAsia"/>
          <w:lang w:val="en-US" w:eastAsia="zh-CN"/>
        </w:rPr>
        <w:t>450</w:t>
      </w:r>
      <w:r w:rsidR="001D31CA" w:rsidRPr="001D31CA">
        <w:rPr>
          <w:rFonts w:hint="eastAsia"/>
          <w:lang w:val="en-US" w:eastAsia="zh-CN"/>
        </w:rPr>
        <w:t>万瑞郎（</w:t>
      </w:r>
      <w:r w:rsidR="001D31CA" w:rsidRPr="001D31CA">
        <w:rPr>
          <w:rFonts w:hint="eastAsia"/>
          <w:lang w:val="en-US" w:eastAsia="zh-CN"/>
        </w:rPr>
        <w:t>2020</w:t>
      </w:r>
      <w:r w:rsidR="001D31CA" w:rsidRPr="001D31CA">
        <w:rPr>
          <w:rFonts w:hint="eastAsia"/>
          <w:lang w:val="en-US" w:eastAsia="zh-CN"/>
        </w:rPr>
        <w:t>年</w:t>
      </w:r>
      <w:r w:rsidR="001D31CA" w:rsidRPr="001D31CA">
        <w:rPr>
          <w:rFonts w:hint="eastAsia"/>
          <w:lang w:val="en-US" w:eastAsia="zh-CN"/>
        </w:rPr>
        <w:t>12</w:t>
      </w:r>
      <w:r w:rsidR="001D31CA" w:rsidRPr="001D31CA">
        <w:rPr>
          <w:rFonts w:hint="eastAsia"/>
          <w:lang w:val="en-US" w:eastAsia="zh-CN"/>
        </w:rPr>
        <w:t>月</w:t>
      </w:r>
      <w:r w:rsidR="001D31CA" w:rsidRPr="001D31CA">
        <w:rPr>
          <w:rFonts w:hint="eastAsia"/>
          <w:lang w:val="en-US" w:eastAsia="zh-CN"/>
        </w:rPr>
        <w:t>31</w:t>
      </w:r>
      <w:r w:rsidR="001D31CA" w:rsidRPr="001D31CA">
        <w:rPr>
          <w:rFonts w:hint="eastAsia"/>
          <w:lang w:val="en-US" w:eastAsia="zh-CN"/>
        </w:rPr>
        <w:t>日为</w:t>
      </w:r>
      <w:r w:rsidR="001D31CA" w:rsidRPr="001D31CA">
        <w:rPr>
          <w:rFonts w:hint="eastAsia"/>
          <w:lang w:val="en-US" w:eastAsia="zh-CN"/>
        </w:rPr>
        <w:t>650</w:t>
      </w:r>
      <w:r w:rsidR="001D31CA" w:rsidRPr="001D31CA">
        <w:rPr>
          <w:rFonts w:hint="eastAsia"/>
          <w:lang w:val="en-US" w:eastAsia="zh-CN"/>
        </w:rPr>
        <w:t>万瑞郎）。</w:t>
      </w:r>
    </w:p>
    <w:p w14:paraId="623B7BFA" w14:textId="2C62D2F3" w:rsidR="0085433F" w:rsidRPr="000C156A" w:rsidRDefault="0085433F" w:rsidP="009F0637">
      <w:pPr>
        <w:rPr>
          <w:lang w:eastAsia="zh-CN"/>
        </w:rPr>
      </w:pPr>
      <w:r w:rsidRPr="000C156A">
        <w:rPr>
          <w:lang w:val="en-US" w:eastAsia="zh-CN"/>
        </w:rPr>
        <w:t>3</w:t>
      </w:r>
      <w:r w:rsidR="00A71E99">
        <w:rPr>
          <w:lang w:val="en-US" w:eastAsia="zh-CN"/>
        </w:rPr>
        <w:t>1</w:t>
      </w:r>
      <w:r w:rsidRPr="000C156A">
        <w:rPr>
          <w:lang w:val="en-US" w:eastAsia="zh-CN"/>
        </w:rPr>
        <w:tab/>
      </w:r>
      <w:r w:rsidR="001D31CA" w:rsidRPr="001D31CA">
        <w:rPr>
          <w:rFonts w:hint="eastAsia"/>
          <w:lang w:val="en-US" w:eastAsia="zh-CN"/>
        </w:rPr>
        <w:t>第</w:t>
      </w:r>
      <w:r w:rsidR="001D31CA" w:rsidRPr="001D31CA">
        <w:rPr>
          <w:rFonts w:hint="eastAsia"/>
          <w:lang w:val="en-US" w:eastAsia="zh-CN"/>
        </w:rPr>
        <w:t>11</w:t>
      </w:r>
      <w:r w:rsidR="001D31CA" w:rsidRPr="001D31CA">
        <w:rPr>
          <w:rFonts w:hint="eastAsia"/>
          <w:lang w:val="en-US" w:eastAsia="zh-CN"/>
        </w:rPr>
        <w:t>号决议（</w:t>
      </w:r>
      <w:r w:rsidR="001D31CA" w:rsidRPr="001D31CA">
        <w:rPr>
          <w:rFonts w:hint="eastAsia"/>
          <w:lang w:val="en-US" w:eastAsia="zh-CN"/>
        </w:rPr>
        <w:t>2018</w:t>
      </w:r>
      <w:r w:rsidR="001D31CA" w:rsidRPr="001D31CA">
        <w:rPr>
          <w:rFonts w:hint="eastAsia"/>
          <w:lang w:val="en-US" w:eastAsia="zh-CN"/>
        </w:rPr>
        <w:t>年，迪拜，修订版）决定拨款</w:t>
      </w:r>
      <w:r w:rsidR="001D31CA" w:rsidRPr="001D31CA">
        <w:rPr>
          <w:rFonts w:hint="eastAsia"/>
          <w:lang w:val="en-US" w:eastAsia="zh-CN"/>
        </w:rPr>
        <w:t>750 000</w:t>
      </w:r>
      <w:r w:rsidR="001D31CA" w:rsidRPr="001D31CA">
        <w:rPr>
          <w:rFonts w:hint="eastAsia"/>
          <w:lang w:val="en-US" w:eastAsia="zh-CN"/>
        </w:rPr>
        <w:t>瑞郎，用于电信展活动的审查工作。根据提交的最终报告，支付给该公司共计</w:t>
      </w:r>
      <w:r w:rsidR="001D31CA" w:rsidRPr="001D31CA">
        <w:rPr>
          <w:rFonts w:hint="eastAsia"/>
          <w:lang w:val="en-US" w:eastAsia="zh-CN"/>
        </w:rPr>
        <w:t>624</w:t>
      </w:r>
      <w:r w:rsidR="009F0637">
        <w:rPr>
          <w:lang w:val="en-US" w:eastAsia="zh-CN"/>
        </w:rPr>
        <w:t xml:space="preserve"> </w:t>
      </w:r>
      <w:r w:rsidR="001D31CA" w:rsidRPr="001D31CA">
        <w:rPr>
          <w:rFonts w:hint="eastAsia"/>
          <w:lang w:val="en-US" w:eastAsia="zh-CN"/>
        </w:rPr>
        <w:t>565</w:t>
      </w:r>
      <w:r w:rsidR="001D31CA" w:rsidRPr="001D31CA">
        <w:rPr>
          <w:rFonts w:hint="eastAsia"/>
          <w:lang w:val="en-US" w:eastAsia="zh-CN"/>
        </w:rPr>
        <w:t>瑞郎</w:t>
      </w:r>
      <w:r w:rsidR="00636EFB">
        <w:rPr>
          <w:rFonts w:hint="eastAsia"/>
          <w:lang w:val="en-US" w:eastAsia="zh-CN"/>
        </w:rPr>
        <w:t>，并已</w:t>
      </w:r>
      <w:r w:rsidR="001D31CA" w:rsidRPr="001D31CA">
        <w:rPr>
          <w:rFonts w:hint="eastAsia"/>
          <w:lang w:val="en-US" w:eastAsia="zh-CN"/>
        </w:rPr>
        <w:t>将</w:t>
      </w:r>
      <w:r w:rsidR="001D31CA" w:rsidRPr="001D31CA">
        <w:rPr>
          <w:rFonts w:hint="eastAsia"/>
          <w:lang w:val="en-US" w:eastAsia="zh-CN"/>
        </w:rPr>
        <w:t>125</w:t>
      </w:r>
      <w:r w:rsidR="009F0637">
        <w:rPr>
          <w:lang w:val="en-US" w:eastAsia="zh-CN"/>
        </w:rPr>
        <w:t xml:space="preserve"> </w:t>
      </w:r>
      <w:r w:rsidR="001D31CA" w:rsidRPr="001D31CA">
        <w:rPr>
          <w:rFonts w:hint="eastAsia"/>
          <w:lang w:val="en-US" w:eastAsia="zh-CN"/>
        </w:rPr>
        <w:t>434</w:t>
      </w:r>
      <w:r w:rsidR="001D31CA" w:rsidRPr="001D31CA">
        <w:rPr>
          <w:rFonts w:hint="eastAsia"/>
          <w:lang w:val="en-US" w:eastAsia="zh-CN"/>
        </w:rPr>
        <w:t>瑞郎的可用资金返还给电信展周转基金。</w:t>
      </w:r>
    </w:p>
    <w:p w14:paraId="1F101DEF" w14:textId="52559B4F" w:rsidR="0085433F" w:rsidRPr="000C156A" w:rsidRDefault="0085433F" w:rsidP="009F0637">
      <w:pPr>
        <w:rPr>
          <w:lang w:eastAsia="zh-CN"/>
        </w:rPr>
      </w:pPr>
      <w:r w:rsidRPr="000C156A">
        <w:rPr>
          <w:lang w:val="en-US" w:eastAsia="zh-CN"/>
        </w:rPr>
        <w:t>3</w:t>
      </w:r>
      <w:r w:rsidR="00A71E99">
        <w:rPr>
          <w:lang w:val="en-US" w:eastAsia="zh-CN"/>
        </w:rPr>
        <w:t>2</w:t>
      </w:r>
      <w:r w:rsidRPr="000C156A">
        <w:rPr>
          <w:lang w:val="en-US" w:eastAsia="zh-CN"/>
        </w:rPr>
        <w:tab/>
      </w:r>
      <w:r w:rsidRPr="000C156A">
        <w:rPr>
          <w:rFonts w:hint="eastAsia"/>
          <w:lang w:eastAsia="zh-CN"/>
        </w:rPr>
        <w:t>本文件附件</w:t>
      </w:r>
      <w:r w:rsidRPr="000C156A">
        <w:rPr>
          <w:rFonts w:hint="eastAsia"/>
          <w:lang w:eastAsia="zh-CN"/>
        </w:rPr>
        <w:t>D</w:t>
      </w:r>
      <w:r w:rsidRPr="000C156A">
        <w:rPr>
          <w:rFonts w:hint="eastAsia"/>
          <w:lang w:eastAsia="zh-CN"/>
        </w:rPr>
        <w:t>显示电信展览部欠款的变化情况。</w:t>
      </w:r>
    </w:p>
    <w:p w14:paraId="485913D2" w14:textId="687F6EE1" w:rsidR="0085433F" w:rsidRPr="000C156A" w:rsidRDefault="0085433F" w:rsidP="009F0637">
      <w:pPr>
        <w:rPr>
          <w:lang w:eastAsia="zh-CN"/>
        </w:rPr>
      </w:pPr>
      <w:r w:rsidRPr="000C156A">
        <w:rPr>
          <w:lang w:val="en-US" w:eastAsia="zh-CN"/>
        </w:rPr>
        <w:t>3</w:t>
      </w:r>
      <w:r w:rsidR="00A71E99">
        <w:rPr>
          <w:lang w:val="en-US" w:eastAsia="zh-CN"/>
        </w:rPr>
        <w:t>3</w:t>
      </w:r>
      <w:r w:rsidRPr="000C156A">
        <w:rPr>
          <w:lang w:val="en-US" w:eastAsia="zh-CN"/>
        </w:rPr>
        <w:tab/>
      </w:r>
      <w:r w:rsidRPr="000C156A">
        <w:rPr>
          <w:rFonts w:hint="eastAsia"/>
          <w:lang w:eastAsia="zh-CN"/>
        </w:rPr>
        <w:t>财务报表的辅助说明提供</w:t>
      </w:r>
      <w:r w:rsidRPr="000C156A">
        <w:rPr>
          <w:lang w:eastAsia="zh-CN"/>
        </w:rPr>
        <w:t>202</w:t>
      </w:r>
      <w:r w:rsidR="00A71E99">
        <w:rPr>
          <w:lang w:eastAsia="zh-CN"/>
        </w:rPr>
        <w:t>1</w:t>
      </w:r>
      <w:r w:rsidRPr="000C156A">
        <w:rPr>
          <w:rFonts w:hint="eastAsia"/>
          <w:lang w:eastAsia="zh-CN"/>
        </w:rPr>
        <w:t>年期间财务各方面的信息。</w:t>
      </w:r>
    </w:p>
    <w:p w14:paraId="1C5A2965" w14:textId="77777777" w:rsidR="0085433F" w:rsidRPr="000C156A" w:rsidRDefault="0085433F" w:rsidP="0085433F">
      <w:pPr>
        <w:pStyle w:val="Headingb"/>
        <w:rPr>
          <w:lang w:eastAsia="zh-CN"/>
        </w:rPr>
      </w:pPr>
      <w:bookmarkStart w:id="84" w:name="_Toc72744917"/>
      <w:bookmarkStart w:id="85" w:name="_Toc72747201"/>
      <w:bookmarkStart w:id="86" w:name="_Toc73461001"/>
      <w:bookmarkStart w:id="87" w:name="_Toc73518648"/>
      <w:bookmarkStart w:id="88" w:name="_Toc73518795"/>
      <w:bookmarkStart w:id="89" w:name="_Toc73519195"/>
      <w:bookmarkStart w:id="90" w:name="_Toc73636077"/>
      <w:bookmarkStart w:id="91" w:name="_Toc73636219"/>
      <w:r w:rsidRPr="000C156A">
        <w:rPr>
          <w:rFonts w:hint="eastAsia"/>
          <w:lang w:val="fr-CH" w:eastAsia="zh-CN"/>
        </w:rPr>
        <w:t>关键财务指标</w:t>
      </w:r>
      <w:bookmarkEnd w:id="84"/>
      <w:bookmarkEnd w:id="85"/>
      <w:bookmarkEnd w:id="86"/>
      <w:bookmarkEnd w:id="87"/>
      <w:bookmarkEnd w:id="88"/>
      <w:bookmarkEnd w:id="89"/>
      <w:bookmarkEnd w:id="90"/>
      <w:bookmarkEnd w:id="91"/>
    </w:p>
    <w:p w14:paraId="49F2D3D1" w14:textId="2415BC2A" w:rsidR="0085433F" w:rsidRPr="000C156A" w:rsidRDefault="00A71E99" w:rsidP="009F0637">
      <w:pPr>
        <w:rPr>
          <w:lang w:eastAsia="zh-CN"/>
        </w:rPr>
      </w:pPr>
      <w:r>
        <w:rPr>
          <w:rFonts w:asciiTheme="minorHAnsi" w:hAnsiTheme="minorHAnsi" w:cs="Calibri"/>
          <w:szCs w:val="24"/>
          <w:lang w:val="en-US" w:eastAsia="zh-CN"/>
        </w:rPr>
        <w:t>34</w:t>
      </w:r>
      <w:r w:rsidR="0085433F" w:rsidRPr="000C156A">
        <w:rPr>
          <w:rFonts w:asciiTheme="minorHAnsi" w:hAnsiTheme="minorHAnsi" w:cs="Calibri"/>
          <w:szCs w:val="24"/>
          <w:lang w:val="en-US" w:eastAsia="zh-CN"/>
        </w:rPr>
        <w:tab/>
      </w:r>
      <w:r w:rsidR="0085433F" w:rsidRPr="000C156A">
        <w:rPr>
          <w:rFonts w:hint="eastAsia"/>
          <w:lang w:eastAsia="zh-CN"/>
        </w:rPr>
        <w:t>自</w:t>
      </w:r>
      <w:r w:rsidR="0085433F" w:rsidRPr="000C156A">
        <w:rPr>
          <w:lang w:eastAsia="zh-CN"/>
        </w:rPr>
        <w:t>2015</w:t>
      </w:r>
      <w:r w:rsidR="0085433F" w:rsidRPr="000C156A">
        <w:rPr>
          <w:rFonts w:hint="eastAsia"/>
          <w:lang w:eastAsia="zh-CN"/>
        </w:rPr>
        <w:t>年起，国际电联一直在报告关键指标，此举是一种了解组织财务状况的变化情况的有益工具，这对于基于结果的预算编制和基于结果的管理框架至关重要。</w:t>
      </w:r>
    </w:p>
    <w:p w14:paraId="03B4E7C0" w14:textId="281B8348" w:rsidR="0085433F" w:rsidRPr="000C156A" w:rsidRDefault="00A71E99" w:rsidP="009F0637">
      <w:pPr>
        <w:rPr>
          <w:lang w:eastAsia="zh-CN"/>
        </w:rPr>
      </w:pPr>
      <w:r>
        <w:rPr>
          <w:rFonts w:asciiTheme="minorHAnsi" w:hAnsiTheme="minorHAnsi" w:cs="Calibri"/>
          <w:szCs w:val="24"/>
          <w:lang w:val="en-US" w:eastAsia="zh-CN"/>
        </w:rPr>
        <w:t>35</w:t>
      </w:r>
      <w:r w:rsidR="0085433F" w:rsidRPr="000C156A">
        <w:rPr>
          <w:rFonts w:asciiTheme="minorHAnsi" w:hAnsiTheme="minorHAnsi" w:cs="Calibri"/>
          <w:szCs w:val="24"/>
          <w:lang w:val="en-US" w:eastAsia="zh-CN"/>
        </w:rPr>
        <w:tab/>
      </w:r>
      <w:r w:rsidR="0085433F" w:rsidRPr="000C156A">
        <w:rPr>
          <w:rFonts w:hint="eastAsia"/>
          <w:lang w:eastAsia="zh-CN"/>
        </w:rPr>
        <w:t>为在与其他联合国组织和专门机构的比较中获得收益，有必要认真诠释各项指标的结果。</w:t>
      </w:r>
    </w:p>
    <w:p w14:paraId="4E2B56AA" w14:textId="55AC0731" w:rsidR="0085433F" w:rsidRDefault="0085433F" w:rsidP="00A71E99">
      <w:pPr>
        <w:pStyle w:val="Headingb"/>
        <w:keepNext w:val="0"/>
        <w:keepLines w:val="0"/>
        <w:rPr>
          <w:bCs/>
          <w:szCs w:val="28"/>
          <w:u w:val="single"/>
          <w:lang w:val="fr-CH" w:eastAsia="zh-CN"/>
        </w:rPr>
      </w:pPr>
      <w:bookmarkStart w:id="92" w:name="_Toc72744918"/>
      <w:bookmarkStart w:id="93" w:name="_Toc72747202"/>
      <w:bookmarkStart w:id="94" w:name="_Toc73461002"/>
      <w:bookmarkStart w:id="95" w:name="_Toc73518649"/>
      <w:bookmarkStart w:id="96" w:name="_Toc73518796"/>
      <w:bookmarkStart w:id="97" w:name="_Toc73519196"/>
      <w:bookmarkStart w:id="98" w:name="_Toc73636078"/>
      <w:bookmarkStart w:id="99" w:name="_Toc73636220"/>
      <w:r w:rsidRPr="000C156A">
        <w:rPr>
          <w:rFonts w:hint="eastAsia"/>
          <w:bCs/>
          <w:szCs w:val="28"/>
          <w:u w:val="single"/>
          <w:lang w:val="fr-CH" w:eastAsia="zh-CN"/>
        </w:rPr>
        <w:t>财务稳定性和安全性</w:t>
      </w:r>
      <w:r w:rsidRPr="000C156A">
        <w:rPr>
          <w:bCs/>
          <w:szCs w:val="28"/>
          <w:u w:val="single"/>
          <w:lang w:val="fr-CH" w:eastAsia="zh-CN"/>
        </w:rPr>
        <w:t>/</w:t>
      </w:r>
      <w:r w:rsidRPr="000C156A">
        <w:rPr>
          <w:rFonts w:hint="eastAsia"/>
          <w:bCs/>
          <w:szCs w:val="28"/>
          <w:u w:val="single"/>
          <w:lang w:val="fr-CH" w:eastAsia="zh-CN"/>
        </w:rPr>
        <w:t>风险</w:t>
      </w:r>
      <w:bookmarkEnd w:id="92"/>
      <w:bookmarkEnd w:id="93"/>
      <w:bookmarkEnd w:id="94"/>
      <w:bookmarkEnd w:id="95"/>
      <w:bookmarkEnd w:id="96"/>
      <w:bookmarkEnd w:id="97"/>
      <w:bookmarkEnd w:id="98"/>
      <w:bookmarkEnd w:id="99"/>
    </w:p>
    <w:p w14:paraId="439CB333" w14:textId="2476821C" w:rsidR="00A71E99" w:rsidRPr="00A71E99" w:rsidRDefault="001E66D8" w:rsidP="00A71E99">
      <w:pPr>
        <w:rPr>
          <w:lang w:val="fr-CH" w:eastAsia="zh-CN"/>
        </w:rPr>
      </w:pPr>
      <w:r w:rsidRPr="000C156A">
        <w:rPr>
          <w:rFonts w:eastAsia="Times New Roman"/>
          <w:noProof/>
          <w:lang w:val="en-US" w:eastAsia="zh-CN"/>
        </w:rPr>
        <mc:AlternateContent>
          <mc:Choice Requires="wps">
            <w:drawing>
              <wp:anchor distT="0" distB="0" distL="114300" distR="114300" simplePos="0" relativeHeight="251695104" behindDoc="0" locked="0" layoutInCell="1" allowOverlap="1" wp14:anchorId="1284F540" wp14:editId="1FA0D72C">
                <wp:simplePos x="0" y="0"/>
                <wp:positionH relativeFrom="column">
                  <wp:posOffset>2645603</wp:posOffset>
                </wp:positionH>
                <wp:positionV relativeFrom="paragraph">
                  <wp:posOffset>1186180</wp:posOffset>
                </wp:positionV>
                <wp:extent cx="862965" cy="15303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862965" cy="153035"/>
                        </a:xfrm>
                        <a:prstGeom prst="rect">
                          <a:avLst/>
                        </a:prstGeom>
                        <a:solidFill>
                          <a:schemeClr val="lt1"/>
                        </a:solidFill>
                        <a:ln w="6350">
                          <a:noFill/>
                        </a:ln>
                      </wps:spPr>
                      <wps:txbx>
                        <w:txbxContent>
                          <w:p w14:paraId="0E34F841" w14:textId="77777777" w:rsidR="007A5389" w:rsidRPr="00675C2C" w:rsidRDefault="007A5389" w:rsidP="001E66D8">
                            <w:pPr>
                              <w:shd w:val="clear" w:color="auto" w:fill="C6D9F1" w:themeFill="text2" w:themeFillTint="33"/>
                              <w:spacing w:before="0"/>
                              <w:jc w:val="center"/>
                              <w:rPr>
                                <w:b/>
                                <w:sz w:val="12"/>
                                <w:szCs w:val="12"/>
                              </w:rPr>
                            </w:pPr>
                            <w:r w:rsidRPr="00675C2C">
                              <w:rPr>
                                <w:rFonts w:hint="eastAsia"/>
                                <w:b/>
                                <w:sz w:val="16"/>
                                <w:szCs w:val="12"/>
                              </w:rPr>
                              <w:t>债务比率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84F540" id="_x0000_t202" coordsize="21600,21600" o:spt="202" path="m,l,21600r21600,l21600,xe">
                <v:stroke joinstyle="miter"/>
                <v:path gradientshapeok="t" o:connecttype="rect"/>
              </v:shapetype>
              <v:shape id="Text Box 34" o:spid="_x0000_s1026" type="#_x0000_t202" style="position:absolute;margin-left:208.3pt;margin-top:93.4pt;width:67.95pt;height:12.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" fillcolor="white [3201]" stroked="f" strokeweight=".5pt">
                <v:textbox inset="0,0,0,0">
                  <w:txbxContent>
                    <w:p w14:paraId="0E34F841" w14:textId="77777777" w:rsidR="007A5389" w:rsidRPr="00675C2C" w:rsidRDefault="007A5389" w:rsidP="001E66D8">
                      <w:pPr>
                        <w:shd w:val="clear" w:color="auto" w:fill="C6D9F1" w:themeFill="text2" w:themeFillTint="33"/>
                        <w:spacing w:before="0"/>
                        <w:jc w:val="center"/>
                        <w:rPr>
                          <w:b/>
                          <w:sz w:val="12"/>
                          <w:szCs w:val="12"/>
                        </w:rPr>
                      </w:pPr>
                      <w:r w:rsidRPr="00675C2C">
                        <w:rPr>
                          <w:rFonts w:hint="eastAsia"/>
                          <w:b/>
                          <w:sz w:val="16"/>
                          <w:szCs w:val="12"/>
                        </w:rPr>
                        <w:t>债务比率</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97152" behindDoc="0" locked="0" layoutInCell="1" allowOverlap="1" wp14:anchorId="3B48F46D" wp14:editId="7F5DB547">
                <wp:simplePos x="0" y="0"/>
                <wp:positionH relativeFrom="column">
                  <wp:posOffset>2611120</wp:posOffset>
                </wp:positionH>
                <wp:positionV relativeFrom="paragraph">
                  <wp:posOffset>960755</wp:posOffset>
                </wp:positionV>
                <wp:extent cx="862965" cy="153035"/>
                <wp:effectExtent l="0" t="0" r="13335" b="18415"/>
                <wp:wrapNone/>
                <wp:docPr id="36" name="Text Box 36"/>
                <wp:cNvGraphicFramePr/>
                <a:graphic xmlns:a="http://schemas.openxmlformats.org/drawingml/2006/main">
                  <a:graphicData uri="http://schemas.microsoft.com/office/word/2010/wordprocessingShape">
                    <wps:wsp>
                      <wps:cNvSpPr txBox="1"/>
                      <wps:spPr>
                        <a:xfrm>
                          <a:off x="0" y="0"/>
                          <a:ext cx="862965" cy="153035"/>
                        </a:xfrm>
                        <a:prstGeom prst="rect">
                          <a:avLst/>
                        </a:prstGeom>
                        <a:solidFill>
                          <a:schemeClr val="lt1"/>
                        </a:solidFill>
                        <a:ln w="6350">
                          <a:solidFill>
                            <a:schemeClr val="bg1"/>
                          </a:solidFill>
                        </a:ln>
                      </wps:spPr>
                      <wps:txbx>
                        <w:txbxContent>
                          <w:p w14:paraId="2D4F3B6B" w14:textId="77777777" w:rsidR="007A5389" w:rsidRPr="00D21252" w:rsidRDefault="007A5389" w:rsidP="001E66D8">
                            <w:pPr>
                              <w:shd w:val="clear" w:color="auto" w:fill="FFFFFF" w:themeFill="background1"/>
                              <w:spacing w:before="0"/>
                              <w:jc w:val="center"/>
                              <w:rPr>
                                <w:b/>
                                <w:sz w:val="12"/>
                                <w:szCs w:val="12"/>
                              </w:rPr>
                            </w:pPr>
                            <w:r w:rsidRPr="00D21252">
                              <w:rPr>
                                <w:rFonts w:hint="eastAsia"/>
                                <w:b/>
                                <w:sz w:val="16"/>
                                <w:szCs w:val="12"/>
                              </w:rPr>
                              <w:t>总资产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48F46D" id="Text Box 36" o:spid="_x0000_s1027" type="#_x0000_t202" style="position:absolute;margin-left:205.6pt;margin-top:75.65pt;width:67.95pt;height:12.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" fillcolor="white [3201]" strokecolor="white [3212]" strokeweight=".5pt">
                <v:textbox inset="0,0,0,0">
                  <w:txbxContent>
                    <w:p w14:paraId="2D4F3B6B" w14:textId="77777777" w:rsidR="007A5389" w:rsidRPr="00D21252" w:rsidRDefault="007A5389" w:rsidP="001E66D8">
                      <w:pPr>
                        <w:shd w:val="clear" w:color="auto" w:fill="FFFFFF" w:themeFill="background1"/>
                        <w:spacing w:before="0"/>
                        <w:jc w:val="center"/>
                        <w:rPr>
                          <w:b/>
                          <w:sz w:val="12"/>
                          <w:szCs w:val="12"/>
                        </w:rPr>
                      </w:pPr>
                      <w:r w:rsidRPr="00D21252">
                        <w:rPr>
                          <w:rFonts w:hint="eastAsia"/>
                          <w:b/>
                          <w:sz w:val="16"/>
                          <w:szCs w:val="12"/>
                        </w:rPr>
                        <w:t>总资产</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96128" behindDoc="0" locked="0" layoutInCell="1" allowOverlap="1" wp14:anchorId="404C2731" wp14:editId="66E87EF3">
                <wp:simplePos x="0" y="0"/>
                <wp:positionH relativeFrom="column">
                  <wp:posOffset>2625090</wp:posOffset>
                </wp:positionH>
                <wp:positionV relativeFrom="paragraph">
                  <wp:posOffset>740410</wp:posOffset>
                </wp:positionV>
                <wp:extent cx="862965" cy="153035"/>
                <wp:effectExtent l="0" t="0" r="13335" b="18415"/>
                <wp:wrapNone/>
                <wp:docPr id="35" name="Text Box 35"/>
                <wp:cNvGraphicFramePr/>
                <a:graphic xmlns:a="http://schemas.openxmlformats.org/drawingml/2006/main">
                  <a:graphicData uri="http://schemas.microsoft.com/office/word/2010/wordprocessingShape">
                    <wps:wsp>
                      <wps:cNvSpPr txBox="1"/>
                      <wps:spPr>
                        <a:xfrm>
                          <a:off x="0" y="0"/>
                          <a:ext cx="862965" cy="153035"/>
                        </a:xfrm>
                        <a:prstGeom prst="rect">
                          <a:avLst/>
                        </a:prstGeom>
                        <a:solidFill>
                          <a:schemeClr val="lt1"/>
                        </a:solidFill>
                        <a:ln w="6350">
                          <a:solidFill>
                            <a:schemeClr val="bg1"/>
                          </a:solidFill>
                        </a:ln>
                      </wps:spPr>
                      <wps:txbx>
                        <w:txbxContent>
                          <w:p w14:paraId="0FC935C3" w14:textId="77777777" w:rsidR="007A5389" w:rsidRPr="00D21252" w:rsidRDefault="007A5389" w:rsidP="001E66D8">
                            <w:pPr>
                              <w:shd w:val="clear" w:color="auto" w:fill="FFFFFF" w:themeFill="background1"/>
                              <w:spacing w:before="0"/>
                              <w:jc w:val="center"/>
                              <w:rPr>
                                <w:b/>
                                <w:sz w:val="12"/>
                                <w:szCs w:val="12"/>
                              </w:rPr>
                            </w:pPr>
                            <w:r w:rsidRPr="00D21252">
                              <w:rPr>
                                <w:rFonts w:hint="eastAsia"/>
                                <w:b/>
                                <w:sz w:val="16"/>
                                <w:szCs w:val="12"/>
                              </w:rPr>
                              <w:t>总债务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4C2731" id="Text Box 35" o:spid="_x0000_s1028" type="#_x0000_t202" style="position:absolute;margin-left:206.7pt;margin-top:58.3pt;width:67.95pt;height:12.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" fillcolor="white [3201]" strokecolor="white [3212]" strokeweight=".5pt">
                <v:textbox inset="0,0,0,0">
                  <w:txbxContent>
                    <w:p w14:paraId="0FC935C3" w14:textId="77777777" w:rsidR="007A5389" w:rsidRPr="00D21252" w:rsidRDefault="007A5389" w:rsidP="001E66D8">
                      <w:pPr>
                        <w:shd w:val="clear" w:color="auto" w:fill="FFFFFF" w:themeFill="background1"/>
                        <w:spacing w:before="0"/>
                        <w:jc w:val="center"/>
                        <w:rPr>
                          <w:b/>
                          <w:sz w:val="12"/>
                          <w:szCs w:val="12"/>
                        </w:rPr>
                      </w:pPr>
                      <w:r w:rsidRPr="00D21252">
                        <w:rPr>
                          <w:rFonts w:hint="eastAsia"/>
                          <w:b/>
                          <w:sz w:val="16"/>
                          <w:szCs w:val="12"/>
                        </w:rPr>
                        <w:t>总债务</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94080" behindDoc="0" locked="0" layoutInCell="1" allowOverlap="1" wp14:anchorId="31BE3DD2" wp14:editId="11285361">
                <wp:simplePos x="0" y="0"/>
                <wp:positionH relativeFrom="column">
                  <wp:posOffset>2618188</wp:posOffset>
                </wp:positionH>
                <wp:positionV relativeFrom="paragraph">
                  <wp:posOffset>463274</wp:posOffset>
                </wp:positionV>
                <wp:extent cx="863193" cy="153619"/>
                <wp:effectExtent l="0" t="0" r="13335" b="18415"/>
                <wp:wrapNone/>
                <wp:docPr id="23" name="Text Box 23"/>
                <wp:cNvGraphicFramePr/>
                <a:graphic xmlns:a="http://schemas.openxmlformats.org/drawingml/2006/main">
                  <a:graphicData uri="http://schemas.microsoft.com/office/word/2010/wordprocessingShape">
                    <wps:wsp>
                      <wps:cNvSpPr txBox="1"/>
                      <wps:spPr>
                        <a:xfrm>
                          <a:off x="0" y="0"/>
                          <a:ext cx="863193" cy="153619"/>
                        </a:xfrm>
                        <a:prstGeom prst="rect">
                          <a:avLst/>
                        </a:prstGeom>
                        <a:solidFill>
                          <a:schemeClr val="lt1"/>
                        </a:solidFill>
                        <a:ln w="6350">
                          <a:solidFill>
                            <a:schemeClr val="tx2">
                              <a:lumMod val="20000"/>
                              <a:lumOff val="80000"/>
                            </a:schemeClr>
                          </a:solidFill>
                        </a:ln>
                      </wps:spPr>
                      <wps:txbx>
                        <w:txbxContent>
                          <w:p w14:paraId="5341115E" w14:textId="77777777" w:rsidR="007A5389" w:rsidRPr="00D21252" w:rsidRDefault="007A5389" w:rsidP="001E66D8">
                            <w:pPr>
                              <w:shd w:val="clear" w:color="auto" w:fill="DBE5F1" w:themeFill="accent1" w:themeFillTint="33"/>
                              <w:spacing w:before="0"/>
                              <w:jc w:val="center"/>
                              <w:rPr>
                                <w:b/>
                                <w:sz w:val="12"/>
                                <w:szCs w:val="12"/>
                              </w:rPr>
                            </w:pPr>
                            <w:r w:rsidRPr="00D21252">
                              <w:rPr>
                                <w:rFonts w:hint="eastAsia"/>
                                <w:b/>
                                <w:sz w:val="16"/>
                                <w:szCs w:val="12"/>
                              </w:rPr>
                              <w:t>债务比率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BE3DD2" id="Text Box 23" o:spid="_x0000_s1029" type="#_x0000_t202" style="position:absolute;margin-left:206.15pt;margin-top:36.5pt;width:67.95pt;height:12.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" fillcolor="white [3201]" strokecolor="#c6d9f1 [671]" strokeweight=".5pt">
                <v:textbox inset="0,0,0,0">
                  <w:txbxContent>
                    <w:p w14:paraId="5341115E" w14:textId="77777777" w:rsidR="007A5389" w:rsidRPr="00D21252" w:rsidRDefault="007A5389" w:rsidP="001E66D8">
                      <w:pPr>
                        <w:shd w:val="clear" w:color="auto" w:fill="DBE5F1" w:themeFill="accent1" w:themeFillTint="33"/>
                        <w:spacing w:before="0"/>
                        <w:jc w:val="center"/>
                        <w:rPr>
                          <w:b/>
                          <w:sz w:val="12"/>
                          <w:szCs w:val="12"/>
                        </w:rPr>
                      </w:pPr>
                      <w:r w:rsidRPr="00D21252">
                        <w:rPr>
                          <w:rFonts w:hint="eastAsia"/>
                          <w:b/>
                          <w:sz w:val="16"/>
                          <w:szCs w:val="12"/>
                        </w:rPr>
                        <w:t>债务比率</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92032" behindDoc="0" locked="0" layoutInCell="1" allowOverlap="1" wp14:anchorId="49396276" wp14:editId="32330E4B">
                <wp:simplePos x="0" y="0"/>
                <wp:positionH relativeFrom="column">
                  <wp:posOffset>866140</wp:posOffset>
                </wp:positionH>
                <wp:positionV relativeFrom="paragraph">
                  <wp:posOffset>250549</wp:posOffset>
                </wp:positionV>
                <wp:extent cx="862965" cy="15303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62965" cy="153035"/>
                        </a:xfrm>
                        <a:prstGeom prst="rect">
                          <a:avLst/>
                        </a:prstGeom>
                        <a:solidFill>
                          <a:schemeClr val="lt1"/>
                        </a:solidFill>
                        <a:ln w="6350">
                          <a:noFill/>
                        </a:ln>
                      </wps:spPr>
                      <wps:txbx>
                        <w:txbxContent>
                          <w:p w14:paraId="584D780B" w14:textId="77777777" w:rsidR="007A5389" w:rsidRPr="00D21252" w:rsidRDefault="007A5389" w:rsidP="001E66D8">
                            <w:pPr>
                              <w:spacing w:before="0"/>
                              <w:jc w:val="center"/>
                              <w:rPr>
                                <w:b/>
                                <w:sz w:val="12"/>
                                <w:szCs w:val="12"/>
                              </w:rPr>
                            </w:pPr>
                            <w:r w:rsidRPr="00D21252">
                              <w:rPr>
                                <w:rFonts w:hint="eastAsia"/>
                                <w:b/>
                                <w:sz w:val="16"/>
                                <w:szCs w:val="12"/>
                              </w:rPr>
                              <w:t>债务比率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96276" id="Text Box 22" o:spid="_x0000_s1030" type="#_x0000_t202" style="position:absolute;margin-left:68.2pt;margin-top:19.75pt;width:67.95pt;height:12.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" fillcolor="white [3201]" stroked="f" strokeweight=".5pt">
                <v:textbox inset="0,0,0,0">
                  <w:txbxContent>
                    <w:p w14:paraId="584D780B" w14:textId="77777777" w:rsidR="007A5389" w:rsidRPr="00D21252" w:rsidRDefault="007A5389" w:rsidP="001E66D8">
                      <w:pPr>
                        <w:spacing w:before="0"/>
                        <w:jc w:val="center"/>
                        <w:rPr>
                          <w:b/>
                          <w:sz w:val="12"/>
                          <w:szCs w:val="12"/>
                        </w:rPr>
                      </w:pPr>
                      <w:r w:rsidRPr="00D21252">
                        <w:rPr>
                          <w:rFonts w:hint="eastAsia"/>
                          <w:b/>
                          <w:sz w:val="16"/>
                          <w:szCs w:val="12"/>
                        </w:rPr>
                        <w:t>债务比率</w:t>
                      </w:r>
                    </w:p>
                  </w:txbxContent>
                </v:textbox>
              </v:shape>
            </w:pict>
          </mc:Fallback>
        </mc:AlternateContent>
      </w:r>
      <w:r w:rsidR="00A71E99" w:rsidRPr="00CE020B">
        <w:rPr>
          <w:noProof/>
          <w:lang w:val="en-US" w:eastAsia="zh-CN"/>
        </w:rPr>
        <w:drawing>
          <wp:inline distT="0" distB="0" distL="0" distR="0" wp14:anchorId="7B5ED5DD" wp14:editId="36B61C33">
            <wp:extent cx="6120765" cy="1648307"/>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1648307"/>
                    </a:xfrm>
                    <a:prstGeom prst="rect">
                      <a:avLst/>
                    </a:prstGeom>
                    <a:noFill/>
                    <a:ln>
                      <a:noFill/>
                    </a:ln>
                  </pic:spPr>
                </pic:pic>
              </a:graphicData>
            </a:graphic>
          </wp:inline>
        </w:drawing>
      </w:r>
    </w:p>
    <w:p w14:paraId="30623234" w14:textId="610A93F2" w:rsidR="0085433F" w:rsidRDefault="0085433F" w:rsidP="0058798E">
      <w:pPr>
        <w:pStyle w:val="Headingb"/>
        <w:keepLines w:val="0"/>
        <w:rPr>
          <w:u w:val="single"/>
          <w:lang w:eastAsia="zh-CN"/>
        </w:rPr>
      </w:pPr>
      <w:bookmarkStart w:id="100" w:name="_Toc73461003"/>
      <w:bookmarkStart w:id="101" w:name="_Toc73518650"/>
      <w:bookmarkStart w:id="102" w:name="_Toc73518797"/>
      <w:bookmarkStart w:id="103" w:name="_Toc73519197"/>
      <w:bookmarkStart w:id="104" w:name="_Toc73636079"/>
      <w:bookmarkStart w:id="105" w:name="_Toc73636221"/>
      <w:r w:rsidRPr="000C156A">
        <w:rPr>
          <w:rFonts w:hint="eastAsia"/>
          <w:u w:val="single"/>
          <w:lang w:eastAsia="zh-CN"/>
        </w:rPr>
        <w:t>产权和现金储备</w:t>
      </w:r>
      <w:bookmarkEnd w:id="100"/>
      <w:bookmarkEnd w:id="101"/>
      <w:bookmarkEnd w:id="102"/>
      <w:bookmarkEnd w:id="103"/>
      <w:bookmarkEnd w:id="104"/>
      <w:bookmarkEnd w:id="105"/>
    </w:p>
    <w:p w14:paraId="6DDA9A68" w14:textId="6EB145CC" w:rsidR="0058798E" w:rsidRDefault="0058798E" w:rsidP="0058798E">
      <w:pPr>
        <w:rPr>
          <w:lang w:eastAsia="zh-CN"/>
        </w:rPr>
      </w:pPr>
      <w:r w:rsidRPr="000C156A">
        <w:rPr>
          <w:rFonts w:eastAsia="Times New Roman"/>
          <w:noProof/>
          <w:lang w:val="en-US" w:eastAsia="zh-CN"/>
        </w:rPr>
        <mc:AlternateContent>
          <mc:Choice Requires="wps">
            <w:drawing>
              <wp:anchor distT="0" distB="0" distL="114300" distR="114300" simplePos="0" relativeHeight="251666432" behindDoc="0" locked="0" layoutInCell="1" allowOverlap="1" wp14:anchorId="1D775880" wp14:editId="31AF9A8E">
                <wp:simplePos x="0" y="0"/>
                <wp:positionH relativeFrom="column">
                  <wp:posOffset>2706922</wp:posOffset>
                </wp:positionH>
                <wp:positionV relativeFrom="paragraph">
                  <wp:posOffset>874008</wp:posOffset>
                </wp:positionV>
                <wp:extent cx="899160" cy="202317"/>
                <wp:effectExtent l="0" t="0" r="15240" b="26670"/>
                <wp:wrapNone/>
                <wp:docPr id="16" name="Text Box 16"/>
                <wp:cNvGraphicFramePr/>
                <a:graphic xmlns:a="http://schemas.openxmlformats.org/drawingml/2006/main">
                  <a:graphicData uri="http://schemas.microsoft.com/office/word/2010/wordprocessingShape">
                    <wps:wsp>
                      <wps:cNvSpPr txBox="1"/>
                      <wps:spPr>
                        <a:xfrm>
                          <a:off x="0" y="0"/>
                          <a:ext cx="899160" cy="202317"/>
                        </a:xfrm>
                        <a:prstGeom prst="rect">
                          <a:avLst/>
                        </a:prstGeom>
                        <a:solidFill>
                          <a:schemeClr val="lt1"/>
                        </a:solidFill>
                        <a:ln w="6350">
                          <a:solidFill>
                            <a:schemeClr val="bg1"/>
                          </a:solidFill>
                        </a:ln>
                      </wps:spPr>
                      <wps:txbx>
                        <w:txbxContent>
                          <w:p w14:paraId="25A6FB7E" w14:textId="77777777" w:rsidR="007A5389" w:rsidRPr="00D21252" w:rsidRDefault="007A5389" w:rsidP="0058798E">
                            <w:pPr>
                              <w:shd w:val="clear" w:color="auto" w:fill="FFFFFF" w:themeFill="background1"/>
                              <w:spacing w:before="0"/>
                              <w:jc w:val="center"/>
                              <w:rPr>
                                <w:b/>
                                <w:sz w:val="12"/>
                                <w:szCs w:val="12"/>
                              </w:rPr>
                            </w:pPr>
                            <w:r w:rsidRPr="00D21252">
                              <w:rPr>
                                <w:rFonts w:hint="eastAsia"/>
                                <w:b/>
                                <w:sz w:val="16"/>
                                <w:szCs w:val="12"/>
                              </w:rPr>
                              <w:t>期末现金流管理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5880" id="Text Box 16" o:spid="_x0000_s1031" type="#_x0000_t202" style="position:absolute;margin-left:213.15pt;margin-top:68.8pt;width:70.8pt;height:1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" fillcolor="white [3201]" strokecolor="white [3212]" strokeweight=".5pt">
                <v:textbox inset="0,0,0,0">
                  <w:txbxContent>
                    <w:p w14:paraId="25A6FB7E" w14:textId="77777777" w:rsidR="007A5389" w:rsidRPr="00D21252" w:rsidRDefault="007A5389" w:rsidP="0058798E">
                      <w:pPr>
                        <w:shd w:val="clear" w:color="auto" w:fill="FFFFFF" w:themeFill="background1"/>
                        <w:spacing w:before="0"/>
                        <w:jc w:val="center"/>
                        <w:rPr>
                          <w:b/>
                          <w:sz w:val="12"/>
                          <w:szCs w:val="12"/>
                        </w:rPr>
                      </w:pPr>
                      <w:r w:rsidRPr="00D21252">
                        <w:rPr>
                          <w:rFonts w:hint="eastAsia"/>
                          <w:b/>
                          <w:sz w:val="16"/>
                          <w:szCs w:val="12"/>
                        </w:rPr>
                        <w:t>期末现金流管理</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67456" behindDoc="0" locked="0" layoutInCell="1" allowOverlap="1" wp14:anchorId="017E677A" wp14:editId="1B260D26">
                <wp:simplePos x="0" y="0"/>
                <wp:positionH relativeFrom="column">
                  <wp:posOffset>2563440</wp:posOffset>
                </wp:positionH>
                <wp:positionV relativeFrom="paragraph">
                  <wp:posOffset>1115612</wp:posOffset>
                </wp:positionV>
                <wp:extent cx="1118870" cy="192377"/>
                <wp:effectExtent l="0" t="0" r="24130" b="17780"/>
                <wp:wrapNone/>
                <wp:docPr id="21" name="Text Box 21"/>
                <wp:cNvGraphicFramePr/>
                <a:graphic xmlns:a="http://schemas.openxmlformats.org/drawingml/2006/main">
                  <a:graphicData uri="http://schemas.microsoft.com/office/word/2010/wordprocessingShape">
                    <wps:wsp>
                      <wps:cNvSpPr txBox="1"/>
                      <wps:spPr>
                        <a:xfrm>
                          <a:off x="0" y="0"/>
                          <a:ext cx="1118870" cy="192377"/>
                        </a:xfrm>
                        <a:prstGeom prst="rect">
                          <a:avLst/>
                        </a:prstGeom>
                        <a:solidFill>
                          <a:schemeClr val="lt1"/>
                        </a:solidFill>
                        <a:ln w="6350">
                          <a:solidFill>
                            <a:schemeClr val="bg1"/>
                          </a:solidFill>
                        </a:ln>
                      </wps:spPr>
                      <wps:txbx>
                        <w:txbxContent>
                          <w:p w14:paraId="46648B64" w14:textId="77777777" w:rsidR="007A5389" w:rsidRPr="00D21252" w:rsidRDefault="007A5389" w:rsidP="0085433F">
                            <w:pPr>
                              <w:shd w:val="clear" w:color="auto" w:fill="FFFFFF" w:themeFill="background1"/>
                              <w:spacing w:before="0"/>
                              <w:jc w:val="center"/>
                              <w:rPr>
                                <w:b/>
                                <w:sz w:val="12"/>
                                <w:szCs w:val="12"/>
                              </w:rPr>
                            </w:pPr>
                            <w:r w:rsidRPr="00D21252">
                              <w:rPr>
                                <w:rFonts w:hint="eastAsia"/>
                                <w:b/>
                                <w:sz w:val="16"/>
                                <w:szCs w:val="12"/>
                              </w:rPr>
                              <w:t>每月平均费用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E677A" id="Text Box 21" o:spid="_x0000_s1032" type="#_x0000_t202" style="position:absolute;margin-left:201.85pt;margin-top:87.85pt;width:88.1pt;height:1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" fillcolor="white [3201]" strokecolor="white [3212]" strokeweight=".5pt">
                <v:textbox inset="0,0,0,0">
                  <w:txbxContent>
                    <w:p w14:paraId="46648B64" w14:textId="77777777" w:rsidR="007A5389" w:rsidRPr="00D21252" w:rsidRDefault="007A5389" w:rsidP="0085433F">
                      <w:pPr>
                        <w:shd w:val="clear" w:color="auto" w:fill="FFFFFF" w:themeFill="background1"/>
                        <w:spacing w:before="0"/>
                        <w:jc w:val="center"/>
                        <w:rPr>
                          <w:b/>
                          <w:sz w:val="12"/>
                          <w:szCs w:val="12"/>
                        </w:rPr>
                      </w:pPr>
                      <w:r w:rsidRPr="00D21252">
                        <w:rPr>
                          <w:rFonts w:hint="eastAsia"/>
                          <w:b/>
                          <w:sz w:val="16"/>
                          <w:szCs w:val="12"/>
                        </w:rPr>
                        <w:t>每月平均费用</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65408" behindDoc="0" locked="0" layoutInCell="1" allowOverlap="1" wp14:anchorId="3A4D82D5" wp14:editId="4F417D5D">
                <wp:simplePos x="0" y="0"/>
                <wp:positionH relativeFrom="column">
                  <wp:posOffset>2665261</wp:posOffset>
                </wp:positionH>
                <wp:positionV relativeFrom="paragraph">
                  <wp:posOffset>591157</wp:posOffset>
                </wp:positionV>
                <wp:extent cx="1009269" cy="248716"/>
                <wp:effectExtent l="0" t="0" r="19685" b="18415"/>
                <wp:wrapNone/>
                <wp:docPr id="15" name="Text Box 15"/>
                <wp:cNvGraphicFramePr/>
                <a:graphic xmlns:a="http://schemas.openxmlformats.org/drawingml/2006/main">
                  <a:graphicData uri="http://schemas.microsoft.com/office/word/2010/wordprocessingShape">
                    <wps:wsp>
                      <wps:cNvSpPr txBox="1"/>
                      <wps:spPr>
                        <a:xfrm>
                          <a:off x="0" y="0"/>
                          <a:ext cx="1009269" cy="248716"/>
                        </a:xfrm>
                        <a:prstGeom prst="rect">
                          <a:avLst/>
                        </a:prstGeom>
                        <a:solidFill>
                          <a:schemeClr val="lt1"/>
                        </a:solidFill>
                        <a:ln w="6350">
                          <a:solidFill>
                            <a:schemeClr val="tx2">
                              <a:lumMod val="20000"/>
                              <a:lumOff val="80000"/>
                            </a:schemeClr>
                          </a:solidFill>
                        </a:ln>
                      </wps:spPr>
                      <wps:txbx>
                        <w:txbxContent>
                          <w:p w14:paraId="2E0F8D28" w14:textId="77777777" w:rsidR="007A5389" w:rsidRPr="00D21252" w:rsidRDefault="007A5389" w:rsidP="0085433F">
                            <w:pPr>
                              <w:shd w:val="clear" w:color="auto" w:fill="DBE5F1" w:themeFill="accent1" w:themeFillTint="33"/>
                              <w:spacing w:before="0"/>
                              <w:jc w:val="center"/>
                              <w:rPr>
                                <w:b/>
                                <w:sz w:val="12"/>
                                <w:szCs w:val="12"/>
                              </w:rPr>
                            </w:pPr>
                            <w:r w:rsidRPr="00D21252">
                              <w:rPr>
                                <w:rFonts w:hint="eastAsia"/>
                                <w:b/>
                                <w:sz w:val="16"/>
                                <w:szCs w:val="12"/>
                              </w:rPr>
                              <w:t>现金储备比率</w:t>
                            </w:r>
                            <w:r>
                              <w:rPr>
                                <w:b/>
                                <w:sz w:val="16"/>
                                <w:szCs w:val="12"/>
                              </w:rPr>
                              <w:br/>
                            </w:r>
                            <w:r w:rsidRPr="00D21252">
                              <w:rPr>
                                <w:rFonts w:hint="eastAsia"/>
                                <w:b/>
                                <w:sz w:val="16"/>
                                <w:szCs w:val="12"/>
                              </w:rPr>
                              <w:t>（月数）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D82D5" id="Text Box 15" o:spid="_x0000_s1033" type="#_x0000_t202" style="position:absolute;margin-left:209.85pt;margin-top:46.55pt;width:79.45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" fillcolor="white [3201]" strokecolor="#c6d9f1 [671]" strokeweight=".5pt">
                <v:textbox inset="0,0,0,0">
                  <w:txbxContent>
                    <w:p w14:paraId="2E0F8D28" w14:textId="77777777" w:rsidR="007A5389" w:rsidRPr="00D21252" w:rsidRDefault="007A5389" w:rsidP="0085433F">
                      <w:pPr>
                        <w:shd w:val="clear" w:color="auto" w:fill="DBE5F1" w:themeFill="accent1" w:themeFillTint="33"/>
                        <w:spacing w:before="0"/>
                        <w:jc w:val="center"/>
                        <w:rPr>
                          <w:b/>
                          <w:sz w:val="12"/>
                          <w:szCs w:val="12"/>
                        </w:rPr>
                      </w:pPr>
                      <w:r w:rsidRPr="00D21252">
                        <w:rPr>
                          <w:rFonts w:hint="eastAsia"/>
                          <w:b/>
                          <w:sz w:val="16"/>
                          <w:szCs w:val="12"/>
                        </w:rPr>
                        <w:t>现金储备比率</w:t>
                      </w:r>
                      <w:r>
                        <w:rPr>
                          <w:b/>
                          <w:sz w:val="16"/>
                          <w:szCs w:val="12"/>
                        </w:rPr>
                        <w:br/>
                      </w:r>
                      <w:r w:rsidRPr="00D21252">
                        <w:rPr>
                          <w:rFonts w:hint="eastAsia"/>
                          <w:b/>
                          <w:sz w:val="16"/>
                          <w:szCs w:val="12"/>
                        </w:rPr>
                        <w:t>（月数）</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68480" behindDoc="0" locked="0" layoutInCell="1" allowOverlap="1" wp14:anchorId="1B0F3882" wp14:editId="52F95B31">
                <wp:simplePos x="0" y="0"/>
                <wp:positionH relativeFrom="column">
                  <wp:posOffset>2650960</wp:posOffset>
                </wp:positionH>
                <wp:positionV relativeFrom="paragraph">
                  <wp:posOffset>1365250</wp:posOffset>
                </wp:positionV>
                <wp:extent cx="1053389" cy="160934"/>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53389" cy="160934"/>
                        </a:xfrm>
                        <a:prstGeom prst="rect">
                          <a:avLst/>
                        </a:prstGeom>
                        <a:solidFill>
                          <a:schemeClr val="lt1"/>
                        </a:solidFill>
                        <a:ln w="6350">
                          <a:noFill/>
                        </a:ln>
                      </wps:spPr>
                      <wps:txbx>
                        <w:txbxContent>
                          <w:p w14:paraId="120AE0F3" w14:textId="77777777" w:rsidR="007A5389" w:rsidRPr="00D21252" w:rsidRDefault="007A5389" w:rsidP="0085433F">
                            <w:pPr>
                              <w:shd w:val="clear" w:color="auto" w:fill="C6D9F1" w:themeFill="text2" w:themeFillTint="33"/>
                              <w:spacing w:before="0"/>
                              <w:jc w:val="center"/>
                              <w:rPr>
                                <w:b/>
                                <w:sz w:val="12"/>
                                <w:szCs w:val="12"/>
                              </w:rPr>
                            </w:pPr>
                            <w:r w:rsidRPr="00D21252">
                              <w:rPr>
                                <w:rFonts w:hint="eastAsia"/>
                                <w:b/>
                                <w:sz w:val="16"/>
                                <w:szCs w:val="12"/>
                              </w:rPr>
                              <w:t>现金储备比率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F3882" id="Text Box 26" o:spid="_x0000_s1034" type="#_x0000_t202" style="position:absolute;margin-left:208.75pt;margin-top:107.5pt;width:82.9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" fillcolor="white [3201]" stroked="f" strokeweight=".5pt">
                <v:textbox inset="0,0,0,0">
                  <w:txbxContent>
                    <w:p w14:paraId="120AE0F3" w14:textId="77777777" w:rsidR="007A5389" w:rsidRPr="00D21252" w:rsidRDefault="007A5389" w:rsidP="0085433F">
                      <w:pPr>
                        <w:shd w:val="clear" w:color="auto" w:fill="C6D9F1" w:themeFill="text2" w:themeFillTint="33"/>
                        <w:spacing w:before="0"/>
                        <w:jc w:val="center"/>
                        <w:rPr>
                          <w:b/>
                          <w:sz w:val="12"/>
                          <w:szCs w:val="12"/>
                        </w:rPr>
                      </w:pPr>
                      <w:r w:rsidRPr="00D21252">
                        <w:rPr>
                          <w:rFonts w:hint="eastAsia"/>
                          <w:b/>
                          <w:sz w:val="16"/>
                          <w:szCs w:val="12"/>
                        </w:rPr>
                        <w:t>现金储备比率</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64384" behindDoc="0" locked="0" layoutInCell="1" allowOverlap="1" wp14:anchorId="682618B1" wp14:editId="7FB1CA5E">
                <wp:simplePos x="0" y="0"/>
                <wp:positionH relativeFrom="column">
                  <wp:posOffset>457200</wp:posOffset>
                </wp:positionH>
                <wp:positionV relativeFrom="paragraph">
                  <wp:posOffset>300051</wp:posOffset>
                </wp:positionV>
                <wp:extent cx="1872387" cy="23408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72387" cy="234086"/>
                        </a:xfrm>
                        <a:prstGeom prst="rect">
                          <a:avLst/>
                        </a:prstGeom>
                        <a:solidFill>
                          <a:schemeClr val="lt1"/>
                        </a:solidFill>
                        <a:ln w="6350">
                          <a:noFill/>
                        </a:ln>
                      </wps:spPr>
                      <wps:txbx>
                        <w:txbxContent>
                          <w:p w14:paraId="1A444F40" w14:textId="77777777" w:rsidR="007A5389" w:rsidRPr="00D21252" w:rsidRDefault="007A5389" w:rsidP="0085433F">
                            <w:pPr>
                              <w:spacing w:before="0"/>
                              <w:jc w:val="center"/>
                              <w:rPr>
                                <w:b/>
                                <w:sz w:val="12"/>
                                <w:szCs w:val="12"/>
                              </w:rPr>
                            </w:pPr>
                            <w:r w:rsidRPr="00D21252">
                              <w:rPr>
                                <w:rFonts w:hint="eastAsia"/>
                                <w:b/>
                                <w:sz w:val="16"/>
                                <w:szCs w:val="12"/>
                              </w:rPr>
                              <w:t>现金储备比率（</w:t>
                            </w:r>
                            <w:r w:rsidRPr="00D21252">
                              <w:rPr>
                                <w:rFonts w:hint="eastAsia"/>
                                <w:b/>
                                <w:sz w:val="16"/>
                                <w:szCs w:val="12"/>
                              </w:rPr>
                              <w:t>#</w:t>
                            </w:r>
                            <w:r w:rsidRPr="00D21252">
                              <w:rPr>
                                <w:rFonts w:hint="eastAsia"/>
                                <w:b/>
                                <w:sz w:val="16"/>
                                <w:szCs w:val="12"/>
                              </w:rPr>
                              <w:t>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618B1" id="Text Box 14" o:spid="_x0000_s1035" type="#_x0000_t202" style="position:absolute;margin-left:36pt;margin-top:23.65pt;width:147.4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" fillcolor="white [3201]" stroked="f" strokeweight=".5pt">
                <v:textbox inset="0,0,0,0">
                  <w:txbxContent>
                    <w:p w14:paraId="1A444F40" w14:textId="77777777" w:rsidR="007A5389" w:rsidRPr="00D21252" w:rsidRDefault="007A5389" w:rsidP="0085433F">
                      <w:pPr>
                        <w:spacing w:before="0"/>
                        <w:jc w:val="center"/>
                        <w:rPr>
                          <w:b/>
                          <w:sz w:val="12"/>
                          <w:szCs w:val="12"/>
                        </w:rPr>
                      </w:pPr>
                      <w:r w:rsidRPr="00D21252">
                        <w:rPr>
                          <w:rFonts w:hint="eastAsia"/>
                          <w:b/>
                          <w:sz w:val="16"/>
                          <w:szCs w:val="12"/>
                        </w:rPr>
                        <w:t>现金储备比率（</w:t>
                      </w:r>
                      <w:r w:rsidRPr="00D21252">
                        <w:rPr>
                          <w:rFonts w:hint="eastAsia"/>
                          <w:b/>
                          <w:sz w:val="16"/>
                          <w:szCs w:val="12"/>
                        </w:rPr>
                        <w:t>#</w:t>
                      </w:r>
                      <w:r w:rsidRPr="00D21252">
                        <w:rPr>
                          <w:rFonts w:hint="eastAsia"/>
                          <w:b/>
                          <w:sz w:val="16"/>
                          <w:szCs w:val="12"/>
                        </w:rPr>
                        <w:t>月）</w:t>
                      </w:r>
                    </w:p>
                  </w:txbxContent>
                </v:textbox>
              </v:shape>
            </w:pict>
          </mc:Fallback>
        </mc:AlternateContent>
      </w:r>
      <w:r w:rsidRPr="00EA6492">
        <w:rPr>
          <w:noProof/>
          <w:lang w:val="en-US" w:eastAsia="zh-CN"/>
        </w:rPr>
        <w:drawing>
          <wp:inline distT="0" distB="0" distL="0" distR="0" wp14:anchorId="2D89CEC9" wp14:editId="78190AE7">
            <wp:extent cx="6120765" cy="17722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772212"/>
                    </a:xfrm>
                    <a:prstGeom prst="rect">
                      <a:avLst/>
                    </a:prstGeom>
                    <a:noFill/>
                    <a:ln>
                      <a:noFill/>
                    </a:ln>
                  </pic:spPr>
                </pic:pic>
              </a:graphicData>
            </a:graphic>
          </wp:inline>
        </w:drawing>
      </w:r>
    </w:p>
    <w:p w14:paraId="4B9C3243" w14:textId="1A34AA60" w:rsidR="0085433F" w:rsidRPr="000C156A" w:rsidRDefault="004B5A9F" w:rsidP="00047D4E">
      <w:pPr>
        <w:rPr>
          <w:lang w:eastAsia="zh-CN"/>
        </w:rPr>
      </w:pPr>
      <w:r>
        <w:rPr>
          <w:rFonts w:asciiTheme="minorHAnsi" w:hAnsiTheme="minorHAnsi" w:cs="Calibri"/>
          <w:noProof/>
          <w:szCs w:val="24"/>
          <w:lang w:val="en-US" w:eastAsia="zh-CN"/>
        </w:rPr>
        <w:lastRenderedPageBreak/>
        <w:t>36</w:t>
      </w:r>
      <w:r w:rsidR="0085433F" w:rsidRPr="000C156A">
        <w:rPr>
          <w:rFonts w:asciiTheme="minorHAnsi" w:hAnsiTheme="minorHAnsi" w:cs="Calibri"/>
          <w:noProof/>
          <w:szCs w:val="24"/>
          <w:lang w:val="en-US" w:eastAsia="zh-CN"/>
        </w:rPr>
        <w:tab/>
      </w:r>
      <w:r w:rsidR="0085433F" w:rsidRPr="000C156A">
        <w:rPr>
          <w:rFonts w:hint="eastAsia"/>
          <w:lang w:eastAsia="zh-CN"/>
        </w:rPr>
        <w:t>现金储备的评估用月数表示并体现出若干年内的稳定性。应注意，部分现金并非立等可用，因此需要认真监督以满足每月的需求。</w:t>
      </w:r>
    </w:p>
    <w:p w14:paraId="53F515F4" w14:textId="641E13C3" w:rsidR="0085433F" w:rsidRDefault="0085433F" w:rsidP="00047D4E">
      <w:pPr>
        <w:pStyle w:val="Headingb"/>
        <w:rPr>
          <w:rFonts w:eastAsia="Times New Roman"/>
          <w:noProof/>
          <w:lang w:val="en-US" w:eastAsia="zh-CN"/>
        </w:rPr>
      </w:pPr>
      <w:bookmarkStart w:id="106" w:name="_Toc72744919"/>
      <w:bookmarkStart w:id="107" w:name="_Toc72747203"/>
      <w:bookmarkStart w:id="108" w:name="_Toc73461004"/>
      <w:bookmarkStart w:id="109" w:name="_Toc73518651"/>
      <w:bookmarkStart w:id="110" w:name="_Toc73518798"/>
      <w:bookmarkStart w:id="111" w:name="_Toc73519198"/>
      <w:bookmarkStart w:id="112" w:name="_Toc73636080"/>
      <w:bookmarkStart w:id="113" w:name="_Toc73636222"/>
      <w:r w:rsidRPr="00047D4E">
        <w:rPr>
          <w:rFonts w:hint="eastAsia"/>
          <w:bCs/>
          <w:sz w:val="28"/>
          <w:szCs w:val="28"/>
          <w:u w:val="single"/>
          <w:lang w:eastAsia="zh-CN"/>
        </w:rPr>
        <w:t>短期偿债能力</w:t>
      </w:r>
      <w:bookmarkEnd w:id="106"/>
      <w:bookmarkEnd w:id="107"/>
      <w:bookmarkEnd w:id="108"/>
      <w:bookmarkEnd w:id="109"/>
      <w:bookmarkEnd w:id="110"/>
      <w:bookmarkEnd w:id="111"/>
      <w:bookmarkEnd w:id="112"/>
      <w:bookmarkEnd w:id="113"/>
    </w:p>
    <w:p w14:paraId="48945261" w14:textId="70CD8385" w:rsidR="004B5A9F" w:rsidRDefault="00047D4E" w:rsidP="004B5A9F">
      <w:pPr>
        <w:pStyle w:val="Figuretitle"/>
        <w:keepNext w:val="0"/>
        <w:rPr>
          <w:lang w:val="en-US" w:eastAsia="zh-CN"/>
        </w:rPr>
      </w:pPr>
      <w:r w:rsidRPr="000C156A">
        <w:rPr>
          <w:rFonts w:eastAsia="Times New Roman"/>
          <w:noProof/>
          <w:lang w:val="en-US" w:eastAsia="zh-CN"/>
        </w:rPr>
        <mc:AlternateContent>
          <mc:Choice Requires="wps">
            <w:drawing>
              <wp:anchor distT="0" distB="0" distL="114300" distR="114300" simplePos="0" relativeHeight="251671552" behindDoc="0" locked="0" layoutInCell="1" allowOverlap="1" wp14:anchorId="3210F3C0" wp14:editId="12B22070">
                <wp:simplePos x="0" y="0"/>
                <wp:positionH relativeFrom="column">
                  <wp:posOffset>2705735</wp:posOffset>
                </wp:positionH>
                <wp:positionV relativeFrom="paragraph">
                  <wp:posOffset>1274445</wp:posOffset>
                </wp:positionV>
                <wp:extent cx="862965" cy="15303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62965" cy="153035"/>
                        </a:xfrm>
                        <a:prstGeom prst="rect">
                          <a:avLst/>
                        </a:prstGeom>
                        <a:solidFill>
                          <a:schemeClr val="lt1"/>
                        </a:solidFill>
                        <a:ln w="6350">
                          <a:noFill/>
                        </a:ln>
                      </wps:spPr>
                      <wps:txbx>
                        <w:txbxContent>
                          <w:p w14:paraId="6DF0BD6B" w14:textId="77777777" w:rsidR="007A5389" w:rsidRPr="00D21252" w:rsidRDefault="007A5389" w:rsidP="0085433F">
                            <w:pPr>
                              <w:shd w:val="clear" w:color="auto" w:fill="C6D9F1" w:themeFill="text2" w:themeFillTint="33"/>
                              <w:spacing w:before="0"/>
                              <w:jc w:val="center"/>
                              <w:rPr>
                                <w:b/>
                                <w:sz w:val="12"/>
                                <w:szCs w:val="12"/>
                              </w:rPr>
                            </w:pPr>
                            <w:r w:rsidRPr="00F505E6">
                              <w:rPr>
                                <w:rFonts w:hint="eastAsia"/>
                                <w:b/>
                                <w:sz w:val="16"/>
                                <w:szCs w:val="12"/>
                              </w:rPr>
                              <w:t>流动比率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10F3C0" id="Text Box 29" o:spid="_x0000_s1036" type="#_x0000_t202" style="position:absolute;left:0;text-align:left;margin-left:213.05pt;margin-top:100.35pt;width:67.95pt;height:12.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" fillcolor="white [3201]" stroked="f" strokeweight=".5pt">
                <v:textbox inset="0,0,0,0">
                  <w:txbxContent>
                    <w:p w14:paraId="6DF0BD6B" w14:textId="77777777" w:rsidR="007A5389" w:rsidRPr="00D21252" w:rsidRDefault="007A5389" w:rsidP="0085433F">
                      <w:pPr>
                        <w:shd w:val="clear" w:color="auto" w:fill="C6D9F1" w:themeFill="text2" w:themeFillTint="33"/>
                        <w:spacing w:before="0"/>
                        <w:jc w:val="center"/>
                        <w:rPr>
                          <w:b/>
                          <w:sz w:val="12"/>
                          <w:szCs w:val="12"/>
                        </w:rPr>
                      </w:pPr>
                      <w:r w:rsidRPr="00F505E6">
                        <w:rPr>
                          <w:rFonts w:hint="eastAsia"/>
                          <w:b/>
                          <w:sz w:val="16"/>
                          <w:szCs w:val="12"/>
                        </w:rPr>
                        <w:t>流动比率</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73600" behindDoc="0" locked="0" layoutInCell="1" allowOverlap="1" wp14:anchorId="45FF671F" wp14:editId="09C2D6AB">
                <wp:simplePos x="0" y="0"/>
                <wp:positionH relativeFrom="column">
                  <wp:posOffset>2579370</wp:posOffset>
                </wp:positionH>
                <wp:positionV relativeFrom="paragraph">
                  <wp:posOffset>1049020</wp:posOffset>
                </wp:positionV>
                <wp:extent cx="1118870" cy="158750"/>
                <wp:effectExtent l="0" t="0" r="24130" b="12700"/>
                <wp:wrapNone/>
                <wp:docPr id="40" name="Text Box 40"/>
                <wp:cNvGraphicFramePr/>
                <a:graphic xmlns:a="http://schemas.openxmlformats.org/drawingml/2006/main">
                  <a:graphicData uri="http://schemas.microsoft.com/office/word/2010/wordprocessingShape">
                    <wps:wsp>
                      <wps:cNvSpPr txBox="1"/>
                      <wps:spPr>
                        <a:xfrm>
                          <a:off x="0" y="0"/>
                          <a:ext cx="1118870" cy="158750"/>
                        </a:xfrm>
                        <a:prstGeom prst="rect">
                          <a:avLst/>
                        </a:prstGeom>
                        <a:solidFill>
                          <a:schemeClr val="lt1"/>
                        </a:solidFill>
                        <a:ln w="6350">
                          <a:solidFill>
                            <a:schemeClr val="bg1"/>
                          </a:solidFill>
                        </a:ln>
                      </wps:spPr>
                      <wps:txbx>
                        <w:txbxContent>
                          <w:p w14:paraId="479FADA7" w14:textId="77777777" w:rsidR="007A5389" w:rsidRPr="00D21252" w:rsidRDefault="007A5389" w:rsidP="0085433F">
                            <w:pPr>
                              <w:shd w:val="clear" w:color="auto" w:fill="FFFFFF" w:themeFill="background1"/>
                              <w:spacing w:before="0"/>
                              <w:jc w:val="center"/>
                              <w:rPr>
                                <w:b/>
                                <w:sz w:val="12"/>
                                <w:szCs w:val="12"/>
                              </w:rPr>
                            </w:pPr>
                            <w:r w:rsidRPr="00F505E6">
                              <w:rPr>
                                <w:rFonts w:hint="eastAsia"/>
                                <w:b/>
                                <w:sz w:val="16"/>
                                <w:szCs w:val="12"/>
                              </w:rPr>
                              <w:t>流动负债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F671F" id="Text Box 40" o:spid="_x0000_s1037" type="#_x0000_t202" style="position:absolute;left:0;text-align:left;margin-left:203.1pt;margin-top:82.6pt;width:88.1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" fillcolor="white [3201]" strokecolor="white [3212]" strokeweight=".5pt">
                <v:textbox inset="0,0,0,0">
                  <w:txbxContent>
                    <w:p w14:paraId="479FADA7" w14:textId="77777777" w:rsidR="007A5389" w:rsidRPr="00D21252" w:rsidRDefault="007A5389" w:rsidP="0085433F">
                      <w:pPr>
                        <w:shd w:val="clear" w:color="auto" w:fill="FFFFFF" w:themeFill="background1"/>
                        <w:spacing w:before="0"/>
                        <w:jc w:val="center"/>
                        <w:rPr>
                          <w:b/>
                          <w:sz w:val="12"/>
                          <w:szCs w:val="12"/>
                        </w:rPr>
                      </w:pPr>
                      <w:r w:rsidRPr="00F505E6">
                        <w:rPr>
                          <w:rFonts w:hint="eastAsia"/>
                          <w:b/>
                          <w:sz w:val="16"/>
                          <w:szCs w:val="12"/>
                        </w:rPr>
                        <w:t>流动负债</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72576" behindDoc="0" locked="0" layoutInCell="1" allowOverlap="1" wp14:anchorId="429497E8" wp14:editId="592C0B85">
                <wp:simplePos x="0" y="0"/>
                <wp:positionH relativeFrom="column">
                  <wp:posOffset>2688590</wp:posOffset>
                </wp:positionH>
                <wp:positionV relativeFrom="paragraph">
                  <wp:posOffset>798830</wp:posOffset>
                </wp:positionV>
                <wp:extent cx="899160" cy="204470"/>
                <wp:effectExtent l="0" t="0" r="15240" b="24130"/>
                <wp:wrapNone/>
                <wp:docPr id="30" name="Text Box 30"/>
                <wp:cNvGraphicFramePr/>
                <a:graphic xmlns:a="http://schemas.openxmlformats.org/drawingml/2006/main">
                  <a:graphicData uri="http://schemas.microsoft.com/office/word/2010/wordprocessingShape">
                    <wps:wsp>
                      <wps:cNvSpPr txBox="1"/>
                      <wps:spPr>
                        <a:xfrm>
                          <a:off x="0" y="0"/>
                          <a:ext cx="899160" cy="204470"/>
                        </a:xfrm>
                        <a:prstGeom prst="rect">
                          <a:avLst/>
                        </a:prstGeom>
                        <a:solidFill>
                          <a:schemeClr val="lt1"/>
                        </a:solidFill>
                        <a:ln w="6350">
                          <a:solidFill>
                            <a:schemeClr val="bg1"/>
                          </a:solidFill>
                        </a:ln>
                      </wps:spPr>
                      <wps:txbx>
                        <w:txbxContent>
                          <w:p w14:paraId="42B67D46" w14:textId="77777777" w:rsidR="007A5389" w:rsidRPr="00D21252" w:rsidRDefault="007A5389" w:rsidP="0085433F">
                            <w:pPr>
                              <w:shd w:val="clear" w:color="auto" w:fill="FFFFFF" w:themeFill="background1"/>
                              <w:spacing w:before="100"/>
                              <w:jc w:val="center"/>
                              <w:rPr>
                                <w:b/>
                                <w:sz w:val="12"/>
                                <w:szCs w:val="12"/>
                              </w:rPr>
                            </w:pPr>
                            <w:r w:rsidRPr="00F505E6">
                              <w:rPr>
                                <w:rFonts w:hint="eastAsia"/>
                                <w:b/>
                                <w:sz w:val="16"/>
                                <w:szCs w:val="12"/>
                              </w:rPr>
                              <w:t>流动资产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497E8" id="Text Box 30" o:spid="_x0000_s1038" type="#_x0000_t202" style="position:absolute;left:0;text-align:left;margin-left:211.7pt;margin-top:62.9pt;width:70.8pt;height:1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" fillcolor="white [3201]" strokecolor="white [3212]" strokeweight=".5pt">
                <v:textbox inset="0,0,0,0">
                  <w:txbxContent>
                    <w:p w14:paraId="42B67D46" w14:textId="77777777" w:rsidR="007A5389" w:rsidRPr="00D21252" w:rsidRDefault="007A5389" w:rsidP="0085433F">
                      <w:pPr>
                        <w:shd w:val="clear" w:color="auto" w:fill="FFFFFF" w:themeFill="background1"/>
                        <w:spacing w:before="100"/>
                        <w:jc w:val="center"/>
                        <w:rPr>
                          <w:b/>
                          <w:sz w:val="12"/>
                          <w:szCs w:val="12"/>
                        </w:rPr>
                      </w:pPr>
                      <w:r w:rsidRPr="00F505E6">
                        <w:rPr>
                          <w:rFonts w:hint="eastAsia"/>
                          <w:b/>
                          <w:sz w:val="16"/>
                          <w:szCs w:val="12"/>
                        </w:rPr>
                        <w:t>流动资产</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70528" behindDoc="0" locked="0" layoutInCell="1" allowOverlap="1" wp14:anchorId="6987BA35" wp14:editId="5146205B">
                <wp:simplePos x="0" y="0"/>
                <wp:positionH relativeFrom="column">
                  <wp:posOffset>2615565</wp:posOffset>
                </wp:positionH>
                <wp:positionV relativeFrom="paragraph">
                  <wp:posOffset>533096</wp:posOffset>
                </wp:positionV>
                <wp:extent cx="1009015" cy="167640"/>
                <wp:effectExtent l="0" t="0" r="19685" b="22860"/>
                <wp:wrapNone/>
                <wp:docPr id="28" name="Text Box 28"/>
                <wp:cNvGraphicFramePr/>
                <a:graphic xmlns:a="http://schemas.openxmlformats.org/drawingml/2006/main">
                  <a:graphicData uri="http://schemas.microsoft.com/office/word/2010/wordprocessingShape">
                    <wps:wsp>
                      <wps:cNvSpPr txBox="1"/>
                      <wps:spPr>
                        <a:xfrm>
                          <a:off x="0" y="0"/>
                          <a:ext cx="1009015" cy="167640"/>
                        </a:xfrm>
                        <a:prstGeom prst="rect">
                          <a:avLst/>
                        </a:prstGeom>
                        <a:solidFill>
                          <a:schemeClr val="lt1"/>
                        </a:solidFill>
                        <a:ln w="6350">
                          <a:solidFill>
                            <a:schemeClr val="tx2">
                              <a:lumMod val="20000"/>
                              <a:lumOff val="80000"/>
                            </a:schemeClr>
                          </a:solidFill>
                        </a:ln>
                      </wps:spPr>
                      <wps:txbx>
                        <w:txbxContent>
                          <w:p w14:paraId="53D5BC34" w14:textId="77777777" w:rsidR="007A5389" w:rsidRPr="00D21252" w:rsidRDefault="007A5389" w:rsidP="0085433F">
                            <w:pPr>
                              <w:shd w:val="clear" w:color="auto" w:fill="DBE5F1" w:themeFill="accent1" w:themeFillTint="33"/>
                              <w:spacing w:before="0"/>
                              <w:jc w:val="center"/>
                              <w:rPr>
                                <w:b/>
                                <w:sz w:val="12"/>
                                <w:szCs w:val="12"/>
                              </w:rPr>
                            </w:pPr>
                            <w:r w:rsidRPr="00D21252">
                              <w:rPr>
                                <w:rFonts w:hint="eastAsia"/>
                                <w:b/>
                                <w:sz w:val="16"/>
                                <w:szCs w:val="12"/>
                              </w:rPr>
                              <w:t>流动比率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7BA35" id="Text Box 28" o:spid="_x0000_s1039" type="#_x0000_t202" style="position:absolute;left:0;text-align:left;margin-left:205.95pt;margin-top:42pt;width:79.4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" fillcolor="white [3201]" strokecolor="#c6d9f1 [671]" strokeweight=".5pt">
                <v:textbox inset="0,0,0,0">
                  <w:txbxContent>
                    <w:p w14:paraId="53D5BC34" w14:textId="77777777" w:rsidR="007A5389" w:rsidRPr="00D21252" w:rsidRDefault="007A5389" w:rsidP="0085433F">
                      <w:pPr>
                        <w:shd w:val="clear" w:color="auto" w:fill="DBE5F1" w:themeFill="accent1" w:themeFillTint="33"/>
                        <w:spacing w:before="0"/>
                        <w:jc w:val="center"/>
                        <w:rPr>
                          <w:b/>
                          <w:sz w:val="12"/>
                          <w:szCs w:val="12"/>
                        </w:rPr>
                      </w:pPr>
                      <w:r w:rsidRPr="00D21252">
                        <w:rPr>
                          <w:rFonts w:hint="eastAsia"/>
                          <w:b/>
                          <w:sz w:val="16"/>
                          <w:szCs w:val="12"/>
                        </w:rPr>
                        <w:t>流动比率</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69504" behindDoc="0" locked="0" layoutInCell="1" allowOverlap="1" wp14:anchorId="5CBF92BC" wp14:editId="2CAF6650">
                <wp:simplePos x="0" y="0"/>
                <wp:positionH relativeFrom="column">
                  <wp:posOffset>418769</wp:posOffset>
                </wp:positionH>
                <wp:positionV relativeFrom="paragraph">
                  <wp:posOffset>288290</wp:posOffset>
                </wp:positionV>
                <wp:extent cx="1871980" cy="146050"/>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1871980" cy="146050"/>
                        </a:xfrm>
                        <a:prstGeom prst="rect">
                          <a:avLst/>
                        </a:prstGeom>
                        <a:solidFill>
                          <a:schemeClr val="lt1"/>
                        </a:solidFill>
                        <a:ln w="6350">
                          <a:noFill/>
                        </a:ln>
                      </wps:spPr>
                      <wps:txbx>
                        <w:txbxContent>
                          <w:p w14:paraId="49A10E82" w14:textId="77777777" w:rsidR="007A5389" w:rsidRPr="00D21252" w:rsidRDefault="007A5389" w:rsidP="0085433F">
                            <w:pPr>
                              <w:spacing w:before="0"/>
                              <w:jc w:val="center"/>
                              <w:rPr>
                                <w:b/>
                                <w:sz w:val="12"/>
                                <w:szCs w:val="12"/>
                              </w:rPr>
                            </w:pPr>
                            <w:r w:rsidRPr="00D21252">
                              <w:rPr>
                                <w:rFonts w:hint="eastAsia"/>
                                <w:b/>
                                <w:sz w:val="16"/>
                                <w:szCs w:val="12"/>
                              </w:rPr>
                              <w:t>流动比率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F92BC" id="Text Box 27" o:spid="_x0000_s1040" type="#_x0000_t202" style="position:absolute;left:0;text-align:left;margin-left:32.95pt;margin-top:22.7pt;width:147.4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" fillcolor="white [3201]" stroked="f" strokeweight=".5pt">
                <v:textbox inset="0,0,0,0">
                  <w:txbxContent>
                    <w:p w14:paraId="49A10E82" w14:textId="77777777" w:rsidR="007A5389" w:rsidRPr="00D21252" w:rsidRDefault="007A5389" w:rsidP="0085433F">
                      <w:pPr>
                        <w:spacing w:before="0"/>
                        <w:jc w:val="center"/>
                        <w:rPr>
                          <w:b/>
                          <w:sz w:val="12"/>
                          <w:szCs w:val="12"/>
                        </w:rPr>
                      </w:pPr>
                      <w:r w:rsidRPr="00D21252">
                        <w:rPr>
                          <w:rFonts w:hint="eastAsia"/>
                          <w:b/>
                          <w:sz w:val="16"/>
                          <w:szCs w:val="12"/>
                        </w:rPr>
                        <w:t>流动比率</w:t>
                      </w:r>
                    </w:p>
                  </w:txbxContent>
                </v:textbox>
              </v:shape>
            </w:pict>
          </mc:Fallback>
        </mc:AlternateContent>
      </w:r>
      <w:r w:rsidR="004B5A9F" w:rsidRPr="00CE020B">
        <w:rPr>
          <w:noProof/>
          <w:lang w:val="en-US" w:eastAsia="zh-CN"/>
        </w:rPr>
        <w:drawing>
          <wp:inline distT="0" distB="0" distL="0" distR="0" wp14:anchorId="0134D014" wp14:editId="7DA79952">
            <wp:extent cx="6120765" cy="18516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851686"/>
                    </a:xfrm>
                    <a:prstGeom prst="rect">
                      <a:avLst/>
                    </a:prstGeom>
                    <a:noFill/>
                    <a:ln>
                      <a:noFill/>
                    </a:ln>
                  </pic:spPr>
                </pic:pic>
              </a:graphicData>
            </a:graphic>
          </wp:inline>
        </w:drawing>
      </w:r>
    </w:p>
    <w:p w14:paraId="297D5FEB" w14:textId="2EC6475E" w:rsidR="004B5A9F" w:rsidRPr="004B5A9F" w:rsidRDefault="009C72D4" w:rsidP="004B5A9F">
      <w:pPr>
        <w:pStyle w:val="Normalaftertitle"/>
        <w:rPr>
          <w:lang w:val="en-US" w:eastAsia="zh-CN"/>
        </w:rPr>
      </w:pPr>
      <w:r w:rsidRPr="000C156A">
        <w:rPr>
          <w:rFonts w:eastAsia="Times New Roman"/>
          <w:noProof/>
          <w:lang w:val="en-US" w:eastAsia="zh-CN"/>
        </w:rPr>
        <mc:AlternateContent>
          <mc:Choice Requires="wps">
            <w:drawing>
              <wp:anchor distT="0" distB="0" distL="114300" distR="114300" simplePos="0" relativeHeight="251674624" behindDoc="0" locked="0" layoutInCell="1" allowOverlap="1" wp14:anchorId="7CE4E647" wp14:editId="63044023">
                <wp:simplePos x="0" y="0"/>
                <wp:positionH relativeFrom="column">
                  <wp:posOffset>316230</wp:posOffset>
                </wp:positionH>
                <wp:positionV relativeFrom="paragraph">
                  <wp:posOffset>98121</wp:posOffset>
                </wp:positionV>
                <wp:extent cx="1871980" cy="14605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1871980" cy="146050"/>
                        </a:xfrm>
                        <a:prstGeom prst="rect">
                          <a:avLst/>
                        </a:prstGeom>
                        <a:solidFill>
                          <a:schemeClr val="lt1"/>
                        </a:solidFill>
                        <a:ln w="6350">
                          <a:noFill/>
                        </a:ln>
                      </wps:spPr>
                      <wps:txbx>
                        <w:txbxContent>
                          <w:p w14:paraId="49E0CB80" w14:textId="77777777" w:rsidR="007A5389" w:rsidRPr="00D21252" w:rsidRDefault="007A5389" w:rsidP="0085433F">
                            <w:pPr>
                              <w:spacing w:before="0"/>
                              <w:jc w:val="center"/>
                              <w:rPr>
                                <w:b/>
                                <w:sz w:val="12"/>
                                <w:szCs w:val="12"/>
                              </w:rPr>
                            </w:pPr>
                            <w:r w:rsidRPr="00B25298">
                              <w:rPr>
                                <w:rFonts w:hint="eastAsia"/>
                                <w:b/>
                                <w:sz w:val="16"/>
                                <w:szCs w:val="12"/>
                              </w:rPr>
                              <w:t>现金比率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4E647" id="Text Box 47" o:spid="_x0000_s1041" type="#_x0000_t202" style="position:absolute;margin-left:24.9pt;margin-top:7.75pt;width:147.4pt;height: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" fillcolor="white [3201]" stroked="f" strokeweight=".5pt">
                <v:textbox inset="0,0,0,0">
                  <w:txbxContent>
                    <w:p w14:paraId="49E0CB80" w14:textId="77777777" w:rsidR="007A5389" w:rsidRPr="00D21252" w:rsidRDefault="007A5389" w:rsidP="0085433F">
                      <w:pPr>
                        <w:spacing w:before="0"/>
                        <w:jc w:val="center"/>
                        <w:rPr>
                          <w:b/>
                          <w:sz w:val="12"/>
                          <w:szCs w:val="12"/>
                        </w:rPr>
                      </w:pPr>
                      <w:r w:rsidRPr="00B25298">
                        <w:rPr>
                          <w:rFonts w:hint="eastAsia"/>
                          <w:b/>
                          <w:sz w:val="16"/>
                          <w:szCs w:val="12"/>
                        </w:rPr>
                        <w:t>现金比率</w:t>
                      </w:r>
                    </w:p>
                  </w:txbxContent>
                </v:textbox>
              </v:shape>
            </w:pict>
          </mc:Fallback>
        </mc:AlternateContent>
      </w:r>
      <w:r w:rsidR="004B5A9F" w:rsidRPr="000C156A">
        <w:rPr>
          <w:rFonts w:eastAsia="Times New Roman"/>
          <w:noProof/>
          <w:lang w:val="en-US" w:eastAsia="zh-CN"/>
        </w:rPr>
        <mc:AlternateContent>
          <mc:Choice Requires="wps">
            <w:drawing>
              <wp:anchor distT="0" distB="0" distL="114300" distR="114300" simplePos="0" relativeHeight="251677696" behindDoc="0" locked="0" layoutInCell="1" allowOverlap="1" wp14:anchorId="6E88A5EA" wp14:editId="0CC752B5">
                <wp:simplePos x="0" y="0"/>
                <wp:positionH relativeFrom="column">
                  <wp:posOffset>2595604</wp:posOffset>
                </wp:positionH>
                <wp:positionV relativeFrom="paragraph">
                  <wp:posOffset>871717</wp:posOffset>
                </wp:positionV>
                <wp:extent cx="1118870" cy="151075"/>
                <wp:effectExtent l="0" t="0" r="24130" b="20955"/>
                <wp:wrapNone/>
                <wp:docPr id="52" name="Text Box 52"/>
                <wp:cNvGraphicFramePr/>
                <a:graphic xmlns:a="http://schemas.openxmlformats.org/drawingml/2006/main">
                  <a:graphicData uri="http://schemas.microsoft.com/office/word/2010/wordprocessingShape">
                    <wps:wsp>
                      <wps:cNvSpPr txBox="1"/>
                      <wps:spPr>
                        <a:xfrm>
                          <a:off x="0" y="0"/>
                          <a:ext cx="1118870" cy="151075"/>
                        </a:xfrm>
                        <a:prstGeom prst="rect">
                          <a:avLst/>
                        </a:prstGeom>
                        <a:solidFill>
                          <a:schemeClr val="lt1"/>
                        </a:solidFill>
                        <a:ln w="6350">
                          <a:solidFill>
                            <a:schemeClr val="bg1"/>
                          </a:solidFill>
                        </a:ln>
                      </wps:spPr>
                      <wps:txbx>
                        <w:txbxContent>
                          <w:p w14:paraId="6728B270" w14:textId="77777777" w:rsidR="007A5389" w:rsidRPr="00D21252" w:rsidRDefault="007A5389" w:rsidP="0085433F">
                            <w:pPr>
                              <w:shd w:val="clear" w:color="auto" w:fill="FFFFFF" w:themeFill="background1"/>
                              <w:spacing w:before="0"/>
                              <w:jc w:val="center"/>
                              <w:rPr>
                                <w:b/>
                                <w:sz w:val="12"/>
                                <w:szCs w:val="12"/>
                              </w:rPr>
                            </w:pPr>
                            <w:r w:rsidRPr="00F505E6">
                              <w:rPr>
                                <w:rFonts w:hint="eastAsia"/>
                                <w:b/>
                                <w:sz w:val="16"/>
                                <w:szCs w:val="12"/>
                              </w:rPr>
                              <w:t>流动负债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8A5EA" id="Text Box 52" o:spid="_x0000_s1042" type="#_x0000_t202" style="position:absolute;margin-left:204.4pt;margin-top:68.65pt;width:88.1pt;height:1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" fillcolor="white [3201]" strokecolor="white [3212]" strokeweight=".5pt">
                <v:textbox inset="0,0,0,0">
                  <w:txbxContent>
                    <w:p w14:paraId="6728B270" w14:textId="77777777" w:rsidR="007A5389" w:rsidRPr="00D21252" w:rsidRDefault="007A5389" w:rsidP="0085433F">
                      <w:pPr>
                        <w:shd w:val="clear" w:color="auto" w:fill="FFFFFF" w:themeFill="background1"/>
                        <w:spacing w:before="0"/>
                        <w:jc w:val="center"/>
                        <w:rPr>
                          <w:b/>
                          <w:sz w:val="12"/>
                          <w:szCs w:val="12"/>
                        </w:rPr>
                      </w:pPr>
                      <w:r w:rsidRPr="00F505E6">
                        <w:rPr>
                          <w:rFonts w:hint="eastAsia"/>
                          <w:b/>
                          <w:sz w:val="16"/>
                          <w:szCs w:val="12"/>
                        </w:rPr>
                        <w:t>流动负债</w:t>
                      </w:r>
                    </w:p>
                  </w:txbxContent>
                </v:textbox>
              </v:shape>
            </w:pict>
          </mc:Fallback>
        </mc:AlternateContent>
      </w:r>
      <w:r w:rsidR="004B5A9F" w:rsidRPr="000C156A">
        <w:rPr>
          <w:rFonts w:eastAsia="Times New Roman"/>
          <w:noProof/>
          <w:lang w:val="en-US" w:eastAsia="zh-CN"/>
        </w:rPr>
        <mc:AlternateContent>
          <mc:Choice Requires="wps">
            <w:drawing>
              <wp:anchor distT="0" distB="0" distL="114300" distR="114300" simplePos="0" relativeHeight="251678720" behindDoc="0" locked="0" layoutInCell="1" allowOverlap="1" wp14:anchorId="5F291B11" wp14:editId="741CA3BD">
                <wp:simplePos x="0" y="0"/>
                <wp:positionH relativeFrom="column">
                  <wp:posOffset>2699385</wp:posOffset>
                </wp:positionH>
                <wp:positionV relativeFrom="paragraph">
                  <wp:posOffset>1119174</wp:posOffset>
                </wp:positionV>
                <wp:extent cx="862965" cy="15303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862965" cy="153035"/>
                        </a:xfrm>
                        <a:prstGeom prst="rect">
                          <a:avLst/>
                        </a:prstGeom>
                        <a:solidFill>
                          <a:schemeClr val="lt1"/>
                        </a:solidFill>
                        <a:ln w="6350">
                          <a:noFill/>
                        </a:ln>
                      </wps:spPr>
                      <wps:txbx>
                        <w:txbxContent>
                          <w:p w14:paraId="667D1202" w14:textId="77777777" w:rsidR="007A5389" w:rsidRPr="00D21252" w:rsidRDefault="007A5389" w:rsidP="0085433F">
                            <w:pPr>
                              <w:shd w:val="clear" w:color="auto" w:fill="C6D9F1" w:themeFill="text2" w:themeFillTint="33"/>
                              <w:spacing w:before="0"/>
                              <w:jc w:val="center"/>
                              <w:rPr>
                                <w:b/>
                                <w:sz w:val="12"/>
                                <w:szCs w:val="12"/>
                              </w:rPr>
                            </w:pPr>
                            <w:r w:rsidRPr="00B25298">
                              <w:rPr>
                                <w:rFonts w:hint="eastAsia"/>
                                <w:b/>
                                <w:sz w:val="16"/>
                                <w:szCs w:val="12"/>
                              </w:rPr>
                              <w:t>现金比率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291B11" id="Text Box 53" o:spid="_x0000_s1043" type="#_x0000_t202" style="position:absolute;margin-left:212.55pt;margin-top:88.1pt;width:67.95pt;height:12.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" fillcolor="white [3201]" stroked="f" strokeweight=".5pt">
                <v:textbox inset="0,0,0,0">
                  <w:txbxContent>
                    <w:p w14:paraId="667D1202" w14:textId="77777777" w:rsidR="007A5389" w:rsidRPr="00D21252" w:rsidRDefault="007A5389" w:rsidP="0085433F">
                      <w:pPr>
                        <w:shd w:val="clear" w:color="auto" w:fill="C6D9F1" w:themeFill="text2" w:themeFillTint="33"/>
                        <w:spacing w:before="0"/>
                        <w:jc w:val="center"/>
                        <w:rPr>
                          <w:b/>
                          <w:sz w:val="12"/>
                          <w:szCs w:val="12"/>
                        </w:rPr>
                      </w:pPr>
                      <w:r w:rsidRPr="00B25298">
                        <w:rPr>
                          <w:rFonts w:hint="eastAsia"/>
                          <w:b/>
                          <w:sz w:val="16"/>
                          <w:szCs w:val="12"/>
                        </w:rPr>
                        <w:t>现金比率</w:t>
                      </w:r>
                    </w:p>
                  </w:txbxContent>
                </v:textbox>
              </v:shape>
            </w:pict>
          </mc:Fallback>
        </mc:AlternateContent>
      </w:r>
      <w:r w:rsidR="004B5A9F" w:rsidRPr="000C156A">
        <w:rPr>
          <w:rFonts w:eastAsia="Times New Roman"/>
          <w:noProof/>
          <w:lang w:val="en-US" w:eastAsia="zh-CN"/>
        </w:rPr>
        <mc:AlternateContent>
          <mc:Choice Requires="wps">
            <w:drawing>
              <wp:anchor distT="0" distB="0" distL="114300" distR="114300" simplePos="0" relativeHeight="251676672" behindDoc="0" locked="0" layoutInCell="1" allowOverlap="1" wp14:anchorId="63346E7C" wp14:editId="05F11966">
                <wp:simplePos x="0" y="0"/>
                <wp:positionH relativeFrom="column">
                  <wp:posOffset>2531993</wp:posOffset>
                </wp:positionH>
                <wp:positionV relativeFrom="paragraph">
                  <wp:posOffset>664983</wp:posOffset>
                </wp:positionV>
                <wp:extent cx="1169670" cy="151075"/>
                <wp:effectExtent l="0" t="0" r="11430" b="20955"/>
                <wp:wrapNone/>
                <wp:docPr id="51" name="Text Box 51"/>
                <wp:cNvGraphicFramePr/>
                <a:graphic xmlns:a="http://schemas.openxmlformats.org/drawingml/2006/main">
                  <a:graphicData uri="http://schemas.microsoft.com/office/word/2010/wordprocessingShape">
                    <wps:wsp>
                      <wps:cNvSpPr txBox="1"/>
                      <wps:spPr>
                        <a:xfrm>
                          <a:off x="0" y="0"/>
                          <a:ext cx="1169670" cy="151075"/>
                        </a:xfrm>
                        <a:prstGeom prst="rect">
                          <a:avLst/>
                        </a:prstGeom>
                        <a:solidFill>
                          <a:schemeClr val="lt1"/>
                        </a:solidFill>
                        <a:ln w="6350">
                          <a:solidFill>
                            <a:schemeClr val="bg1"/>
                          </a:solidFill>
                        </a:ln>
                      </wps:spPr>
                      <wps:txbx>
                        <w:txbxContent>
                          <w:p w14:paraId="1F52591E" w14:textId="77777777" w:rsidR="007A5389" w:rsidRPr="00D21252" w:rsidRDefault="007A5389" w:rsidP="004B5A9F">
                            <w:pPr>
                              <w:shd w:val="clear" w:color="auto" w:fill="FFFFFF" w:themeFill="background1"/>
                              <w:spacing w:before="0"/>
                              <w:jc w:val="center"/>
                              <w:rPr>
                                <w:b/>
                                <w:sz w:val="12"/>
                                <w:szCs w:val="12"/>
                              </w:rPr>
                            </w:pPr>
                            <w:r w:rsidRPr="00B25298">
                              <w:rPr>
                                <w:rFonts w:hint="eastAsia"/>
                                <w:b/>
                                <w:sz w:val="16"/>
                                <w:szCs w:val="12"/>
                              </w:rPr>
                              <w:t>现金和现金等价物</w:t>
                            </w:r>
                            <w:r w:rsidRPr="00B25298">
                              <w:rPr>
                                <w:rFonts w:hint="eastAsia"/>
                                <w:b/>
                                <w:sz w:val="16"/>
                                <w:szCs w:val="1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46E7C" id="Text Box 51" o:spid="_x0000_s1044" type="#_x0000_t202" style="position:absolute;margin-left:199.35pt;margin-top:52.35pt;width:92.1pt;height:1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" fillcolor="white [3201]" strokecolor="white [3212]" strokeweight=".5pt">
                <v:textbox inset="0,0,0,0">
                  <w:txbxContent>
                    <w:p w14:paraId="1F52591E" w14:textId="77777777" w:rsidR="007A5389" w:rsidRPr="00D21252" w:rsidRDefault="007A5389" w:rsidP="004B5A9F">
                      <w:pPr>
                        <w:shd w:val="clear" w:color="auto" w:fill="FFFFFF" w:themeFill="background1"/>
                        <w:spacing w:before="0"/>
                        <w:jc w:val="center"/>
                        <w:rPr>
                          <w:b/>
                          <w:sz w:val="12"/>
                          <w:szCs w:val="12"/>
                        </w:rPr>
                      </w:pPr>
                      <w:r w:rsidRPr="00B25298">
                        <w:rPr>
                          <w:rFonts w:hint="eastAsia"/>
                          <w:b/>
                          <w:sz w:val="16"/>
                          <w:szCs w:val="12"/>
                        </w:rPr>
                        <w:t>现金和现金等价物</w:t>
                      </w:r>
                      <w:r w:rsidRPr="00B25298">
                        <w:rPr>
                          <w:rFonts w:hint="eastAsia"/>
                          <w:b/>
                          <w:sz w:val="16"/>
                          <w:szCs w:val="12"/>
                        </w:rPr>
                        <w:t>*</w:t>
                      </w:r>
                    </w:p>
                  </w:txbxContent>
                </v:textbox>
              </v:shape>
            </w:pict>
          </mc:Fallback>
        </mc:AlternateContent>
      </w:r>
      <w:r w:rsidR="004B5A9F" w:rsidRPr="000C156A">
        <w:rPr>
          <w:rFonts w:eastAsia="Times New Roman"/>
          <w:noProof/>
          <w:lang w:val="en-US" w:eastAsia="zh-CN"/>
        </w:rPr>
        <mc:AlternateContent>
          <mc:Choice Requires="wps">
            <w:drawing>
              <wp:anchor distT="0" distB="0" distL="114300" distR="114300" simplePos="0" relativeHeight="251699200" behindDoc="0" locked="0" layoutInCell="1" allowOverlap="1" wp14:anchorId="6528ED68" wp14:editId="2B6F8FDA">
                <wp:simplePos x="0" y="0"/>
                <wp:positionH relativeFrom="column">
                  <wp:posOffset>2444225</wp:posOffset>
                </wp:positionH>
                <wp:positionV relativeFrom="paragraph">
                  <wp:posOffset>1311386</wp:posOffset>
                </wp:positionV>
                <wp:extent cx="2238451" cy="219456"/>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2238451" cy="219456"/>
                        </a:xfrm>
                        <a:prstGeom prst="rect">
                          <a:avLst/>
                        </a:prstGeom>
                        <a:solidFill>
                          <a:schemeClr val="lt1"/>
                        </a:solidFill>
                        <a:ln w="6350">
                          <a:solidFill>
                            <a:schemeClr val="bg1"/>
                          </a:solidFill>
                        </a:ln>
                      </wps:spPr>
                      <wps:txbx>
                        <w:txbxContent>
                          <w:p w14:paraId="15121291" w14:textId="77777777" w:rsidR="007A5389" w:rsidRPr="00B25298" w:rsidRDefault="007A5389" w:rsidP="004B5A9F">
                            <w:pPr>
                              <w:shd w:val="clear" w:color="auto" w:fill="FFFFFF" w:themeFill="background1"/>
                              <w:spacing w:before="0"/>
                              <w:ind w:left="57"/>
                              <w:rPr>
                                <w:sz w:val="12"/>
                                <w:szCs w:val="12"/>
                                <w:lang w:eastAsia="zh-CN"/>
                              </w:rPr>
                            </w:pPr>
                            <w:r w:rsidRPr="00B25298">
                              <w:rPr>
                                <w:rFonts w:hint="eastAsia"/>
                                <w:sz w:val="16"/>
                                <w:szCs w:val="12"/>
                                <w:lang w:eastAsia="zh-CN"/>
                              </w:rPr>
                              <w:t>*</w:t>
                            </w:r>
                            <w:r w:rsidRPr="00B25298">
                              <w:rPr>
                                <w:rFonts w:hint="eastAsia"/>
                                <w:sz w:val="16"/>
                                <w:szCs w:val="12"/>
                                <w:lang w:eastAsia="zh-CN"/>
                              </w:rPr>
                              <w:t>包括到期日</w:t>
                            </w:r>
                            <w:r w:rsidRPr="00B25298">
                              <w:rPr>
                                <w:sz w:val="16"/>
                                <w:szCs w:val="12"/>
                                <w:lang w:val="fr-CH" w:eastAsia="zh-CN"/>
                              </w:rPr>
                              <w:t>&lt;</w:t>
                            </w:r>
                            <w:r w:rsidRPr="00B25298">
                              <w:rPr>
                                <w:rFonts w:hint="eastAsia"/>
                                <w:sz w:val="16"/>
                                <w:szCs w:val="12"/>
                                <w:lang w:eastAsia="zh-CN"/>
                              </w:rPr>
                              <w:t>三个月的投资（现金）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8ED68" id="Text Box 55" o:spid="_x0000_s1045" type="#_x0000_t202" style="position:absolute;margin-left:192.45pt;margin-top:103.25pt;width:176.25pt;height:1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" fillcolor="white [3201]" strokecolor="white [3212]" strokeweight=".5pt">
                <v:textbox inset="0,0,0,0">
                  <w:txbxContent>
                    <w:p w14:paraId="15121291" w14:textId="77777777" w:rsidR="007A5389" w:rsidRPr="00B25298" w:rsidRDefault="007A5389" w:rsidP="004B5A9F">
                      <w:pPr>
                        <w:shd w:val="clear" w:color="auto" w:fill="FFFFFF" w:themeFill="background1"/>
                        <w:spacing w:before="0"/>
                        <w:ind w:left="57"/>
                        <w:rPr>
                          <w:sz w:val="12"/>
                          <w:szCs w:val="12"/>
                          <w:lang w:eastAsia="zh-CN"/>
                        </w:rPr>
                      </w:pPr>
                      <w:r w:rsidRPr="00B25298">
                        <w:rPr>
                          <w:rFonts w:hint="eastAsia"/>
                          <w:sz w:val="16"/>
                          <w:szCs w:val="12"/>
                          <w:lang w:eastAsia="zh-CN"/>
                        </w:rPr>
                        <w:t>*</w:t>
                      </w:r>
                      <w:r w:rsidRPr="00B25298">
                        <w:rPr>
                          <w:rFonts w:hint="eastAsia"/>
                          <w:sz w:val="16"/>
                          <w:szCs w:val="12"/>
                          <w:lang w:eastAsia="zh-CN"/>
                        </w:rPr>
                        <w:t>包括到期日</w:t>
                      </w:r>
                      <w:r w:rsidRPr="00B25298">
                        <w:rPr>
                          <w:sz w:val="16"/>
                          <w:szCs w:val="12"/>
                          <w:lang w:val="fr-CH" w:eastAsia="zh-CN"/>
                        </w:rPr>
                        <w:t>&lt;</w:t>
                      </w:r>
                      <w:r w:rsidRPr="00B25298">
                        <w:rPr>
                          <w:rFonts w:hint="eastAsia"/>
                          <w:sz w:val="16"/>
                          <w:szCs w:val="12"/>
                          <w:lang w:eastAsia="zh-CN"/>
                        </w:rPr>
                        <w:t>三个月的投资（现金）</w:t>
                      </w:r>
                    </w:p>
                  </w:txbxContent>
                </v:textbox>
              </v:shape>
            </w:pict>
          </mc:Fallback>
        </mc:AlternateContent>
      </w:r>
      <w:r w:rsidR="004B5A9F" w:rsidRPr="000C156A">
        <w:rPr>
          <w:rFonts w:eastAsia="Times New Roman"/>
          <w:noProof/>
          <w:lang w:val="en-US" w:eastAsia="zh-CN"/>
        </w:rPr>
        <mc:AlternateContent>
          <mc:Choice Requires="wps">
            <w:drawing>
              <wp:anchor distT="0" distB="0" distL="114300" distR="114300" simplePos="0" relativeHeight="251675648" behindDoc="0" locked="0" layoutInCell="1" allowOverlap="1" wp14:anchorId="4DA6EF1B" wp14:editId="07ACB419">
                <wp:simplePos x="0" y="0"/>
                <wp:positionH relativeFrom="column">
                  <wp:posOffset>2641462</wp:posOffset>
                </wp:positionH>
                <wp:positionV relativeFrom="paragraph">
                  <wp:posOffset>418051</wp:posOffset>
                </wp:positionV>
                <wp:extent cx="1009269" cy="168250"/>
                <wp:effectExtent l="0" t="0" r="19685" b="22860"/>
                <wp:wrapNone/>
                <wp:docPr id="49" name="Text Box 49"/>
                <wp:cNvGraphicFramePr/>
                <a:graphic xmlns:a="http://schemas.openxmlformats.org/drawingml/2006/main">
                  <a:graphicData uri="http://schemas.microsoft.com/office/word/2010/wordprocessingShape">
                    <wps:wsp>
                      <wps:cNvSpPr txBox="1"/>
                      <wps:spPr>
                        <a:xfrm>
                          <a:off x="0" y="0"/>
                          <a:ext cx="1009269" cy="168250"/>
                        </a:xfrm>
                        <a:prstGeom prst="rect">
                          <a:avLst/>
                        </a:prstGeom>
                        <a:solidFill>
                          <a:schemeClr val="lt1"/>
                        </a:solidFill>
                        <a:ln w="6350">
                          <a:solidFill>
                            <a:schemeClr val="tx2">
                              <a:lumMod val="20000"/>
                              <a:lumOff val="80000"/>
                            </a:schemeClr>
                          </a:solidFill>
                        </a:ln>
                      </wps:spPr>
                      <wps:txbx>
                        <w:txbxContent>
                          <w:p w14:paraId="353192FD" w14:textId="77777777" w:rsidR="007A5389" w:rsidRPr="00D21252" w:rsidRDefault="007A5389" w:rsidP="0085433F">
                            <w:pPr>
                              <w:shd w:val="clear" w:color="auto" w:fill="DBE5F1" w:themeFill="accent1" w:themeFillTint="33"/>
                              <w:spacing w:before="0"/>
                              <w:jc w:val="center"/>
                              <w:rPr>
                                <w:b/>
                                <w:sz w:val="12"/>
                                <w:szCs w:val="12"/>
                              </w:rPr>
                            </w:pPr>
                            <w:r w:rsidRPr="00B25298">
                              <w:rPr>
                                <w:rFonts w:hint="eastAsia"/>
                                <w:b/>
                                <w:sz w:val="16"/>
                                <w:szCs w:val="12"/>
                              </w:rPr>
                              <w:t>现金比率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6EF1B" id="Text Box 49" o:spid="_x0000_s1046" type="#_x0000_t202" style="position:absolute;margin-left:208pt;margin-top:32.9pt;width:79.45pt;height: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" fillcolor="white [3201]" strokecolor="#c6d9f1 [671]" strokeweight=".5pt">
                <v:textbox inset="0,0,0,0">
                  <w:txbxContent>
                    <w:p w14:paraId="353192FD" w14:textId="77777777" w:rsidR="007A5389" w:rsidRPr="00D21252" w:rsidRDefault="007A5389" w:rsidP="0085433F">
                      <w:pPr>
                        <w:shd w:val="clear" w:color="auto" w:fill="DBE5F1" w:themeFill="accent1" w:themeFillTint="33"/>
                        <w:spacing w:before="0"/>
                        <w:jc w:val="center"/>
                        <w:rPr>
                          <w:b/>
                          <w:sz w:val="12"/>
                          <w:szCs w:val="12"/>
                        </w:rPr>
                      </w:pPr>
                      <w:r w:rsidRPr="00B25298">
                        <w:rPr>
                          <w:rFonts w:hint="eastAsia"/>
                          <w:b/>
                          <w:sz w:val="16"/>
                          <w:szCs w:val="12"/>
                        </w:rPr>
                        <w:t>现金比率</w:t>
                      </w:r>
                    </w:p>
                  </w:txbxContent>
                </v:textbox>
              </v:shape>
            </w:pict>
          </mc:Fallback>
        </mc:AlternateContent>
      </w:r>
      <w:r w:rsidR="004B5A9F" w:rsidRPr="00CE020B">
        <w:rPr>
          <w:noProof/>
          <w:lang w:val="en-US" w:eastAsia="zh-CN"/>
        </w:rPr>
        <w:drawing>
          <wp:inline distT="0" distB="0" distL="0" distR="0" wp14:anchorId="1ACC1AF2" wp14:editId="6DBC036F">
            <wp:extent cx="6120765" cy="192740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927406"/>
                    </a:xfrm>
                    <a:prstGeom prst="rect">
                      <a:avLst/>
                    </a:prstGeom>
                    <a:noFill/>
                    <a:ln>
                      <a:noFill/>
                    </a:ln>
                  </pic:spPr>
                </pic:pic>
              </a:graphicData>
            </a:graphic>
          </wp:inline>
        </w:drawing>
      </w:r>
    </w:p>
    <w:p w14:paraId="7C580914" w14:textId="39A7A195" w:rsidR="0085433F" w:rsidRPr="000C156A" w:rsidRDefault="0085433F" w:rsidP="0085433F">
      <w:pPr>
        <w:pStyle w:val="Figure"/>
        <w:keepNext w:val="0"/>
        <w:rPr>
          <w:rFonts w:eastAsia="Times New Roman"/>
          <w:noProof/>
          <w:lang w:val="en-US" w:eastAsia="zh-CN"/>
        </w:rPr>
      </w:pPr>
    </w:p>
    <w:p w14:paraId="5861437E" w14:textId="7771C6E1" w:rsidR="0085433F" w:rsidRPr="000C156A" w:rsidRDefault="00205825" w:rsidP="00047D4E">
      <w:pPr>
        <w:rPr>
          <w:lang w:eastAsia="zh-CN"/>
        </w:rPr>
      </w:pPr>
      <w:r>
        <w:rPr>
          <w:rFonts w:asciiTheme="minorHAnsi" w:hAnsiTheme="minorHAnsi" w:cs="Calibri"/>
          <w:szCs w:val="24"/>
          <w:lang w:val="en-US" w:eastAsia="zh-CN"/>
        </w:rPr>
        <w:t>37</w:t>
      </w:r>
      <w:r w:rsidR="0085433F" w:rsidRPr="000C156A">
        <w:rPr>
          <w:rFonts w:asciiTheme="minorHAnsi" w:hAnsiTheme="minorHAnsi" w:cs="Calibri"/>
          <w:szCs w:val="24"/>
          <w:lang w:val="en-US" w:eastAsia="zh-CN"/>
        </w:rPr>
        <w:tab/>
      </w:r>
      <w:r w:rsidR="0085433F" w:rsidRPr="000C156A">
        <w:rPr>
          <w:rFonts w:hint="eastAsia"/>
          <w:lang w:eastAsia="zh-CN"/>
        </w:rPr>
        <w:t>偿债能力比率有助于了解国际电联短期内的财务健康状况。分别为</w:t>
      </w:r>
      <w:r>
        <w:rPr>
          <w:lang w:eastAsia="zh-CN"/>
        </w:rPr>
        <w:t>216</w:t>
      </w:r>
      <w:r w:rsidR="0085433F" w:rsidRPr="000C156A">
        <w:rPr>
          <w:lang w:eastAsia="zh-CN"/>
        </w:rPr>
        <w:t>%</w:t>
      </w:r>
      <w:r w:rsidR="0085433F" w:rsidRPr="000C156A">
        <w:rPr>
          <w:rFonts w:hint="eastAsia"/>
          <w:lang w:eastAsia="zh-CN"/>
        </w:rPr>
        <w:t>和</w:t>
      </w:r>
      <w:r>
        <w:rPr>
          <w:lang w:eastAsia="zh-CN"/>
        </w:rPr>
        <w:t>152</w:t>
      </w:r>
      <w:r w:rsidR="0085433F" w:rsidRPr="000C156A">
        <w:rPr>
          <w:lang w:eastAsia="zh-CN"/>
        </w:rPr>
        <w:t>%</w:t>
      </w:r>
      <w:r w:rsidR="0085433F" w:rsidRPr="000C156A">
        <w:rPr>
          <w:rFonts w:hint="eastAsia"/>
          <w:lang w:eastAsia="zh-CN"/>
        </w:rPr>
        <w:t>的两项高额比率印证了国际电联的良好状况及其履行短期义务的能力。</w:t>
      </w:r>
    </w:p>
    <w:p w14:paraId="26672319" w14:textId="77777777" w:rsidR="0085433F" w:rsidRPr="00047D4E" w:rsidRDefault="0085433F" w:rsidP="00205825">
      <w:pPr>
        <w:pStyle w:val="Headingb"/>
        <w:rPr>
          <w:sz w:val="28"/>
          <w:szCs w:val="28"/>
          <w:u w:val="single"/>
          <w:lang w:val="en-US" w:eastAsia="zh-CN"/>
        </w:rPr>
      </w:pPr>
      <w:bookmarkStart w:id="114" w:name="_Toc73461005"/>
      <w:bookmarkStart w:id="115" w:name="_Toc73518652"/>
      <w:bookmarkStart w:id="116" w:name="_Toc73518799"/>
      <w:bookmarkStart w:id="117" w:name="_Toc73519199"/>
      <w:bookmarkStart w:id="118" w:name="_Toc73636081"/>
      <w:bookmarkStart w:id="119" w:name="_Toc73636223"/>
      <w:r w:rsidRPr="00047D4E">
        <w:rPr>
          <w:rFonts w:hint="eastAsia"/>
          <w:sz w:val="28"/>
          <w:szCs w:val="28"/>
          <w:u w:val="single"/>
          <w:lang w:eastAsia="zh-CN"/>
        </w:rPr>
        <w:lastRenderedPageBreak/>
        <w:t>财务业绩</w:t>
      </w:r>
      <w:bookmarkEnd w:id="114"/>
      <w:bookmarkEnd w:id="115"/>
      <w:bookmarkEnd w:id="116"/>
      <w:bookmarkEnd w:id="117"/>
      <w:bookmarkEnd w:id="118"/>
      <w:bookmarkEnd w:id="119"/>
    </w:p>
    <w:p w14:paraId="5DBA4641" w14:textId="35373DAB" w:rsidR="0085433F" w:rsidRDefault="00205825" w:rsidP="00205825">
      <w:pPr>
        <w:keepNext/>
        <w:keepLines/>
        <w:rPr>
          <w:lang w:eastAsia="zh-CN"/>
        </w:rPr>
      </w:pPr>
      <w:r>
        <w:rPr>
          <w:rFonts w:asciiTheme="minorHAnsi" w:hAnsiTheme="minorHAnsi" w:cs="Calibri"/>
          <w:szCs w:val="24"/>
          <w:lang w:val="en-US" w:eastAsia="zh-CN"/>
        </w:rPr>
        <w:t>38</w:t>
      </w:r>
      <w:r w:rsidR="0085433F" w:rsidRPr="000C156A">
        <w:rPr>
          <w:rFonts w:asciiTheme="minorHAnsi" w:hAnsiTheme="minorHAnsi" w:cs="Calibri"/>
          <w:szCs w:val="24"/>
          <w:lang w:val="en-US" w:eastAsia="zh-CN"/>
        </w:rPr>
        <w:tab/>
      </w:r>
      <w:r w:rsidR="0085433F" w:rsidRPr="000C156A">
        <w:rPr>
          <w:rFonts w:hint="eastAsia"/>
          <w:lang w:eastAsia="zh-CN"/>
        </w:rPr>
        <w:t>该比率显示出所批准的正常预算的财务业绩并以预算结果为基础。</w:t>
      </w:r>
    </w:p>
    <w:p w14:paraId="2345A775" w14:textId="076F7E5A" w:rsidR="00205825" w:rsidRPr="000C156A" w:rsidRDefault="00205825" w:rsidP="00205825">
      <w:pPr>
        <w:keepNext/>
        <w:keepLines/>
        <w:rPr>
          <w:lang w:eastAsia="zh-CN"/>
        </w:rPr>
      </w:pPr>
      <w:r w:rsidRPr="000C156A">
        <w:rPr>
          <w:noProof/>
          <w:lang w:val="en-US" w:eastAsia="zh-CN"/>
        </w:rPr>
        <mc:AlternateContent>
          <mc:Choice Requires="wps">
            <w:drawing>
              <wp:anchor distT="0" distB="0" distL="114300" distR="114300" simplePos="0" relativeHeight="251684864" behindDoc="0" locked="0" layoutInCell="1" allowOverlap="1" wp14:anchorId="0F69EE0C" wp14:editId="7E72215E">
                <wp:simplePos x="0" y="0"/>
                <wp:positionH relativeFrom="column">
                  <wp:posOffset>2695575</wp:posOffset>
                </wp:positionH>
                <wp:positionV relativeFrom="paragraph">
                  <wp:posOffset>1348409</wp:posOffset>
                </wp:positionV>
                <wp:extent cx="862965" cy="15303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862965" cy="153035"/>
                        </a:xfrm>
                        <a:prstGeom prst="rect">
                          <a:avLst/>
                        </a:prstGeom>
                        <a:solidFill>
                          <a:schemeClr val="lt1"/>
                        </a:solidFill>
                        <a:ln w="6350">
                          <a:noFill/>
                        </a:ln>
                      </wps:spPr>
                      <wps:txbx>
                        <w:txbxContent>
                          <w:p w14:paraId="1A9DDA45" w14:textId="77777777" w:rsidR="007A5389" w:rsidRPr="00D21252" w:rsidRDefault="007A5389" w:rsidP="0085433F">
                            <w:pPr>
                              <w:shd w:val="clear" w:color="auto" w:fill="C6D9F1" w:themeFill="text2" w:themeFillTint="33"/>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9EE0C" id="Text Box 61" o:spid="_x0000_s1047" type="#_x0000_t202" style="position:absolute;margin-left:212.25pt;margin-top:106.15pt;width:67.95pt;height:12.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" fillcolor="white [3201]" stroked="f" strokeweight=".5pt">
                <v:textbox inset="0,0,0,0">
                  <w:txbxContent>
                    <w:p w14:paraId="1A9DDA45" w14:textId="77777777" w:rsidR="007A5389" w:rsidRPr="00D21252" w:rsidRDefault="007A5389" w:rsidP="0085433F">
                      <w:pPr>
                        <w:shd w:val="clear" w:color="auto" w:fill="C6D9F1" w:themeFill="text2" w:themeFillTint="33"/>
                        <w:spacing w:before="0"/>
                        <w:jc w:val="center"/>
                        <w:rPr>
                          <w:b/>
                          <w:sz w:val="12"/>
                          <w:szCs w:val="12"/>
                        </w:rPr>
                      </w:pPr>
                      <w:r w:rsidRPr="00B25298">
                        <w:rPr>
                          <w:rFonts w:hint="eastAsia"/>
                          <w:b/>
                          <w:sz w:val="16"/>
                          <w:szCs w:val="12"/>
                        </w:rPr>
                        <w:t>人员成本比率</w:t>
                      </w:r>
                    </w:p>
                  </w:txbxContent>
                </v:textbox>
              </v:shape>
            </w:pict>
          </mc:Fallback>
        </mc:AlternateContent>
      </w:r>
      <w:r w:rsidRPr="000C156A">
        <w:rPr>
          <w:noProof/>
          <w:lang w:val="en-US" w:eastAsia="zh-CN"/>
        </w:rPr>
        <mc:AlternateContent>
          <mc:Choice Requires="wps">
            <w:drawing>
              <wp:anchor distT="0" distB="0" distL="114300" distR="114300" simplePos="0" relativeHeight="251681792" behindDoc="0" locked="0" layoutInCell="1" allowOverlap="1" wp14:anchorId="4AB643BB" wp14:editId="05BD6584">
                <wp:simplePos x="0" y="0"/>
                <wp:positionH relativeFrom="column">
                  <wp:posOffset>2630170</wp:posOffset>
                </wp:positionH>
                <wp:positionV relativeFrom="paragraph">
                  <wp:posOffset>601345</wp:posOffset>
                </wp:positionV>
                <wp:extent cx="1009015" cy="167640"/>
                <wp:effectExtent l="0" t="0" r="19685" b="22860"/>
                <wp:wrapNone/>
                <wp:docPr id="57" name="Text Box 57"/>
                <wp:cNvGraphicFramePr/>
                <a:graphic xmlns:a="http://schemas.openxmlformats.org/drawingml/2006/main">
                  <a:graphicData uri="http://schemas.microsoft.com/office/word/2010/wordprocessingShape">
                    <wps:wsp>
                      <wps:cNvSpPr txBox="1"/>
                      <wps:spPr>
                        <a:xfrm>
                          <a:off x="0" y="0"/>
                          <a:ext cx="1009015" cy="167640"/>
                        </a:xfrm>
                        <a:prstGeom prst="rect">
                          <a:avLst/>
                        </a:prstGeom>
                        <a:solidFill>
                          <a:schemeClr val="lt1"/>
                        </a:solidFill>
                        <a:ln w="6350">
                          <a:solidFill>
                            <a:schemeClr val="tx2">
                              <a:lumMod val="20000"/>
                              <a:lumOff val="80000"/>
                            </a:schemeClr>
                          </a:solidFill>
                        </a:ln>
                      </wps:spPr>
                      <wps:txbx>
                        <w:txbxContent>
                          <w:p w14:paraId="7617988F" w14:textId="77777777" w:rsidR="007A5389" w:rsidRPr="00D21252" w:rsidRDefault="007A5389" w:rsidP="0085433F">
                            <w:pPr>
                              <w:shd w:val="clear" w:color="auto" w:fill="DBE5F1" w:themeFill="accent1" w:themeFillTint="33"/>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43BB" id="Text Box 57" o:spid="_x0000_s1048" type="#_x0000_t202" style="position:absolute;margin-left:207.1pt;margin-top:47.35pt;width:79.45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" fillcolor="white [3201]" strokecolor="#c6d9f1 [671]" strokeweight=".5pt">
                <v:textbox inset="0,0,0,0">
                  <w:txbxContent>
                    <w:p w14:paraId="7617988F" w14:textId="77777777" w:rsidR="007A5389" w:rsidRPr="00D21252" w:rsidRDefault="007A5389" w:rsidP="0085433F">
                      <w:pPr>
                        <w:shd w:val="clear" w:color="auto" w:fill="DBE5F1" w:themeFill="accent1" w:themeFillTint="33"/>
                        <w:spacing w:before="0"/>
                        <w:jc w:val="center"/>
                        <w:rPr>
                          <w:b/>
                          <w:sz w:val="12"/>
                          <w:szCs w:val="12"/>
                        </w:rPr>
                      </w:pPr>
                      <w:r w:rsidRPr="00B25298">
                        <w:rPr>
                          <w:rFonts w:hint="eastAsia"/>
                          <w:b/>
                          <w:sz w:val="16"/>
                          <w:szCs w:val="12"/>
                        </w:rPr>
                        <w:t>人员成本比率</w:t>
                      </w:r>
                    </w:p>
                  </w:txbxContent>
                </v:textbox>
              </v:shape>
            </w:pict>
          </mc:Fallback>
        </mc:AlternateContent>
      </w:r>
      <w:r w:rsidRPr="000C156A">
        <w:rPr>
          <w:noProof/>
          <w:lang w:val="en-US" w:eastAsia="zh-CN"/>
        </w:rPr>
        <mc:AlternateContent>
          <mc:Choice Requires="wps">
            <w:drawing>
              <wp:anchor distT="0" distB="0" distL="114300" distR="114300" simplePos="0" relativeHeight="251682816" behindDoc="0" locked="0" layoutInCell="1" allowOverlap="1" wp14:anchorId="7A715EC7" wp14:editId="5B4EF32C">
                <wp:simplePos x="0" y="0"/>
                <wp:positionH relativeFrom="column">
                  <wp:posOffset>2571750</wp:posOffset>
                </wp:positionH>
                <wp:positionV relativeFrom="paragraph">
                  <wp:posOffset>852805</wp:posOffset>
                </wp:positionV>
                <wp:extent cx="1169670" cy="212090"/>
                <wp:effectExtent l="0" t="0" r="11430" b="16510"/>
                <wp:wrapNone/>
                <wp:docPr id="58" name="Text Box 58"/>
                <wp:cNvGraphicFramePr/>
                <a:graphic xmlns:a="http://schemas.openxmlformats.org/drawingml/2006/main">
                  <a:graphicData uri="http://schemas.microsoft.com/office/word/2010/wordprocessingShape">
                    <wps:wsp>
                      <wps:cNvSpPr txBox="1"/>
                      <wps:spPr>
                        <a:xfrm>
                          <a:off x="0" y="0"/>
                          <a:ext cx="1169670" cy="212090"/>
                        </a:xfrm>
                        <a:prstGeom prst="rect">
                          <a:avLst/>
                        </a:prstGeom>
                        <a:solidFill>
                          <a:schemeClr val="lt1"/>
                        </a:solidFill>
                        <a:ln w="6350">
                          <a:solidFill>
                            <a:schemeClr val="bg1"/>
                          </a:solidFill>
                        </a:ln>
                      </wps:spPr>
                      <wps:txbx>
                        <w:txbxContent>
                          <w:p w14:paraId="34CB4B61" w14:textId="77777777" w:rsidR="007A5389" w:rsidRPr="00D21252" w:rsidRDefault="007A5389" w:rsidP="0085433F">
                            <w:pPr>
                              <w:shd w:val="clear" w:color="auto" w:fill="FFFFFF" w:themeFill="background1"/>
                              <w:spacing w:before="100"/>
                              <w:jc w:val="center"/>
                              <w:rPr>
                                <w:b/>
                                <w:sz w:val="12"/>
                                <w:szCs w:val="12"/>
                              </w:rPr>
                            </w:pPr>
                            <w:r w:rsidRPr="00B25298">
                              <w:rPr>
                                <w:rFonts w:hint="eastAsia"/>
                                <w:b/>
                                <w:sz w:val="16"/>
                                <w:szCs w:val="12"/>
                              </w:rPr>
                              <w:t>人员成本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15EC7" id="Text Box 58" o:spid="_x0000_s1049" type="#_x0000_t202" style="position:absolute;margin-left:202.5pt;margin-top:67.15pt;width:92.1pt;height:1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" fillcolor="white [3201]" strokecolor="white [3212]" strokeweight=".5pt">
                <v:textbox inset="0,0,0,0">
                  <w:txbxContent>
                    <w:p w14:paraId="34CB4B61" w14:textId="77777777" w:rsidR="007A5389" w:rsidRPr="00D21252" w:rsidRDefault="007A5389" w:rsidP="0085433F">
                      <w:pPr>
                        <w:shd w:val="clear" w:color="auto" w:fill="FFFFFF" w:themeFill="background1"/>
                        <w:spacing w:before="100"/>
                        <w:jc w:val="center"/>
                        <w:rPr>
                          <w:b/>
                          <w:sz w:val="12"/>
                          <w:szCs w:val="12"/>
                        </w:rPr>
                      </w:pPr>
                      <w:r w:rsidRPr="00B25298">
                        <w:rPr>
                          <w:rFonts w:hint="eastAsia"/>
                          <w:b/>
                          <w:sz w:val="16"/>
                          <w:szCs w:val="12"/>
                        </w:rPr>
                        <w:t>人员成本</w:t>
                      </w:r>
                    </w:p>
                  </w:txbxContent>
                </v:textbox>
              </v:shape>
            </w:pict>
          </mc:Fallback>
        </mc:AlternateContent>
      </w:r>
      <w:r w:rsidRPr="000C156A">
        <w:rPr>
          <w:noProof/>
          <w:lang w:val="en-US" w:eastAsia="zh-CN"/>
        </w:rPr>
        <mc:AlternateContent>
          <mc:Choice Requires="wps">
            <w:drawing>
              <wp:anchor distT="0" distB="0" distL="114300" distR="114300" simplePos="0" relativeHeight="251683840" behindDoc="0" locked="0" layoutInCell="1" allowOverlap="1" wp14:anchorId="70813A9F" wp14:editId="7DB69670">
                <wp:simplePos x="0" y="0"/>
                <wp:positionH relativeFrom="column">
                  <wp:posOffset>2596294</wp:posOffset>
                </wp:positionH>
                <wp:positionV relativeFrom="paragraph">
                  <wp:posOffset>1092807</wp:posOffset>
                </wp:positionV>
                <wp:extent cx="1118870" cy="211455"/>
                <wp:effectExtent l="0" t="0" r="24130" b="17145"/>
                <wp:wrapNone/>
                <wp:docPr id="60" name="Text Box 60"/>
                <wp:cNvGraphicFramePr/>
                <a:graphic xmlns:a="http://schemas.openxmlformats.org/drawingml/2006/main">
                  <a:graphicData uri="http://schemas.microsoft.com/office/word/2010/wordprocessingShape">
                    <wps:wsp>
                      <wps:cNvSpPr txBox="1"/>
                      <wps:spPr>
                        <a:xfrm>
                          <a:off x="0" y="0"/>
                          <a:ext cx="1118870" cy="211455"/>
                        </a:xfrm>
                        <a:prstGeom prst="rect">
                          <a:avLst/>
                        </a:prstGeom>
                        <a:solidFill>
                          <a:schemeClr val="lt1"/>
                        </a:solidFill>
                        <a:ln w="6350">
                          <a:solidFill>
                            <a:schemeClr val="bg1"/>
                          </a:solidFill>
                        </a:ln>
                      </wps:spPr>
                      <wps:txbx>
                        <w:txbxContent>
                          <w:p w14:paraId="4FEBD44D" w14:textId="77777777" w:rsidR="007A5389" w:rsidRPr="00D21252" w:rsidRDefault="007A5389" w:rsidP="0085433F">
                            <w:pPr>
                              <w:shd w:val="clear" w:color="auto" w:fill="FFFFFF" w:themeFill="background1"/>
                              <w:spacing w:before="0"/>
                              <w:jc w:val="center"/>
                              <w:rPr>
                                <w:b/>
                                <w:sz w:val="12"/>
                                <w:szCs w:val="12"/>
                              </w:rPr>
                            </w:pPr>
                            <w:r w:rsidRPr="00B25298">
                              <w:rPr>
                                <w:rFonts w:hint="eastAsia"/>
                                <w:b/>
                                <w:sz w:val="16"/>
                                <w:szCs w:val="12"/>
                              </w:rPr>
                              <w:t>总费用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13A9F" id="Text Box 60" o:spid="_x0000_s1050" type="#_x0000_t202" style="position:absolute;margin-left:204.45pt;margin-top:86.05pt;width:88.1pt;height:1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" fillcolor="white [3201]" strokecolor="white [3212]" strokeweight=".5pt">
                <v:textbox inset="0,0,0,0">
                  <w:txbxContent>
                    <w:p w14:paraId="4FEBD44D" w14:textId="77777777" w:rsidR="007A5389" w:rsidRPr="00D21252" w:rsidRDefault="007A5389" w:rsidP="0085433F">
                      <w:pPr>
                        <w:shd w:val="clear" w:color="auto" w:fill="FFFFFF" w:themeFill="background1"/>
                        <w:spacing w:before="0"/>
                        <w:jc w:val="center"/>
                        <w:rPr>
                          <w:b/>
                          <w:sz w:val="12"/>
                          <w:szCs w:val="12"/>
                        </w:rPr>
                      </w:pPr>
                      <w:r w:rsidRPr="00B25298">
                        <w:rPr>
                          <w:rFonts w:hint="eastAsia"/>
                          <w:b/>
                          <w:sz w:val="16"/>
                          <w:szCs w:val="12"/>
                        </w:rPr>
                        <w:t>总费用</w:t>
                      </w:r>
                    </w:p>
                  </w:txbxContent>
                </v:textbox>
              </v:shape>
            </w:pict>
          </mc:Fallback>
        </mc:AlternateContent>
      </w:r>
      <w:r w:rsidRPr="000C156A">
        <w:rPr>
          <w:noProof/>
          <w:lang w:val="en-US" w:eastAsia="zh-CN"/>
        </w:rPr>
        <mc:AlternateContent>
          <mc:Choice Requires="wps">
            <w:drawing>
              <wp:anchor distT="0" distB="0" distL="114300" distR="114300" simplePos="0" relativeHeight="251680768" behindDoc="0" locked="0" layoutInCell="1" allowOverlap="1" wp14:anchorId="6FA92372" wp14:editId="220CD001">
                <wp:simplePos x="0" y="0"/>
                <wp:positionH relativeFrom="column">
                  <wp:posOffset>421640</wp:posOffset>
                </wp:positionH>
                <wp:positionV relativeFrom="paragraph">
                  <wp:posOffset>250245</wp:posOffset>
                </wp:positionV>
                <wp:extent cx="1872387" cy="190195"/>
                <wp:effectExtent l="0" t="0" r="0" b="635"/>
                <wp:wrapNone/>
                <wp:docPr id="56" name="Text Box 56"/>
                <wp:cNvGraphicFramePr/>
                <a:graphic xmlns:a="http://schemas.openxmlformats.org/drawingml/2006/main">
                  <a:graphicData uri="http://schemas.microsoft.com/office/word/2010/wordprocessingShape">
                    <wps:wsp>
                      <wps:cNvSpPr txBox="1"/>
                      <wps:spPr>
                        <a:xfrm>
                          <a:off x="0" y="0"/>
                          <a:ext cx="1872387" cy="190195"/>
                        </a:xfrm>
                        <a:prstGeom prst="rect">
                          <a:avLst/>
                        </a:prstGeom>
                        <a:solidFill>
                          <a:schemeClr val="lt1"/>
                        </a:solidFill>
                        <a:ln w="6350">
                          <a:noFill/>
                        </a:ln>
                      </wps:spPr>
                      <wps:txbx>
                        <w:txbxContent>
                          <w:p w14:paraId="253C6FE8" w14:textId="77777777" w:rsidR="007A5389" w:rsidRPr="00D21252" w:rsidRDefault="007A5389" w:rsidP="0085433F">
                            <w:pPr>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92372" id="Text Box 56" o:spid="_x0000_s1051" type="#_x0000_t202" style="position:absolute;margin-left:33.2pt;margin-top:19.7pt;width:147.4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" fillcolor="white [3201]" stroked="f" strokeweight=".5pt">
                <v:textbox inset="0,0,0,0">
                  <w:txbxContent>
                    <w:p w14:paraId="253C6FE8" w14:textId="77777777" w:rsidR="007A5389" w:rsidRPr="00D21252" w:rsidRDefault="007A5389" w:rsidP="0085433F">
                      <w:pPr>
                        <w:spacing w:before="0"/>
                        <w:jc w:val="center"/>
                        <w:rPr>
                          <w:b/>
                          <w:sz w:val="12"/>
                          <w:szCs w:val="12"/>
                        </w:rPr>
                      </w:pPr>
                      <w:r w:rsidRPr="00B25298">
                        <w:rPr>
                          <w:rFonts w:hint="eastAsia"/>
                          <w:b/>
                          <w:sz w:val="16"/>
                          <w:szCs w:val="12"/>
                        </w:rPr>
                        <w:t>人员成本比率</w:t>
                      </w:r>
                    </w:p>
                  </w:txbxContent>
                </v:textbox>
              </v:shape>
            </w:pict>
          </mc:Fallback>
        </mc:AlternateContent>
      </w:r>
      <w:r w:rsidRPr="00EA6492">
        <w:rPr>
          <w:noProof/>
          <w:lang w:val="en-US" w:eastAsia="zh-CN"/>
        </w:rPr>
        <w:drawing>
          <wp:inline distT="0" distB="0" distL="0" distR="0" wp14:anchorId="04941562" wp14:editId="6094784C">
            <wp:extent cx="6120765" cy="1938044"/>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938044"/>
                    </a:xfrm>
                    <a:prstGeom prst="rect">
                      <a:avLst/>
                    </a:prstGeom>
                    <a:noFill/>
                    <a:ln>
                      <a:noFill/>
                    </a:ln>
                  </pic:spPr>
                </pic:pic>
              </a:graphicData>
            </a:graphic>
          </wp:inline>
        </w:drawing>
      </w:r>
    </w:p>
    <w:p w14:paraId="4E261317" w14:textId="7826027C" w:rsidR="0085433F" w:rsidRPr="000C156A" w:rsidRDefault="00205825" w:rsidP="0085433F">
      <w:pPr>
        <w:snapToGrid w:val="0"/>
        <w:ind w:left="142"/>
        <w:rPr>
          <w:sz w:val="22"/>
          <w:szCs w:val="18"/>
          <w:lang w:val="en-US"/>
        </w:rPr>
      </w:pPr>
      <w:r w:rsidRPr="000C156A">
        <w:rPr>
          <w:rFonts w:eastAsia="Times New Roman"/>
          <w:noProof/>
          <w:lang w:val="en-US" w:eastAsia="zh-CN"/>
        </w:rPr>
        <mc:AlternateContent>
          <mc:Choice Requires="wps">
            <w:drawing>
              <wp:anchor distT="0" distB="0" distL="114300" distR="114300" simplePos="0" relativeHeight="251688960" behindDoc="0" locked="0" layoutInCell="1" allowOverlap="1" wp14:anchorId="7C9E0F14" wp14:editId="1CEE4F82">
                <wp:simplePos x="0" y="0"/>
                <wp:positionH relativeFrom="column">
                  <wp:posOffset>2706370</wp:posOffset>
                </wp:positionH>
                <wp:positionV relativeFrom="paragraph">
                  <wp:posOffset>1172845</wp:posOffset>
                </wp:positionV>
                <wp:extent cx="1118870" cy="150495"/>
                <wp:effectExtent l="0" t="0" r="24130" b="20955"/>
                <wp:wrapNone/>
                <wp:docPr id="65" name="Text Box 65"/>
                <wp:cNvGraphicFramePr/>
                <a:graphic xmlns:a="http://schemas.openxmlformats.org/drawingml/2006/main">
                  <a:graphicData uri="http://schemas.microsoft.com/office/word/2010/wordprocessingShape">
                    <wps:wsp>
                      <wps:cNvSpPr txBox="1"/>
                      <wps:spPr>
                        <a:xfrm>
                          <a:off x="0" y="0"/>
                          <a:ext cx="1118870" cy="150495"/>
                        </a:xfrm>
                        <a:prstGeom prst="rect">
                          <a:avLst/>
                        </a:prstGeom>
                        <a:solidFill>
                          <a:schemeClr val="lt1"/>
                        </a:solidFill>
                        <a:ln w="6350">
                          <a:solidFill>
                            <a:schemeClr val="bg1"/>
                          </a:solidFill>
                        </a:ln>
                      </wps:spPr>
                      <wps:txbx>
                        <w:txbxContent>
                          <w:p w14:paraId="7EE61C1C" w14:textId="77777777" w:rsidR="007A5389" w:rsidRPr="00D21252" w:rsidRDefault="007A5389" w:rsidP="0085433F">
                            <w:pPr>
                              <w:shd w:val="clear" w:color="auto" w:fill="FFFFFF" w:themeFill="background1"/>
                              <w:spacing w:before="0"/>
                              <w:jc w:val="center"/>
                              <w:rPr>
                                <w:b/>
                                <w:sz w:val="12"/>
                                <w:szCs w:val="12"/>
                              </w:rPr>
                            </w:pPr>
                            <w:r w:rsidRPr="00B25298">
                              <w:rPr>
                                <w:rFonts w:hint="eastAsia"/>
                                <w:b/>
                                <w:sz w:val="16"/>
                                <w:szCs w:val="12"/>
                              </w:rPr>
                              <w:t>总收入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0F14" id="Text Box 65" o:spid="_x0000_s1052" type="#_x0000_t202" style="position:absolute;left:0;text-align:left;margin-left:213.1pt;margin-top:92.35pt;width:88.1pt;height:1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" fillcolor="white [3201]" strokecolor="white [3212]" strokeweight=".5pt">
                <v:textbox inset="0,0,0,0">
                  <w:txbxContent>
                    <w:p w14:paraId="7EE61C1C" w14:textId="77777777" w:rsidR="007A5389" w:rsidRPr="00D21252" w:rsidRDefault="007A5389" w:rsidP="0085433F">
                      <w:pPr>
                        <w:shd w:val="clear" w:color="auto" w:fill="FFFFFF" w:themeFill="background1"/>
                        <w:spacing w:before="0"/>
                        <w:jc w:val="center"/>
                        <w:rPr>
                          <w:b/>
                          <w:sz w:val="12"/>
                          <w:szCs w:val="12"/>
                        </w:rPr>
                      </w:pPr>
                      <w:r w:rsidRPr="00B25298">
                        <w:rPr>
                          <w:rFonts w:hint="eastAsia"/>
                          <w:b/>
                          <w:sz w:val="16"/>
                          <w:szCs w:val="12"/>
                        </w:rPr>
                        <w:t>总收入</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89984" behindDoc="0" locked="0" layoutInCell="1" allowOverlap="1" wp14:anchorId="3D292976" wp14:editId="64F3CA5B">
                <wp:simplePos x="0" y="0"/>
                <wp:positionH relativeFrom="column">
                  <wp:posOffset>2809240</wp:posOffset>
                </wp:positionH>
                <wp:positionV relativeFrom="paragraph">
                  <wp:posOffset>1368094</wp:posOffset>
                </wp:positionV>
                <wp:extent cx="862965" cy="15303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862965" cy="153035"/>
                        </a:xfrm>
                        <a:prstGeom prst="rect">
                          <a:avLst/>
                        </a:prstGeom>
                        <a:solidFill>
                          <a:schemeClr val="lt1"/>
                        </a:solidFill>
                        <a:ln w="6350">
                          <a:noFill/>
                        </a:ln>
                      </wps:spPr>
                      <wps:txbx>
                        <w:txbxContent>
                          <w:p w14:paraId="1D090A8A" w14:textId="77777777" w:rsidR="007A5389" w:rsidRPr="00D21252" w:rsidRDefault="007A5389" w:rsidP="0085433F">
                            <w:pPr>
                              <w:shd w:val="clear" w:color="auto" w:fill="C6D9F1" w:themeFill="text2" w:themeFillTint="33"/>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92976" id="Text Box 66" o:spid="_x0000_s1053" type="#_x0000_t202" style="position:absolute;left:0;text-align:left;margin-left:221.2pt;margin-top:107.7pt;width:67.95pt;height:12.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" fillcolor="white [3201]" stroked="f" strokeweight=".5pt">
                <v:textbox inset="0,0,0,0">
                  <w:txbxContent>
                    <w:p w14:paraId="1D090A8A" w14:textId="77777777" w:rsidR="007A5389" w:rsidRPr="00D21252" w:rsidRDefault="007A5389" w:rsidP="0085433F">
                      <w:pPr>
                        <w:shd w:val="clear" w:color="auto" w:fill="C6D9F1" w:themeFill="text2" w:themeFillTint="33"/>
                        <w:spacing w:before="0"/>
                        <w:jc w:val="center"/>
                        <w:rPr>
                          <w:b/>
                          <w:sz w:val="12"/>
                          <w:szCs w:val="12"/>
                        </w:rPr>
                      </w:pPr>
                      <w:r w:rsidRPr="00B25298">
                        <w:rPr>
                          <w:rFonts w:hint="eastAsia"/>
                          <w:b/>
                          <w:sz w:val="16"/>
                          <w:szCs w:val="12"/>
                        </w:rPr>
                        <w:t>人员成本比率</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87936" behindDoc="0" locked="0" layoutInCell="1" allowOverlap="1" wp14:anchorId="092640A8" wp14:editId="653A39BE">
                <wp:simplePos x="0" y="0"/>
                <wp:positionH relativeFrom="column">
                  <wp:posOffset>2667166</wp:posOffset>
                </wp:positionH>
                <wp:positionV relativeFrom="paragraph">
                  <wp:posOffset>918707</wp:posOffset>
                </wp:positionV>
                <wp:extent cx="1169670" cy="159026"/>
                <wp:effectExtent l="0" t="0" r="11430" b="12700"/>
                <wp:wrapNone/>
                <wp:docPr id="64" name="Text Box 64"/>
                <wp:cNvGraphicFramePr/>
                <a:graphic xmlns:a="http://schemas.openxmlformats.org/drawingml/2006/main">
                  <a:graphicData uri="http://schemas.microsoft.com/office/word/2010/wordprocessingShape">
                    <wps:wsp>
                      <wps:cNvSpPr txBox="1"/>
                      <wps:spPr>
                        <a:xfrm>
                          <a:off x="0" y="0"/>
                          <a:ext cx="1169670" cy="159026"/>
                        </a:xfrm>
                        <a:prstGeom prst="rect">
                          <a:avLst/>
                        </a:prstGeom>
                        <a:solidFill>
                          <a:schemeClr val="lt1"/>
                        </a:solidFill>
                        <a:ln w="6350">
                          <a:solidFill>
                            <a:schemeClr val="bg1"/>
                          </a:solidFill>
                        </a:ln>
                      </wps:spPr>
                      <wps:txbx>
                        <w:txbxContent>
                          <w:p w14:paraId="5CD1560E" w14:textId="77777777" w:rsidR="007A5389" w:rsidRPr="00D21252" w:rsidRDefault="007A5389" w:rsidP="00205825">
                            <w:pPr>
                              <w:shd w:val="clear" w:color="auto" w:fill="FFFFFF" w:themeFill="background1"/>
                              <w:spacing w:before="0"/>
                              <w:jc w:val="center"/>
                              <w:rPr>
                                <w:b/>
                                <w:sz w:val="12"/>
                                <w:szCs w:val="12"/>
                              </w:rPr>
                            </w:pPr>
                            <w:r w:rsidRPr="00B25298">
                              <w:rPr>
                                <w:rFonts w:hint="eastAsia"/>
                                <w:b/>
                                <w:sz w:val="16"/>
                                <w:szCs w:val="12"/>
                              </w:rPr>
                              <w:t>人员成本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40A8" id="Text Box 64" o:spid="_x0000_s1054" type="#_x0000_t202" style="position:absolute;left:0;text-align:left;margin-left:210pt;margin-top:72.35pt;width:92.1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" fillcolor="white [3201]" strokecolor="white [3212]" strokeweight=".5pt">
                <v:textbox inset="0,0,0,0">
                  <w:txbxContent>
                    <w:p w14:paraId="5CD1560E" w14:textId="77777777" w:rsidR="007A5389" w:rsidRPr="00D21252" w:rsidRDefault="007A5389" w:rsidP="00205825">
                      <w:pPr>
                        <w:shd w:val="clear" w:color="auto" w:fill="FFFFFF" w:themeFill="background1"/>
                        <w:spacing w:before="0"/>
                        <w:jc w:val="center"/>
                        <w:rPr>
                          <w:b/>
                          <w:sz w:val="12"/>
                          <w:szCs w:val="12"/>
                        </w:rPr>
                      </w:pPr>
                      <w:r w:rsidRPr="00B25298">
                        <w:rPr>
                          <w:rFonts w:hint="eastAsia"/>
                          <w:b/>
                          <w:sz w:val="16"/>
                          <w:szCs w:val="12"/>
                        </w:rPr>
                        <w:t>人员成本</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86912" behindDoc="0" locked="0" layoutInCell="1" allowOverlap="1" wp14:anchorId="42DE133C" wp14:editId="484C859F">
                <wp:simplePos x="0" y="0"/>
                <wp:positionH relativeFrom="column">
                  <wp:posOffset>2733040</wp:posOffset>
                </wp:positionH>
                <wp:positionV relativeFrom="paragraph">
                  <wp:posOffset>609600</wp:posOffset>
                </wp:positionV>
                <wp:extent cx="1009015" cy="167640"/>
                <wp:effectExtent l="0" t="0" r="19685" b="22860"/>
                <wp:wrapNone/>
                <wp:docPr id="63" name="Text Box 63"/>
                <wp:cNvGraphicFramePr/>
                <a:graphic xmlns:a="http://schemas.openxmlformats.org/drawingml/2006/main">
                  <a:graphicData uri="http://schemas.microsoft.com/office/word/2010/wordprocessingShape">
                    <wps:wsp>
                      <wps:cNvSpPr txBox="1"/>
                      <wps:spPr>
                        <a:xfrm>
                          <a:off x="0" y="0"/>
                          <a:ext cx="1009015" cy="167640"/>
                        </a:xfrm>
                        <a:prstGeom prst="rect">
                          <a:avLst/>
                        </a:prstGeom>
                        <a:solidFill>
                          <a:schemeClr val="lt1"/>
                        </a:solidFill>
                        <a:ln w="6350">
                          <a:solidFill>
                            <a:schemeClr val="tx2">
                              <a:lumMod val="20000"/>
                              <a:lumOff val="80000"/>
                            </a:schemeClr>
                          </a:solidFill>
                        </a:ln>
                      </wps:spPr>
                      <wps:txbx>
                        <w:txbxContent>
                          <w:p w14:paraId="65DF48E6" w14:textId="77777777" w:rsidR="007A5389" w:rsidRPr="00D21252" w:rsidRDefault="007A5389" w:rsidP="0085433F">
                            <w:pPr>
                              <w:shd w:val="clear" w:color="auto" w:fill="DBE5F1" w:themeFill="accent1" w:themeFillTint="33"/>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E133C" id="Text Box 63" o:spid="_x0000_s1055" type="#_x0000_t202" style="position:absolute;left:0;text-align:left;margin-left:215.2pt;margin-top:48pt;width:79.4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" fillcolor="white [3201]" strokecolor="#c6d9f1 [671]" strokeweight=".5pt">
                <v:textbox inset="0,0,0,0">
                  <w:txbxContent>
                    <w:p w14:paraId="65DF48E6" w14:textId="77777777" w:rsidR="007A5389" w:rsidRPr="00D21252" w:rsidRDefault="007A5389" w:rsidP="0085433F">
                      <w:pPr>
                        <w:shd w:val="clear" w:color="auto" w:fill="DBE5F1" w:themeFill="accent1" w:themeFillTint="33"/>
                        <w:spacing w:before="0"/>
                        <w:jc w:val="center"/>
                        <w:rPr>
                          <w:b/>
                          <w:sz w:val="12"/>
                          <w:szCs w:val="12"/>
                        </w:rPr>
                      </w:pPr>
                      <w:r w:rsidRPr="00B25298">
                        <w:rPr>
                          <w:rFonts w:hint="eastAsia"/>
                          <w:b/>
                          <w:sz w:val="16"/>
                          <w:szCs w:val="12"/>
                        </w:rPr>
                        <w:t>人员成本比率</w:t>
                      </w:r>
                    </w:p>
                  </w:txbxContent>
                </v:textbox>
              </v:shape>
            </w:pict>
          </mc:Fallback>
        </mc:AlternateContent>
      </w:r>
      <w:r w:rsidRPr="000C156A">
        <w:rPr>
          <w:rFonts w:eastAsia="Times New Roman"/>
          <w:noProof/>
          <w:lang w:val="en-US" w:eastAsia="zh-CN"/>
        </w:rPr>
        <mc:AlternateContent>
          <mc:Choice Requires="wps">
            <w:drawing>
              <wp:anchor distT="0" distB="0" distL="114300" distR="114300" simplePos="0" relativeHeight="251685888" behindDoc="0" locked="0" layoutInCell="1" allowOverlap="1" wp14:anchorId="2EDB0CDC" wp14:editId="77EB53B5">
                <wp:simplePos x="0" y="0"/>
                <wp:positionH relativeFrom="column">
                  <wp:posOffset>426913</wp:posOffset>
                </wp:positionH>
                <wp:positionV relativeFrom="paragraph">
                  <wp:posOffset>204442</wp:posOffset>
                </wp:positionV>
                <wp:extent cx="1871980" cy="189865"/>
                <wp:effectExtent l="0" t="0" r="0" b="635"/>
                <wp:wrapNone/>
                <wp:docPr id="62" name="Text Box 62"/>
                <wp:cNvGraphicFramePr/>
                <a:graphic xmlns:a="http://schemas.openxmlformats.org/drawingml/2006/main">
                  <a:graphicData uri="http://schemas.microsoft.com/office/word/2010/wordprocessingShape">
                    <wps:wsp>
                      <wps:cNvSpPr txBox="1"/>
                      <wps:spPr>
                        <a:xfrm>
                          <a:off x="0" y="0"/>
                          <a:ext cx="1871980" cy="189865"/>
                        </a:xfrm>
                        <a:prstGeom prst="rect">
                          <a:avLst/>
                        </a:prstGeom>
                        <a:solidFill>
                          <a:schemeClr val="lt1"/>
                        </a:solidFill>
                        <a:ln w="6350">
                          <a:noFill/>
                        </a:ln>
                      </wps:spPr>
                      <wps:txbx>
                        <w:txbxContent>
                          <w:p w14:paraId="02449B5E" w14:textId="77777777" w:rsidR="007A5389" w:rsidRPr="00D21252" w:rsidRDefault="007A5389" w:rsidP="0085433F">
                            <w:pPr>
                              <w:spacing w:before="0"/>
                              <w:jc w:val="center"/>
                              <w:rPr>
                                <w:b/>
                                <w:sz w:val="12"/>
                                <w:szCs w:val="12"/>
                              </w:rPr>
                            </w:pPr>
                            <w:r w:rsidRPr="00B25298">
                              <w:rPr>
                                <w:rFonts w:hint="eastAsia"/>
                                <w:b/>
                                <w:sz w:val="16"/>
                                <w:szCs w:val="12"/>
                              </w:rPr>
                              <w:t>人员成本比率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B0CDC" id="Text Box 62" o:spid="_x0000_s1056" type="#_x0000_t202" style="position:absolute;left:0;text-align:left;margin-left:33.6pt;margin-top:16.1pt;width:147.4pt;height:1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" fillcolor="white [3201]" stroked="f" strokeweight=".5pt">
                <v:textbox inset="0,0,0,0">
                  <w:txbxContent>
                    <w:p w14:paraId="02449B5E" w14:textId="77777777" w:rsidR="007A5389" w:rsidRPr="00D21252" w:rsidRDefault="007A5389" w:rsidP="0085433F">
                      <w:pPr>
                        <w:spacing w:before="0"/>
                        <w:jc w:val="center"/>
                        <w:rPr>
                          <w:b/>
                          <w:sz w:val="12"/>
                          <w:szCs w:val="12"/>
                        </w:rPr>
                      </w:pPr>
                      <w:r w:rsidRPr="00B25298">
                        <w:rPr>
                          <w:rFonts w:hint="eastAsia"/>
                          <w:b/>
                          <w:sz w:val="16"/>
                          <w:szCs w:val="12"/>
                        </w:rPr>
                        <w:t>人员成本比率</w:t>
                      </w:r>
                    </w:p>
                  </w:txbxContent>
                </v:textbox>
              </v:shape>
            </w:pict>
          </mc:Fallback>
        </mc:AlternateContent>
      </w:r>
      <w:r w:rsidRPr="00EA6492">
        <w:rPr>
          <w:noProof/>
          <w:lang w:val="en-US" w:eastAsia="zh-CN"/>
        </w:rPr>
        <w:drawing>
          <wp:inline distT="0" distB="0" distL="0" distR="0" wp14:anchorId="514D48FF" wp14:editId="19F733A1">
            <wp:extent cx="6120765" cy="194617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1946179"/>
                    </a:xfrm>
                    <a:prstGeom prst="rect">
                      <a:avLst/>
                    </a:prstGeom>
                    <a:noFill/>
                    <a:ln>
                      <a:noFill/>
                    </a:ln>
                  </pic:spPr>
                </pic:pic>
              </a:graphicData>
            </a:graphic>
          </wp:inline>
        </w:drawing>
      </w:r>
    </w:p>
    <w:p w14:paraId="7F50C10D" w14:textId="748C92C6" w:rsidR="0085433F" w:rsidRPr="000C156A" w:rsidRDefault="00205825" w:rsidP="001C384F">
      <w:pPr>
        <w:rPr>
          <w:lang w:eastAsia="zh-CN"/>
        </w:rPr>
      </w:pPr>
      <w:r>
        <w:rPr>
          <w:lang w:val="en-US" w:eastAsia="zh-CN"/>
        </w:rPr>
        <w:t>39</w:t>
      </w:r>
      <w:r w:rsidR="0085433F" w:rsidRPr="000C156A">
        <w:rPr>
          <w:lang w:val="en-US" w:eastAsia="zh-CN"/>
        </w:rPr>
        <w:tab/>
      </w:r>
      <w:r w:rsidR="005B3F0A" w:rsidRPr="005B3F0A">
        <w:rPr>
          <w:rFonts w:hint="eastAsia"/>
          <w:lang w:val="en-US" w:eastAsia="zh-CN"/>
        </w:rPr>
        <w:t>人员相关费用的比率</w:t>
      </w:r>
      <w:r w:rsidR="00602200">
        <w:rPr>
          <w:rFonts w:hint="eastAsia"/>
          <w:lang w:val="en-US" w:eastAsia="zh-CN"/>
        </w:rPr>
        <w:t>浮动</w:t>
      </w:r>
      <w:r w:rsidR="005B3F0A" w:rsidRPr="005B3F0A">
        <w:rPr>
          <w:rFonts w:hint="eastAsia"/>
          <w:lang w:val="en-US" w:eastAsia="zh-CN"/>
        </w:rPr>
        <w:t>在过去四年中相对稳定。支出的主要部分（</w:t>
      </w:r>
      <w:r w:rsidR="005B3F0A" w:rsidRPr="005B3F0A">
        <w:rPr>
          <w:rFonts w:hint="eastAsia"/>
          <w:lang w:val="en-US" w:eastAsia="zh-CN"/>
        </w:rPr>
        <w:t>2021</w:t>
      </w:r>
      <w:r w:rsidR="005B3F0A" w:rsidRPr="005B3F0A">
        <w:rPr>
          <w:rFonts w:hint="eastAsia"/>
          <w:lang w:val="en-US" w:eastAsia="zh-CN"/>
        </w:rPr>
        <w:t>年为</w:t>
      </w:r>
      <w:r w:rsidR="005B3F0A" w:rsidRPr="005B3F0A">
        <w:rPr>
          <w:rFonts w:hint="eastAsia"/>
          <w:lang w:val="en-US" w:eastAsia="zh-CN"/>
        </w:rPr>
        <w:t>79%</w:t>
      </w:r>
      <w:r w:rsidR="005B3F0A" w:rsidRPr="005B3F0A">
        <w:rPr>
          <w:rFonts w:hint="eastAsia"/>
          <w:lang w:val="en-US" w:eastAsia="zh-CN"/>
        </w:rPr>
        <w:t>）划分给人员费用，使国际电联能够完成</w:t>
      </w:r>
      <w:r w:rsidR="005B3F0A" w:rsidRPr="005B3F0A">
        <w:rPr>
          <w:rFonts w:hint="eastAsia"/>
          <w:lang w:val="en-US" w:eastAsia="zh-CN"/>
        </w:rPr>
        <w:t>2018</w:t>
      </w:r>
      <w:r w:rsidR="005B3F0A" w:rsidRPr="005B3F0A">
        <w:rPr>
          <w:rFonts w:hint="eastAsia"/>
          <w:lang w:val="en-US" w:eastAsia="zh-CN"/>
        </w:rPr>
        <w:t>年全权代表大会期间通过运作规划</w:t>
      </w:r>
      <w:r w:rsidR="005138B0">
        <w:rPr>
          <w:rFonts w:hint="eastAsia"/>
          <w:lang w:val="en-US" w:eastAsia="zh-CN"/>
        </w:rPr>
        <w:t>确定的</w:t>
      </w:r>
      <w:r w:rsidR="005B3F0A" w:rsidRPr="005B3F0A">
        <w:rPr>
          <w:rFonts w:hint="eastAsia"/>
          <w:lang w:val="en-US" w:eastAsia="zh-CN"/>
        </w:rPr>
        <w:t>活动项目的落实工作</w:t>
      </w:r>
      <w:r w:rsidR="00602200">
        <w:rPr>
          <w:rFonts w:hint="eastAsia"/>
          <w:lang w:val="en-US" w:eastAsia="zh-CN"/>
        </w:rPr>
        <w:t>。</w:t>
      </w:r>
    </w:p>
    <w:p w14:paraId="580AFBC5" w14:textId="77777777" w:rsidR="0085433F" w:rsidRPr="000C156A" w:rsidRDefault="0085433F" w:rsidP="0085433F">
      <w:pPr>
        <w:pStyle w:val="Headingb"/>
        <w:rPr>
          <w:w w:val="105"/>
          <w:lang w:val="en-US" w:eastAsia="zh-CN"/>
        </w:rPr>
      </w:pPr>
      <w:bookmarkStart w:id="120" w:name="_Toc72744920"/>
      <w:bookmarkStart w:id="121" w:name="_Toc72747204"/>
      <w:bookmarkStart w:id="122" w:name="_Toc73461006"/>
      <w:bookmarkStart w:id="123" w:name="_Toc73518653"/>
      <w:bookmarkStart w:id="124" w:name="_Toc73518800"/>
      <w:bookmarkStart w:id="125" w:name="_Toc73519200"/>
      <w:bookmarkStart w:id="126" w:name="_Toc73636082"/>
      <w:bookmarkStart w:id="127" w:name="_Toc73636224"/>
      <w:r w:rsidRPr="000C156A">
        <w:rPr>
          <w:rFonts w:hint="eastAsia"/>
          <w:lang w:val="fr-CH" w:eastAsia="zh-CN"/>
        </w:rPr>
        <w:t>持续关注的问题</w:t>
      </w:r>
      <w:bookmarkEnd w:id="120"/>
      <w:bookmarkEnd w:id="121"/>
      <w:bookmarkEnd w:id="122"/>
      <w:bookmarkEnd w:id="123"/>
      <w:bookmarkEnd w:id="124"/>
      <w:bookmarkEnd w:id="125"/>
      <w:bookmarkEnd w:id="126"/>
      <w:bookmarkEnd w:id="127"/>
    </w:p>
    <w:p w14:paraId="38698BB5" w14:textId="0A3DFEAD" w:rsidR="0085433F" w:rsidRPr="000C156A" w:rsidRDefault="00763F24" w:rsidP="001C384F">
      <w:pPr>
        <w:rPr>
          <w:lang w:eastAsia="zh-CN"/>
        </w:rPr>
      </w:pPr>
      <w:r>
        <w:rPr>
          <w:rFonts w:asciiTheme="minorHAnsi" w:hAnsiTheme="minorHAnsi" w:cs="Calibri"/>
          <w:szCs w:val="24"/>
          <w:lang w:val="en-US" w:eastAsia="zh-CN"/>
        </w:rPr>
        <w:t>40</w:t>
      </w:r>
      <w:r w:rsidR="0085433F" w:rsidRPr="000C156A">
        <w:rPr>
          <w:rFonts w:asciiTheme="minorHAnsi" w:hAnsiTheme="minorHAnsi" w:cs="Calibri"/>
          <w:szCs w:val="24"/>
          <w:lang w:val="en-US" w:eastAsia="zh-CN"/>
        </w:rPr>
        <w:tab/>
      </w:r>
      <w:r w:rsidR="0085433F" w:rsidRPr="000C156A">
        <w:rPr>
          <w:rFonts w:hint="eastAsia"/>
          <w:lang w:eastAsia="zh-CN"/>
        </w:rPr>
        <w:t>我对所有可能由全球经济和金融危机引起的会费下降的影响做了评估，并了解这是否会导致国际电联活动的减少。考虑到计划开展的活动和相关的风险，我可以证实国际电联拥有维持其中期运作的充足资源，因此，我们将继续在“持续经营原则”（</w:t>
      </w:r>
      <w:r w:rsidR="0085433F" w:rsidRPr="000C156A">
        <w:rPr>
          <w:lang w:eastAsia="zh-CN"/>
        </w:rPr>
        <w:t>going concern principle</w:t>
      </w:r>
      <w:r w:rsidR="0085433F" w:rsidRPr="000C156A">
        <w:rPr>
          <w:rFonts w:hint="eastAsia"/>
          <w:lang w:eastAsia="zh-CN"/>
        </w:rPr>
        <w:t>）的基础上制定国际电联的财务报表。</w:t>
      </w:r>
    </w:p>
    <w:p w14:paraId="4421821C" w14:textId="211F37D7" w:rsidR="0085433F" w:rsidRPr="000C156A" w:rsidRDefault="00763F24" w:rsidP="001C384F">
      <w:pPr>
        <w:rPr>
          <w:lang w:eastAsia="zh-CN"/>
        </w:rPr>
      </w:pPr>
      <w:r>
        <w:rPr>
          <w:rFonts w:asciiTheme="minorHAnsi" w:eastAsia="Times New Roman" w:hAnsiTheme="minorHAnsi" w:cs="Calibri"/>
          <w:szCs w:val="24"/>
          <w:lang w:val="en-US" w:eastAsia="zh-CN"/>
        </w:rPr>
        <w:t>41</w:t>
      </w:r>
      <w:r w:rsidR="0085433F" w:rsidRPr="000C156A">
        <w:rPr>
          <w:rFonts w:asciiTheme="minorHAnsi" w:eastAsia="Times New Roman" w:hAnsiTheme="minorHAnsi" w:cs="Calibri"/>
          <w:szCs w:val="24"/>
          <w:lang w:val="en-US" w:eastAsia="zh-CN"/>
        </w:rPr>
        <w:tab/>
      </w:r>
      <w:r w:rsidR="0085433F" w:rsidRPr="000C156A">
        <w:rPr>
          <w:rFonts w:hint="eastAsia"/>
          <w:lang w:eastAsia="zh-CN"/>
        </w:rPr>
        <w:t>我深知自己对独立管理顾问委员会（</w:t>
      </w:r>
      <w:r w:rsidR="0085433F" w:rsidRPr="000C156A">
        <w:rPr>
          <w:lang w:eastAsia="zh-CN"/>
        </w:rPr>
        <w:t>IMAC</w:t>
      </w:r>
      <w:r w:rsidR="0085433F" w:rsidRPr="000C156A">
        <w:rPr>
          <w:lang w:eastAsia="zh-CN"/>
        </w:rPr>
        <w:t>）</w:t>
      </w:r>
      <w:r w:rsidR="0085433F" w:rsidRPr="000C156A">
        <w:rPr>
          <w:rFonts w:hint="eastAsia"/>
          <w:lang w:eastAsia="zh-CN"/>
        </w:rPr>
        <w:t>年度报告、外部审计年度报告和内部审计年度报告的透明度以及经理事会批准后公众对这些文本的获取负有责任。</w:t>
      </w:r>
    </w:p>
    <w:p w14:paraId="54894077" w14:textId="3B0E1D5F" w:rsidR="0085433F" w:rsidRPr="000C156A" w:rsidRDefault="00763F24" w:rsidP="001C384F">
      <w:pPr>
        <w:rPr>
          <w:lang w:eastAsia="zh-CN"/>
        </w:rPr>
      </w:pPr>
      <w:r>
        <w:rPr>
          <w:rFonts w:asciiTheme="minorHAnsi" w:hAnsiTheme="minorHAnsi" w:cs="Calibri"/>
          <w:szCs w:val="24"/>
          <w:lang w:val="en-US" w:eastAsia="zh-CN"/>
        </w:rPr>
        <w:t>42</w:t>
      </w:r>
      <w:r w:rsidR="0085433F" w:rsidRPr="000C156A">
        <w:rPr>
          <w:rFonts w:asciiTheme="minorHAnsi" w:hAnsiTheme="minorHAnsi" w:cs="Calibri"/>
          <w:szCs w:val="24"/>
          <w:lang w:val="en-US" w:eastAsia="zh-CN"/>
        </w:rPr>
        <w:tab/>
      </w:r>
      <w:r w:rsidR="0085433F" w:rsidRPr="000C156A">
        <w:rPr>
          <w:lang w:eastAsia="zh-CN"/>
        </w:rPr>
        <w:t>202</w:t>
      </w:r>
      <w:r>
        <w:rPr>
          <w:lang w:eastAsia="zh-CN"/>
        </w:rPr>
        <w:t>1</w:t>
      </w:r>
      <w:r w:rsidR="0085433F" w:rsidRPr="000C156A">
        <w:rPr>
          <w:rFonts w:hint="eastAsia"/>
          <w:lang w:eastAsia="zh-CN"/>
        </w:rPr>
        <w:t>年内部控制报表已纳入本财务工作报告。</w:t>
      </w:r>
    </w:p>
    <w:p w14:paraId="307AFC55" w14:textId="77777777" w:rsidR="0085433F" w:rsidRPr="000C156A" w:rsidRDefault="0085433F" w:rsidP="0085433F">
      <w:pPr>
        <w:pStyle w:val="Headingb"/>
        <w:rPr>
          <w:lang w:val="en-US" w:eastAsia="zh-CN"/>
        </w:rPr>
      </w:pPr>
      <w:bookmarkStart w:id="128" w:name="_Toc72744921"/>
      <w:bookmarkStart w:id="129" w:name="_Toc72747205"/>
      <w:bookmarkStart w:id="130" w:name="_Toc73461007"/>
      <w:bookmarkStart w:id="131" w:name="_Toc73518654"/>
      <w:bookmarkStart w:id="132" w:name="_Toc73518801"/>
      <w:bookmarkStart w:id="133" w:name="_Toc73519201"/>
      <w:bookmarkStart w:id="134" w:name="_Toc73636083"/>
      <w:bookmarkStart w:id="135" w:name="_Toc73636225"/>
      <w:r w:rsidRPr="000C156A">
        <w:rPr>
          <w:rFonts w:hint="eastAsia"/>
          <w:lang w:val="fr-CH" w:eastAsia="zh-CN"/>
        </w:rPr>
        <w:t>责任</w:t>
      </w:r>
      <w:bookmarkEnd w:id="128"/>
      <w:bookmarkEnd w:id="129"/>
      <w:bookmarkEnd w:id="130"/>
      <w:bookmarkEnd w:id="131"/>
      <w:bookmarkEnd w:id="132"/>
      <w:bookmarkEnd w:id="133"/>
      <w:bookmarkEnd w:id="134"/>
      <w:bookmarkEnd w:id="135"/>
    </w:p>
    <w:p w14:paraId="792F2051" w14:textId="29D04D96" w:rsidR="0085433F" w:rsidRPr="000C156A" w:rsidRDefault="00763F24" w:rsidP="001C384F">
      <w:pPr>
        <w:rPr>
          <w:lang w:eastAsia="zh-CN"/>
        </w:rPr>
      </w:pPr>
      <w:r>
        <w:rPr>
          <w:rFonts w:asciiTheme="minorHAnsi" w:hAnsiTheme="minorHAnsi" w:cs="Calibri"/>
          <w:szCs w:val="24"/>
          <w:lang w:val="en-US" w:eastAsia="zh-CN"/>
        </w:rPr>
        <w:t>43</w:t>
      </w:r>
      <w:r w:rsidR="0085433F" w:rsidRPr="000C156A">
        <w:rPr>
          <w:rFonts w:asciiTheme="minorHAnsi" w:hAnsiTheme="minorHAnsi" w:cs="Calibri"/>
          <w:szCs w:val="24"/>
          <w:lang w:val="en-US" w:eastAsia="zh-CN"/>
        </w:rPr>
        <w:tab/>
      </w:r>
      <w:r w:rsidR="0085433F" w:rsidRPr="000C156A">
        <w:rPr>
          <w:rFonts w:hint="eastAsia"/>
          <w:lang w:eastAsia="zh-CN"/>
        </w:rPr>
        <w:t>根据国际电联《财务规则》第</w:t>
      </w:r>
      <w:r w:rsidR="0085433F" w:rsidRPr="000C156A">
        <w:rPr>
          <w:lang w:eastAsia="zh-CN"/>
        </w:rPr>
        <w:t>30</w:t>
      </w:r>
      <w:r w:rsidR="0085433F" w:rsidRPr="000C156A">
        <w:rPr>
          <w:rFonts w:hint="eastAsia"/>
          <w:lang w:eastAsia="zh-CN"/>
        </w:rPr>
        <w:t>条的规定，我荣幸地提交根据</w:t>
      </w:r>
      <w:r w:rsidR="0085433F" w:rsidRPr="000C156A">
        <w:rPr>
          <w:lang w:eastAsia="zh-CN"/>
        </w:rPr>
        <w:t>IPSAS</w:t>
      </w:r>
      <w:r w:rsidR="0085433F" w:rsidRPr="000C156A">
        <w:rPr>
          <w:rFonts w:hint="eastAsia"/>
          <w:lang w:eastAsia="zh-CN"/>
        </w:rPr>
        <w:t>编制的以下财务报表。我证明，据我所知上述期间内的所有工作都正式入账，而且构成本文件不可分割部分的这些工作以及财务报表及其说明，准确反映了国际电联</w:t>
      </w:r>
      <w:r w:rsidR="0085433F" w:rsidRPr="000C156A">
        <w:rPr>
          <w:lang w:eastAsia="zh-CN"/>
        </w:rPr>
        <w:t>202</w:t>
      </w:r>
      <w:r>
        <w:rPr>
          <w:lang w:eastAsia="zh-CN"/>
        </w:rPr>
        <w:t>1</w:t>
      </w:r>
      <w:r w:rsidR="0085433F" w:rsidRPr="000C156A">
        <w:rPr>
          <w:rFonts w:hint="eastAsia"/>
          <w:lang w:eastAsia="zh-CN"/>
        </w:rPr>
        <w:t>年</w:t>
      </w:r>
      <w:r w:rsidR="0085433F" w:rsidRPr="000C156A">
        <w:rPr>
          <w:lang w:eastAsia="zh-CN"/>
        </w:rPr>
        <w:t>12</w:t>
      </w:r>
      <w:r w:rsidR="0085433F" w:rsidRPr="000C156A">
        <w:rPr>
          <w:rFonts w:hint="eastAsia"/>
          <w:lang w:eastAsia="zh-CN"/>
        </w:rPr>
        <w:t>月</w:t>
      </w:r>
      <w:r w:rsidR="0085433F" w:rsidRPr="000C156A">
        <w:rPr>
          <w:lang w:eastAsia="zh-CN"/>
        </w:rPr>
        <w:t>31</w:t>
      </w:r>
      <w:r w:rsidR="0085433F" w:rsidRPr="000C156A">
        <w:rPr>
          <w:rFonts w:hint="eastAsia"/>
          <w:lang w:eastAsia="zh-CN"/>
        </w:rPr>
        <w:t>日的财务状况。</w:t>
      </w:r>
    </w:p>
    <w:p w14:paraId="1FF7C2A8" w14:textId="2FD4774D" w:rsidR="0085433F" w:rsidRPr="000C156A" w:rsidRDefault="0085433F" w:rsidP="001C384F">
      <w:pPr>
        <w:keepNext/>
        <w:keepLines/>
        <w:spacing w:before="480"/>
        <w:rPr>
          <w:lang w:eastAsia="zh-CN"/>
        </w:rPr>
      </w:pPr>
      <w:r w:rsidRPr="000C156A">
        <w:rPr>
          <w:rFonts w:hint="eastAsia"/>
          <w:lang w:eastAsia="zh-CN"/>
        </w:rPr>
        <w:lastRenderedPageBreak/>
        <w:t>一</w:t>
      </w:r>
      <w:r w:rsidRPr="000C156A">
        <w:rPr>
          <w:lang w:eastAsia="zh-CN"/>
        </w:rPr>
        <w:tab/>
      </w:r>
      <w:r w:rsidRPr="000C156A">
        <w:rPr>
          <w:rFonts w:hint="eastAsia"/>
          <w:lang w:eastAsia="zh-CN"/>
        </w:rPr>
        <w:t>财务状况表</w:t>
      </w:r>
      <w:r w:rsidRPr="000C156A">
        <w:rPr>
          <w:rFonts w:hint="eastAsia"/>
          <w:lang w:eastAsia="zh-CN"/>
        </w:rPr>
        <w:t xml:space="preserve"> </w:t>
      </w:r>
      <w:r w:rsidRPr="000C156A">
        <w:rPr>
          <w:lang w:eastAsia="zh-CN"/>
        </w:rPr>
        <w:t xml:space="preserve">– </w:t>
      </w:r>
      <w:r w:rsidRPr="000C156A">
        <w:rPr>
          <w:rFonts w:hint="eastAsia"/>
          <w:lang w:eastAsia="zh-CN"/>
        </w:rPr>
        <w:t>截至</w:t>
      </w:r>
      <w:r w:rsidRPr="000C156A">
        <w:rPr>
          <w:lang w:val="en-US" w:eastAsia="zh-CN"/>
        </w:rPr>
        <w:t>202</w:t>
      </w:r>
      <w:r w:rsidR="00763F24">
        <w:rPr>
          <w:lang w:val="en-US"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日的资产负债表</w:t>
      </w:r>
    </w:p>
    <w:p w14:paraId="7EF36AFD" w14:textId="4180C49A" w:rsidR="0085433F" w:rsidRPr="000C156A" w:rsidRDefault="0085433F" w:rsidP="001C384F">
      <w:pPr>
        <w:keepNext/>
        <w:keepLines/>
        <w:rPr>
          <w:lang w:eastAsia="zh-CN"/>
        </w:rPr>
      </w:pPr>
      <w:r w:rsidRPr="000C156A">
        <w:rPr>
          <w:rFonts w:hint="eastAsia"/>
          <w:lang w:eastAsia="zh-CN"/>
        </w:rPr>
        <w:t>二</w:t>
      </w:r>
      <w:r w:rsidRPr="000C156A">
        <w:rPr>
          <w:lang w:eastAsia="zh-CN"/>
        </w:rPr>
        <w:tab/>
      </w:r>
      <w:r w:rsidRPr="000C156A">
        <w:rPr>
          <w:lang w:val="en-US" w:eastAsia="zh-CN"/>
        </w:rPr>
        <w:t>202</w:t>
      </w:r>
      <w:r w:rsidR="00763F24">
        <w:rPr>
          <w:lang w:val="en-US"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日结束的周期的财务业绩表</w:t>
      </w:r>
    </w:p>
    <w:p w14:paraId="5B5C6272" w14:textId="057F015A" w:rsidR="0085433F" w:rsidRPr="000C156A" w:rsidRDefault="0085433F" w:rsidP="001C384F">
      <w:pPr>
        <w:keepNext/>
        <w:keepLines/>
        <w:rPr>
          <w:lang w:eastAsia="zh-CN"/>
        </w:rPr>
      </w:pPr>
      <w:r w:rsidRPr="000C156A">
        <w:rPr>
          <w:rFonts w:hint="eastAsia"/>
          <w:lang w:eastAsia="zh-CN"/>
        </w:rPr>
        <w:t>三</w:t>
      </w:r>
      <w:r w:rsidRPr="000C156A">
        <w:rPr>
          <w:lang w:eastAsia="zh-CN"/>
        </w:rPr>
        <w:tab/>
      </w:r>
      <w:r w:rsidRPr="000C156A">
        <w:rPr>
          <w:lang w:val="en-US" w:eastAsia="zh-CN"/>
        </w:rPr>
        <w:t>202</w:t>
      </w:r>
      <w:r w:rsidR="00763F24">
        <w:rPr>
          <w:lang w:val="en-US"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日结束的周期的资产净值变化表</w:t>
      </w:r>
    </w:p>
    <w:p w14:paraId="0239970B" w14:textId="2BFD4DB5" w:rsidR="0085433F" w:rsidRPr="000C156A" w:rsidRDefault="0085433F" w:rsidP="0085433F">
      <w:pPr>
        <w:rPr>
          <w:lang w:eastAsia="zh-CN"/>
        </w:rPr>
      </w:pPr>
      <w:r w:rsidRPr="000C156A">
        <w:rPr>
          <w:rFonts w:hint="eastAsia"/>
          <w:lang w:eastAsia="zh-CN"/>
        </w:rPr>
        <w:t>四</w:t>
      </w:r>
      <w:r w:rsidRPr="000C156A">
        <w:rPr>
          <w:lang w:eastAsia="zh-CN"/>
        </w:rPr>
        <w:tab/>
      </w:r>
      <w:r w:rsidRPr="000C156A">
        <w:rPr>
          <w:lang w:val="en-US" w:eastAsia="zh-CN"/>
        </w:rPr>
        <w:t>202</w:t>
      </w:r>
      <w:r w:rsidR="00763F24">
        <w:rPr>
          <w:lang w:val="en-US"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日结束的周期的现金流表</w:t>
      </w:r>
    </w:p>
    <w:p w14:paraId="76643C7C" w14:textId="63F81E4E" w:rsidR="0085433F" w:rsidRPr="000C156A" w:rsidRDefault="0085433F" w:rsidP="0085433F">
      <w:pPr>
        <w:rPr>
          <w:lang w:eastAsia="zh-CN"/>
        </w:rPr>
      </w:pPr>
      <w:r w:rsidRPr="000C156A">
        <w:rPr>
          <w:rFonts w:hint="eastAsia"/>
          <w:lang w:eastAsia="zh-CN"/>
        </w:rPr>
        <w:t>五</w:t>
      </w:r>
      <w:r w:rsidRPr="000C156A">
        <w:rPr>
          <w:lang w:eastAsia="zh-CN"/>
        </w:rPr>
        <w:tab/>
      </w:r>
      <w:r w:rsidRPr="000C156A">
        <w:rPr>
          <w:lang w:val="en-US" w:eastAsia="zh-CN"/>
        </w:rPr>
        <w:t>202</w:t>
      </w:r>
      <w:r w:rsidR="00763F24">
        <w:rPr>
          <w:lang w:val="en-US" w:eastAsia="zh-CN"/>
        </w:rPr>
        <w:t>1</w:t>
      </w:r>
      <w:r w:rsidRPr="000C156A">
        <w:rPr>
          <w:rFonts w:hint="eastAsia"/>
          <w:lang w:eastAsia="zh-CN"/>
        </w:rPr>
        <w:t>年预算金额与实际发生金额的对比表</w:t>
      </w:r>
    </w:p>
    <w:p w14:paraId="7E7169CA" w14:textId="77777777" w:rsidR="0085433F" w:rsidRPr="000C156A" w:rsidRDefault="0085433F" w:rsidP="0085433F">
      <w:pPr>
        <w:overflowPunct/>
        <w:autoSpaceDE/>
        <w:autoSpaceDN/>
        <w:adjustRightInd/>
        <w:spacing w:before="0"/>
        <w:textAlignment w:val="auto"/>
        <w:rPr>
          <w:lang w:val="en-US" w:eastAsia="zh-CN"/>
        </w:rPr>
      </w:pPr>
      <w:r w:rsidRPr="000C156A">
        <w:rPr>
          <w:lang w:val="en-US" w:eastAsia="zh-CN"/>
        </w:rPr>
        <w:br w:type="page"/>
      </w:r>
    </w:p>
    <w:p w14:paraId="5FF46E2E" w14:textId="4096C38F" w:rsidR="0085433F" w:rsidRPr="000C156A" w:rsidRDefault="0085433F" w:rsidP="0085433F">
      <w:pPr>
        <w:pStyle w:val="Heading1"/>
        <w:jc w:val="center"/>
        <w:rPr>
          <w:w w:val="105"/>
          <w:lang w:val="en-US" w:eastAsia="zh-CN"/>
        </w:rPr>
      </w:pPr>
      <w:bookmarkStart w:id="136" w:name="_Toc482892532"/>
      <w:bookmarkStart w:id="137" w:name="_Toc358364825"/>
      <w:bookmarkStart w:id="138" w:name="_Toc511116003"/>
      <w:bookmarkStart w:id="139" w:name="_Toc41905282"/>
      <w:bookmarkStart w:id="140" w:name="_Toc41905745"/>
      <w:bookmarkStart w:id="141" w:name="_Toc41905833"/>
      <w:bookmarkStart w:id="142" w:name="_Toc41907962"/>
      <w:bookmarkStart w:id="143" w:name="_Toc72745298"/>
      <w:bookmarkStart w:id="144" w:name="_Toc72747206"/>
      <w:bookmarkStart w:id="145" w:name="_Toc73461008"/>
      <w:bookmarkStart w:id="146" w:name="_Toc73518655"/>
      <w:bookmarkStart w:id="147" w:name="_Toc73518802"/>
      <w:bookmarkStart w:id="148" w:name="_Toc73636084"/>
      <w:bookmarkStart w:id="149" w:name="_Toc73636226"/>
      <w:bookmarkStart w:id="150" w:name="_Toc110264991"/>
      <w:bookmarkStart w:id="151" w:name="_Toc110265210"/>
      <w:bookmarkStart w:id="152" w:name="_Toc110265676"/>
      <w:bookmarkStart w:id="153" w:name="_Toc110330230"/>
      <w:r w:rsidRPr="000C156A">
        <w:rPr>
          <w:w w:val="105"/>
          <w:lang w:val="en-US" w:eastAsia="zh-CN"/>
        </w:rPr>
        <w:lastRenderedPageBreak/>
        <w:t>202</w:t>
      </w:r>
      <w:r w:rsidR="00763F24">
        <w:rPr>
          <w:w w:val="105"/>
          <w:lang w:val="en-US" w:eastAsia="zh-CN"/>
        </w:rPr>
        <w:t>1</w:t>
      </w:r>
      <w:r w:rsidRPr="000C156A">
        <w:rPr>
          <w:rStyle w:val="Heading1Char1"/>
          <w:color w:val="auto"/>
          <w:lang w:eastAsia="zh-CN"/>
        </w:rPr>
        <w:t>年管理报告</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F33C808" w14:textId="77777777" w:rsidR="0085433F" w:rsidRPr="000C156A" w:rsidRDefault="0085433F" w:rsidP="0085433F">
      <w:pPr>
        <w:jc w:val="right"/>
        <w:rPr>
          <w:lang w:val="en-US" w:eastAsia="zh-CN"/>
        </w:rPr>
      </w:pPr>
      <w:r w:rsidRPr="000C156A">
        <w:rPr>
          <w:rFonts w:cs="Arial"/>
          <w:lang w:eastAsia="zh-CN"/>
        </w:rPr>
        <w:t>2021</w:t>
      </w:r>
      <w:r w:rsidRPr="000C156A">
        <w:rPr>
          <w:rFonts w:hint="eastAsia"/>
          <w:bCs/>
          <w:lang w:eastAsia="zh-CN"/>
        </w:rPr>
        <w:t>年</w:t>
      </w:r>
      <w:r w:rsidRPr="000C156A">
        <w:rPr>
          <w:bCs/>
          <w:lang w:eastAsia="zh-CN"/>
        </w:rPr>
        <w:t>3</w:t>
      </w:r>
      <w:r w:rsidRPr="000C156A">
        <w:rPr>
          <w:rFonts w:hint="eastAsia"/>
          <w:bCs/>
          <w:lang w:eastAsia="zh-CN"/>
        </w:rPr>
        <w:t>月</w:t>
      </w:r>
      <w:r w:rsidRPr="000C156A">
        <w:rPr>
          <w:lang w:eastAsia="zh-CN"/>
        </w:rPr>
        <w:t>15</w:t>
      </w:r>
      <w:r w:rsidRPr="000C156A">
        <w:rPr>
          <w:rFonts w:hint="eastAsia"/>
          <w:bCs/>
          <w:lang w:eastAsia="zh-CN"/>
        </w:rPr>
        <w:t>日，日内瓦</w:t>
      </w:r>
    </w:p>
    <w:p w14:paraId="408DB545" w14:textId="77777777" w:rsidR="0085433F" w:rsidRPr="000C156A" w:rsidRDefault="0085433F" w:rsidP="0085433F">
      <w:pPr>
        <w:pStyle w:val="Headingb"/>
        <w:spacing w:before="720"/>
        <w:rPr>
          <w:lang w:eastAsia="zh-CN"/>
        </w:rPr>
      </w:pPr>
      <w:bookmarkStart w:id="154" w:name="_Toc72744922"/>
      <w:bookmarkStart w:id="155" w:name="_Toc72747207"/>
      <w:bookmarkStart w:id="156" w:name="_Toc73461009"/>
      <w:bookmarkStart w:id="157" w:name="_Toc73518656"/>
      <w:bookmarkStart w:id="158" w:name="_Toc73518803"/>
      <w:bookmarkStart w:id="159" w:name="_Toc73519203"/>
      <w:bookmarkStart w:id="160" w:name="_Toc73636085"/>
      <w:bookmarkStart w:id="161" w:name="_Toc73636227"/>
      <w:r w:rsidRPr="000C156A">
        <w:rPr>
          <w:rFonts w:hint="eastAsia"/>
          <w:lang w:eastAsia="zh-CN"/>
        </w:rPr>
        <w:t>国际电信联盟（</w:t>
      </w:r>
      <w:r w:rsidRPr="000C156A">
        <w:rPr>
          <w:lang w:eastAsia="zh-CN"/>
        </w:rPr>
        <w:t>ITU</w:t>
      </w:r>
      <w:r w:rsidRPr="000C156A">
        <w:rPr>
          <w:rFonts w:hint="eastAsia"/>
          <w:lang w:eastAsia="zh-CN"/>
        </w:rPr>
        <w:t>）高级管理层的管理报告</w:t>
      </w:r>
      <w:bookmarkEnd w:id="154"/>
      <w:bookmarkEnd w:id="155"/>
      <w:bookmarkEnd w:id="156"/>
      <w:bookmarkEnd w:id="157"/>
      <w:bookmarkEnd w:id="158"/>
      <w:bookmarkEnd w:id="159"/>
      <w:bookmarkEnd w:id="160"/>
      <w:bookmarkEnd w:id="161"/>
    </w:p>
    <w:p w14:paraId="176FF428" w14:textId="3DED3882" w:rsidR="0085433F" w:rsidRPr="000C156A" w:rsidRDefault="001A78AD" w:rsidP="0085433F">
      <w:pPr>
        <w:ind w:firstLineChars="200" w:firstLine="480"/>
        <w:rPr>
          <w:lang w:eastAsia="zh-CN"/>
        </w:rPr>
      </w:pPr>
      <w:r w:rsidRPr="001A78AD">
        <w:rPr>
          <w:rFonts w:hint="eastAsia"/>
          <w:lang w:eastAsia="zh-CN"/>
        </w:rPr>
        <w:t>针对国际电信联盟（</w:t>
      </w:r>
      <w:r w:rsidRPr="001A78AD">
        <w:rPr>
          <w:rFonts w:hint="eastAsia"/>
          <w:lang w:eastAsia="zh-CN"/>
        </w:rPr>
        <w:t>ITU</w:t>
      </w:r>
      <w:r w:rsidRPr="001A78AD">
        <w:rPr>
          <w:rFonts w:hint="eastAsia"/>
          <w:lang w:eastAsia="zh-CN"/>
        </w:rPr>
        <w:t>）截至</w:t>
      </w:r>
      <w:r w:rsidRPr="001A78AD">
        <w:rPr>
          <w:rFonts w:hint="eastAsia"/>
          <w:lang w:eastAsia="zh-CN"/>
        </w:rPr>
        <w:t>2021</w:t>
      </w:r>
      <w:r w:rsidRPr="001A78AD">
        <w:rPr>
          <w:rFonts w:hint="eastAsia"/>
          <w:lang w:eastAsia="zh-CN"/>
        </w:rPr>
        <w:t>年</w:t>
      </w:r>
      <w:r w:rsidRPr="001A78AD">
        <w:rPr>
          <w:rFonts w:hint="eastAsia"/>
          <w:lang w:eastAsia="zh-CN"/>
        </w:rPr>
        <w:t>12</w:t>
      </w:r>
      <w:r w:rsidRPr="001A78AD">
        <w:rPr>
          <w:rFonts w:hint="eastAsia"/>
          <w:lang w:eastAsia="zh-CN"/>
        </w:rPr>
        <w:t>月</w:t>
      </w:r>
      <w:r w:rsidRPr="001A78AD">
        <w:rPr>
          <w:rFonts w:hint="eastAsia"/>
          <w:lang w:eastAsia="zh-CN"/>
        </w:rPr>
        <w:t>31</w:t>
      </w:r>
      <w:r w:rsidRPr="001A78AD">
        <w:rPr>
          <w:rFonts w:hint="eastAsia"/>
          <w:lang w:eastAsia="zh-CN"/>
        </w:rPr>
        <w:t>日的</w:t>
      </w:r>
      <w:r w:rsidRPr="001A78AD">
        <w:rPr>
          <w:rFonts w:hint="eastAsia"/>
          <w:lang w:eastAsia="zh-CN"/>
        </w:rPr>
        <w:t>2021</w:t>
      </w:r>
      <w:r w:rsidRPr="001A78AD">
        <w:rPr>
          <w:rFonts w:hint="eastAsia"/>
          <w:lang w:eastAsia="zh-CN"/>
        </w:rPr>
        <w:t>财年年度账目审计，我们特提交此份管理报告。</w:t>
      </w:r>
    </w:p>
    <w:p w14:paraId="3CF65F13" w14:textId="509DA460" w:rsidR="0085433F" w:rsidRPr="000C156A" w:rsidRDefault="001A78AD" w:rsidP="0085433F">
      <w:pPr>
        <w:ind w:firstLineChars="200" w:firstLine="480"/>
        <w:rPr>
          <w:lang w:eastAsia="zh-CN"/>
        </w:rPr>
      </w:pPr>
      <w:r w:rsidRPr="001A78AD">
        <w:rPr>
          <w:rFonts w:hint="eastAsia"/>
          <w:lang w:eastAsia="zh-CN"/>
        </w:rPr>
        <w:t>我们编制了提交国际电联外部审计员并继而转呈国际电联理事会批准的年度账目。我们深知，我们肩负着确保年度账目透明度和可获取性以及制定和维护可持续的会计制度和内部控制体系，包括防止和发现重大失误和欺诈措施的重任。</w:t>
      </w:r>
    </w:p>
    <w:p w14:paraId="52AA2CC0" w14:textId="77777777" w:rsidR="0085433F" w:rsidRPr="000C156A" w:rsidRDefault="0085433F" w:rsidP="0085433F">
      <w:pPr>
        <w:pStyle w:val="enumlev1"/>
        <w:rPr>
          <w:lang w:eastAsia="zh-CN"/>
        </w:rPr>
      </w:pPr>
      <w:bookmarkStart w:id="162" w:name="CurrentLocation"/>
      <w:bookmarkEnd w:id="162"/>
      <w:r w:rsidRPr="000C156A">
        <w:rPr>
          <w:lang w:eastAsia="zh-CN"/>
        </w:rPr>
        <w:t>1</w:t>
      </w:r>
      <w:r w:rsidRPr="000C156A">
        <w:rPr>
          <w:lang w:eastAsia="zh-CN"/>
        </w:rPr>
        <w:tab/>
      </w:r>
      <w:r w:rsidRPr="000C156A">
        <w:rPr>
          <w:rFonts w:hint="eastAsia"/>
          <w:lang w:eastAsia="zh-CN"/>
        </w:rPr>
        <w:t>年度账目和有关说明以及相关披露符合国际公共部门会计准则（</w:t>
      </w:r>
      <w:r w:rsidRPr="000C156A">
        <w:rPr>
          <w:lang w:eastAsia="zh-CN"/>
        </w:rPr>
        <w:t>IPSAS</w:t>
      </w:r>
      <w:r w:rsidRPr="000C156A">
        <w:rPr>
          <w:rFonts w:hint="eastAsia"/>
          <w:lang w:eastAsia="zh-CN"/>
        </w:rPr>
        <w:t>）、该组织管理机构通过的《财务规则和财务细则》以及相关决议。</w:t>
      </w:r>
    </w:p>
    <w:p w14:paraId="65839B36" w14:textId="69E1A5F9" w:rsidR="0085433F" w:rsidRPr="000C156A" w:rsidRDefault="0085433F" w:rsidP="0085433F">
      <w:pPr>
        <w:pStyle w:val="enumlev1"/>
        <w:rPr>
          <w:lang w:eastAsia="zh-CN"/>
        </w:rPr>
      </w:pPr>
      <w:r w:rsidRPr="000C156A">
        <w:rPr>
          <w:lang w:eastAsia="zh-CN"/>
        </w:rPr>
        <w:t>2</w:t>
      </w:r>
      <w:r w:rsidRPr="000C156A">
        <w:rPr>
          <w:lang w:eastAsia="zh-CN"/>
        </w:rPr>
        <w:tab/>
      </w:r>
      <w:r w:rsidR="001A78AD" w:rsidRPr="001A78AD">
        <w:rPr>
          <w:rFonts w:hint="eastAsia"/>
          <w:lang w:eastAsia="zh-CN"/>
        </w:rPr>
        <w:t>所有交易都已适当记录在案。我们向国际电联外部审计员提供了所有相关信息，允许他及其同事接触账簿和会计转账凭单以及业务往来信函，向他们通报了所有可能对年度账目产生重大影响的决定</w:t>
      </w:r>
      <w:r w:rsidR="00DA32A7">
        <w:rPr>
          <w:rFonts w:hint="eastAsia"/>
          <w:lang w:eastAsia="zh-CN"/>
        </w:rPr>
        <w:t>，并</w:t>
      </w:r>
      <w:r w:rsidR="00DA32A7" w:rsidRPr="001A78AD">
        <w:rPr>
          <w:rFonts w:hint="eastAsia"/>
          <w:lang w:eastAsia="zh-CN"/>
        </w:rPr>
        <w:t>允许</w:t>
      </w:r>
      <w:r w:rsidR="001A78AD" w:rsidRPr="001A78AD">
        <w:rPr>
          <w:rFonts w:hint="eastAsia"/>
          <w:lang w:eastAsia="zh-CN"/>
        </w:rPr>
        <w:t>国际电联外部审计员及其同事</w:t>
      </w:r>
      <w:r w:rsidR="008A4037">
        <w:rPr>
          <w:rFonts w:hint="eastAsia"/>
          <w:lang w:eastAsia="zh-CN"/>
        </w:rPr>
        <w:t>不受</w:t>
      </w:r>
      <w:r w:rsidR="001A78AD" w:rsidRPr="001A78AD">
        <w:rPr>
          <w:rFonts w:hint="eastAsia"/>
          <w:lang w:eastAsia="zh-CN"/>
        </w:rPr>
        <w:t>限制地</w:t>
      </w:r>
      <w:r w:rsidR="00DA32A7" w:rsidRPr="001A78AD">
        <w:rPr>
          <w:rFonts w:hint="eastAsia"/>
          <w:lang w:eastAsia="zh-CN"/>
        </w:rPr>
        <w:t>接触</w:t>
      </w:r>
      <w:r w:rsidR="000470F9">
        <w:rPr>
          <w:rFonts w:hint="eastAsia"/>
          <w:lang w:eastAsia="zh-CN"/>
        </w:rPr>
        <w:t>被</w:t>
      </w:r>
      <w:r w:rsidR="000470F9" w:rsidRPr="001A78AD">
        <w:rPr>
          <w:rFonts w:hint="eastAsia"/>
          <w:lang w:eastAsia="zh-CN"/>
        </w:rPr>
        <w:t>认定</w:t>
      </w:r>
      <w:r w:rsidR="003274C6">
        <w:rPr>
          <w:rFonts w:hint="eastAsia"/>
          <w:lang w:eastAsia="zh-CN"/>
        </w:rPr>
        <w:t>为</w:t>
      </w:r>
      <w:r w:rsidR="003274C6" w:rsidRPr="001A78AD">
        <w:rPr>
          <w:rFonts w:hint="eastAsia"/>
          <w:lang w:eastAsia="zh-CN"/>
        </w:rPr>
        <w:t>审计取证</w:t>
      </w:r>
      <w:r w:rsidR="003274C6">
        <w:rPr>
          <w:rFonts w:hint="eastAsia"/>
          <w:lang w:eastAsia="zh-CN"/>
        </w:rPr>
        <w:t>所必需</w:t>
      </w:r>
      <w:r w:rsidR="003274C6" w:rsidRPr="001A78AD">
        <w:rPr>
          <w:rFonts w:hint="eastAsia"/>
          <w:lang w:eastAsia="zh-CN"/>
        </w:rPr>
        <w:t>的</w:t>
      </w:r>
      <w:r w:rsidR="001A78AD" w:rsidRPr="001A78AD">
        <w:rPr>
          <w:rFonts w:hint="eastAsia"/>
          <w:lang w:eastAsia="zh-CN"/>
        </w:rPr>
        <w:t>实体内人员。</w:t>
      </w:r>
    </w:p>
    <w:p w14:paraId="04E6622E" w14:textId="64F9C233" w:rsidR="0085433F" w:rsidRPr="000C156A" w:rsidRDefault="0085433F" w:rsidP="0085433F">
      <w:pPr>
        <w:pStyle w:val="enumlev1"/>
        <w:rPr>
          <w:lang w:eastAsia="zh-CN"/>
        </w:rPr>
      </w:pPr>
      <w:r w:rsidRPr="000C156A">
        <w:rPr>
          <w:lang w:eastAsia="zh-CN"/>
        </w:rPr>
        <w:t>3</w:t>
      </w:r>
      <w:r w:rsidRPr="000C156A">
        <w:rPr>
          <w:lang w:eastAsia="zh-CN"/>
        </w:rPr>
        <w:tab/>
      </w:r>
      <w:r w:rsidR="0003615E" w:rsidRPr="0003615E">
        <w:rPr>
          <w:rFonts w:hint="eastAsia"/>
          <w:lang w:eastAsia="zh-CN"/>
        </w:rPr>
        <w:t>2021</w:t>
      </w:r>
      <w:r w:rsidR="0003615E" w:rsidRPr="0003615E">
        <w:rPr>
          <w:rFonts w:hint="eastAsia"/>
          <w:lang w:eastAsia="zh-CN"/>
        </w:rPr>
        <w:t>年</w:t>
      </w:r>
      <w:r w:rsidR="00647BDB">
        <w:rPr>
          <w:rFonts w:hint="eastAsia"/>
          <w:lang w:eastAsia="zh-CN"/>
        </w:rPr>
        <w:t>的</w:t>
      </w:r>
      <w:r w:rsidR="0003615E" w:rsidRPr="0003615E">
        <w:rPr>
          <w:rFonts w:hint="eastAsia"/>
          <w:lang w:eastAsia="zh-CN"/>
        </w:rPr>
        <w:t>所有交易均按拨款金额记</w:t>
      </w:r>
      <w:r w:rsidR="00647BDB">
        <w:rPr>
          <w:rFonts w:hint="eastAsia"/>
          <w:lang w:eastAsia="zh-CN"/>
        </w:rPr>
        <w:t>入</w:t>
      </w:r>
      <w:r w:rsidR="0003615E" w:rsidRPr="0003615E">
        <w:rPr>
          <w:rFonts w:hint="eastAsia"/>
          <w:lang w:eastAsia="zh-CN"/>
        </w:rPr>
        <w:t>财务业绩报表。所有资产、负债和股权余额均以</w:t>
      </w:r>
      <w:r w:rsidR="00647BDB">
        <w:rPr>
          <w:rFonts w:hint="eastAsia"/>
          <w:lang w:eastAsia="zh-CN"/>
        </w:rPr>
        <w:t>拨款</w:t>
      </w:r>
      <w:r w:rsidR="0003615E" w:rsidRPr="0003615E">
        <w:rPr>
          <w:rFonts w:hint="eastAsia"/>
          <w:lang w:eastAsia="zh-CN"/>
        </w:rPr>
        <w:t>金额记</w:t>
      </w:r>
      <w:r w:rsidR="00647BDB">
        <w:rPr>
          <w:rFonts w:hint="eastAsia"/>
          <w:lang w:eastAsia="zh-CN"/>
        </w:rPr>
        <w:t>入</w:t>
      </w:r>
      <w:r w:rsidR="0003615E" w:rsidRPr="0003615E">
        <w:rPr>
          <w:rFonts w:hint="eastAsia"/>
          <w:lang w:eastAsia="zh-CN"/>
        </w:rPr>
        <w:t>财务报表。由于国际电联对列入资产负债表的所有资产拥有充分的法律权利，凡相关各方关系和交易清单未提及的国际电联资产</w:t>
      </w:r>
      <w:r w:rsidR="00647BDB">
        <w:rPr>
          <w:rFonts w:hint="eastAsia"/>
          <w:lang w:eastAsia="zh-CN"/>
        </w:rPr>
        <w:t>，</w:t>
      </w:r>
      <w:r w:rsidR="0003615E" w:rsidRPr="0003615E">
        <w:rPr>
          <w:rFonts w:hint="eastAsia"/>
          <w:lang w:eastAsia="zh-CN"/>
        </w:rPr>
        <w:t>均无任何抵押或权益负担，并按照</w:t>
      </w:r>
      <w:r w:rsidR="0003615E" w:rsidRPr="0003615E">
        <w:rPr>
          <w:rFonts w:hint="eastAsia"/>
          <w:lang w:eastAsia="zh-CN"/>
        </w:rPr>
        <w:t>IPSAS</w:t>
      </w:r>
      <w:r w:rsidR="0003615E" w:rsidRPr="0003615E">
        <w:rPr>
          <w:rFonts w:hint="eastAsia"/>
          <w:lang w:eastAsia="zh-CN"/>
        </w:rPr>
        <w:t>要求予以适当阐述和披露。没有其他合同、信贷协议、诉讼或其他争议会显著改变对国际电联年度账目的评估。</w:t>
      </w:r>
    </w:p>
    <w:p w14:paraId="15511FFB" w14:textId="66439143" w:rsidR="0085433F" w:rsidRPr="000C156A" w:rsidRDefault="0085433F" w:rsidP="0085433F">
      <w:pPr>
        <w:pStyle w:val="enumlev1"/>
        <w:rPr>
          <w:lang w:eastAsia="zh-CN"/>
        </w:rPr>
      </w:pPr>
      <w:r w:rsidRPr="000C156A">
        <w:rPr>
          <w:lang w:eastAsia="zh-CN"/>
        </w:rPr>
        <w:t>4</w:t>
      </w:r>
      <w:r w:rsidRPr="000C156A">
        <w:rPr>
          <w:lang w:eastAsia="zh-CN"/>
        </w:rPr>
        <w:tab/>
      </w:r>
      <w:r w:rsidR="00647BDB" w:rsidRPr="00647BDB">
        <w:rPr>
          <w:rFonts w:hint="eastAsia"/>
          <w:lang w:eastAsia="zh-CN"/>
        </w:rPr>
        <w:t>在财务报表截</w:t>
      </w:r>
      <w:r w:rsidR="00647BDB">
        <w:rPr>
          <w:rFonts w:hint="eastAsia"/>
          <w:lang w:eastAsia="zh-CN"/>
        </w:rPr>
        <w:t>止</w:t>
      </w:r>
      <w:r w:rsidR="00647BDB" w:rsidRPr="00647BDB">
        <w:rPr>
          <w:rFonts w:hint="eastAsia"/>
          <w:lang w:eastAsia="zh-CN"/>
        </w:rPr>
        <w:t>日期之后发生的、</w:t>
      </w:r>
      <w:r w:rsidR="00647BDB" w:rsidRPr="00647BDB">
        <w:rPr>
          <w:rFonts w:hint="eastAsia"/>
          <w:lang w:eastAsia="zh-CN"/>
        </w:rPr>
        <w:t>IPSAS</w:t>
      </w:r>
      <w:r w:rsidR="00647BDB" w:rsidRPr="00647BDB">
        <w:rPr>
          <w:rFonts w:hint="eastAsia"/>
          <w:lang w:eastAsia="zh-CN"/>
        </w:rPr>
        <w:t>要求调整和披露的所有活动</w:t>
      </w:r>
      <w:r w:rsidR="00647BDB">
        <w:rPr>
          <w:rFonts w:hint="eastAsia"/>
          <w:lang w:eastAsia="zh-CN"/>
        </w:rPr>
        <w:t>，</w:t>
      </w:r>
      <w:r w:rsidR="00647BDB" w:rsidRPr="00647BDB">
        <w:rPr>
          <w:rFonts w:hint="eastAsia"/>
          <w:lang w:eastAsia="zh-CN"/>
        </w:rPr>
        <w:t>均已得到调整或披露。</w:t>
      </w:r>
    </w:p>
    <w:p w14:paraId="6444AC89" w14:textId="77777777" w:rsidR="0085433F" w:rsidRPr="000C156A" w:rsidRDefault="0085433F" w:rsidP="0085433F">
      <w:pPr>
        <w:pStyle w:val="enumlev1"/>
        <w:rPr>
          <w:lang w:eastAsia="zh-CN"/>
        </w:rPr>
      </w:pPr>
      <w:r w:rsidRPr="000C156A">
        <w:rPr>
          <w:lang w:eastAsia="zh-CN"/>
        </w:rPr>
        <w:t>5</w:t>
      </w:r>
      <w:r w:rsidRPr="000C156A">
        <w:rPr>
          <w:lang w:eastAsia="zh-CN"/>
        </w:rPr>
        <w:tab/>
      </w:r>
      <w:r w:rsidRPr="000C156A">
        <w:rPr>
          <w:rFonts w:hint="eastAsia"/>
          <w:lang w:eastAsia="zh-CN"/>
        </w:rPr>
        <w:t>我们认为，为估值做出的主要假设和有关公允价值的信息是适当的，反映了我们的初衷并符合所用会计原则。</w:t>
      </w:r>
    </w:p>
    <w:p w14:paraId="399BE122" w14:textId="77777777" w:rsidR="0085433F" w:rsidRPr="000C156A" w:rsidRDefault="0085433F" w:rsidP="0085433F">
      <w:pPr>
        <w:pStyle w:val="enumlev1"/>
        <w:rPr>
          <w:lang w:eastAsia="zh-CN"/>
        </w:rPr>
      </w:pPr>
      <w:r w:rsidRPr="000C156A">
        <w:rPr>
          <w:lang w:eastAsia="zh-CN"/>
        </w:rPr>
        <w:t>6</w:t>
      </w:r>
      <w:r w:rsidRPr="000C156A">
        <w:rPr>
          <w:lang w:eastAsia="zh-CN"/>
        </w:rPr>
        <w:tab/>
      </w:r>
      <w:r w:rsidRPr="000C156A">
        <w:rPr>
          <w:rFonts w:hint="eastAsia"/>
          <w:lang w:eastAsia="zh-CN"/>
        </w:rPr>
        <w:t>根据《财务规则和财务细则》，我们确认，国际电联具有内部控制体系，为财务报告的可靠性和对外年度账目的就绪提供了适度保证。该体系包括以下相关政策和程序：</w:t>
      </w:r>
    </w:p>
    <w:p w14:paraId="2C189544" w14:textId="44D369E6" w:rsidR="0085433F" w:rsidRPr="000C156A" w:rsidRDefault="0085433F" w:rsidP="0085433F">
      <w:pPr>
        <w:pStyle w:val="enumlev2"/>
        <w:rPr>
          <w:lang w:eastAsia="zh-CN"/>
        </w:rPr>
      </w:pPr>
      <w:r w:rsidRPr="000C156A">
        <w:rPr>
          <w:lang w:eastAsia="zh-CN"/>
        </w:rPr>
        <w:t>•</w:t>
      </w:r>
      <w:r w:rsidRPr="000C156A">
        <w:rPr>
          <w:lang w:eastAsia="zh-CN"/>
        </w:rPr>
        <w:tab/>
      </w:r>
      <w:r w:rsidRPr="000C156A">
        <w:rPr>
          <w:rFonts w:hint="eastAsia"/>
          <w:lang w:eastAsia="zh-CN"/>
        </w:rPr>
        <w:t>记录保持合理细化，准确公正地反映出交易情况；</w:t>
      </w:r>
    </w:p>
    <w:p w14:paraId="46232938" w14:textId="77777777" w:rsidR="0085433F" w:rsidRPr="000C156A" w:rsidRDefault="0085433F" w:rsidP="0085433F">
      <w:pPr>
        <w:pStyle w:val="enumlev2"/>
        <w:rPr>
          <w:lang w:eastAsia="zh-CN"/>
        </w:rPr>
      </w:pPr>
      <w:r w:rsidRPr="000C156A">
        <w:rPr>
          <w:lang w:eastAsia="zh-CN"/>
        </w:rPr>
        <w:t>•</w:t>
      </w:r>
      <w:r w:rsidRPr="000C156A">
        <w:rPr>
          <w:lang w:eastAsia="zh-CN"/>
        </w:rPr>
        <w:tab/>
      </w:r>
      <w:r w:rsidRPr="000C156A">
        <w:rPr>
          <w:rFonts w:hint="eastAsia"/>
          <w:lang w:eastAsia="zh-CN"/>
        </w:rPr>
        <w:t>适当保证将必要的交易记录在案，以便完成年度账目的编制并使收支符合管理层根据《财务规则和财务细则》做出的授权；</w:t>
      </w:r>
    </w:p>
    <w:p w14:paraId="4DF1292D" w14:textId="77777777" w:rsidR="0085433F" w:rsidRPr="000C156A" w:rsidRDefault="0085433F" w:rsidP="0085433F">
      <w:pPr>
        <w:pStyle w:val="enumlev2"/>
        <w:rPr>
          <w:lang w:eastAsia="zh-CN"/>
        </w:rPr>
      </w:pPr>
      <w:r w:rsidRPr="000C156A">
        <w:rPr>
          <w:lang w:eastAsia="zh-CN"/>
        </w:rPr>
        <w:t>•</w:t>
      </w:r>
      <w:r w:rsidRPr="000C156A">
        <w:rPr>
          <w:lang w:eastAsia="zh-CN"/>
        </w:rPr>
        <w:tab/>
      </w:r>
      <w:r w:rsidRPr="000C156A">
        <w:rPr>
          <w:rFonts w:hint="eastAsia"/>
          <w:lang w:eastAsia="zh-CN"/>
        </w:rPr>
        <w:t>适当保证防止或及时发现对资产的无授权获取、使用或处理。</w:t>
      </w:r>
    </w:p>
    <w:p w14:paraId="37C58967" w14:textId="77777777" w:rsidR="0085433F" w:rsidRPr="000C156A" w:rsidRDefault="0085433F" w:rsidP="0085433F">
      <w:pPr>
        <w:pStyle w:val="enumlev1"/>
        <w:rPr>
          <w:lang w:eastAsia="zh-CN"/>
        </w:rPr>
      </w:pPr>
      <w:r w:rsidRPr="000C156A">
        <w:rPr>
          <w:lang w:eastAsia="zh-CN"/>
        </w:rPr>
        <w:t>7</w:t>
      </w:r>
      <w:r w:rsidRPr="000C156A">
        <w:rPr>
          <w:lang w:eastAsia="zh-CN"/>
        </w:rPr>
        <w:tab/>
      </w:r>
      <w:r w:rsidRPr="000C156A">
        <w:rPr>
          <w:rFonts w:hint="eastAsia"/>
          <w:lang w:eastAsia="zh-CN"/>
        </w:rPr>
        <w:t>我们确认，内部审计员（</w:t>
      </w:r>
      <w:r w:rsidRPr="000C156A">
        <w:rPr>
          <w:rFonts w:hint="eastAsia"/>
          <w:lang w:eastAsia="zh-CN"/>
        </w:rPr>
        <w:t>IA</w:t>
      </w:r>
      <w:r w:rsidRPr="000C156A">
        <w:rPr>
          <w:rFonts w:hint="eastAsia"/>
          <w:lang w:eastAsia="zh-CN"/>
        </w:rPr>
        <w:t>）、国际电联外部审计员（</w:t>
      </w:r>
      <w:r w:rsidRPr="000C156A">
        <w:rPr>
          <w:rFonts w:hint="eastAsia"/>
          <w:lang w:eastAsia="zh-CN"/>
        </w:rPr>
        <w:t>EA</w:t>
      </w:r>
      <w:r w:rsidRPr="000C156A">
        <w:rPr>
          <w:rFonts w:hint="eastAsia"/>
          <w:lang w:eastAsia="zh-CN"/>
        </w:rPr>
        <w:t>）和独立管理顾问委员会（</w:t>
      </w:r>
      <w:r w:rsidRPr="000C156A">
        <w:rPr>
          <w:lang w:eastAsia="zh-CN"/>
        </w:rPr>
        <w:t>IMAC</w:t>
      </w:r>
      <w:r w:rsidRPr="000C156A">
        <w:rPr>
          <w:rFonts w:hint="eastAsia"/>
          <w:lang w:eastAsia="zh-CN"/>
        </w:rPr>
        <w:t>）发现的风险和所提建议已酌情得到考虑并采取了行动。理事会财务和人力资源工作组每年得到这些建议的实施情况汇报。</w:t>
      </w:r>
    </w:p>
    <w:p w14:paraId="3034F708" w14:textId="4DCEA4CC" w:rsidR="0085433F" w:rsidRPr="000C156A" w:rsidRDefault="0085433F" w:rsidP="0085433F">
      <w:pPr>
        <w:pStyle w:val="enumlev1"/>
        <w:rPr>
          <w:lang w:eastAsia="zh-CN"/>
        </w:rPr>
      </w:pPr>
      <w:r w:rsidRPr="000C156A">
        <w:rPr>
          <w:lang w:eastAsia="zh-CN"/>
        </w:rPr>
        <w:t>8</w:t>
      </w:r>
      <w:r w:rsidRPr="000C156A">
        <w:rPr>
          <w:lang w:eastAsia="zh-CN"/>
        </w:rPr>
        <w:tab/>
      </w:r>
      <w:r w:rsidR="00F8480C" w:rsidRPr="00F8480C">
        <w:rPr>
          <w:rFonts w:hint="eastAsia"/>
          <w:lang w:eastAsia="zh-CN"/>
        </w:rPr>
        <w:t>2021</w:t>
      </w:r>
      <w:r w:rsidR="00F8480C" w:rsidRPr="00F8480C">
        <w:rPr>
          <w:rFonts w:hint="eastAsia"/>
          <w:lang w:eastAsia="zh-CN"/>
        </w:rPr>
        <w:t>年，由电信发展局主任担任主席的内部控制工作组（</w:t>
      </w:r>
      <w:r w:rsidR="00F8480C" w:rsidRPr="00F8480C">
        <w:rPr>
          <w:rFonts w:hint="eastAsia"/>
          <w:lang w:eastAsia="zh-CN"/>
        </w:rPr>
        <w:t>WGIC</w:t>
      </w:r>
      <w:r w:rsidR="00F8480C" w:rsidRPr="00F8480C">
        <w:rPr>
          <w:rFonts w:hint="eastAsia"/>
          <w:lang w:eastAsia="zh-CN"/>
        </w:rPr>
        <w:t>）</w:t>
      </w:r>
      <w:r w:rsidR="003274C6">
        <w:rPr>
          <w:rFonts w:hint="eastAsia"/>
          <w:lang w:eastAsia="zh-CN"/>
        </w:rPr>
        <w:t>，</w:t>
      </w:r>
      <w:r w:rsidR="00F8480C" w:rsidRPr="00F8480C">
        <w:rPr>
          <w:rFonts w:hint="eastAsia"/>
          <w:lang w:eastAsia="zh-CN"/>
        </w:rPr>
        <w:t>在电信发展局和总秘书处各部门所有相关利益攸关方的参与下，继续加强电信发展局（总部和区域代表处</w:t>
      </w:r>
      <w:r w:rsidR="00F8480C" w:rsidRPr="00F8480C">
        <w:rPr>
          <w:rFonts w:hint="eastAsia"/>
          <w:lang w:eastAsia="zh-CN"/>
        </w:rPr>
        <w:t>/</w:t>
      </w:r>
      <w:r w:rsidR="00F8480C" w:rsidRPr="00F8480C">
        <w:rPr>
          <w:rFonts w:hint="eastAsia"/>
          <w:lang w:eastAsia="zh-CN"/>
        </w:rPr>
        <w:t>地区办事处）的内部控制。该工作组的职责是</w:t>
      </w:r>
      <w:r w:rsidR="008679EA">
        <w:rPr>
          <w:rFonts w:hint="eastAsia"/>
          <w:lang w:eastAsia="zh-CN"/>
        </w:rPr>
        <w:t>总体</w:t>
      </w:r>
      <w:r w:rsidR="00F8480C" w:rsidRPr="00F8480C">
        <w:rPr>
          <w:rFonts w:hint="eastAsia"/>
          <w:lang w:eastAsia="zh-CN"/>
        </w:rPr>
        <w:t>协调电信发展局和国际电联行动计划的制定和实施，并研究解决</w:t>
      </w:r>
      <w:r w:rsidR="00F8480C" w:rsidRPr="00F8480C">
        <w:rPr>
          <w:rFonts w:hint="eastAsia"/>
          <w:lang w:eastAsia="zh-CN"/>
        </w:rPr>
        <w:t>IA</w:t>
      </w:r>
      <w:r w:rsidR="00F8480C" w:rsidRPr="00F8480C">
        <w:rPr>
          <w:rFonts w:hint="eastAsia"/>
          <w:lang w:eastAsia="zh-CN"/>
        </w:rPr>
        <w:t>和</w:t>
      </w:r>
      <w:r w:rsidR="00F8480C" w:rsidRPr="00F8480C">
        <w:rPr>
          <w:rFonts w:hint="eastAsia"/>
          <w:lang w:eastAsia="zh-CN"/>
        </w:rPr>
        <w:t>EA</w:t>
      </w:r>
      <w:r w:rsidR="00F8480C" w:rsidRPr="00F8480C">
        <w:rPr>
          <w:rFonts w:hint="eastAsia"/>
          <w:lang w:eastAsia="zh-CN"/>
        </w:rPr>
        <w:t>提出的所有初步调查结果</w:t>
      </w:r>
      <w:r w:rsidR="00F8480C" w:rsidRPr="00F8480C">
        <w:rPr>
          <w:rFonts w:hint="eastAsia"/>
          <w:lang w:eastAsia="zh-CN"/>
        </w:rPr>
        <w:t>/</w:t>
      </w:r>
      <w:r w:rsidR="00F8480C" w:rsidRPr="00F8480C">
        <w:rPr>
          <w:rFonts w:hint="eastAsia"/>
          <w:lang w:eastAsia="zh-CN"/>
        </w:rPr>
        <w:t>建议。如</w:t>
      </w:r>
      <w:r w:rsidR="00F8480C" w:rsidRPr="00F8480C">
        <w:rPr>
          <w:rFonts w:hint="eastAsia"/>
          <w:lang w:eastAsia="zh-CN"/>
        </w:rPr>
        <w:lastRenderedPageBreak/>
        <w:t>2022</w:t>
      </w:r>
      <w:r w:rsidR="00F8480C" w:rsidRPr="00F8480C">
        <w:rPr>
          <w:rFonts w:hint="eastAsia"/>
          <w:lang w:eastAsia="zh-CN"/>
        </w:rPr>
        <w:t>年</w:t>
      </w:r>
      <w:r w:rsidR="00F8480C" w:rsidRPr="00F8480C">
        <w:rPr>
          <w:rFonts w:hint="eastAsia"/>
          <w:lang w:eastAsia="zh-CN"/>
        </w:rPr>
        <w:t>1</w:t>
      </w:r>
      <w:r w:rsidR="00F8480C" w:rsidRPr="00F8480C">
        <w:rPr>
          <w:rFonts w:hint="eastAsia"/>
          <w:lang w:eastAsia="zh-CN"/>
        </w:rPr>
        <w:t>月向理事会财务和人力资源工作组第</w:t>
      </w:r>
      <w:r w:rsidR="00F8480C" w:rsidRPr="00F8480C">
        <w:rPr>
          <w:rFonts w:hint="eastAsia"/>
          <w:lang w:eastAsia="zh-CN"/>
        </w:rPr>
        <w:t>15</w:t>
      </w:r>
      <w:r w:rsidR="00F8480C" w:rsidRPr="00F8480C">
        <w:rPr>
          <w:rFonts w:hint="eastAsia"/>
          <w:lang w:eastAsia="zh-CN"/>
        </w:rPr>
        <w:t>次会议报告</w:t>
      </w:r>
      <w:r w:rsidR="008679EA">
        <w:rPr>
          <w:rFonts w:hint="eastAsia"/>
          <w:lang w:eastAsia="zh-CN"/>
        </w:rPr>
        <w:t>所述</w:t>
      </w:r>
      <w:r w:rsidR="00F8480C" w:rsidRPr="00F8480C">
        <w:rPr>
          <w:rFonts w:hint="eastAsia"/>
          <w:lang w:eastAsia="zh-CN"/>
        </w:rPr>
        <w:t>，在</w:t>
      </w:r>
      <w:r w:rsidR="00F8480C" w:rsidRPr="00F8480C">
        <w:rPr>
          <w:rFonts w:hint="eastAsia"/>
          <w:lang w:eastAsia="zh-CN"/>
        </w:rPr>
        <w:t>2021</w:t>
      </w:r>
      <w:r w:rsidR="00F8480C" w:rsidRPr="00F8480C">
        <w:rPr>
          <w:rFonts w:hint="eastAsia"/>
          <w:lang w:eastAsia="zh-CN"/>
        </w:rPr>
        <w:t>年底，</w:t>
      </w:r>
      <w:r w:rsidR="00F8480C" w:rsidRPr="00F8480C">
        <w:rPr>
          <w:rFonts w:hint="eastAsia"/>
          <w:lang w:eastAsia="zh-CN"/>
        </w:rPr>
        <w:t>IA</w:t>
      </w:r>
      <w:r w:rsidR="00F8480C" w:rsidRPr="00F8480C">
        <w:rPr>
          <w:rFonts w:hint="eastAsia"/>
          <w:lang w:eastAsia="zh-CN"/>
        </w:rPr>
        <w:t>、</w:t>
      </w:r>
      <w:r w:rsidR="00F8480C" w:rsidRPr="00F8480C">
        <w:rPr>
          <w:rFonts w:hint="eastAsia"/>
          <w:lang w:eastAsia="zh-CN"/>
        </w:rPr>
        <w:t>EA</w:t>
      </w:r>
      <w:r w:rsidR="00F8480C" w:rsidRPr="00F8480C">
        <w:rPr>
          <w:rFonts w:hint="eastAsia"/>
          <w:lang w:eastAsia="zh-CN"/>
        </w:rPr>
        <w:t>和</w:t>
      </w:r>
      <w:r w:rsidR="00F8480C" w:rsidRPr="00F8480C">
        <w:rPr>
          <w:rFonts w:hint="eastAsia"/>
          <w:lang w:eastAsia="zh-CN"/>
        </w:rPr>
        <w:t>IMAC</w:t>
      </w:r>
      <w:r w:rsidR="00F8480C" w:rsidRPr="00F8480C">
        <w:rPr>
          <w:rFonts w:hint="eastAsia"/>
          <w:lang w:eastAsia="zh-CN"/>
        </w:rPr>
        <w:t>所有相关建议的落实率</w:t>
      </w:r>
      <w:r w:rsidR="00F8480C">
        <w:rPr>
          <w:rFonts w:hint="eastAsia"/>
          <w:lang w:eastAsia="zh-CN"/>
        </w:rPr>
        <w:t>达</w:t>
      </w:r>
      <w:r w:rsidR="00F8480C" w:rsidRPr="00F8480C">
        <w:rPr>
          <w:rFonts w:hint="eastAsia"/>
          <w:lang w:eastAsia="zh-CN"/>
        </w:rPr>
        <w:t>85%</w:t>
      </w:r>
      <w:r w:rsidR="00F8480C" w:rsidRPr="00F8480C">
        <w:rPr>
          <w:rFonts w:hint="eastAsia"/>
          <w:lang w:eastAsia="zh-CN"/>
        </w:rPr>
        <w:t>。</w:t>
      </w:r>
    </w:p>
    <w:p w14:paraId="6FFA064F" w14:textId="3DAD2809" w:rsidR="006504E4" w:rsidRDefault="0085433F" w:rsidP="0085433F">
      <w:pPr>
        <w:pStyle w:val="enumlev1"/>
        <w:rPr>
          <w:rFonts w:asciiTheme="minorHAnsi" w:hAnsiTheme="minorHAnsi" w:cstheme="minorHAnsi"/>
          <w:szCs w:val="24"/>
          <w:lang w:eastAsia="zh-CN"/>
        </w:rPr>
      </w:pPr>
      <w:bookmarkStart w:id="163" w:name="_Hlk63847066"/>
      <w:bookmarkStart w:id="164" w:name="_Hlk72312801"/>
      <w:r w:rsidRPr="000C156A">
        <w:rPr>
          <w:lang w:eastAsia="zh-CN"/>
        </w:rPr>
        <w:t>9</w:t>
      </w:r>
      <w:r w:rsidRPr="000C156A">
        <w:rPr>
          <w:lang w:eastAsia="zh-CN"/>
        </w:rPr>
        <w:tab/>
      </w:r>
      <w:r w:rsidR="006504E4" w:rsidRPr="000C156A">
        <w:rPr>
          <w:rFonts w:hint="eastAsia"/>
          <w:lang w:eastAsia="zh-CN"/>
        </w:rPr>
        <w:t>正在实施以下系统和措施：</w:t>
      </w:r>
    </w:p>
    <w:p w14:paraId="54CA2C47" w14:textId="36BAA7D6" w:rsidR="006504E4" w:rsidRPr="006504E4" w:rsidRDefault="006504E4" w:rsidP="006504E4">
      <w:pPr>
        <w:pStyle w:val="enumlev2"/>
        <w:rPr>
          <w:lang w:eastAsia="zh-CN"/>
        </w:rPr>
      </w:pPr>
      <w:r>
        <w:rPr>
          <w:lang w:eastAsia="zh-CN"/>
        </w:rPr>
        <w:t>•</w:t>
      </w:r>
      <w:r>
        <w:rPr>
          <w:lang w:eastAsia="zh-CN"/>
        </w:rPr>
        <w:tab/>
      </w:r>
      <w:r w:rsidR="00FD47BA" w:rsidRPr="00FD47BA">
        <w:rPr>
          <w:rFonts w:hint="eastAsia"/>
          <w:lang w:eastAsia="zh-CN"/>
        </w:rPr>
        <w:t>新的电子招聘系统和竞争性顾问遴选程序；</w:t>
      </w:r>
    </w:p>
    <w:p w14:paraId="6B11706A" w14:textId="31C59AB4" w:rsidR="006504E4" w:rsidRPr="006504E4" w:rsidRDefault="006504E4" w:rsidP="006504E4">
      <w:pPr>
        <w:pStyle w:val="enumlev2"/>
        <w:rPr>
          <w:lang w:eastAsia="zh-CN"/>
        </w:rPr>
      </w:pPr>
      <w:r>
        <w:rPr>
          <w:lang w:eastAsia="zh-CN"/>
        </w:rPr>
        <w:t>•</w:t>
      </w:r>
      <w:r>
        <w:rPr>
          <w:lang w:eastAsia="zh-CN"/>
        </w:rPr>
        <w:tab/>
      </w:r>
      <w:r w:rsidR="00FD47BA" w:rsidRPr="00FD47BA">
        <w:rPr>
          <w:rFonts w:hint="eastAsia"/>
          <w:lang w:eastAsia="zh-CN"/>
        </w:rPr>
        <w:t>改善对顾问使用的管理和控制；</w:t>
      </w:r>
    </w:p>
    <w:p w14:paraId="17127D6F" w14:textId="0342C5B6" w:rsidR="006504E4" w:rsidRPr="006504E4" w:rsidRDefault="006504E4" w:rsidP="006504E4">
      <w:pPr>
        <w:pStyle w:val="enumlev2"/>
        <w:rPr>
          <w:lang w:eastAsia="zh-CN"/>
        </w:rPr>
      </w:pPr>
      <w:r>
        <w:rPr>
          <w:lang w:eastAsia="zh-CN"/>
        </w:rPr>
        <w:t>•</w:t>
      </w:r>
      <w:r>
        <w:rPr>
          <w:lang w:eastAsia="zh-CN"/>
        </w:rPr>
        <w:tab/>
      </w:r>
      <w:r w:rsidR="00FD47BA" w:rsidRPr="000C156A">
        <w:rPr>
          <w:rFonts w:hint="eastAsia"/>
          <w:lang w:eastAsia="zh-CN"/>
        </w:rPr>
        <w:t>电信发展局的通用信息技术系统；</w:t>
      </w:r>
    </w:p>
    <w:p w14:paraId="3B62C698" w14:textId="4928A123" w:rsidR="006504E4" w:rsidRDefault="006504E4" w:rsidP="006504E4">
      <w:pPr>
        <w:pStyle w:val="enumlev2"/>
        <w:rPr>
          <w:lang w:eastAsia="zh-CN"/>
        </w:rPr>
      </w:pPr>
      <w:r>
        <w:t>•</w:t>
      </w:r>
      <w:r>
        <w:tab/>
      </w:r>
      <w:r w:rsidR="00FD47BA" w:rsidRPr="000C156A">
        <w:rPr>
          <w:rFonts w:hint="eastAsia"/>
          <w:lang w:eastAsia="zh-CN"/>
        </w:rPr>
        <w:t>问责制框架。</w:t>
      </w:r>
    </w:p>
    <w:p w14:paraId="7AF5B3BC" w14:textId="051B5B5B" w:rsidR="0085433F" w:rsidRPr="000C156A" w:rsidRDefault="006504E4" w:rsidP="0085433F">
      <w:pPr>
        <w:pStyle w:val="enumlev1"/>
        <w:rPr>
          <w:lang w:eastAsia="zh-CN"/>
        </w:rPr>
      </w:pPr>
      <w:r>
        <w:rPr>
          <w:rFonts w:hint="eastAsia"/>
          <w:lang w:eastAsia="zh-CN"/>
        </w:rPr>
        <w:t>1</w:t>
      </w:r>
      <w:r>
        <w:rPr>
          <w:lang w:eastAsia="zh-CN"/>
        </w:rPr>
        <w:t>0</w:t>
      </w:r>
      <w:r>
        <w:rPr>
          <w:lang w:eastAsia="zh-CN"/>
        </w:rPr>
        <w:tab/>
      </w:r>
      <w:r w:rsidR="00FD47BA" w:rsidRPr="00FD47BA">
        <w:rPr>
          <w:rFonts w:hint="eastAsia"/>
          <w:lang w:eastAsia="zh-CN"/>
        </w:rPr>
        <w:t>国际电联管理层于</w:t>
      </w:r>
      <w:r w:rsidR="00FD47BA" w:rsidRPr="00FD47BA">
        <w:rPr>
          <w:rFonts w:hint="eastAsia"/>
          <w:lang w:eastAsia="zh-CN"/>
        </w:rPr>
        <w:t>2020</w:t>
      </w:r>
      <w:r w:rsidR="00FD47BA" w:rsidRPr="00FD47BA">
        <w:rPr>
          <w:rFonts w:hint="eastAsia"/>
          <w:lang w:eastAsia="zh-CN"/>
        </w:rPr>
        <w:t>年</w:t>
      </w:r>
      <w:r w:rsidR="00FD47BA" w:rsidRPr="00FD47BA">
        <w:rPr>
          <w:rFonts w:hint="eastAsia"/>
          <w:lang w:eastAsia="zh-CN"/>
        </w:rPr>
        <w:t>11</w:t>
      </w:r>
      <w:r w:rsidR="00FD47BA" w:rsidRPr="00FD47BA">
        <w:rPr>
          <w:rFonts w:hint="eastAsia"/>
          <w:lang w:eastAsia="zh-CN"/>
        </w:rPr>
        <w:t>月决定设立组织合规性仪表板（</w:t>
      </w:r>
      <w:r w:rsidR="00FD47BA" w:rsidRPr="00FD47BA">
        <w:rPr>
          <w:rFonts w:hint="eastAsia"/>
          <w:lang w:eastAsia="zh-CN"/>
        </w:rPr>
        <w:t>corporate compliance dashboard</w:t>
      </w:r>
      <w:r w:rsidR="00FD47BA" w:rsidRPr="00FD47BA">
        <w:rPr>
          <w:rFonts w:hint="eastAsia"/>
          <w:lang w:eastAsia="zh-CN"/>
        </w:rPr>
        <w:t>），其中包括</w:t>
      </w:r>
      <w:r w:rsidR="00FD47BA" w:rsidRPr="00FD47BA">
        <w:rPr>
          <w:rFonts w:hint="eastAsia"/>
          <w:lang w:eastAsia="zh-CN"/>
        </w:rPr>
        <w:t>EA</w:t>
      </w:r>
      <w:r w:rsidR="00FD47BA" w:rsidRPr="00FD47BA">
        <w:rPr>
          <w:rFonts w:hint="eastAsia"/>
          <w:lang w:eastAsia="zh-CN"/>
        </w:rPr>
        <w:t>、</w:t>
      </w:r>
      <w:r w:rsidR="00FD47BA" w:rsidRPr="00FD47BA">
        <w:rPr>
          <w:rFonts w:hint="eastAsia"/>
          <w:lang w:eastAsia="zh-CN"/>
        </w:rPr>
        <w:t>IMAC</w:t>
      </w:r>
      <w:r w:rsidR="00FD47BA" w:rsidRPr="00FD47BA">
        <w:rPr>
          <w:rFonts w:hint="eastAsia"/>
          <w:lang w:eastAsia="zh-CN"/>
        </w:rPr>
        <w:t>、联合检查组（</w:t>
      </w:r>
      <w:r w:rsidR="00FD47BA" w:rsidRPr="00FD47BA">
        <w:rPr>
          <w:rFonts w:hint="eastAsia"/>
          <w:lang w:eastAsia="zh-CN"/>
        </w:rPr>
        <w:t>JIU</w:t>
      </w:r>
      <w:r w:rsidR="00FD47BA" w:rsidRPr="00FD47BA">
        <w:rPr>
          <w:rFonts w:hint="eastAsia"/>
          <w:lang w:eastAsia="zh-CN"/>
        </w:rPr>
        <w:t>）和</w:t>
      </w:r>
      <w:r w:rsidR="00FD47BA" w:rsidRPr="00FD47BA">
        <w:rPr>
          <w:rFonts w:hint="eastAsia"/>
          <w:lang w:eastAsia="zh-CN"/>
        </w:rPr>
        <w:t>IA</w:t>
      </w:r>
      <w:r w:rsidR="00FD47BA" w:rsidRPr="00FD47BA">
        <w:rPr>
          <w:rFonts w:hint="eastAsia"/>
          <w:lang w:eastAsia="zh-CN"/>
        </w:rPr>
        <w:t>的建议。</w:t>
      </w:r>
      <w:r w:rsidR="00FD47BA" w:rsidRPr="00FD47BA">
        <w:rPr>
          <w:rFonts w:hint="eastAsia"/>
          <w:lang w:eastAsia="zh-CN"/>
        </w:rPr>
        <w:t>2020</w:t>
      </w:r>
      <w:r w:rsidR="00FD47BA" w:rsidRPr="00FD47BA">
        <w:rPr>
          <w:rFonts w:hint="eastAsia"/>
          <w:lang w:eastAsia="zh-CN"/>
        </w:rPr>
        <w:t>年</w:t>
      </w:r>
      <w:r w:rsidR="00FD47BA" w:rsidRPr="00FD47BA">
        <w:rPr>
          <w:rFonts w:hint="eastAsia"/>
          <w:lang w:eastAsia="zh-CN"/>
        </w:rPr>
        <w:t>12</w:t>
      </w:r>
      <w:r w:rsidR="00FD47BA" w:rsidRPr="00FD47BA">
        <w:rPr>
          <w:rFonts w:hint="eastAsia"/>
          <w:lang w:eastAsia="zh-CN"/>
        </w:rPr>
        <w:t>月，国际电联管理层开始在国际电联范围内普及这一工具，使</w:t>
      </w:r>
      <w:r w:rsidR="00E4503F" w:rsidRPr="00FD47BA">
        <w:rPr>
          <w:rFonts w:hint="eastAsia"/>
          <w:lang w:eastAsia="zh-CN"/>
        </w:rPr>
        <w:t>组织</w:t>
      </w:r>
      <w:r w:rsidR="00E4503F">
        <w:rPr>
          <w:rFonts w:hint="eastAsia"/>
          <w:lang w:eastAsia="zh-CN"/>
        </w:rPr>
        <w:t>的</w:t>
      </w:r>
      <w:r w:rsidR="00E4503F" w:rsidRPr="00FD47BA">
        <w:rPr>
          <w:rFonts w:hint="eastAsia"/>
          <w:lang w:eastAsia="zh-CN"/>
        </w:rPr>
        <w:t>合规性</w:t>
      </w:r>
      <w:r w:rsidR="00E4503F">
        <w:rPr>
          <w:rFonts w:hint="eastAsia"/>
          <w:lang w:eastAsia="zh-CN"/>
        </w:rPr>
        <w:t>一目了然</w:t>
      </w:r>
      <w:r w:rsidR="00FD47BA" w:rsidRPr="00FD47BA">
        <w:rPr>
          <w:rFonts w:hint="eastAsia"/>
          <w:lang w:eastAsia="zh-CN"/>
        </w:rPr>
        <w:t>。</w:t>
      </w:r>
      <w:r w:rsidR="00E4503F">
        <w:rPr>
          <w:rFonts w:hint="eastAsia"/>
          <w:lang w:eastAsia="zh-CN"/>
        </w:rPr>
        <w:t>通过</w:t>
      </w:r>
      <w:r w:rsidR="009D3976">
        <w:rPr>
          <w:rFonts w:hint="eastAsia"/>
          <w:lang w:eastAsia="zh-CN"/>
        </w:rPr>
        <w:t>在</w:t>
      </w:r>
      <w:r w:rsidR="004A5F49" w:rsidRPr="004A5F49">
        <w:rPr>
          <w:rFonts w:hint="eastAsia"/>
          <w:lang w:eastAsia="zh-CN"/>
        </w:rPr>
        <w:t>2021</w:t>
      </w:r>
      <w:r w:rsidR="004A5F49" w:rsidRPr="004A5F49">
        <w:rPr>
          <w:rFonts w:hint="eastAsia"/>
          <w:lang w:eastAsia="zh-CN"/>
        </w:rPr>
        <w:t>年</w:t>
      </w:r>
      <w:r w:rsidR="009D3976">
        <w:rPr>
          <w:rFonts w:hint="eastAsia"/>
          <w:lang w:eastAsia="zh-CN"/>
        </w:rPr>
        <w:t>全年</w:t>
      </w:r>
      <w:r w:rsidR="00E4503F">
        <w:rPr>
          <w:rFonts w:hint="eastAsia"/>
          <w:lang w:eastAsia="zh-CN"/>
        </w:rPr>
        <w:t>的</w:t>
      </w:r>
      <w:r w:rsidR="004A5F49" w:rsidRPr="004A5F49">
        <w:rPr>
          <w:rFonts w:hint="eastAsia"/>
          <w:lang w:eastAsia="zh-CN"/>
        </w:rPr>
        <w:t>使用，</w:t>
      </w:r>
      <w:r w:rsidR="00E4503F" w:rsidRPr="004A5F49">
        <w:rPr>
          <w:rFonts w:hint="eastAsia"/>
          <w:lang w:eastAsia="zh-CN"/>
        </w:rPr>
        <w:t>这一工具</w:t>
      </w:r>
      <w:r w:rsidR="004A5F49" w:rsidRPr="004A5F49">
        <w:rPr>
          <w:rFonts w:hint="eastAsia"/>
          <w:lang w:eastAsia="zh-CN"/>
        </w:rPr>
        <w:t>使国际电联的管理和监督机构（内部审计、外部审计和</w:t>
      </w:r>
      <w:r w:rsidR="004A5F49" w:rsidRPr="004A5F49">
        <w:rPr>
          <w:rFonts w:hint="eastAsia"/>
          <w:lang w:eastAsia="zh-CN"/>
        </w:rPr>
        <w:t>IMAC</w:t>
      </w:r>
      <w:r w:rsidR="004A5F49" w:rsidRPr="004A5F49">
        <w:rPr>
          <w:rFonts w:hint="eastAsia"/>
          <w:lang w:eastAsia="zh-CN"/>
        </w:rPr>
        <w:t>）能够清楚地了解正在落实的建议、与这些建议有关的风险、关于建议执行进展或降低残余风险的实时信息。</w:t>
      </w:r>
      <w:r w:rsidR="00FD47BA" w:rsidRPr="00FD47BA">
        <w:rPr>
          <w:lang w:eastAsia="zh-CN"/>
        </w:rPr>
        <w:tab/>
      </w:r>
    </w:p>
    <w:p w14:paraId="27FABEFB" w14:textId="04CCBCB1" w:rsidR="002A5B06" w:rsidRPr="002A5B06" w:rsidRDefault="0085433F" w:rsidP="002A5B06">
      <w:pPr>
        <w:pStyle w:val="enumlev1"/>
        <w:rPr>
          <w:lang w:eastAsia="zh-CN"/>
        </w:rPr>
      </w:pPr>
      <w:r w:rsidRPr="000C156A">
        <w:rPr>
          <w:lang w:eastAsia="zh-CN"/>
        </w:rPr>
        <w:t>11</w:t>
      </w:r>
      <w:r w:rsidRPr="000C156A">
        <w:rPr>
          <w:lang w:eastAsia="zh-CN"/>
        </w:rPr>
        <w:tab/>
      </w:r>
      <w:r w:rsidR="009D3976" w:rsidRPr="009D3976">
        <w:rPr>
          <w:rFonts w:hint="eastAsia"/>
          <w:lang w:eastAsia="zh-CN"/>
        </w:rPr>
        <w:t>新制定的国际电联问责制框架与实施中的管理举措</w:t>
      </w:r>
      <w:r w:rsidR="003D0E24">
        <w:rPr>
          <w:rFonts w:hint="eastAsia"/>
          <w:lang w:eastAsia="zh-CN"/>
        </w:rPr>
        <w:t>接轨</w:t>
      </w:r>
      <w:r w:rsidR="009D3976" w:rsidRPr="009D3976">
        <w:rPr>
          <w:rFonts w:hint="eastAsia"/>
          <w:lang w:eastAsia="zh-CN"/>
        </w:rPr>
        <w:t>，</w:t>
      </w:r>
      <w:r w:rsidR="00A963D1">
        <w:rPr>
          <w:rFonts w:hint="eastAsia"/>
          <w:lang w:eastAsia="zh-CN"/>
        </w:rPr>
        <w:t>有助于强化</w:t>
      </w:r>
      <w:r w:rsidR="009D3976" w:rsidRPr="009D3976">
        <w:rPr>
          <w:rFonts w:hint="eastAsia"/>
          <w:lang w:eastAsia="zh-CN"/>
        </w:rPr>
        <w:t>问责制：此外，还与内部专家、其他联合国机构和独立管理顾问委员会（</w:t>
      </w:r>
      <w:r w:rsidR="009D3976" w:rsidRPr="009D3976">
        <w:rPr>
          <w:rFonts w:hint="eastAsia"/>
          <w:lang w:eastAsia="zh-CN"/>
        </w:rPr>
        <w:t>IMAC</w:t>
      </w:r>
      <w:r w:rsidR="009D3976" w:rsidRPr="009D3976">
        <w:rPr>
          <w:rFonts w:hint="eastAsia"/>
          <w:lang w:eastAsia="zh-CN"/>
        </w:rPr>
        <w:t>）进行了磋商，以测试该框架，并从其他组织获得有关良好做法的建议。此类磋商将持续进行，使该框架</w:t>
      </w:r>
      <w:r w:rsidR="00A963D1">
        <w:rPr>
          <w:rFonts w:hint="eastAsia"/>
          <w:lang w:eastAsia="zh-CN"/>
        </w:rPr>
        <w:t>不断完善</w:t>
      </w:r>
      <w:r w:rsidR="009D3976" w:rsidRPr="009D3976">
        <w:rPr>
          <w:rFonts w:hint="eastAsia"/>
          <w:lang w:eastAsia="zh-CN"/>
        </w:rPr>
        <w:t>。需特别指出的是，目前正在研究如何进一步改善对框架</w:t>
      </w:r>
      <w:r w:rsidR="000677EE">
        <w:rPr>
          <w:rFonts w:hint="eastAsia"/>
          <w:lang w:eastAsia="zh-CN"/>
        </w:rPr>
        <w:t>落</w:t>
      </w:r>
      <w:r w:rsidR="009D3976" w:rsidRPr="009D3976">
        <w:rPr>
          <w:rFonts w:hint="eastAsia"/>
          <w:lang w:eastAsia="zh-CN"/>
        </w:rPr>
        <w:t>实的监控和评价问题。在将问责</w:t>
      </w:r>
      <w:r w:rsidR="004A4F4B">
        <w:rPr>
          <w:rFonts w:hint="eastAsia"/>
          <w:lang w:eastAsia="zh-CN"/>
        </w:rPr>
        <w:t>制</w:t>
      </w:r>
      <w:r w:rsidR="009D3976" w:rsidRPr="009D3976">
        <w:rPr>
          <w:rFonts w:hint="eastAsia"/>
          <w:lang w:eastAsia="zh-CN"/>
        </w:rPr>
        <w:t>框架提交理事会批准</w:t>
      </w:r>
      <w:r w:rsidR="000677EE">
        <w:rPr>
          <w:rFonts w:hint="eastAsia"/>
          <w:lang w:eastAsia="zh-CN"/>
        </w:rPr>
        <w:t>之际</w:t>
      </w:r>
      <w:r w:rsidR="009D3976" w:rsidRPr="009D3976">
        <w:rPr>
          <w:rFonts w:hint="eastAsia"/>
          <w:lang w:eastAsia="zh-CN"/>
        </w:rPr>
        <w:t>，秘书长将</w:t>
      </w:r>
      <w:r w:rsidR="000677EE">
        <w:rPr>
          <w:rFonts w:hint="eastAsia"/>
          <w:lang w:eastAsia="zh-CN"/>
        </w:rPr>
        <w:t>在</w:t>
      </w:r>
      <w:r w:rsidR="009D3976" w:rsidRPr="009D3976">
        <w:rPr>
          <w:rFonts w:hint="eastAsia"/>
          <w:lang w:eastAsia="zh-CN"/>
        </w:rPr>
        <w:t>理事会的指导</w:t>
      </w:r>
      <w:r w:rsidR="000677EE">
        <w:rPr>
          <w:rFonts w:hint="eastAsia"/>
          <w:lang w:eastAsia="zh-CN"/>
        </w:rPr>
        <w:t>下</w:t>
      </w:r>
      <w:r w:rsidR="009D3976" w:rsidRPr="009D3976">
        <w:rPr>
          <w:rFonts w:hint="eastAsia"/>
          <w:lang w:eastAsia="zh-CN"/>
        </w:rPr>
        <w:t>，将它作为行政规定予以颁布，作为行政和法律依据。</w:t>
      </w:r>
    </w:p>
    <w:p w14:paraId="597D5AA1" w14:textId="37E1CF41" w:rsidR="002A5B06" w:rsidRPr="002A5B06" w:rsidRDefault="002A5B06" w:rsidP="002A5B06">
      <w:pPr>
        <w:pStyle w:val="enumlev1"/>
        <w:rPr>
          <w:lang w:eastAsia="zh-CN"/>
        </w:rPr>
      </w:pPr>
      <w:r w:rsidRPr="002A5B06">
        <w:rPr>
          <w:lang w:eastAsia="zh-CN"/>
        </w:rPr>
        <w:t>12</w:t>
      </w:r>
      <w:r w:rsidRPr="002A5B06">
        <w:rPr>
          <w:lang w:eastAsia="zh-CN"/>
        </w:rPr>
        <w:tab/>
      </w:r>
      <w:r w:rsidR="000677EE" w:rsidRPr="001B1C3E">
        <w:rPr>
          <w:rFonts w:hint="eastAsia"/>
          <w:spacing w:val="4"/>
          <w:lang w:eastAsia="zh-CN"/>
        </w:rPr>
        <w:t>在</w:t>
      </w:r>
      <w:r w:rsidR="000677EE" w:rsidRPr="001B1C3E">
        <w:rPr>
          <w:rFonts w:hint="eastAsia"/>
          <w:spacing w:val="4"/>
          <w:lang w:eastAsia="zh-CN"/>
        </w:rPr>
        <w:t>2021</w:t>
      </w:r>
      <w:r w:rsidR="000677EE" w:rsidRPr="001B1C3E">
        <w:rPr>
          <w:rFonts w:hint="eastAsia"/>
          <w:spacing w:val="4"/>
          <w:lang w:eastAsia="zh-CN"/>
        </w:rPr>
        <w:t>年期间，向外部审计员报告了多起调查案件，并在</w:t>
      </w:r>
      <w:r w:rsidR="000677EE" w:rsidRPr="001B1C3E">
        <w:rPr>
          <w:rFonts w:hint="eastAsia"/>
          <w:spacing w:val="4"/>
          <w:lang w:eastAsia="zh-CN"/>
        </w:rPr>
        <w:t>2020</w:t>
      </w:r>
      <w:r w:rsidR="000677EE" w:rsidRPr="001B1C3E">
        <w:rPr>
          <w:rFonts w:hint="eastAsia"/>
          <w:spacing w:val="4"/>
          <w:lang w:eastAsia="zh-CN"/>
        </w:rPr>
        <w:t>年报告了可能对</w:t>
      </w:r>
      <w:r w:rsidR="000677EE" w:rsidRPr="001B1C3E">
        <w:rPr>
          <w:rFonts w:hint="eastAsia"/>
          <w:spacing w:val="4"/>
          <w:lang w:eastAsia="zh-CN"/>
        </w:rPr>
        <w:t>2021</w:t>
      </w:r>
      <w:r w:rsidR="000677EE" w:rsidRPr="001B1C3E">
        <w:rPr>
          <w:rFonts w:hint="eastAsia"/>
          <w:spacing w:val="4"/>
          <w:lang w:eastAsia="zh-CN"/>
        </w:rPr>
        <w:t>年</w:t>
      </w:r>
      <w:r w:rsidR="000677EE" w:rsidRPr="000677EE">
        <w:rPr>
          <w:rFonts w:hint="eastAsia"/>
          <w:lang w:eastAsia="zh-CN"/>
        </w:rPr>
        <w:t>产生财务影响的案件：</w:t>
      </w:r>
    </w:p>
    <w:p w14:paraId="6BE348C5" w14:textId="5C6B19B4" w:rsidR="002A5B06" w:rsidRPr="00711379" w:rsidRDefault="002A5B06" w:rsidP="002A5B06">
      <w:pPr>
        <w:pStyle w:val="enumlev2"/>
        <w:rPr>
          <w:lang w:eastAsia="zh-CN"/>
        </w:rPr>
      </w:pPr>
      <w:r w:rsidRPr="00711379">
        <w:rPr>
          <w:lang w:eastAsia="zh-CN"/>
        </w:rPr>
        <w:t>a)</w:t>
      </w:r>
      <w:r w:rsidRPr="00711379">
        <w:rPr>
          <w:lang w:eastAsia="zh-CN"/>
        </w:rPr>
        <w:tab/>
      </w:r>
      <w:r w:rsidR="00E456D6" w:rsidRPr="00E456D6">
        <w:rPr>
          <w:rFonts w:hint="eastAsia"/>
          <w:lang w:eastAsia="zh-CN"/>
        </w:rPr>
        <w:t>2020</w:t>
      </w:r>
      <w:r w:rsidR="00E456D6" w:rsidRPr="00E456D6">
        <w:rPr>
          <w:rFonts w:hint="eastAsia"/>
          <w:lang w:eastAsia="zh-CN"/>
        </w:rPr>
        <w:t>年初查明了一起一名工作人员（驻日内瓦的国际职员）涉嫌教育补助金申请欺诈</w:t>
      </w:r>
      <w:r w:rsidR="00E456D6">
        <w:rPr>
          <w:rFonts w:hint="eastAsia"/>
          <w:lang w:eastAsia="zh-CN"/>
        </w:rPr>
        <w:t>的</w:t>
      </w:r>
      <w:r w:rsidR="00E456D6" w:rsidRPr="00E456D6">
        <w:rPr>
          <w:rFonts w:hint="eastAsia"/>
          <w:lang w:eastAsia="zh-CN"/>
        </w:rPr>
        <w:t>案</w:t>
      </w:r>
      <w:r w:rsidR="00E456D6">
        <w:rPr>
          <w:rFonts w:hint="eastAsia"/>
          <w:lang w:eastAsia="zh-CN"/>
        </w:rPr>
        <w:t>件</w:t>
      </w:r>
      <w:r w:rsidR="00E456D6" w:rsidRPr="00E456D6">
        <w:rPr>
          <w:rFonts w:hint="eastAsia"/>
          <w:lang w:eastAsia="zh-CN"/>
        </w:rPr>
        <w:t>。调查已经结束，涉事人员</w:t>
      </w:r>
      <w:r w:rsidR="00E456D6">
        <w:rPr>
          <w:rFonts w:hint="eastAsia"/>
          <w:lang w:eastAsia="zh-CN"/>
        </w:rPr>
        <w:t>已</w:t>
      </w:r>
      <w:r w:rsidR="00E456D6" w:rsidRPr="00E456D6">
        <w:rPr>
          <w:rFonts w:hint="eastAsia"/>
          <w:lang w:eastAsia="zh-CN"/>
        </w:rPr>
        <w:t>于</w:t>
      </w:r>
      <w:r w:rsidR="00E456D6" w:rsidRPr="00E456D6">
        <w:rPr>
          <w:rFonts w:hint="eastAsia"/>
          <w:lang w:eastAsia="zh-CN"/>
        </w:rPr>
        <w:t>2021</w:t>
      </w:r>
      <w:r w:rsidR="00E456D6" w:rsidRPr="00E456D6">
        <w:rPr>
          <w:rFonts w:hint="eastAsia"/>
          <w:lang w:eastAsia="zh-CN"/>
        </w:rPr>
        <w:t>年</w:t>
      </w:r>
      <w:r w:rsidR="00E456D6" w:rsidRPr="00E456D6">
        <w:rPr>
          <w:rFonts w:hint="eastAsia"/>
          <w:lang w:eastAsia="zh-CN"/>
        </w:rPr>
        <w:t>7</w:t>
      </w:r>
      <w:r w:rsidR="00E456D6" w:rsidRPr="00E456D6">
        <w:rPr>
          <w:rFonts w:hint="eastAsia"/>
          <w:lang w:eastAsia="zh-CN"/>
        </w:rPr>
        <w:t>月</w:t>
      </w:r>
      <w:r w:rsidR="00E456D6" w:rsidRPr="00E456D6">
        <w:rPr>
          <w:rFonts w:hint="eastAsia"/>
          <w:lang w:eastAsia="zh-CN"/>
        </w:rPr>
        <w:t>31</w:t>
      </w:r>
      <w:r w:rsidR="00E456D6" w:rsidRPr="00E456D6">
        <w:rPr>
          <w:rFonts w:hint="eastAsia"/>
          <w:lang w:eastAsia="zh-CN"/>
        </w:rPr>
        <w:t>日被辞退。</w:t>
      </w:r>
    </w:p>
    <w:p w14:paraId="096B8FA7" w14:textId="4FBD016B" w:rsidR="002A5B06" w:rsidRPr="002A5B06" w:rsidRDefault="002A5B06" w:rsidP="002A5B06">
      <w:pPr>
        <w:pStyle w:val="enumlev2"/>
        <w:rPr>
          <w:lang w:eastAsia="zh-CN"/>
        </w:rPr>
      </w:pPr>
      <w:r>
        <w:rPr>
          <w:lang w:eastAsia="zh-CN"/>
        </w:rPr>
        <w:t>b)</w:t>
      </w:r>
      <w:r>
        <w:rPr>
          <w:lang w:eastAsia="zh-CN"/>
        </w:rPr>
        <w:tab/>
      </w:r>
      <w:r w:rsidR="00E456D6" w:rsidRPr="00E456D6">
        <w:rPr>
          <w:rFonts w:hint="eastAsia"/>
          <w:lang w:eastAsia="zh-CN"/>
        </w:rPr>
        <w:t>2021</w:t>
      </w:r>
      <w:r w:rsidR="00E456D6" w:rsidRPr="00E456D6">
        <w:rPr>
          <w:rFonts w:hint="eastAsia"/>
          <w:lang w:eastAsia="zh-CN"/>
        </w:rPr>
        <w:t>年还收到了三起涉及前国际电联医疗保险提供商的医疗保险欺诈案，并由一名外部顾问进行了调查。鉴于欺诈行为是在向两名工作人员支付任何款项之前被发现的，未给本组织带来任何财务后果。</w:t>
      </w:r>
    </w:p>
    <w:p w14:paraId="7E72A44C" w14:textId="72CACCEF" w:rsidR="002A5B06" w:rsidRPr="002A5B06" w:rsidRDefault="002A5B06" w:rsidP="002A5B06">
      <w:pPr>
        <w:pStyle w:val="enumlev2"/>
        <w:rPr>
          <w:lang w:eastAsia="zh-CN"/>
        </w:rPr>
      </w:pPr>
      <w:r>
        <w:rPr>
          <w:lang w:eastAsia="zh-CN"/>
        </w:rPr>
        <w:t>c)</w:t>
      </w:r>
      <w:r>
        <w:rPr>
          <w:lang w:eastAsia="zh-CN"/>
        </w:rPr>
        <w:tab/>
      </w:r>
      <w:r w:rsidR="00E456D6" w:rsidRPr="00E456D6">
        <w:rPr>
          <w:rFonts w:hint="eastAsia"/>
          <w:lang w:eastAsia="zh-CN"/>
        </w:rPr>
        <w:t>国际电联获悉普华永道对涉及四名顾问（</w:t>
      </w:r>
      <w:r w:rsidR="00E456D6" w:rsidRPr="00E456D6">
        <w:rPr>
          <w:rFonts w:hint="eastAsia"/>
          <w:lang w:eastAsia="zh-CN"/>
        </w:rPr>
        <w:t>SSA</w:t>
      </w:r>
      <w:r w:rsidR="00E456D6" w:rsidRPr="00E456D6">
        <w:rPr>
          <w:rFonts w:hint="eastAsia"/>
          <w:lang w:eastAsia="zh-CN"/>
        </w:rPr>
        <w:t>）和一名工作人员的五起潜在欺诈案进行的法证审查。调查科</w:t>
      </w:r>
      <w:r w:rsidR="00A37284" w:rsidRPr="00E456D6">
        <w:rPr>
          <w:rFonts w:hint="eastAsia"/>
          <w:lang w:eastAsia="zh-CN"/>
        </w:rPr>
        <w:t>正在</w:t>
      </w:r>
      <w:r w:rsidR="00A37284">
        <w:rPr>
          <w:rFonts w:hint="eastAsia"/>
          <w:lang w:eastAsia="zh-CN"/>
        </w:rPr>
        <w:t>对</w:t>
      </w:r>
      <w:r w:rsidR="00A37284" w:rsidRPr="00E456D6">
        <w:rPr>
          <w:rFonts w:hint="eastAsia"/>
          <w:lang w:eastAsia="zh-CN"/>
        </w:rPr>
        <w:t>这些案件</w:t>
      </w:r>
      <w:r w:rsidR="00A37284">
        <w:rPr>
          <w:rFonts w:hint="eastAsia"/>
          <w:lang w:eastAsia="zh-CN"/>
        </w:rPr>
        <w:t>开展</w:t>
      </w:r>
      <w:r w:rsidR="00E456D6" w:rsidRPr="00E456D6">
        <w:rPr>
          <w:rFonts w:hint="eastAsia"/>
          <w:lang w:eastAsia="zh-CN"/>
        </w:rPr>
        <w:t>调查。目前尚不掌握任何可以确定所涉金额（如有）的</w:t>
      </w:r>
      <w:r w:rsidR="00A37284">
        <w:rPr>
          <w:rFonts w:hint="eastAsia"/>
          <w:lang w:eastAsia="zh-CN"/>
        </w:rPr>
        <w:t>信息</w:t>
      </w:r>
      <w:r w:rsidR="00E456D6" w:rsidRPr="00E456D6">
        <w:rPr>
          <w:rFonts w:hint="eastAsia"/>
          <w:lang w:eastAsia="zh-CN"/>
        </w:rPr>
        <w:t>。</w:t>
      </w:r>
    </w:p>
    <w:p w14:paraId="0F160561" w14:textId="7804631A" w:rsidR="002A5B06" w:rsidRPr="002A5B06" w:rsidRDefault="002A5B06" w:rsidP="002A5B06">
      <w:pPr>
        <w:pStyle w:val="enumlev2"/>
        <w:rPr>
          <w:lang w:eastAsia="zh-CN"/>
        </w:rPr>
      </w:pPr>
      <w:r>
        <w:rPr>
          <w:lang w:eastAsia="zh-CN"/>
        </w:rPr>
        <w:t>d)</w:t>
      </w:r>
      <w:r>
        <w:rPr>
          <w:lang w:eastAsia="zh-CN"/>
        </w:rPr>
        <w:tab/>
      </w:r>
      <w:r w:rsidR="00A37284" w:rsidRPr="00A37284">
        <w:rPr>
          <w:rFonts w:hint="eastAsia"/>
          <w:lang w:eastAsia="zh-CN"/>
        </w:rPr>
        <w:t>调查科还在调查涉及两名工作人员和一名顾问的欺诈和利益冲突指控。一旦调查结束并对欺诈的影响做出评估，我将对外部审计师</w:t>
      </w:r>
      <w:r w:rsidR="00A37284">
        <w:rPr>
          <w:rFonts w:hint="eastAsia"/>
          <w:lang w:eastAsia="zh-CN"/>
        </w:rPr>
        <w:t>做出</w:t>
      </w:r>
      <w:r w:rsidR="00A37284" w:rsidRPr="00A37284">
        <w:rPr>
          <w:rFonts w:hint="eastAsia"/>
          <w:lang w:eastAsia="zh-CN"/>
        </w:rPr>
        <w:t>评估。</w:t>
      </w:r>
    </w:p>
    <w:p w14:paraId="02562808" w14:textId="6924DD24" w:rsidR="0085433F" w:rsidRPr="000C156A" w:rsidRDefault="002A5B06" w:rsidP="0085433F">
      <w:pPr>
        <w:pStyle w:val="enumlev1"/>
        <w:rPr>
          <w:lang w:eastAsia="zh-CN"/>
        </w:rPr>
      </w:pPr>
      <w:r>
        <w:rPr>
          <w:rFonts w:hint="eastAsia"/>
          <w:lang w:eastAsia="zh-CN"/>
        </w:rPr>
        <w:t>1</w:t>
      </w:r>
      <w:r>
        <w:rPr>
          <w:lang w:eastAsia="zh-CN"/>
        </w:rPr>
        <w:t>3</w:t>
      </w:r>
      <w:r>
        <w:rPr>
          <w:lang w:eastAsia="zh-CN"/>
        </w:rPr>
        <w:tab/>
      </w:r>
      <w:r w:rsidR="00A37284" w:rsidRPr="00A37284">
        <w:rPr>
          <w:rFonts w:hint="eastAsia"/>
          <w:lang w:eastAsia="zh-CN"/>
        </w:rPr>
        <w:t>最后，关于曼谷代表处的欺诈案件，已对负有直接或间接责任的工作人员实施了纪律处分，同时在泰国启动了法律行动。在我的直接监督下，一</w:t>
      </w:r>
      <w:r w:rsidR="00A37284">
        <w:rPr>
          <w:rFonts w:hint="eastAsia"/>
          <w:lang w:eastAsia="zh-CN"/>
        </w:rPr>
        <w:t>名</w:t>
      </w:r>
      <w:r w:rsidR="00A37284" w:rsidRPr="00A37284">
        <w:rPr>
          <w:rFonts w:hint="eastAsia"/>
          <w:lang w:eastAsia="zh-CN"/>
        </w:rPr>
        <w:t>独立的工作人员正在对欺诈案进行量化处理。</w:t>
      </w:r>
    </w:p>
    <w:bookmarkEnd w:id="163"/>
    <w:bookmarkEnd w:id="164"/>
    <w:p w14:paraId="77025ED5" w14:textId="464492B5" w:rsidR="0085433F" w:rsidRPr="000C156A" w:rsidRDefault="0085433F" w:rsidP="0085433F">
      <w:pPr>
        <w:pStyle w:val="enumlev1"/>
        <w:rPr>
          <w:lang w:eastAsia="zh-CN"/>
        </w:rPr>
      </w:pPr>
      <w:r w:rsidRPr="000C156A">
        <w:rPr>
          <w:lang w:eastAsia="zh-CN"/>
        </w:rPr>
        <w:t>14</w:t>
      </w:r>
      <w:r w:rsidRPr="000C156A">
        <w:rPr>
          <w:lang w:eastAsia="zh-CN"/>
        </w:rPr>
        <w:tab/>
      </w:r>
      <w:r w:rsidR="00A37284" w:rsidRPr="00A37284">
        <w:rPr>
          <w:rFonts w:hint="eastAsia"/>
          <w:lang w:eastAsia="zh-CN"/>
        </w:rPr>
        <w:t>为此</w:t>
      </w:r>
      <w:r w:rsidR="009F29BC">
        <w:rPr>
          <w:rFonts w:hint="eastAsia"/>
          <w:lang w:eastAsia="zh-CN"/>
        </w:rPr>
        <w:t>以及</w:t>
      </w:r>
      <w:r w:rsidR="00A37284" w:rsidRPr="00A37284">
        <w:rPr>
          <w:rFonts w:hint="eastAsia"/>
          <w:lang w:eastAsia="zh-CN"/>
        </w:rPr>
        <w:t>为了降低欺诈风险，针对具体案件类型制定</w:t>
      </w:r>
      <w:r w:rsidR="009F29BC">
        <w:rPr>
          <w:rFonts w:hint="eastAsia"/>
          <w:lang w:eastAsia="zh-CN"/>
        </w:rPr>
        <w:t>和实施</w:t>
      </w:r>
      <w:r w:rsidR="00A37284" w:rsidRPr="00A37284">
        <w:rPr>
          <w:rFonts w:hint="eastAsia"/>
          <w:lang w:eastAsia="zh-CN"/>
        </w:rPr>
        <w:t>了新的采购程序，以确保适当层面的控制，并且在征用、资金批准和采购职能方面实现职权分离。这些程序已</w:t>
      </w:r>
      <w:r w:rsidR="009F29BC">
        <w:rPr>
          <w:rFonts w:hint="eastAsia"/>
          <w:lang w:eastAsia="zh-CN"/>
        </w:rPr>
        <w:t>于</w:t>
      </w:r>
      <w:r w:rsidR="00A37284" w:rsidRPr="00A37284">
        <w:rPr>
          <w:rFonts w:hint="eastAsia"/>
          <w:lang w:eastAsia="zh-CN"/>
        </w:rPr>
        <w:t>2019</w:t>
      </w:r>
      <w:r w:rsidR="00A37284" w:rsidRPr="00A37284">
        <w:rPr>
          <w:rFonts w:hint="eastAsia"/>
          <w:lang w:eastAsia="zh-CN"/>
        </w:rPr>
        <w:t>年推出。此外，于</w:t>
      </w:r>
      <w:r w:rsidR="00A37284" w:rsidRPr="00A37284">
        <w:rPr>
          <w:rFonts w:hint="eastAsia"/>
          <w:lang w:eastAsia="zh-CN"/>
        </w:rPr>
        <w:t>2019</w:t>
      </w:r>
      <w:r w:rsidR="00A37284" w:rsidRPr="00A37284">
        <w:rPr>
          <w:rFonts w:hint="eastAsia"/>
          <w:lang w:eastAsia="zh-CN"/>
        </w:rPr>
        <w:t>年</w:t>
      </w:r>
      <w:r w:rsidR="00A37284" w:rsidRPr="00A37284">
        <w:rPr>
          <w:rFonts w:hint="eastAsia"/>
          <w:lang w:eastAsia="zh-CN"/>
        </w:rPr>
        <w:t>6</w:t>
      </w:r>
      <w:r w:rsidR="00A37284" w:rsidRPr="00A37284">
        <w:rPr>
          <w:rFonts w:hint="eastAsia"/>
          <w:lang w:eastAsia="zh-CN"/>
        </w:rPr>
        <w:t>月发布</w:t>
      </w:r>
      <w:r w:rsidR="009F29BC">
        <w:rPr>
          <w:rFonts w:hint="eastAsia"/>
          <w:lang w:eastAsia="zh-CN"/>
        </w:rPr>
        <w:t>的</w:t>
      </w:r>
      <w:r w:rsidR="00A37284" w:rsidRPr="00A37284">
        <w:rPr>
          <w:rFonts w:hint="eastAsia"/>
          <w:lang w:eastAsia="zh-CN"/>
        </w:rPr>
        <w:t>采购手册，也</w:t>
      </w:r>
      <w:r w:rsidR="009F29BC">
        <w:rPr>
          <w:rFonts w:hint="eastAsia"/>
          <w:lang w:eastAsia="zh-CN"/>
        </w:rPr>
        <w:t>使</w:t>
      </w:r>
      <w:r w:rsidR="009F29BC" w:rsidRPr="00A37284">
        <w:rPr>
          <w:rFonts w:hint="eastAsia"/>
          <w:lang w:eastAsia="zh-CN"/>
        </w:rPr>
        <w:t>国际电联的采购职能</w:t>
      </w:r>
      <w:r w:rsidR="009F29BC">
        <w:rPr>
          <w:rFonts w:hint="eastAsia"/>
          <w:lang w:eastAsia="zh-CN"/>
        </w:rPr>
        <w:t>得到</w:t>
      </w:r>
      <w:r w:rsidR="00A37284" w:rsidRPr="00A37284">
        <w:rPr>
          <w:rFonts w:hint="eastAsia"/>
          <w:lang w:eastAsia="zh-CN"/>
        </w:rPr>
        <w:t>进一步</w:t>
      </w:r>
      <w:r w:rsidR="009F29BC">
        <w:rPr>
          <w:rFonts w:hint="eastAsia"/>
          <w:lang w:eastAsia="zh-CN"/>
        </w:rPr>
        <w:t>强化</w:t>
      </w:r>
      <w:r w:rsidR="00A37284" w:rsidRPr="00A37284">
        <w:rPr>
          <w:rFonts w:hint="eastAsia"/>
          <w:lang w:eastAsia="zh-CN"/>
        </w:rPr>
        <w:t>。</w:t>
      </w:r>
    </w:p>
    <w:p w14:paraId="30FCFF86" w14:textId="36662268" w:rsidR="0085433F" w:rsidRPr="000C156A" w:rsidRDefault="002E09BF" w:rsidP="005D2724">
      <w:pPr>
        <w:pStyle w:val="enumlev1"/>
        <w:keepNext/>
        <w:rPr>
          <w:lang w:eastAsia="zh-CN"/>
        </w:rPr>
      </w:pPr>
      <w:r>
        <w:rPr>
          <w:lang w:eastAsia="zh-CN"/>
        </w:rPr>
        <w:lastRenderedPageBreak/>
        <w:t>15</w:t>
      </w:r>
      <w:r w:rsidR="0085433F" w:rsidRPr="000C156A">
        <w:rPr>
          <w:lang w:eastAsia="zh-CN"/>
        </w:rPr>
        <w:tab/>
      </w:r>
      <w:r w:rsidR="0085433F" w:rsidRPr="000C156A">
        <w:rPr>
          <w:rFonts w:hint="eastAsia"/>
          <w:lang w:eastAsia="zh-CN"/>
        </w:rPr>
        <w:t>在编制年度账目时，</w:t>
      </w:r>
      <w:r w:rsidR="0085433F" w:rsidRPr="000C156A">
        <w:rPr>
          <w:rFonts w:hint="eastAsia"/>
          <w:lang w:eastAsia="zh-CN"/>
        </w:rPr>
        <w:t>EA</w:t>
      </w:r>
      <w:r w:rsidR="0085433F" w:rsidRPr="000C156A">
        <w:rPr>
          <w:rFonts w:hint="eastAsia"/>
          <w:lang w:eastAsia="zh-CN"/>
        </w:rPr>
        <w:t>工作结束前对账目产生影响的所有情况均已考虑在内。对于从现在到理事会下届会议之间注意到的所有可能对年度账目产生追溯性影响的任何新事件，我们都将立即通报外国际电联部审计员。</w:t>
      </w:r>
    </w:p>
    <w:p w14:paraId="74E3921D" w14:textId="77777777" w:rsidR="0085433F" w:rsidRPr="000C156A" w:rsidRDefault="0085433F" w:rsidP="0085433F">
      <w:pPr>
        <w:rPr>
          <w:lang w:eastAsia="zh-C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85433F" w:rsidRPr="00006ED7" w14:paraId="161DD803" w14:textId="77777777" w:rsidTr="003A64C9">
        <w:tc>
          <w:tcPr>
            <w:tcW w:w="4962" w:type="dxa"/>
            <w:hideMark/>
          </w:tcPr>
          <w:p w14:paraId="59696BF4" w14:textId="77777777" w:rsidR="0085433F" w:rsidRPr="000C156A" w:rsidRDefault="0085433F" w:rsidP="003A64C9">
            <w:pPr>
              <w:tabs>
                <w:tab w:val="left" w:pos="5387"/>
              </w:tabs>
              <w:spacing w:before="60" w:after="60"/>
              <w:jc w:val="center"/>
              <w:rPr>
                <w:lang w:val="fr-CH" w:eastAsia="zh-CN"/>
              </w:rPr>
            </w:pPr>
            <w:r w:rsidRPr="000C156A">
              <w:rPr>
                <w:rFonts w:hint="eastAsia"/>
                <w:lang w:val="fr-CH" w:eastAsia="zh-CN"/>
              </w:rPr>
              <w:t>财务资源管理部主任</w:t>
            </w:r>
          </w:p>
          <w:p w14:paraId="3C5F4E93" w14:textId="77777777" w:rsidR="0085433F" w:rsidRPr="000C156A" w:rsidRDefault="0085433F" w:rsidP="003A64C9">
            <w:pPr>
              <w:tabs>
                <w:tab w:val="left" w:pos="5387"/>
              </w:tabs>
              <w:spacing w:before="60" w:after="60"/>
              <w:jc w:val="center"/>
              <w:rPr>
                <w:lang w:val="fr-CH" w:eastAsia="zh-CN"/>
              </w:rPr>
            </w:pPr>
            <w:r w:rsidRPr="000C156A">
              <w:rPr>
                <w:lang w:val="fr-CH" w:eastAsia="zh-CN"/>
              </w:rPr>
              <w:t>Alassane Ba</w:t>
            </w:r>
          </w:p>
          <w:p w14:paraId="2F563C90" w14:textId="77777777" w:rsidR="0085433F" w:rsidRPr="000C156A" w:rsidRDefault="0085433F" w:rsidP="003A64C9">
            <w:pPr>
              <w:tabs>
                <w:tab w:val="left" w:pos="5387"/>
              </w:tabs>
              <w:spacing w:before="60" w:after="60"/>
              <w:jc w:val="center"/>
              <w:rPr>
                <w:lang w:val="fr-CH" w:eastAsia="zh-CN"/>
              </w:rPr>
            </w:pPr>
            <w:r w:rsidRPr="000C156A">
              <w:rPr>
                <w:rFonts w:hint="eastAsia"/>
                <w:lang w:val="fr-CH" w:eastAsia="zh-CN"/>
              </w:rPr>
              <w:t>数字签名</w:t>
            </w:r>
          </w:p>
          <w:p w14:paraId="1A5E2E04" w14:textId="67613071" w:rsidR="0085433F" w:rsidRPr="000C156A" w:rsidRDefault="0085433F" w:rsidP="003A64C9">
            <w:pPr>
              <w:tabs>
                <w:tab w:val="left" w:pos="5387"/>
              </w:tabs>
              <w:spacing w:before="60" w:after="60"/>
              <w:jc w:val="center"/>
              <w:rPr>
                <w:lang w:val="fr-CH" w:eastAsia="zh-CN"/>
              </w:rPr>
            </w:pPr>
            <w:r w:rsidRPr="000C156A">
              <w:rPr>
                <w:rFonts w:hint="eastAsia"/>
                <w:lang w:val="fr-CH" w:eastAsia="zh-CN"/>
              </w:rPr>
              <w:t>日期：</w:t>
            </w:r>
            <w:r w:rsidRPr="000C156A">
              <w:rPr>
                <w:rFonts w:hint="eastAsia"/>
                <w:lang w:val="fr-CH" w:eastAsia="zh-CN"/>
              </w:rPr>
              <w:t>2</w:t>
            </w:r>
            <w:r w:rsidRPr="000C156A">
              <w:rPr>
                <w:lang w:val="fr-CH" w:eastAsia="zh-CN"/>
              </w:rPr>
              <w:t>02</w:t>
            </w:r>
            <w:r w:rsidR="002E09BF">
              <w:rPr>
                <w:lang w:val="fr-CH" w:eastAsia="zh-CN"/>
              </w:rPr>
              <w:t>2</w:t>
            </w:r>
            <w:r w:rsidRPr="000C156A">
              <w:rPr>
                <w:rFonts w:hint="eastAsia"/>
                <w:lang w:val="fr-CH" w:eastAsia="zh-CN"/>
              </w:rPr>
              <w:t>年</w:t>
            </w:r>
            <w:r w:rsidRPr="000C156A">
              <w:rPr>
                <w:rFonts w:hint="eastAsia"/>
                <w:lang w:val="fr-CH" w:eastAsia="zh-CN"/>
              </w:rPr>
              <w:t>3</w:t>
            </w:r>
            <w:r w:rsidRPr="000C156A">
              <w:rPr>
                <w:rFonts w:hint="eastAsia"/>
                <w:lang w:val="fr-CH" w:eastAsia="zh-CN"/>
              </w:rPr>
              <w:t>月</w:t>
            </w:r>
            <w:r w:rsidRPr="000C156A">
              <w:rPr>
                <w:rFonts w:hint="eastAsia"/>
                <w:lang w:val="fr-CH" w:eastAsia="zh-CN"/>
              </w:rPr>
              <w:t>1</w:t>
            </w:r>
            <w:r w:rsidR="002E09BF">
              <w:rPr>
                <w:lang w:val="fr-CH" w:eastAsia="zh-CN"/>
              </w:rPr>
              <w:t>1</w:t>
            </w:r>
            <w:r w:rsidRPr="000C156A">
              <w:rPr>
                <w:rFonts w:hint="eastAsia"/>
                <w:lang w:val="fr-CH" w:eastAsia="zh-CN"/>
              </w:rPr>
              <w:t>日</w:t>
            </w:r>
          </w:p>
        </w:tc>
        <w:tc>
          <w:tcPr>
            <w:tcW w:w="4677" w:type="dxa"/>
            <w:hideMark/>
          </w:tcPr>
          <w:p w14:paraId="2A1810CB" w14:textId="77777777" w:rsidR="0085433F" w:rsidRPr="000C156A" w:rsidRDefault="0085433F" w:rsidP="003A64C9">
            <w:pPr>
              <w:tabs>
                <w:tab w:val="left" w:pos="5387"/>
              </w:tabs>
              <w:spacing w:before="60" w:after="60"/>
              <w:jc w:val="center"/>
              <w:rPr>
                <w:lang w:val="fr-CH" w:eastAsia="zh-CN"/>
              </w:rPr>
            </w:pPr>
            <w:r w:rsidRPr="000C156A">
              <w:rPr>
                <w:rFonts w:hint="eastAsia"/>
                <w:lang w:val="fr-CH" w:eastAsia="zh-CN"/>
              </w:rPr>
              <w:t>秘书长</w:t>
            </w:r>
          </w:p>
          <w:p w14:paraId="7848FE34" w14:textId="77777777" w:rsidR="0085433F" w:rsidRPr="000C156A" w:rsidRDefault="0085433F" w:rsidP="003A64C9">
            <w:pPr>
              <w:tabs>
                <w:tab w:val="left" w:pos="5387"/>
              </w:tabs>
              <w:spacing w:before="60" w:after="60"/>
              <w:jc w:val="center"/>
              <w:rPr>
                <w:lang w:val="fr-CH" w:eastAsia="zh-CN"/>
              </w:rPr>
            </w:pPr>
            <w:r w:rsidRPr="000C156A">
              <w:rPr>
                <w:rFonts w:hint="eastAsia"/>
                <w:lang w:val="fr-CH" w:eastAsia="zh-CN"/>
              </w:rPr>
              <w:t>赵厚麟</w:t>
            </w:r>
          </w:p>
          <w:p w14:paraId="234D1584" w14:textId="77777777" w:rsidR="0085433F" w:rsidRPr="000C156A" w:rsidRDefault="0085433F" w:rsidP="003A64C9">
            <w:pPr>
              <w:tabs>
                <w:tab w:val="left" w:pos="5387"/>
              </w:tabs>
              <w:spacing w:before="60" w:after="60"/>
              <w:jc w:val="center"/>
              <w:rPr>
                <w:lang w:val="fr-CH" w:eastAsia="zh-CN"/>
              </w:rPr>
            </w:pPr>
            <w:r w:rsidRPr="000C156A">
              <w:rPr>
                <w:rFonts w:hint="eastAsia"/>
                <w:lang w:val="fr-CH" w:eastAsia="zh-CN"/>
              </w:rPr>
              <w:t>数字签名</w:t>
            </w:r>
          </w:p>
          <w:p w14:paraId="5F3F2FE9" w14:textId="726B96B5" w:rsidR="0085433F" w:rsidRPr="000C156A" w:rsidRDefault="0085433F" w:rsidP="003A64C9">
            <w:pPr>
              <w:tabs>
                <w:tab w:val="left" w:pos="5387"/>
              </w:tabs>
              <w:spacing w:before="60" w:after="60"/>
              <w:jc w:val="center"/>
              <w:rPr>
                <w:lang w:val="fr-CH" w:eastAsia="zh-CN"/>
              </w:rPr>
            </w:pPr>
            <w:r w:rsidRPr="000C156A">
              <w:rPr>
                <w:rFonts w:hint="eastAsia"/>
                <w:lang w:val="fr-CH" w:eastAsia="zh-CN"/>
              </w:rPr>
              <w:t>日期：</w:t>
            </w:r>
            <w:r w:rsidRPr="000C156A">
              <w:rPr>
                <w:rFonts w:hint="eastAsia"/>
                <w:lang w:val="fr-CH" w:eastAsia="zh-CN"/>
              </w:rPr>
              <w:t>2</w:t>
            </w:r>
            <w:r w:rsidRPr="000C156A">
              <w:rPr>
                <w:lang w:val="fr-CH" w:eastAsia="zh-CN"/>
              </w:rPr>
              <w:t>02</w:t>
            </w:r>
            <w:r w:rsidR="002E09BF">
              <w:rPr>
                <w:lang w:val="fr-CH" w:eastAsia="zh-CN"/>
              </w:rPr>
              <w:t>2</w:t>
            </w:r>
            <w:r w:rsidRPr="000C156A">
              <w:rPr>
                <w:rFonts w:hint="eastAsia"/>
                <w:lang w:val="fr-CH" w:eastAsia="zh-CN"/>
              </w:rPr>
              <w:t>年</w:t>
            </w:r>
            <w:r w:rsidRPr="000C156A">
              <w:rPr>
                <w:rFonts w:hint="eastAsia"/>
                <w:lang w:val="fr-CH" w:eastAsia="zh-CN"/>
              </w:rPr>
              <w:t>3</w:t>
            </w:r>
            <w:r w:rsidRPr="000C156A">
              <w:rPr>
                <w:rFonts w:hint="eastAsia"/>
                <w:lang w:val="fr-CH" w:eastAsia="zh-CN"/>
              </w:rPr>
              <w:t>月</w:t>
            </w:r>
            <w:r w:rsidRPr="000C156A">
              <w:rPr>
                <w:rFonts w:hint="eastAsia"/>
                <w:lang w:val="fr-CH" w:eastAsia="zh-CN"/>
              </w:rPr>
              <w:t>1</w:t>
            </w:r>
            <w:r w:rsidR="002E09BF">
              <w:rPr>
                <w:lang w:val="fr-CH" w:eastAsia="zh-CN"/>
              </w:rPr>
              <w:t>1</w:t>
            </w:r>
            <w:r w:rsidRPr="000C156A">
              <w:rPr>
                <w:rFonts w:hint="eastAsia"/>
                <w:lang w:val="fr-CH" w:eastAsia="zh-CN"/>
              </w:rPr>
              <w:t>日</w:t>
            </w:r>
          </w:p>
        </w:tc>
      </w:tr>
    </w:tbl>
    <w:p w14:paraId="11F4A0D1" w14:textId="77777777" w:rsidR="0085433F" w:rsidRPr="00006ED7" w:rsidRDefault="0085433F" w:rsidP="0085433F">
      <w:pPr>
        <w:rPr>
          <w:w w:val="105"/>
          <w:lang w:val="fr-CH" w:eastAsia="zh-CN"/>
        </w:rPr>
      </w:pPr>
      <w:r w:rsidRPr="00006ED7">
        <w:rPr>
          <w:w w:val="105"/>
          <w:lang w:val="fr-CH" w:eastAsia="zh-CN"/>
        </w:rPr>
        <w:br w:type="page"/>
      </w:r>
    </w:p>
    <w:p w14:paraId="70CA2E77" w14:textId="31B0E36B" w:rsidR="0085433F" w:rsidRPr="00006ED7" w:rsidRDefault="0085433F" w:rsidP="0085433F">
      <w:pPr>
        <w:pStyle w:val="Heading1"/>
        <w:jc w:val="center"/>
        <w:rPr>
          <w:rFonts w:asciiTheme="minorHAnsi" w:hAnsiTheme="minorHAnsi" w:cs="Arial"/>
          <w:szCs w:val="28"/>
          <w:lang w:val="fr-CH" w:eastAsia="zh-CN"/>
        </w:rPr>
      </w:pPr>
      <w:bookmarkStart w:id="165" w:name="_Toc482892533"/>
      <w:bookmarkStart w:id="166" w:name="_Toc358364826"/>
      <w:bookmarkStart w:id="167" w:name="_Toc511116004"/>
      <w:bookmarkStart w:id="168" w:name="_Toc41905283"/>
      <w:bookmarkStart w:id="169" w:name="_Toc41905746"/>
      <w:bookmarkStart w:id="170" w:name="_Toc41905834"/>
      <w:bookmarkStart w:id="171" w:name="_Toc41907963"/>
      <w:bookmarkStart w:id="172" w:name="_Toc72747208"/>
      <w:bookmarkStart w:id="173" w:name="_Toc73356638"/>
      <w:bookmarkStart w:id="174" w:name="_Toc73461010"/>
      <w:bookmarkStart w:id="175" w:name="_Toc73518657"/>
      <w:bookmarkStart w:id="176" w:name="_Toc73518804"/>
      <w:bookmarkStart w:id="177" w:name="_Toc73519204"/>
      <w:bookmarkStart w:id="178" w:name="_Toc73636086"/>
      <w:bookmarkStart w:id="179" w:name="_Toc73636228"/>
      <w:bookmarkStart w:id="180" w:name="_Toc110264992"/>
      <w:bookmarkStart w:id="181" w:name="_Toc110265211"/>
      <w:bookmarkStart w:id="182" w:name="_Toc110265677"/>
      <w:bookmarkStart w:id="183" w:name="_Toc110330231"/>
      <w:r w:rsidRPr="00006ED7">
        <w:rPr>
          <w:rFonts w:asciiTheme="minorHAnsi" w:hAnsiTheme="minorHAnsi" w:cs="Arial"/>
          <w:szCs w:val="28"/>
          <w:lang w:val="fr-CH" w:eastAsia="zh-CN"/>
        </w:rPr>
        <w:lastRenderedPageBreak/>
        <w:t>202</w:t>
      </w:r>
      <w:r w:rsidR="00802043" w:rsidRPr="00006ED7">
        <w:rPr>
          <w:rFonts w:asciiTheme="minorHAnsi" w:hAnsiTheme="minorHAnsi" w:cs="Arial"/>
          <w:szCs w:val="28"/>
          <w:lang w:val="fr-CH" w:eastAsia="zh-CN"/>
        </w:rPr>
        <w:t>1</w:t>
      </w:r>
      <w:r w:rsidRPr="000C156A">
        <w:rPr>
          <w:rFonts w:hint="eastAsia"/>
          <w:lang w:eastAsia="zh-CN"/>
        </w:rPr>
        <w:t>年内部控制声明</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17658272" w14:textId="77777777" w:rsidR="0085433F" w:rsidRPr="00006ED7" w:rsidRDefault="0085433F" w:rsidP="0085433F">
      <w:pPr>
        <w:pStyle w:val="Headingb"/>
        <w:spacing w:before="480"/>
        <w:rPr>
          <w:lang w:val="fr-CH" w:eastAsia="zh-CN"/>
        </w:rPr>
      </w:pPr>
      <w:bookmarkStart w:id="184" w:name="_Toc72744923"/>
      <w:bookmarkStart w:id="185" w:name="_Toc72747209"/>
      <w:bookmarkStart w:id="186" w:name="_Toc73461011"/>
      <w:bookmarkStart w:id="187" w:name="_Toc73518658"/>
      <w:bookmarkStart w:id="188" w:name="_Toc73518805"/>
      <w:bookmarkStart w:id="189" w:name="_Toc73519205"/>
      <w:bookmarkStart w:id="190" w:name="_Toc73636087"/>
      <w:bookmarkStart w:id="191" w:name="_Toc73636229"/>
      <w:r w:rsidRPr="000C156A">
        <w:rPr>
          <w:rFonts w:hint="eastAsia"/>
          <w:lang w:eastAsia="zh-CN"/>
        </w:rPr>
        <w:t>职责范围</w:t>
      </w:r>
      <w:bookmarkEnd w:id="184"/>
      <w:bookmarkEnd w:id="185"/>
      <w:bookmarkEnd w:id="186"/>
      <w:bookmarkEnd w:id="187"/>
      <w:bookmarkEnd w:id="188"/>
      <w:bookmarkEnd w:id="189"/>
      <w:bookmarkEnd w:id="190"/>
      <w:bookmarkEnd w:id="191"/>
    </w:p>
    <w:p w14:paraId="2C4A0297" w14:textId="1BFE6204" w:rsidR="0085433F" w:rsidRPr="000C156A" w:rsidRDefault="0085433F" w:rsidP="0085433F">
      <w:pPr>
        <w:ind w:firstLineChars="200" w:firstLine="480"/>
        <w:rPr>
          <w:lang w:eastAsia="zh-CN"/>
        </w:rPr>
      </w:pPr>
      <w:r w:rsidRPr="000C156A">
        <w:rPr>
          <w:rFonts w:hint="eastAsia"/>
          <w:lang w:eastAsia="zh-CN"/>
        </w:rPr>
        <w:t>作为国际电信联盟</w:t>
      </w:r>
      <w:r w:rsidRPr="00006ED7">
        <w:rPr>
          <w:rFonts w:hint="eastAsia"/>
          <w:lang w:val="fr-CH" w:eastAsia="zh-CN"/>
        </w:rPr>
        <w:t>（</w:t>
      </w:r>
      <w:r w:rsidRPr="00006ED7">
        <w:rPr>
          <w:lang w:val="fr-CH" w:eastAsia="zh-CN"/>
        </w:rPr>
        <w:t>ITU</w:t>
      </w:r>
      <w:r w:rsidRPr="00006ED7">
        <w:rPr>
          <w:rFonts w:hint="eastAsia"/>
          <w:lang w:val="fr-CH" w:eastAsia="zh-CN"/>
        </w:rPr>
        <w:t>）</w:t>
      </w:r>
      <w:r w:rsidRPr="000C156A">
        <w:rPr>
          <w:rFonts w:hint="eastAsia"/>
          <w:lang w:eastAsia="zh-CN"/>
        </w:rPr>
        <w:t>秘书长</w:t>
      </w:r>
      <w:r w:rsidRPr="00006ED7">
        <w:rPr>
          <w:rFonts w:hint="eastAsia"/>
          <w:lang w:val="fr-CH" w:eastAsia="zh-CN"/>
        </w:rPr>
        <w:t>，</w:t>
      </w:r>
      <w:r w:rsidRPr="000C156A">
        <w:rPr>
          <w:rFonts w:hint="eastAsia"/>
          <w:lang w:eastAsia="zh-CN"/>
        </w:rPr>
        <w:t>我将作为国际电联的法人代表。特别根据《组织法》第</w:t>
      </w:r>
      <w:r w:rsidRPr="000C156A">
        <w:rPr>
          <w:rFonts w:hint="eastAsia"/>
          <w:lang w:eastAsia="zh-CN"/>
        </w:rPr>
        <w:t>73</w:t>
      </w:r>
      <w:r w:rsidRPr="000C156A">
        <w:rPr>
          <w:rFonts w:hint="eastAsia"/>
          <w:lang w:eastAsia="zh-CN"/>
        </w:rPr>
        <w:t>之二款和第</w:t>
      </w:r>
      <w:r w:rsidRPr="000C156A">
        <w:rPr>
          <w:rFonts w:hint="eastAsia"/>
          <w:lang w:eastAsia="zh-CN"/>
        </w:rPr>
        <w:t>75</w:t>
      </w:r>
      <w:r w:rsidRPr="000C156A">
        <w:rPr>
          <w:rFonts w:hint="eastAsia"/>
          <w:lang w:eastAsia="zh-CN"/>
        </w:rPr>
        <w:t>款（第</w:t>
      </w:r>
      <w:r w:rsidRPr="000C156A">
        <w:rPr>
          <w:rFonts w:hint="eastAsia"/>
          <w:lang w:eastAsia="zh-CN"/>
        </w:rPr>
        <w:t>11</w:t>
      </w:r>
      <w:r w:rsidRPr="000C156A">
        <w:rPr>
          <w:rFonts w:hint="eastAsia"/>
          <w:lang w:eastAsia="zh-CN"/>
        </w:rPr>
        <w:t>条）以及《财务规则和财务细则》第</w:t>
      </w:r>
      <w:r w:rsidRPr="000C156A">
        <w:rPr>
          <w:lang w:eastAsia="zh-CN"/>
        </w:rPr>
        <w:t>1</w:t>
      </w:r>
      <w:r w:rsidRPr="000C156A">
        <w:rPr>
          <w:rFonts w:hint="eastAsia"/>
          <w:lang w:eastAsia="zh-CN"/>
        </w:rPr>
        <w:t>、</w:t>
      </w:r>
      <w:r w:rsidRPr="000C156A">
        <w:rPr>
          <w:lang w:eastAsia="zh-CN"/>
        </w:rPr>
        <w:t>10</w:t>
      </w:r>
      <w:r w:rsidRPr="000C156A">
        <w:rPr>
          <w:rFonts w:hint="eastAsia"/>
          <w:lang w:eastAsia="zh-CN"/>
        </w:rPr>
        <w:t>、</w:t>
      </w:r>
      <w:r w:rsidRPr="000C156A">
        <w:rPr>
          <w:lang w:eastAsia="zh-CN"/>
        </w:rPr>
        <w:t>16</w:t>
      </w:r>
      <w:r w:rsidRPr="000C156A">
        <w:rPr>
          <w:rFonts w:hint="eastAsia"/>
          <w:lang w:eastAsia="zh-CN"/>
        </w:rPr>
        <w:t>、</w:t>
      </w:r>
      <w:r w:rsidRPr="000C156A">
        <w:rPr>
          <w:lang w:eastAsia="zh-CN"/>
        </w:rPr>
        <w:t>28</w:t>
      </w:r>
      <w:r w:rsidRPr="000C156A">
        <w:rPr>
          <w:rFonts w:hint="eastAsia"/>
          <w:lang w:eastAsia="zh-CN"/>
        </w:rPr>
        <w:t>、</w:t>
      </w:r>
      <w:r w:rsidRPr="000C156A">
        <w:rPr>
          <w:lang w:eastAsia="zh-CN"/>
        </w:rPr>
        <w:t>29</w:t>
      </w:r>
      <w:r w:rsidRPr="000C156A">
        <w:rPr>
          <w:rFonts w:hint="eastAsia"/>
          <w:lang w:eastAsia="zh-CN"/>
        </w:rPr>
        <w:t>和</w:t>
      </w:r>
      <w:r w:rsidRPr="000C156A">
        <w:rPr>
          <w:lang w:eastAsia="zh-CN"/>
        </w:rPr>
        <w:t>30</w:t>
      </w:r>
      <w:r w:rsidRPr="000C156A">
        <w:rPr>
          <w:rFonts w:hint="eastAsia"/>
          <w:lang w:eastAsia="zh-CN"/>
        </w:rPr>
        <w:t>条赋予我的职责，我将采取一切必要的行动，确保国际电联资源得到经济有效的使用，同时，在所有国际电联活动的行政和财务方面向理事会负责。</w:t>
      </w:r>
    </w:p>
    <w:p w14:paraId="2E523705" w14:textId="77777777" w:rsidR="0085433F" w:rsidRPr="000C156A" w:rsidRDefault="0085433F" w:rsidP="0085433F">
      <w:pPr>
        <w:pStyle w:val="Headingb"/>
        <w:rPr>
          <w:lang w:eastAsia="zh-CN"/>
        </w:rPr>
      </w:pPr>
      <w:bookmarkStart w:id="192" w:name="_Toc72744924"/>
      <w:bookmarkStart w:id="193" w:name="_Toc72747210"/>
      <w:bookmarkStart w:id="194" w:name="_Toc73461012"/>
      <w:bookmarkStart w:id="195" w:name="_Toc73518659"/>
      <w:bookmarkStart w:id="196" w:name="_Toc73518806"/>
      <w:bookmarkStart w:id="197" w:name="_Toc73519206"/>
      <w:bookmarkStart w:id="198" w:name="_Toc73636088"/>
      <w:bookmarkStart w:id="199" w:name="_Toc73636230"/>
      <w:r w:rsidRPr="000C156A">
        <w:rPr>
          <w:rFonts w:hint="eastAsia"/>
          <w:lang w:eastAsia="zh-CN"/>
        </w:rPr>
        <w:t>内部控制体系的宗旨</w:t>
      </w:r>
      <w:bookmarkEnd w:id="192"/>
      <w:bookmarkEnd w:id="193"/>
      <w:bookmarkEnd w:id="194"/>
      <w:bookmarkEnd w:id="195"/>
      <w:bookmarkEnd w:id="196"/>
      <w:bookmarkEnd w:id="197"/>
      <w:bookmarkEnd w:id="198"/>
      <w:bookmarkEnd w:id="199"/>
    </w:p>
    <w:p w14:paraId="23157E54" w14:textId="64339263" w:rsidR="0085433F" w:rsidRPr="000C156A" w:rsidRDefault="00EC7B29" w:rsidP="0085433F">
      <w:pPr>
        <w:ind w:firstLineChars="200" w:firstLine="480"/>
        <w:rPr>
          <w:lang w:eastAsia="zh-CN"/>
        </w:rPr>
      </w:pPr>
      <w:r w:rsidRPr="00EC7B29">
        <w:rPr>
          <w:rFonts w:cs="Arial" w:hint="eastAsia"/>
          <w:szCs w:val="24"/>
          <w:lang w:eastAsia="zh-CN"/>
        </w:rPr>
        <w:t>内部控制体系旨在降低并管理影响实现组织</w:t>
      </w:r>
      <w:r w:rsidR="00E53AF2">
        <w:rPr>
          <w:rFonts w:cs="Arial" w:hint="eastAsia"/>
          <w:szCs w:val="24"/>
          <w:lang w:eastAsia="zh-CN"/>
        </w:rPr>
        <w:t>宗旨</w:t>
      </w:r>
      <w:r w:rsidRPr="00EC7B29">
        <w:rPr>
          <w:rFonts w:cs="Arial" w:hint="eastAsia"/>
          <w:szCs w:val="24"/>
          <w:lang w:eastAsia="zh-CN"/>
        </w:rPr>
        <w:t>和目标的风险，而不是消除这类风险。因此，该体系只能提供一定</w:t>
      </w:r>
      <w:r w:rsidR="003E4FCE">
        <w:rPr>
          <w:rFonts w:cs="Arial" w:hint="eastAsia"/>
          <w:szCs w:val="24"/>
          <w:lang w:eastAsia="zh-CN"/>
        </w:rPr>
        <w:t>程度</w:t>
      </w:r>
      <w:r w:rsidRPr="00EC7B29">
        <w:rPr>
          <w:rFonts w:cs="Arial" w:hint="eastAsia"/>
          <w:szCs w:val="24"/>
          <w:lang w:eastAsia="zh-CN"/>
        </w:rPr>
        <w:t>但并非绝对的有效</w:t>
      </w:r>
      <w:r w:rsidR="00E53AF2">
        <w:rPr>
          <w:rFonts w:cs="Arial" w:hint="eastAsia"/>
          <w:szCs w:val="24"/>
          <w:lang w:eastAsia="zh-CN"/>
        </w:rPr>
        <w:t>性</w:t>
      </w:r>
      <w:r w:rsidRPr="00EC7B29">
        <w:rPr>
          <w:rFonts w:cs="Arial" w:hint="eastAsia"/>
          <w:szCs w:val="24"/>
          <w:lang w:eastAsia="zh-CN"/>
        </w:rPr>
        <w:t>保障。该体系</w:t>
      </w:r>
      <w:r w:rsidR="00E53AF2">
        <w:rPr>
          <w:rFonts w:cs="Arial" w:hint="eastAsia"/>
          <w:szCs w:val="24"/>
          <w:lang w:eastAsia="zh-CN"/>
        </w:rPr>
        <w:t>依据</w:t>
      </w:r>
      <w:r w:rsidR="003E4FCE">
        <w:rPr>
          <w:rFonts w:cs="Arial" w:hint="eastAsia"/>
          <w:szCs w:val="24"/>
          <w:lang w:eastAsia="zh-CN"/>
        </w:rPr>
        <w:t>持续用于</w:t>
      </w:r>
      <w:r w:rsidRPr="00EC7B29">
        <w:rPr>
          <w:rFonts w:cs="Arial" w:hint="eastAsia"/>
          <w:szCs w:val="24"/>
          <w:lang w:eastAsia="zh-CN"/>
        </w:rPr>
        <w:t>确定主要风险的程序，评估相关风险的性质和范围</w:t>
      </w:r>
      <w:r w:rsidR="003E4FCE">
        <w:rPr>
          <w:rFonts w:cs="Arial" w:hint="eastAsia"/>
          <w:szCs w:val="24"/>
          <w:lang w:eastAsia="zh-CN"/>
        </w:rPr>
        <w:t>，以实现</w:t>
      </w:r>
      <w:r w:rsidRPr="00EC7B29">
        <w:rPr>
          <w:rFonts w:cs="Arial" w:hint="eastAsia"/>
          <w:szCs w:val="24"/>
          <w:lang w:eastAsia="zh-CN"/>
        </w:rPr>
        <w:t>高效、有效和经济的</w:t>
      </w:r>
      <w:r w:rsidR="007E7FCF">
        <w:rPr>
          <w:rFonts w:cs="Arial" w:hint="eastAsia"/>
          <w:szCs w:val="24"/>
          <w:lang w:eastAsia="zh-CN"/>
        </w:rPr>
        <w:t>管理</w:t>
      </w:r>
      <w:r w:rsidRPr="00EC7B29">
        <w:rPr>
          <w:rFonts w:cs="Arial" w:hint="eastAsia"/>
          <w:szCs w:val="24"/>
          <w:lang w:eastAsia="zh-CN"/>
        </w:rPr>
        <w:t>。国际电联管理层</w:t>
      </w:r>
      <w:r w:rsidR="00E53AF2">
        <w:rPr>
          <w:rFonts w:cs="Arial" w:hint="eastAsia"/>
          <w:szCs w:val="24"/>
          <w:lang w:eastAsia="zh-CN"/>
        </w:rPr>
        <w:t>负责</w:t>
      </w:r>
      <w:r w:rsidRPr="00EC7B29">
        <w:rPr>
          <w:rFonts w:cs="Arial" w:hint="eastAsia"/>
          <w:szCs w:val="24"/>
          <w:lang w:eastAsia="zh-CN"/>
        </w:rPr>
        <w:t>建立一个</w:t>
      </w:r>
      <w:r w:rsidR="00E53AF2">
        <w:rPr>
          <w:rFonts w:cs="Arial" w:hint="eastAsia"/>
          <w:szCs w:val="24"/>
          <w:lang w:eastAsia="zh-CN"/>
        </w:rPr>
        <w:t>旨在</w:t>
      </w:r>
      <w:r w:rsidR="00E53AF2" w:rsidRPr="00EC7B29">
        <w:rPr>
          <w:rFonts w:cs="Arial" w:hint="eastAsia"/>
          <w:szCs w:val="24"/>
          <w:lang w:eastAsia="zh-CN"/>
        </w:rPr>
        <w:t>控制国际电联运作的</w:t>
      </w:r>
      <w:r w:rsidRPr="00EC7B29">
        <w:rPr>
          <w:rFonts w:cs="Arial" w:hint="eastAsia"/>
          <w:szCs w:val="24"/>
          <w:lang w:eastAsia="zh-CN"/>
        </w:rPr>
        <w:t>程序网络，</w:t>
      </w:r>
      <w:r w:rsidR="006035C0">
        <w:rPr>
          <w:rFonts w:cs="Arial" w:hint="eastAsia"/>
          <w:szCs w:val="24"/>
          <w:lang w:eastAsia="zh-CN"/>
        </w:rPr>
        <w:t>并</w:t>
      </w:r>
      <w:r w:rsidR="007E7FCF" w:rsidRPr="00EC7B29">
        <w:rPr>
          <w:rFonts w:cs="Arial" w:hint="eastAsia"/>
          <w:szCs w:val="24"/>
          <w:lang w:eastAsia="zh-CN"/>
        </w:rPr>
        <w:t>在以下方面</w:t>
      </w:r>
      <w:r w:rsidR="007E7FCF">
        <w:rPr>
          <w:rFonts w:cs="Arial" w:hint="eastAsia"/>
          <w:szCs w:val="24"/>
          <w:lang w:eastAsia="zh-CN"/>
        </w:rPr>
        <w:t>向管理</w:t>
      </w:r>
      <w:r w:rsidRPr="00EC7B29">
        <w:rPr>
          <w:rFonts w:cs="Arial" w:hint="eastAsia"/>
          <w:szCs w:val="24"/>
          <w:lang w:eastAsia="zh-CN"/>
        </w:rPr>
        <w:t>机构</w:t>
      </w:r>
      <w:r w:rsidR="002433EF">
        <w:rPr>
          <w:rFonts w:cs="Arial" w:hint="eastAsia"/>
          <w:szCs w:val="24"/>
          <w:lang w:eastAsia="zh-CN"/>
        </w:rPr>
        <w:t>提供</w:t>
      </w:r>
      <w:r w:rsidRPr="00EC7B29">
        <w:rPr>
          <w:rFonts w:cs="Arial" w:hint="eastAsia"/>
          <w:szCs w:val="24"/>
          <w:lang w:eastAsia="zh-CN"/>
        </w:rPr>
        <w:t>适度保障：</w:t>
      </w:r>
    </w:p>
    <w:p w14:paraId="0A9C293F"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实现该组织的计划、项目、目标和具体目标；</w:t>
      </w:r>
    </w:p>
    <w:p w14:paraId="23E7095D"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以经济的手段获取资源并使之得到有效利用，突出高品质业务流程和不断的完善；</w:t>
      </w:r>
    </w:p>
    <w:p w14:paraId="715F0674"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该组织的资源（包括人力、系统、数据</w:t>
      </w:r>
      <w:r w:rsidRPr="000C156A">
        <w:rPr>
          <w:lang w:eastAsia="zh-CN"/>
        </w:rPr>
        <w:t>/</w:t>
      </w:r>
      <w:r w:rsidRPr="000C156A">
        <w:rPr>
          <w:rFonts w:hint="eastAsia"/>
          <w:lang w:eastAsia="zh-CN"/>
        </w:rPr>
        <w:t>信息）得到充分保护；</w:t>
      </w:r>
    </w:p>
    <w:p w14:paraId="65878FE4"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选任官员、高级顾问以及专业和一般事务类职员采取的行动符遵循本组织的政策、标准、计划和程序以及所有相关法律、细则和规定；</w:t>
      </w:r>
    </w:p>
    <w:p w14:paraId="1CA8127E"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内部或外部发表的数据和信息准确、可靠和及时。</w:t>
      </w:r>
    </w:p>
    <w:p w14:paraId="76DA3E7E" w14:textId="77777777" w:rsidR="0085433F" w:rsidRPr="000C156A" w:rsidRDefault="0085433F" w:rsidP="0085433F">
      <w:pPr>
        <w:ind w:firstLineChars="200" w:firstLine="480"/>
        <w:rPr>
          <w:lang w:eastAsia="zh-CN"/>
        </w:rPr>
      </w:pPr>
      <w:r w:rsidRPr="000C156A">
        <w:rPr>
          <w:rFonts w:hint="eastAsia"/>
          <w:lang w:eastAsia="zh-CN"/>
        </w:rPr>
        <w:t>风险管理和内部控制管理属管理职能，是整体管理运作程序中不可分割的一部分。因此，国际电联各级管理人员有责任：</w:t>
      </w:r>
    </w:p>
    <w:p w14:paraId="2D9C55FF"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发现并评估其工作领域可能面临的风险；</w:t>
      </w:r>
    </w:p>
    <w:p w14:paraId="619BD29B"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制定并提出用来减少和</w:t>
      </w:r>
      <w:r w:rsidRPr="000C156A">
        <w:rPr>
          <w:lang w:eastAsia="zh-CN"/>
        </w:rPr>
        <w:t>/</w:t>
      </w:r>
      <w:r w:rsidRPr="000C156A">
        <w:rPr>
          <w:rFonts w:hint="eastAsia"/>
          <w:lang w:eastAsia="zh-CN"/>
        </w:rPr>
        <w:t>或减轻已发现的相关风险的政策、计划和运作标准、程序、系统和其他指导原则；</w:t>
      </w:r>
    </w:p>
    <w:p w14:paraId="31EB5C47" w14:textId="2983D48E" w:rsidR="0085433F" w:rsidRPr="000C156A" w:rsidRDefault="0085433F" w:rsidP="0085433F">
      <w:pPr>
        <w:pStyle w:val="enumlev1"/>
        <w:rPr>
          <w:lang w:eastAsia="zh-CN"/>
        </w:rPr>
      </w:pPr>
      <w:r w:rsidRPr="000C156A">
        <w:rPr>
          <w:lang w:eastAsia="zh-CN"/>
        </w:rPr>
        <w:t>•</w:t>
      </w:r>
      <w:r w:rsidRPr="000C156A">
        <w:rPr>
          <w:lang w:eastAsia="zh-CN"/>
        </w:rPr>
        <w:tab/>
      </w:r>
      <w:r w:rsidR="002433EF">
        <w:rPr>
          <w:rFonts w:hint="eastAsia"/>
          <w:lang w:eastAsia="zh-CN"/>
        </w:rPr>
        <w:t>制定</w:t>
      </w:r>
      <w:r w:rsidR="002433EF" w:rsidRPr="002433EF">
        <w:rPr>
          <w:rFonts w:hint="eastAsia"/>
          <w:lang w:eastAsia="zh-CN"/>
        </w:rPr>
        <w:t>切实可行的控制程序，要求并鼓励国际电联工作人员以有助于实现上一段所述五个控制目标的方式履行其职责和责任；</w:t>
      </w:r>
      <w:r w:rsidR="002433EF" w:rsidRPr="000C156A">
        <w:rPr>
          <w:lang w:eastAsia="zh-CN"/>
        </w:rPr>
        <w:t xml:space="preserve"> </w:t>
      </w:r>
    </w:p>
    <w:p w14:paraId="2D3FCCB6"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维护已设立的控制流程的有效性，强化对这些流程的不断改进。</w:t>
      </w:r>
    </w:p>
    <w:p w14:paraId="039D2F72" w14:textId="417E1757" w:rsidR="0085433F" w:rsidRPr="000C156A" w:rsidRDefault="008A2B13" w:rsidP="0085433F">
      <w:pPr>
        <w:pStyle w:val="Headingb"/>
        <w:rPr>
          <w:lang w:eastAsia="zh-CN"/>
        </w:rPr>
      </w:pPr>
      <w:r w:rsidRPr="008A2B13">
        <w:rPr>
          <w:rFonts w:cs="Calibri" w:hint="eastAsia"/>
          <w:szCs w:val="24"/>
          <w:lang w:eastAsia="zh-CN"/>
        </w:rPr>
        <w:t>风险管理和内部控制</w:t>
      </w:r>
    </w:p>
    <w:p w14:paraId="4031ED46" w14:textId="77777777" w:rsidR="0085433F" w:rsidRPr="000C156A" w:rsidRDefault="0085433F" w:rsidP="0085433F">
      <w:pPr>
        <w:ind w:firstLineChars="200" w:firstLine="480"/>
        <w:rPr>
          <w:lang w:eastAsia="zh-CN"/>
        </w:rPr>
      </w:pPr>
      <w:r w:rsidRPr="000C156A">
        <w:rPr>
          <w:rFonts w:hint="eastAsia"/>
          <w:lang w:eastAsia="zh-CN"/>
        </w:rPr>
        <w:t>国际电联管理层致力于在全机构实施作为内部控制体系不可分割一部分的综合风险管理（</w:t>
      </w:r>
      <w:r w:rsidRPr="000C156A">
        <w:rPr>
          <w:lang w:eastAsia="zh-CN"/>
        </w:rPr>
        <w:t>IRM</w:t>
      </w:r>
      <w:r w:rsidRPr="000C156A">
        <w:rPr>
          <w:rFonts w:hint="eastAsia"/>
          <w:lang w:eastAsia="zh-CN"/>
        </w:rPr>
        <w:t>）程序。</w:t>
      </w:r>
    </w:p>
    <w:p w14:paraId="56686D7F" w14:textId="35A17A7D" w:rsidR="0085433F" w:rsidRPr="000C156A" w:rsidRDefault="0085433F" w:rsidP="0085433F">
      <w:pPr>
        <w:pStyle w:val="enumlev1"/>
        <w:rPr>
          <w:lang w:eastAsia="zh-CN"/>
        </w:rPr>
      </w:pPr>
      <w:r w:rsidRPr="000C156A">
        <w:rPr>
          <w:lang w:val="en-US" w:eastAsia="zh-CN"/>
        </w:rPr>
        <w:t>a)</w:t>
      </w:r>
      <w:r w:rsidRPr="000C156A">
        <w:rPr>
          <w:lang w:val="en-US" w:eastAsia="zh-CN"/>
        </w:rPr>
        <w:tab/>
      </w:r>
      <w:r w:rsidR="008A2B13" w:rsidRPr="008A2B13">
        <w:rPr>
          <w:rFonts w:hint="eastAsia"/>
          <w:lang w:val="en-US" w:eastAsia="zh-CN"/>
        </w:rPr>
        <w:t>国际电联内部控制体系将</w:t>
      </w:r>
      <w:r w:rsidR="008A2B13" w:rsidRPr="008A2B13">
        <w:rPr>
          <w:rFonts w:hint="eastAsia"/>
          <w:lang w:val="en-US" w:eastAsia="zh-CN"/>
        </w:rPr>
        <w:t>SAP</w:t>
      </w:r>
      <w:r w:rsidR="008A2B13" w:rsidRPr="008A2B13">
        <w:rPr>
          <w:rFonts w:hint="eastAsia"/>
          <w:lang w:val="en-US" w:eastAsia="zh-CN"/>
        </w:rPr>
        <w:t>用作</w:t>
      </w:r>
      <w:r w:rsidR="008A2B13">
        <w:rPr>
          <w:rFonts w:hint="eastAsia"/>
          <w:lang w:val="en-US" w:eastAsia="zh-CN"/>
        </w:rPr>
        <w:t>综合</w:t>
      </w:r>
      <w:r w:rsidR="008A2B13" w:rsidRPr="008A2B13">
        <w:rPr>
          <w:rFonts w:hint="eastAsia"/>
          <w:lang w:val="en-US" w:eastAsia="zh-CN"/>
        </w:rPr>
        <w:t>信息管理系统。</w:t>
      </w:r>
      <w:r w:rsidR="008A2B13">
        <w:rPr>
          <w:rFonts w:hint="eastAsia"/>
          <w:lang w:val="en-US" w:eastAsia="zh-CN"/>
        </w:rPr>
        <w:t>系统能够：</w:t>
      </w:r>
    </w:p>
    <w:p w14:paraId="7F3D7D85" w14:textId="77777777" w:rsidR="0085433F" w:rsidRPr="000C156A" w:rsidRDefault="0085433F" w:rsidP="0085433F">
      <w:pPr>
        <w:pStyle w:val="enumlev2"/>
        <w:rPr>
          <w:lang w:eastAsia="zh-CN"/>
        </w:rPr>
      </w:pPr>
      <w:r w:rsidRPr="000C156A">
        <w:rPr>
          <w:lang w:eastAsia="zh-CN"/>
        </w:rPr>
        <w:t>•</w:t>
      </w:r>
      <w:r w:rsidRPr="000C156A">
        <w:rPr>
          <w:lang w:eastAsia="zh-CN"/>
        </w:rPr>
        <w:tab/>
      </w:r>
      <w:r w:rsidRPr="000C156A">
        <w:rPr>
          <w:rFonts w:hint="eastAsia"/>
          <w:lang w:eastAsia="zh-CN"/>
        </w:rPr>
        <w:t>反映该组织的结构、工作和权利流程；</w:t>
      </w:r>
    </w:p>
    <w:p w14:paraId="75055618" w14:textId="0EE4DA11" w:rsidR="0085433F" w:rsidRPr="000C156A" w:rsidRDefault="0085433F" w:rsidP="0085433F">
      <w:pPr>
        <w:pStyle w:val="enumlev2"/>
        <w:rPr>
          <w:lang w:eastAsia="zh-CN"/>
        </w:rPr>
      </w:pPr>
      <w:r w:rsidRPr="000C156A">
        <w:rPr>
          <w:lang w:eastAsia="zh-CN"/>
        </w:rPr>
        <w:t>•</w:t>
      </w:r>
      <w:r w:rsidRPr="000C156A">
        <w:rPr>
          <w:lang w:eastAsia="zh-CN"/>
        </w:rPr>
        <w:tab/>
      </w:r>
      <w:r w:rsidR="008A2B13" w:rsidRPr="008A2B13">
        <w:rPr>
          <w:rFonts w:hint="eastAsia"/>
          <w:lang w:eastAsia="zh-CN"/>
        </w:rPr>
        <w:t>掌握按照全权代表大会通过的组织基本文件分配给该组织的预算资源；</w:t>
      </w:r>
    </w:p>
    <w:p w14:paraId="68C4BD71" w14:textId="7C8E6AAE" w:rsidR="0085433F" w:rsidRPr="000C156A" w:rsidRDefault="0085433F" w:rsidP="0085433F">
      <w:pPr>
        <w:pStyle w:val="enumlev2"/>
        <w:rPr>
          <w:lang w:eastAsia="zh-CN"/>
        </w:rPr>
      </w:pPr>
      <w:r w:rsidRPr="000C156A">
        <w:rPr>
          <w:lang w:eastAsia="zh-CN"/>
        </w:rPr>
        <w:t>•</w:t>
      </w:r>
      <w:r w:rsidRPr="000C156A">
        <w:rPr>
          <w:lang w:eastAsia="zh-CN"/>
        </w:rPr>
        <w:tab/>
      </w:r>
      <w:r w:rsidR="008A2B13" w:rsidRPr="008A2B13">
        <w:rPr>
          <w:rFonts w:hint="eastAsia"/>
          <w:lang w:eastAsia="zh-CN"/>
        </w:rPr>
        <w:t>启动综合控制系统和遵循“二人过目”原则；</w:t>
      </w:r>
    </w:p>
    <w:p w14:paraId="5EA49973" w14:textId="7E9F915D" w:rsidR="0085433F" w:rsidRPr="000C156A" w:rsidRDefault="0085433F" w:rsidP="0085433F">
      <w:pPr>
        <w:pStyle w:val="enumlev2"/>
        <w:rPr>
          <w:lang w:eastAsia="zh-CN"/>
        </w:rPr>
      </w:pPr>
      <w:r w:rsidRPr="000C156A">
        <w:rPr>
          <w:lang w:eastAsia="zh-CN"/>
        </w:rPr>
        <w:t>•</w:t>
      </w:r>
      <w:r w:rsidRPr="000C156A">
        <w:rPr>
          <w:lang w:eastAsia="zh-CN"/>
        </w:rPr>
        <w:tab/>
      </w:r>
      <w:r w:rsidR="00D04F8A" w:rsidRPr="00D04F8A">
        <w:rPr>
          <w:rFonts w:hint="eastAsia"/>
          <w:lang w:eastAsia="zh-CN"/>
        </w:rPr>
        <w:t>通过</w:t>
      </w:r>
      <w:r w:rsidR="00D04F8A" w:rsidRPr="00D04F8A">
        <w:rPr>
          <w:rFonts w:hint="eastAsia"/>
          <w:lang w:eastAsia="zh-CN"/>
        </w:rPr>
        <w:t>IPSAS</w:t>
      </w:r>
      <w:r w:rsidR="00D04F8A">
        <w:rPr>
          <w:rFonts w:hint="eastAsia"/>
          <w:lang w:eastAsia="zh-CN"/>
        </w:rPr>
        <w:t>核算</w:t>
      </w:r>
      <w:r w:rsidR="00D04F8A" w:rsidRPr="00D04F8A">
        <w:rPr>
          <w:rFonts w:hint="eastAsia"/>
          <w:lang w:eastAsia="zh-CN"/>
        </w:rPr>
        <w:t>和报告指导、监督和衡量资源使用情况，并定期清点和记录采购程序</w:t>
      </w:r>
      <w:r w:rsidR="00D04F8A">
        <w:rPr>
          <w:rFonts w:hint="eastAsia"/>
          <w:lang w:eastAsia="zh-CN"/>
        </w:rPr>
        <w:t>与</w:t>
      </w:r>
      <w:r w:rsidR="00D04F8A" w:rsidRPr="00D04F8A">
        <w:rPr>
          <w:rFonts w:hint="eastAsia"/>
          <w:lang w:eastAsia="zh-CN"/>
        </w:rPr>
        <w:t>控制；</w:t>
      </w:r>
    </w:p>
    <w:p w14:paraId="6B9FC537" w14:textId="4A989C3D" w:rsidR="0085433F" w:rsidRPr="000C156A" w:rsidRDefault="0085433F" w:rsidP="0085433F">
      <w:pPr>
        <w:pStyle w:val="enumlev1"/>
        <w:rPr>
          <w:lang w:eastAsia="zh-CN"/>
        </w:rPr>
      </w:pPr>
      <w:r w:rsidRPr="000C156A">
        <w:rPr>
          <w:lang w:val="en-US" w:eastAsia="zh-CN"/>
        </w:rPr>
        <w:t>b)</w:t>
      </w:r>
      <w:r w:rsidRPr="000C156A">
        <w:rPr>
          <w:lang w:val="en-US" w:eastAsia="zh-CN"/>
        </w:rPr>
        <w:tab/>
      </w:r>
      <w:r w:rsidR="00D04F8A" w:rsidRPr="00D04F8A">
        <w:rPr>
          <w:rFonts w:hint="eastAsia"/>
          <w:lang w:val="en-US" w:eastAsia="zh-CN"/>
        </w:rPr>
        <w:t>综合信息管理系统和有力的资源控制努力，是国际电联财务报告的可靠性和</w:t>
      </w:r>
      <w:r w:rsidR="00934D73">
        <w:rPr>
          <w:rFonts w:hint="eastAsia"/>
          <w:lang w:val="en-US" w:eastAsia="zh-CN"/>
        </w:rPr>
        <w:t>跟进</w:t>
      </w:r>
      <w:r w:rsidR="00500299">
        <w:rPr>
          <w:rFonts w:hint="eastAsia"/>
          <w:lang w:val="en-US" w:eastAsia="zh-CN"/>
        </w:rPr>
        <w:t>基于</w:t>
      </w:r>
      <w:r w:rsidR="00D04F8A" w:rsidRPr="00D04F8A">
        <w:rPr>
          <w:rFonts w:hint="eastAsia"/>
          <w:lang w:val="en-US" w:eastAsia="zh-CN"/>
        </w:rPr>
        <w:t>战略目标</w:t>
      </w:r>
      <w:r w:rsidR="00500299">
        <w:rPr>
          <w:rFonts w:hint="eastAsia"/>
          <w:lang w:val="en-US" w:eastAsia="zh-CN"/>
        </w:rPr>
        <w:t>的计划</w:t>
      </w:r>
      <w:r w:rsidR="00934D73">
        <w:rPr>
          <w:rFonts w:hint="eastAsia"/>
          <w:lang w:val="en-US" w:eastAsia="zh-CN"/>
        </w:rPr>
        <w:t>落实</w:t>
      </w:r>
      <w:r w:rsidR="00500299">
        <w:rPr>
          <w:rFonts w:hint="eastAsia"/>
          <w:lang w:val="en-US" w:eastAsia="zh-CN"/>
        </w:rPr>
        <w:t>工作</w:t>
      </w:r>
      <w:r w:rsidR="00D04F8A" w:rsidRPr="00D04F8A">
        <w:rPr>
          <w:rFonts w:hint="eastAsia"/>
          <w:lang w:val="en-US" w:eastAsia="zh-CN"/>
        </w:rPr>
        <w:t>的基础；</w:t>
      </w:r>
    </w:p>
    <w:p w14:paraId="6B5DB328" w14:textId="5BAEA8F3" w:rsidR="0085433F" w:rsidRPr="000C156A" w:rsidRDefault="0085433F" w:rsidP="0085433F">
      <w:pPr>
        <w:pStyle w:val="enumlev1"/>
        <w:rPr>
          <w:rFonts w:asciiTheme="minorHAnsi" w:hAnsiTheme="minorHAnsi" w:cstheme="minorHAnsi"/>
          <w:lang w:eastAsia="zh-CN"/>
        </w:rPr>
      </w:pPr>
      <w:r w:rsidRPr="000C156A">
        <w:rPr>
          <w:lang w:val="en-US" w:eastAsia="zh-CN"/>
        </w:rPr>
        <w:lastRenderedPageBreak/>
        <w:t>c)</w:t>
      </w:r>
      <w:r w:rsidRPr="000C156A">
        <w:rPr>
          <w:lang w:val="en-US" w:eastAsia="zh-CN"/>
        </w:rPr>
        <w:tab/>
      </w:r>
      <w:r w:rsidR="00500299" w:rsidRPr="00500299">
        <w:rPr>
          <w:rFonts w:hint="eastAsia"/>
          <w:lang w:val="en-US" w:eastAsia="zh-CN"/>
        </w:rPr>
        <w:t>合同委员会协助秘书长确保为了国际电联的</w:t>
      </w:r>
      <w:r w:rsidR="00500299">
        <w:rPr>
          <w:rFonts w:hint="eastAsia"/>
          <w:lang w:val="en-US" w:eastAsia="zh-CN"/>
        </w:rPr>
        <w:t>最高</w:t>
      </w:r>
      <w:r w:rsidR="00500299" w:rsidRPr="00500299">
        <w:rPr>
          <w:rFonts w:hint="eastAsia"/>
          <w:lang w:val="en-US" w:eastAsia="zh-CN"/>
        </w:rPr>
        <w:t>利益</w:t>
      </w:r>
      <w:r w:rsidR="00500299">
        <w:rPr>
          <w:rFonts w:hint="eastAsia"/>
          <w:lang w:val="en-US" w:eastAsia="zh-CN"/>
        </w:rPr>
        <w:t>，</w:t>
      </w:r>
      <w:r w:rsidR="00500299" w:rsidRPr="00500299">
        <w:rPr>
          <w:rFonts w:hint="eastAsia"/>
          <w:lang w:val="en-US" w:eastAsia="zh-CN"/>
        </w:rPr>
        <w:t>高效利用国际电联资源。法律事务处</w:t>
      </w:r>
      <w:r w:rsidR="0045424D">
        <w:rPr>
          <w:rFonts w:hint="eastAsia"/>
          <w:lang w:val="en-US" w:eastAsia="zh-CN"/>
        </w:rPr>
        <w:t>向</w:t>
      </w:r>
      <w:r w:rsidR="0045424D" w:rsidRPr="00500299">
        <w:rPr>
          <w:rFonts w:hint="eastAsia"/>
          <w:lang w:val="en-US" w:eastAsia="zh-CN"/>
        </w:rPr>
        <w:t>整个组织提供</w:t>
      </w:r>
      <w:r w:rsidR="00500299" w:rsidRPr="00500299">
        <w:rPr>
          <w:rFonts w:hint="eastAsia"/>
          <w:lang w:val="en-US" w:eastAsia="zh-CN"/>
        </w:rPr>
        <w:t>法律、细则和规定</w:t>
      </w:r>
      <w:r w:rsidR="0045424D">
        <w:rPr>
          <w:rFonts w:hint="eastAsia"/>
          <w:lang w:val="en-US" w:eastAsia="zh-CN"/>
        </w:rPr>
        <w:t>方面的</w:t>
      </w:r>
      <w:r w:rsidR="00500299" w:rsidRPr="00500299">
        <w:rPr>
          <w:rFonts w:hint="eastAsia"/>
          <w:lang w:val="en-US" w:eastAsia="zh-CN"/>
        </w:rPr>
        <w:t>指导</w:t>
      </w:r>
      <w:r w:rsidR="0045424D">
        <w:rPr>
          <w:rFonts w:hint="eastAsia"/>
          <w:lang w:val="en-US" w:eastAsia="zh-CN"/>
        </w:rPr>
        <w:t>。</w:t>
      </w:r>
      <w:r w:rsidR="00500299" w:rsidRPr="00500299">
        <w:rPr>
          <w:rFonts w:hint="eastAsia"/>
          <w:lang w:val="en-US" w:eastAsia="zh-CN"/>
        </w:rPr>
        <w:t>道德规范办公室推动宣传国际电联的道德规范政策和</w:t>
      </w:r>
      <w:r w:rsidR="0045424D">
        <w:rPr>
          <w:rFonts w:hint="eastAsia"/>
          <w:lang w:val="en-US" w:eastAsia="zh-CN"/>
        </w:rPr>
        <w:t>培养</w:t>
      </w:r>
      <w:r w:rsidR="00500299" w:rsidRPr="00500299">
        <w:rPr>
          <w:rFonts w:hint="eastAsia"/>
          <w:lang w:val="en-US" w:eastAsia="zh-CN"/>
        </w:rPr>
        <w:t>国际电联工作人员的道德操守。内部审计处亦通过审计工作向秘书长提供组织管理、风险管理和控制有效性保障；</w:t>
      </w:r>
    </w:p>
    <w:p w14:paraId="04AF0031" w14:textId="5694557B" w:rsidR="0085433F" w:rsidRPr="000C156A" w:rsidRDefault="0085433F" w:rsidP="0085433F">
      <w:pPr>
        <w:pStyle w:val="enumlev1"/>
        <w:rPr>
          <w:rFonts w:cs="Arial"/>
          <w:szCs w:val="24"/>
          <w:lang w:eastAsia="zh-CN"/>
        </w:rPr>
      </w:pPr>
      <w:r w:rsidRPr="000C156A">
        <w:rPr>
          <w:lang w:val="en-US" w:eastAsia="zh-CN"/>
        </w:rPr>
        <w:t>d)</w:t>
      </w:r>
      <w:r w:rsidRPr="000C156A">
        <w:rPr>
          <w:lang w:val="en-US" w:eastAsia="zh-CN"/>
        </w:rPr>
        <w:tab/>
      </w:r>
      <w:r w:rsidR="00462277" w:rsidRPr="00462277">
        <w:rPr>
          <w:rFonts w:hint="eastAsia"/>
          <w:lang w:val="en-US" w:eastAsia="zh-CN"/>
        </w:rPr>
        <w:t>战略风险管理已通过确定战略风险和缓解措施纳入国际电联的战略规划。如第</w:t>
      </w:r>
      <w:r w:rsidR="00462277" w:rsidRPr="00462277">
        <w:rPr>
          <w:rFonts w:hint="eastAsia"/>
          <w:lang w:val="en-US" w:eastAsia="zh-CN"/>
        </w:rPr>
        <w:t>71</w:t>
      </w:r>
      <w:r w:rsidR="00462277" w:rsidRPr="00462277">
        <w:rPr>
          <w:rFonts w:hint="eastAsia"/>
          <w:lang w:val="en-US" w:eastAsia="zh-CN"/>
        </w:rPr>
        <w:t>号决议（</w:t>
      </w:r>
      <w:r w:rsidR="00462277" w:rsidRPr="00462277">
        <w:rPr>
          <w:rFonts w:hint="eastAsia"/>
          <w:lang w:val="en-US" w:eastAsia="zh-CN"/>
        </w:rPr>
        <w:t>2018</w:t>
      </w:r>
      <w:r w:rsidR="00462277" w:rsidRPr="00462277">
        <w:rPr>
          <w:rFonts w:hint="eastAsia"/>
          <w:lang w:val="en-US" w:eastAsia="zh-CN"/>
        </w:rPr>
        <w:t>年，迪拜，修订版）所述，风险管理框架是国际电联</w:t>
      </w:r>
      <w:r w:rsidR="00462277" w:rsidRPr="00462277">
        <w:rPr>
          <w:rFonts w:hint="eastAsia"/>
          <w:lang w:val="en-US" w:eastAsia="zh-CN"/>
        </w:rPr>
        <w:t>2020-2023</w:t>
      </w:r>
      <w:r w:rsidR="00462277" w:rsidRPr="00462277">
        <w:rPr>
          <w:rFonts w:hint="eastAsia"/>
          <w:lang w:val="en-US" w:eastAsia="zh-CN"/>
        </w:rPr>
        <w:t>年战略规划的组成部分</w:t>
      </w:r>
      <w:r w:rsidR="00462277">
        <w:rPr>
          <w:rFonts w:hint="eastAsia"/>
          <w:lang w:val="en-US" w:eastAsia="zh-CN"/>
        </w:rPr>
        <w:t>，</w:t>
      </w:r>
      <w:r w:rsidR="00462277" w:rsidRPr="00462277">
        <w:rPr>
          <w:rFonts w:hint="eastAsia"/>
          <w:lang w:val="en-US" w:eastAsia="zh-CN"/>
        </w:rPr>
        <w:t>并已获得</w:t>
      </w:r>
      <w:r w:rsidR="00462277" w:rsidRPr="00462277">
        <w:rPr>
          <w:rFonts w:hint="eastAsia"/>
          <w:lang w:val="en-US" w:eastAsia="zh-CN"/>
        </w:rPr>
        <w:t>2018</w:t>
      </w:r>
      <w:r w:rsidR="00462277" w:rsidRPr="00462277">
        <w:rPr>
          <w:rFonts w:hint="eastAsia"/>
          <w:lang w:val="en-US" w:eastAsia="zh-CN"/>
        </w:rPr>
        <w:t>年全权代表大会的批准。该风险管理框架正在通过制定风险管理政策、机构风险管理声明和战略风险管理登记表得到进一步完善</w:t>
      </w:r>
      <w:r w:rsidR="00462277">
        <w:rPr>
          <w:rFonts w:hint="eastAsia"/>
          <w:lang w:val="en-US" w:eastAsia="zh-CN"/>
        </w:rPr>
        <w:t>；</w:t>
      </w:r>
    </w:p>
    <w:p w14:paraId="48A7189D" w14:textId="77777777" w:rsidR="0085433F" w:rsidRPr="000C156A" w:rsidRDefault="0085433F" w:rsidP="0085433F">
      <w:pPr>
        <w:pStyle w:val="enumlev1"/>
        <w:rPr>
          <w:lang w:eastAsia="zh-CN"/>
        </w:rPr>
      </w:pPr>
      <w:r w:rsidRPr="000C156A">
        <w:rPr>
          <w:lang w:val="en-US" w:eastAsia="zh-CN"/>
        </w:rPr>
        <w:t>e)</w:t>
      </w:r>
      <w:r w:rsidRPr="000C156A">
        <w:rPr>
          <w:lang w:val="en-US" w:eastAsia="zh-CN"/>
        </w:rPr>
        <w:tab/>
      </w:r>
      <w:r w:rsidRPr="000C156A">
        <w:rPr>
          <w:rFonts w:hint="eastAsia"/>
          <w:lang w:eastAsia="zh-CN"/>
        </w:rPr>
        <w:t>运作风险管理也是国际电联业务管理程序的组成部分。包括三个局和总秘书处在内的国际电联管理层，定期审核与实现机构各部门目标相关的风险，并在建立监测残余风险状态的风险控制的同时，采取必要的缓解措施。</w:t>
      </w:r>
    </w:p>
    <w:p w14:paraId="4D681D72" w14:textId="77777777" w:rsidR="0085433F" w:rsidRPr="000C156A" w:rsidRDefault="0085433F" w:rsidP="0085433F">
      <w:pPr>
        <w:pStyle w:val="Headingb"/>
        <w:rPr>
          <w:lang w:eastAsia="zh-CN"/>
        </w:rPr>
      </w:pPr>
      <w:bookmarkStart w:id="200" w:name="_Toc72744926"/>
      <w:bookmarkStart w:id="201" w:name="_Toc72747212"/>
      <w:bookmarkStart w:id="202" w:name="_Toc73461014"/>
      <w:bookmarkStart w:id="203" w:name="_Toc73518661"/>
      <w:bookmarkStart w:id="204" w:name="_Toc73518808"/>
      <w:bookmarkStart w:id="205" w:name="_Toc73519208"/>
      <w:bookmarkStart w:id="206" w:name="_Toc73636090"/>
      <w:bookmarkStart w:id="207" w:name="_Toc73636232"/>
      <w:r w:rsidRPr="000C156A">
        <w:rPr>
          <w:rFonts w:hint="eastAsia"/>
          <w:lang w:eastAsia="zh-CN"/>
        </w:rPr>
        <w:t>有效性审议</w:t>
      </w:r>
      <w:bookmarkEnd w:id="200"/>
      <w:bookmarkEnd w:id="201"/>
      <w:bookmarkEnd w:id="202"/>
      <w:bookmarkEnd w:id="203"/>
      <w:bookmarkEnd w:id="204"/>
      <w:bookmarkEnd w:id="205"/>
      <w:bookmarkEnd w:id="206"/>
      <w:bookmarkEnd w:id="207"/>
    </w:p>
    <w:p w14:paraId="2E3E7329" w14:textId="683F9F46" w:rsidR="0085433F" w:rsidRPr="000C156A" w:rsidRDefault="0085433F" w:rsidP="0085433F">
      <w:pPr>
        <w:rPr>
          <w:lang w:eastAsia="zh-CN"/>
        </w:rPr>
      </w:pPr>
      <w:r w:rsidRPr="000C156A">
        <w:rPr>
          <w:rFonts w:cs="Arial"/>
          <w:szCs w:val="24"/>
          <w:lang w:eastAsia="zh-CN"/>
        </w:rPr>
        <w:t>1</w:t>
      </w:r>
      <w:r w:rsidRPr="000C156A">
        <w:rPr>
          <w:rFonts w:cs="Arial"/>
          <w:szCs w:val="24"/>
          <w:lang w:eastAsia="zh-CN"/>
        </w:rPr>
        <w:tab/>
      </w:r>
      <w:r w:rsidRPr="000C156A">
        <w:rPr>
          <w:rFonts w:hint="eastAsia"/>
          <w:lang w:eastAsia="zh-CN"/>
        </w:rPr>
        <w:t>国际电联管理层的执行负责人有责任确定并维护各自领域的内部控制框架。我对内部控制系统有效性的评述以其工作为基础。我从国际电联主要执行负责人和官员签署的内部代表信函获得保证，</w:t>
      </w:r>
      <w:r w:rsidRPr="000C156A">
        <w:rPr>
          <w:rFonts w:cs="Arial"/>
          <w:szCs w:val="24"/>
          <w:lang w:eastAsia="zh-CN"/>
        </w:rPr>
        <w:t>202</w:t>
      </w:r>
      <w:r w:rsidR="00802043">
        <w:rPr>
          <w:rFonts w:cs="Arial"/>
          <w:szCs w:val="24"/>
          <w:lang w:eastAsia="zh-CN"/>
        </w:rPr>
        <w:t>1</w:t>
      </w:r>
      <w:r w:rsidRPr="000C156A">
        <w:rPr>
          <w:rFonts w:hint="eastAsia"/>
          <w:lang w:eastAsia="zh-CN"/>
        </w:rPr>
        <w:t>年财务期遵守以下要求：</w:t>
      </w:r>
    </w:p>
    <w:p w14:paraId="2CD4B015"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承诺或承付款项以及费用符合理事会批准的划拨或其他财务准备或有关资金的目的、规则和条款；</w:t>
      </w:r>
    </w:p>
    <w:p w14:paraId="7673D457"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以有效、高效和经济的方式使用国际电联的资源；</w:t>
      </w:r>
    </w:p>
    <w:p w14:paraId="54A60F15"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国际电联所有资金和其他资源的正常接收、管理和分配；</w:t>
      </w:r>
    </w:p>
    <w:p w14:paraId="019D6DAD"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财务和其他管理数据的及时性、完整性和准确性。</w:t>
      </w:r>
    </w:p>
    <w:p w14:paraId="0F853F8C" w14:textId="77777777" w:rsidR="0085433F" w:rsidRPr="000C156A" w:rsidRDefault="0085433F" w:rsidP="0085433F">
      <w:pPr>
        <w:rPr>
          <w:lang w:eastAsia="zh-CN"/>
        </w:rPr>
      </w:pPr>
      <w:r w:rsidRPr="000C156A">
        <w:rPr>
          <w:rFonts w:cs="Arial"/>
          <w:szCs w:val="24"/>
          <w:lang w:eastAsia="zh-CN"/>
        </w:rPr>
        <w:t>2</w:t>
      </w:r>
      <w:r w:rsidRPr="000C156A">
        <w:rPr>
          <w:rFonts w:cs="Arial"/>
          <w:szCs w:val="24"/>
          <w:lang w:eastAsia="zh-CN"/>
        </w:rPr>
        <w:tab/>
      </w:r>
      <w:r w:rsidRPr="000C156A">
        <w:rPr>
          <w:rFonts w:hint="eastAsia"/>
          <w:lang w:eastAsia="zh-CN"/>
        </w:rPr>
        <w:t>国际电联的基本文件、规则和细则、行政规定、办公谅解备忘录和信息通函构成国际电联的规则框架。</w:t>
      </w:r>
    </w:p>
    <w:p w14:paraId="05E38C18" w14:textId="77777777" w:rsidR="0085433F" w:rsidRPr="000C156A" w:rsidRDefault="0085433F" w:rsidP="0085433F">
      <w:pPr>
        <w:rPr>
          <w:lang w:eastAsia="zh-CN"/>
        </w:rPr>
      </w:pPr>
      <w:r w:rsidRPr="000C156A">
        <w:rPr>
          <w:rFonts w:cs="Arial"/>
          <w:szCs w:val="24"/>
          <w:lang w:eastAsia="zh-CN"/>
        </w:rPr>
        <w:t>3</w:t>
      </w:r>
      <w:r w:rsidRPr="000C156A">
        <w:rPr>
          <w:rFonts w:cs="Arial"/>
          <w:szCs w:val="24"/>
          <w:lang w:eastAsia="zh-CN"/>
        </w:rPr>
        <w:tab/>
      </w:r>
      <w:r w:rsidRPr="000C156A">
        <w:rPr>
          <w:rFonts w:hint="eastAsia"/>
          <w:lang w:eastAsia="zh-CN"/>
        </w:rPr>
        <w:t>所有国际电联的体系、流程、运作、职能和活动须接受内部审计处的内部审计。内部审计处在开展工作时将努力遵守国际内部审计专业业务准则。我凭借审计工作获得保障，该组织的管理和风险管理充分，内部控制行之有效。</w:t>
      </w:r>
    </w:p>
    <w:p w14:paraId="05823679" w14:textId="2FCC4113" w:rsidR="0085433F" w:rsidRPr="000C156A" w:rsidRDefault="0085433F" w:rsidP="0085433F">
      <w:pPr>
        <w:rPr>
          <w:lang w:eastAsia="zh-CN"/>
        </w:rPr>
      </w:pPr>
      <w:r w:rsidRPr="000C156A">
        <w:rPr>
          <w:rFonts w:cs="Arial"/>
          <w:szCs w:val="24"/>
          <w:lang w:eastAsia="zh-CN"/>
        </w:rPr>
        <w:t>4</w:t>
      </w:r>
      <w:r w:rsidRPr="000C156A">
        <w:rPr>
          <w:rFonts w:cs="Arial"/>
          <w:szCs w:val="24"/>
          <w:lang w:eastAsia="zh-CN"/>
        </w:rPr>
        <w:tab/>
      </w:r>
      <w:r w:rsidRPr="000C156A">
        <w:rPr>
          <w:lang w:eastAsia="zh-CN"/>
        </w:rPr>
        <w:t>2019</w:t>
      </w:r>
      <w:r w:rsidRPr="000C156A">
        <w:rPr>
          <w:lang w:eastAsia="zh-CN"/>
        </w:rPr>
        <w:t>年</w:t>
      </w:r>
      <w:r w:rsidRPr="000C156A">
        <w:rPr>
          <w:lang w:eastAsia="zh-CN"/>
        </w:rPr>
        <w:t>5</w:t>
      </w:r>
      <w:r w:rsidRPr="000C156A">
        <w:rPr>
          <w:lang w:eastAsia="zh-CN"/>
        </w:rPr>
        <w:t>月</w:t>
      </w:r>
      <w:r w:rsidRPr="000C156A">
        <w:rPr>
          <w:lang w:eastAsia="zh-CN"/>
        </w:rPr>
        <w:t>2</w:t>
      </w:r>
      <w:r w:rsidRPr="000C156A">
        <w:rPr>
          <w:lang w:eastAsia="zh-CN"/>
        </w:rPr>
        <w:t>日发布</w:t>
      </w:r>
      <w:r w:rsidR="00A300CB">
        <w:rPr>
          <w:rFonts w:hint="eastAsia"/>
          <w:lang w:eastAsia="zh-CN"/>
        </w:rPr>
        <w:t>的</w:t>
      </w:r>
      <w:r w:rsidRPr="000C156A">
        <w:rPr>
          <w:lang w:eastAsia="zh-CN"/>
        </w:rPr>
        <w:t>一项</w:t>
      </w:r>
      <w:r w:rsidRPr="000C156A">
        <w:rPr>
          <w:rFonts w:hint="eastAsia"/>
          <w:lang w:eastAsia="zh-CN"/>
        </w:rPr>
        <w:t>行政规定，涉及</w:t>
      </w:r>
      <w:r w:rsidRPr="000C156A">
        <w:rPr>
          <w:lang w:eastAsia="zh-CN"/>
        </w:rPr>
        <w:t>国际电联反</w:t>
      </w:r>
      <w:r w:rsidRPr="000C156A">
        <w:rPr>
          <w:rFonts w:hint="eastAsia"/>
          <w:lang w:eastAsia="zh-CN"/>
        </w:rPr>
        <w:t>欺诈</w:t>
      </w:r>
      <w:r w:rsidRPr="000C156A">
        <w:rPr>
          <w:lang w:eastAsia="zh-CN"/>
        </w:rPr>
        <w:t>和其他</w:t>
      </w:r>
      <w:r w:rsidRPr="000C156A">
        <w:rPr>
          <w:rFonts w:hint="eastAsia"/>
          <w:lang w:eastAsia="zh-CN"/>
        </w:rPr>
        <w:t>明令禁止行为的</w:t>
      </w:r>
      <w:r w:rsidRPr="000C156A">
        <w:rPr>
          <w:lang w:eastAsia="zh-CN"/>
        </w:rPr>
        <w:t>政策</w:t>
      </w:r>
      <w:r w:rsidRPr="000C156A">
        <w:rPr>
          <w:rFonts w:hint="eastAsia"/>
          <w:lang w:eastAsia="zh-CN"/>
        </w:rPr>
        <w:t>（简称“</w:t>
      </w:r>
      <w:r w:rsidRPr="000C156A">
        <w:rPr>
          <w:lang w:eastAsia="zh-CN"/>
        </w:rPr>
        <w:t>政策</w:t>
      </w:r>
      <w:r w:rsidRPr="000C156A">
        <w:rPr>
          <w:rFonts w:hint="eastAsia"/>
          <w:lang w:eastAsia="zh-CN"/>
        </w:rPr>
        <w:t>”）</w:t>
      </w:r>
      <w:r w:rsidRPr="000C156A">
        <w:rPr>
          <w:lang w:eastAsia="zh-CN"/>
        </w:rPr>
        <w:t>，概述了国际电联为防止、发现和应对包括</w:t>
      </w:r>
      <w:r w:rsidRPr="000C156A">
        <w:rPr>
          <w:rFonts w:hint="eastAsia"/>
          <w:lang w:eastAsia="zh-CN"/>
        </w:rPr>
        <w:t>欺诈和其他明令禁止做法</w:t>
      </w:r>
      <w:r w:rsidRPr="000C156A">
        <w:rPr>
          <w:lang w:eastAsia="zh-CN"/>
        </w:rPr>
        <w:t>而采取的政策和程序。</w:t>
      </w:r>
      <w:r w:rsidR="00A300CB" w:rsidRPr="00A300CB">
        <w:rPr>
          <w:rFonts w:hint="eastAsia"/>
          <w:lang w:eastAsia="zh-CN"/>
        </w:rPr>
        <w:t>掌握疑似欺诈、腐败和其它违禁行为信息或证据的国际电联职员负有举报义务，并将受到免因举报而遭受打击报复的保护。</w:t>
      </w:r>
    </w:p>
    <w:p w14:paraId="6F706F32" w14:textId="77777777" w:rsidR="0085433F" w:rsidRPr="000C156A" w:rsidRDefault="0085433F" w:rsidP="0085433F">
      <w:pPr>
        <w:rPr>
          <w:lang w:eastAsia="zh-CN"/>
        </w:rPr>
      </w:pPr>
      <w:r w:rsidRPr="000C156A">
        <w:rPr>
          <w:rFonts w:cs="Arial"/>
          <w:szCs w:val="24"/>
          <w:lang w:eastAsia="zh-CN"/>
        </w:rPr>
        <w:t>5</w:t>
      </w:r>
      <w:r w:rsidRPr="000C156A">
        <w:rPr>
          <w:rFonts w:cs="Arial"/>
          <w:szCs w:val="24"/>
          <w:lang w:eastAsia="zh-CN"/>
        </w:rPr>
        <w:tab/>
      </w:r>
      <w:r w:rsidRPr="000C156A">
        <w:rPr>
          <w:lang w:eastAsia="zh-CN"/>
        </w:rPr>
        <w:t>该政策是国际电联</w:t>
      </w:r>
      <w:r w:rsidRPr="000C156A">
        <w:rPr>
          <w:rFonts w:hint="eastAsia"/>
          <w:lang w:eastAsia="zh-CN"/>
        </w:rPr>
        <w:t>组织</w:t>
      </w:r>
      <w:r w:rsidRPr="000C156A">
        <w:rPr>
          <w:lang w:eastAsia="zh-CN"/>
        </w:rPr>
        <w:t>风险管理的一部分，通过所有关键</w:t>
      </w:r>
      <w:r w:rsidRPr="000C156A">
        <w:rPr>
          <w:rFonts w:hint="eastAsia"/>
          <w:lang w:eastAsia="zh-CN"/>
        </w:rPr>
        <w:t>组织</w:t>
      </w:r>
      <w:r w:rsidRPr="000C156A">
        <w:rPr>
          <w:lang w:eastAsia="zh-CN"/>
        </w:rPr>
        <w:t>流程中的预防和</w:t>
      </w:r>
      <w:r w:rsidRPr="000C156A">
        <w:rPr>
          <w:rFonts w:hint="eastAsia"/>
          <w:lang w:eastAsia="zh-CN"/>
        </w:rPr>
        <w:t>发现</w:t>
      </w:r>
      <w:r w:rsidRPr="000C156A">
        <w:rPr>
          <w:lang w:eastAsia="zh-CN"/>
        </w:rPr>
        <w:t>控制来实施。它反映了国际电联对维护道德</w:t>
      </w:r>
      <w:r w:rsidRPr="000C156A">
        <w:rPr>
          <w:rFonts w:hint="eastAsia"/>
          <w:lang w:eastAsia="zh-CN"/>
        </w:rPr>
        <w:t>规范</w:t>
      </w:r>
      <w:r w:rsidRPr="000C156A">
        <w:rPr>
          <w:lang w:eastAsia="zh-CN"/>
        </w:rPr>
        <w:t>、透明度和问责制</w:t>
      </w:r>
      <w:r w:rsidRPr="000C156A">
        <w:rPr>
          <w:rFonts w:hint="eastAsia"/>
          <w:lang w:eastAsia="zh-CN"/>
        </w:rPr>
        <w:t>的</w:t>
      </w:r>
      <w:r w:rsidRPr="000C156A">
        <w:rPr>
          <w:lang w:eastAsia="zh-CN"/>
        </w:rPr>
        <w:t>最高标准承诺。</w:t>
      </w:r>
    </w:p>
    <w:p w14:paraId="4766D24E" w14:textId="77777777" w:rsidR="0085433F" w:rsidRPr="000C156A" w:rsidRDefault="0085433F" w:rsidP="0085433F">
      <w:pPr>
        <w:rPr>
          <w:lang w:eastAsia="zh-CN"/>
        </w:rPr>
      </w:pPr>
      <w:r w:rsidRPr="000C156A">
        <w:rPr>
          <w:rFonts w:cs="Arial"/>
          <w:szCs w:val="24"/>
          <w:lang w:eastAsia="zh-CN"/>
        </w:rPr>
        <w:t>6</w:t>
      </w:r>
      <w:r w:rsidRPr="000C156A">
        <w:rPr>
          <w:rFonts w:cs="Arial"/>
          <w:szCs w:val="24"/>
          <w:lang w:eastAsia="zh-CN"/>
        </w:rPr>
        <w:tab/>
      </w:r>
      <w:r w:rsidRPr="000C156A">
        <w:rPr>
          <w:lang w:eastAsia="zh-CN"/>
        </w:rPr>
        <w:t>2019</w:t>
      </w:r>
      <w:r w:rsidRPr="000C156A">
        <w:rPr>
          <w:rFonts w:hint="eastAsia"/>
          <w:lang w:eastAsia="zh-CN"/>
        </w:rPr>
        <w:t>年</w:t>
      </w:r>
      <w:r w:rsidRPr="000C156A">
        <w:rPr>
          <w:rFonts w:hint="eastAsia"/>
          <w:lang w:eastAsia="zh-CN"/>
        </w:rPr>
        <w:t>5</w:t>
      </w:r>
      <w:r w:rsidRPr="000C156A">
        <w:rPr>
          <w:rFonts w:hint="eastAsia"/>
          <w:lang w:eastAsia="zh-CN"/>
        </w:rPr>
        <w:t>月</w:t>
      </w:r>
      <w:r w:rsidRPr="000C156A">
        <w:rPr>
          <w:rFonts w:hint="eastAsia"/>
          <w:lang w:eastAsia="zh-CN"/>
        </w:rPr>
        <w:t>2</w:t>
      </w:r>
      <w:r w:rsidRPr="000C156A">
        <w:rPr>
          <w:rFonts w:hint="eastAsia"/>
          <w:lang w:eastAsia="zh-CN"/>
        </w:rPr>
        <w:t>日亦发布了有关《国际电联调查导则》的行政规定，其中载有开展调查应遵循的程序，包括防止泄露机密信息和确保及时应对欺诈案件的步骤。</w:t>
      </w:r>
    </w:p>
    <w:p w14:paraId="4E9EC33E" w14:textId="7E53E4AE" w:rsidR="0085433F" w:rsidRPr="000C156A" w:rsidRDefault="0085433F" w:rsidP="0085433F">
      <w:pPr>
        <w:rPr>
          <w:lang w:eastAsia="zh-CN"/>
        </w:rPr>
      </w:pPr>
      <w:r w:rsidRPr="000C156A">
        <w:rPr>
          <w:rFonts w:cs="Arial"/>
          <w:szCs w:val="24"/>
          <w:lang w:eastAsia="zh-CN"/>
        </w:rPr>
        <w:t>7</w:t>
      </w:r>
      <w:r w:rsidRPr="000C156A">
        <w:rPr>
          <w:rFonts w:cs="Arial"/>
          <w:szCs w:val="24"/>
          <w:lang w:eastAsia="zh-CN"/>
        </w:rPr>
        <w:tab/>
      </w:r>
      <w:r w:rsidRPr="000C156A">
        <w:rPr>
          <w:rFonts w:hint="eastAsia"/>
          <w:lang w:eastAsia="zh-CN"/>
        </w:rPr>
        <w:t>2</w:t>
      </w:r>
      <w:r w:rsidRPr="000C156A">
        <w:rPr>
          <w:lang w:eastAsia="zh-CN"/>
        </w:rPr>
        <w:t>02</w:t>
      </w:r>
      <w:r w:rsidR="00075E19">
        <w:rPr>
          <w:lang w:eastAsia="zh-CN"/>
        </w:rPr>
        <w:t>1</w:t>
      </w:r>
      <w:r w:rsidRPr="000C156A">
        <w:rPr>
          <w:rFonts w:hint="eastAsia"/>
          <w:lang w:eastAsia="zh-CN"/>
        </w:rPr>
        <w:t>年，</w:t>
      </w:r>
      <w:r w:rsidRPr="000C156A">
        <w:rPr>
          <w:lang w:eastAsia="zh-CN"/>
        </w:rPr>
        <w:t>在</w:t>
      </w:r>
      <w:r w:rsidRPr="000C156A">
        <w:rPr>
          <w:rFonts w:hint="eastAsia"/>
          <w:lang w:eastAsia="zh-CN"/>
        </w:rPr>
        <w:t>电信发展局</w:t>
      </w:r>
      <w:r w:rsidRPr="000C156A">
        <w:rPr>
          <w:lang w:eastAsia="zh-CN"/>
        </w:rPr>
        <w:t>和总秘书处各部门所有利益攸关方的参与下，</w:t>
      </w:r>
      <w:r w:rsidR="00075E19">
        <w:rPr>
          <w:rFonts w:hint="eastAsia"/>
          <w:lang w:eastAsia="zh-CN"/>
        </w:rPr>
        <w:t>2</w:t>
      </w:r>
      <w:r w:rsidR="00075E19">
        <w:rPr>
          <w:lang w:eastAsia="zh-CN"/>
        </w:rPr>
        <w:t>019</w:t>
      </w:r>
      <w:r w:rsidR="00075E19">
        <w:rPr>
          <w:rFonts w:hint="eastAsia"/>
          <w:lang w:eastAsia="zh-CN"/>
        </w:rPr>
        <w:t>年成立的</w:t>
      </w:r>
      <w:r w:rsidRPr="000C156A">
        <w:rPr>
          <w:lang w:eastAsia="zh-CN"/>
        </w:rPr>
        <w:t>关于加强</w:t>
      </w:r>
      <w:r w:rsidRPr="000C156A">
        <w:rPr>
          <w:rFonts w:hint="eastAsia"/>
          <w:lang w:eastAsia="zh-CN"/>
        </w:rPr>
        <w:t>电信发展局（</w:t>
      </w:r>
      <w:r w:rsidRPr="000C156A">
        <w:rPr>
          <w:lang w:eastAsia="zh-CN"/>
        </w:rPr>
        <w:t>总部和区域</w:t>
      </w:r>
      <w:r w:rsidRPr="000C156A">
        <w:rPr>
          <w:rFonts w:hint="eastAsia"/>
          <w:lang w:eastAsia="zh-CN"/>
        </w:rPr>
        <w:t>代表处</w:t>
      </w:r>
      <w:r w:rsidRPr="000C156A">
        <w:rPr>
          <w:lang w:eastAsia="zh-CN"/>
        </w:rPr>
        <w:t>/</w:t>
      </w:r>
      <w:r w:rsidRPr="000C156A">
        <w:rPr>
          <w:lang w:eastAsia="zh-CN"/>
        </w:rPr>
        <w:t>地区办事</w:t>
      </w:r>
      <w:r w:rsidRPr="000C156A">
        <w:rPr>
          <w:rFonts w:hint="eastAsia"/>
          <w:lang w:eastAsia="zh-CN"/>
        </w:rPr>
        <w:t>处）</w:t>
      </w:r>
      <w:r w:rsidRPr="000C156A">
        <w:rPr>
          <w:lang w:eastAsia="zh-CN"/>
        </w:rPr>
        <w:t>内部控制的内部工作组</w:t>
      </w:r>
      <w:r w:rsidRPr="000C156A">
        <w:rPr>
          <w:rFonts w:hint="eastAsia"/>
          <w:lang w:eastAsia="zh-CN"/>
        </w:rPr>
        <w:t>继续开展工作</w:t>
      </w:r>
      <w:r w:rsidRPr="000C156A">
        <w:rPr>
          <w:lang w:eastAsia="zh-CN"/>
        </w:rPr>
        <w:t>。</w:t>
      </w:r>
      <w:r w:rsidRPr="008B72C8">
        <w:rPr>
          <w:lang w:eastAsia="zh-CN"/>
        </w:rPr>
        <w:t>该</w:t>
      </w:r>
      <w:r w:rsidRPr="008B72C8">
        <w:rPr>
          <w:rFonts w:hint="eastAsia"/>
          <w:lang w:eastAsia="zh-CN"/>
        </w:rPr>
        <w:t>工作</w:t>
      </w:r>
      <w:r w:rsidRPr="008B72C8">
        <w:rPr>
          <w:lang w:eastAsia="zh-CN"/>
        </w:rPr>
        <w:t>组的</w:t>
      </w:r>
      <w:r w:rsidRPr="008B72C8">
        <w:rPr>
          <w:rFonts w:hint="eastAsia"/>
          <w:lang w:eastAsia="zh-CN"/>
        </w:rPr>
        <w:t>职责</w:t>
      </w:r>
      <w:r w:rsidRPr="008B72C8">
        <w:rPr>
          <w:lang w:eastAsia="zh-CN"/>
        </w:rPr>
        <w:t>是协调电信发展局和整个国际电联行动计划的制定和执行，</w:t>
      </w:r>
      <w:r w:rsidRPr="008B72C8">
        <w:rPr>
          <w:rFonts w:hint="eastAsia"/>
          <w:lang w:eastAsia="zh-CN"/>
        </w:rPr>
        <w:t>并负责</w:t>
      </w:r>
      <w:r w:rsidRPr="008B72C8">
        <w:rPr>
          <w:lang w:eastAsia="zh-CN"/>
        </w:rPr>
        <w:t>处理内部和外部审计机构提交的所有初步调查结果</w:t>
      </w:r>
      <w:r w:rsidRPr="008B72C8">
        <w:rPr>
          <w:lang w:eastAsia="zh-CN"/>
        </w:rPr>
        <w:t>/</w:t>
      </w:r>
      <w:r w:rsidRPr="008B72C8">
        <w:rPr>
          <w:lang w:eastAsia="zh-CN"/>
        </w:rPr>
        <w:t>建议</w:t>
      </w:r>
      <w:r w:rsidRPr="008B72C8">
        <w:rPr>
          <w:rFonts w:hint="eastAsia"/>
          <w:lang w:eastAsia="zh-CN"/>
        </w:rPr>
        <w:t>。</w:t>
      </w:r>
    </w:p>
    <w:p w14:paraId="174252BD" w14:textId="77777777" w:rsidR="004A7C8D" w:rsidRPr="000C156A" w:rsidRDefault="0085433F" w:rsidP="004A7C8D">
      <w:pPr>
        <w:rPr>
          <w:lang w:eastAsia="zh-CN"/>
        </w:rPr>
      </w:pPr>
      <w:r w:rsidRPr="000C156A">
        <w:rPr>
          <w:lang w:eastAsia="zh-CN"/>
        </w:rPr>
        <w:t>8</w:t>
      </w:r>
      <w:r w:rsidRPr="000C156A">
        <w:rPr>
          <w:lang w:eastAsia="zh-CN"/>
        </w:rPr>
        <w:tab/>
      </w:r>
      <w:bookmarkStart w:id="208" w:name="_Hlk72313174"/>
      <w:r w:rsidR="004A7C8D" w:rsidRPr="000C156A">
        <w:rPr>
          <w:rFonts w:hint="eastAsia"/>
          <w:lang w:eastAsia="zh-CN"/>
        </w:rPr>
        <w:t>正在实施以下系统和措施：</w:t>
      </w:r>
    </w:p>
    <w:p w14:paraId="666CD6F4" w14:textId="77777777" w:rsidR="004A7C8D" w:rsidRPr="000C156A" w:rsidRDefault="004A7C8D" w:rsidP="004A7C8D">
      <w:pPr>
        <w:pStyle w:val="enumlev1"/>
        <w:rPr>
          <w:lang w:eastAsia="zh-CN"/>
        </w:rPr>
      </w:pPr>
      <w:r w:rsidRPr="000C156A">
        <w:rPr>
          <w:lang w:eastAsia="zh-CN"/>
        </w:rPr>
        <w:t>•</w:t>
      </w:r>
      <w:r w:rsidRPr="000C156A">
        <w:rPr>
          <w:lang w:eastAsia="zh-CN"/>
        </w:rPr>
        <w:tab/>
      </w:r>
      <w:r w:rsidRPr="000C156A">
        <w:rPr>
          <w:rFonts w:hint="eastAsia"/>
          <w:lang w:eastAsia="zh-CN"/>
        </w:rPr>
        <w:t>新的电子招聘系统和</w:t>
      </w:r>
      <w:r w:rsidRPr="000C156A">
        <w:rPr>
          <w:lang w:eastAsia="zh-CN"/>
        </w:rPr>
        <w:t>竞争性顾问遴选程</w:t>
      </w:r>
      <w:r w:rsidRPr="000C156A">
        <w:rPr>
          <w:rFonts w:hint="eastAsia"/>
          <w:lang w:eastAsia="zh-CN"/>
        </w:rPr>
        <w:t>序；</w:t>
      </w:r>
    </w:p>
    <w:p w14:paraId="787F401E" w14:textId="77777777" w:rsidR="004A7C8D" w:rsidRPr="000C156A" w:rsidRDefault="004A7C8D" w:rsidP="004A7C8D">
      <w:pPr>
        <w:pStyle w:val="enumlev1"/>
        <w:rPr>
          <w:lang w:eastAsia="zh-CN"/>
        </w:rPr>
      </w:pPr>
      <w:r w:rsidRPr="000C156A">
        <w:rPr>
          <w:lang w:eastAsia="zh-CN"/>
        </w:rPr>
        <w:lastRenderedPageBreak/>
        <w:t>•</w:t>
      </w:r>
      <w:r w:rsidRPr="000C156A">
        <w:rPr>
          <w:lang w:eastAsia="zh-CN"/>
        </w:rPr>
        <w:tab/>
      </w:r>
      <w:r w:rsidRPr="000C156A">
        <w:rPr>
          <w:rFonts w:hint="eastAsia"/>
          <w:lang w:eastAsia="zh-CN"/>
        </w:rPr>
        <w:t>改善对顾问使用的管理和控制；</w:t>
      </w:r>
    </w:p>
    <w:p w14:paraId="44CBAF97" w14:textId="77777777" w:rsidR="004A7C8D" w:rsidRPr="000C156A" w:rsidRDefault="004A7C8D" w:rsidP="004A7C8D">
      <w:pPr>
        <w:pStyle w:val="enumlev1"/>
        <w:rPr>
          <w:lang w:eastAsia="zh-CN"/>
        </w:rPr>
      </w:pPr>
      <w:r w:rsidRPr="000C156A">
        <w:rPr>
          <w:lang w:eastAsia="zh-CN"/>
        </w:rPr>
        <w:t>•</w:t>
      </w:r>
      <w:r w:rsidRPr="000C156A">
        <w:rPr>
          <w:lang w:eastAsia="zh-CN"/>
        </w:rPr>
        <w:tab/>
      </w:r>
      <w:r w:rsidRPr="000C156A">
        <w:rPr>
          <w:rFonts w:hint="eastAsia"/>
          <w:lang w:eastAsia="zh-CN"/>
        </w:rPr>
        <w:t>电信发展局的通用信息技术系统；</w:t>
      </w:r>
    </w:p>
    <w:p w14:paraId="3BB4F13F" w14:textId="551C14E3" w:rsidR="0085433F" w:rsidRPr="000C156A" w:rsidRDefault="004A7C8D" w:rsidP="004A7C8D">
      <w:pPr>
        <w:rPr>
          <w:lang w:eastAsia="zh-CN"/>
        </w:rPr>
      </w:pPr>
      <w:r w:rsidRPr="000C156A">
        <w:rPr>
          <w:lang w:eastAsia="zh-CN"/>
        </w:rPr>
        <w:t>•</w:t>
      </w:r>
      <w:r w:rsidRPr="000C156A">
        <w:rPr>
          <w:lang w:eastAsia="zh-CN"/>
        </w:rPr>
        <w:tab/>
      </w:r>
      <w:r w:rsidRPr="000C156A">
        <w:rPr>
          <w:rFonts w:hint="eastAsia"/>
          <w:lang w:eastAsia="zh-CN"/>
        </w:rPr>
        <w:t>问责制框架。</w:t>
      </w:r>
    </w:p>
    <w:p w14:paraId="2797E1EB" w14:textId="13A03C68" w:rsidR="0085433F" w:rsidRPr="000C156A" w:rsidRDefault="0085433F" w:rsidP="0085433F">
      <w:pPr>
        <w:rPr>
          <w:lang w:eastAsia="zh-CN"/>
        </w:rPr>
      </w:pPr>
      <w:r w:rsidRPr="000C156A">
        <w:rPr>
          <w:lang w:eastAsia="zh-CN"/>
        </w:rPr>
        <w:t>9</w:t>
      </w:r>
      <w:r w:rsidRPr="000C156A">
        <w:rPr>
          <w:lang w:eastAsia="zh-CN"/>
        </w:rPr>
        <w:tab/>
      </w:r>
      <w:r w:rsidR="00310845" w:rsidRPr="00310845">
        <w:rPr>
          <w:rFonts w:hint="eastAsia"/>
          <w:lang w:eastAsia="zh-CN"/>
        </w:rPr>
        <w:t>国际电联管理层于</w:t>
      </w:r>
      <w:r w:rsidR="00310845" w:rsidRPr="00310845">
        <w:rPr>
          <w:rFonts w:hint="eastAsia"/>
          <w:lang w:eastAsia="zh-CN"/>
        </w:rPr>
        <w:t>2020</w:t>
      </w:r>
      <w:r w:rsidR="00310845" w:rsidRPr="00310845">
        <w:rPr>
          <w:rFonts w:hint="eastAsia"/>
          <w:lang w:eastAsia="zh-CN"/>
        </w:rPr>
        <w:t>年</w:t>
      </w:r>
      <w:r w:rsidR="00310845" w:rsidRPr="00310845">
        <w:rPr>
          <w:rFonts w:hint="eastAsia"/>
          <w:lang w:eastAsia="zh-CN"/>
        </w:rPr>
        <w:t>11</w:t>
      </w:r>
      <w:r w:rsidR="00310845" w:rsidRPr="00310845">
        <w:rPr>
          <w:rFonts w:hint="eastAsia"/>
          <w:lang w:eastAsia="zh-CN"/>
        </w:rPr>
        <w:t>月决定</w:t>
      </w:r>
      <w:r w:rsidR="00613A2D">
        <w:rPr>
          <w:rFonts w:hint="eastAsia"/>
          <w:lang w:eastAsia="zh-CN"/>
        </w:rPr>
        <w:t>设置</w:t>
      </w:r>
      <w:r w:rsidR="00310845" w:rsidRPr="00310845">
        <w:rPr>
          <w:rFonts w:hint="eastAsia"/>
          <w:lang w:eastAsia="zh-CN"/>
        </w:rPr>
        <w:t>组织合规性仪表板（</w:t>
      </w:r>
      <w:r w:rsidR="00310845" w:rsidRPr="00310845">
        <w:rPr>
          <w:rFonts w:hint="eastAsia"/>
          <w:lang w:eastAsia="zh-CN"/>
        </w:rPr>
        <w:t>corporate compliance dashboard</w:t>
      </w:r>
      <w:r w:rsidR="00310845" w:rsidRPr="00310845">
        <w:rPr>
          <w:rFonts w:hint="eastAsia"/>
          <w:lang w:eastAsia="zh-CN"/>
        </w:rPr>
        <w:t>），对外部审计、</w:t>
      </w:r>
      <w:r w:rsidR="00310845" w:rsidRPr="00310845">
        <w:rPr>
          <w:rFonts w:hint="eastAsia"/>
          <w:lang w:eastAsia="zh-CN"/>
        </w:rPr>
        <w:t>IMAC</w:t>
      </w:r>
      <w:r w:rsidR="00310845" w:rsidRPr="00310845">
        <w:rPr>
          <w:rFonts w:hint="eastAsia"/>
          <w:lang w:eastAsia="zh-CN"/>
        </w:rPr>
        <w:t>、</w:t>
      </w:r>
      <w:r w:rsidR="00310845" w:rsidRPr="00310845">
        <w:rPr>
          <w:rFonts w:hint="eastAsia"/>
          <w:lang w:eastAsia="zh-CN"/>
        </w:rPr>
        <w:t>JIU</w:t>
      </w:r>
      <w:r w:rsidR="00310845" w:rsidRPr="00310845">
        <w:rPr>
          <w:rFonts w:hint="eastAsia"/>
          <w:lang w:eastAsia="zh-CN"/>
        </w:rPr>
        <w:t>和内部审计的建议进行跟踪。这一工具使国际电联的管理和监督机构（内部审计、外部审计和</w:t>
      </w:r>
      <w:r w:rsidR="00310845" w:rsidRPr="00310845">
        <w:rPr>
          <w:rFonts w:hint="eastAsia"/>
          <w:lang w:eastAsia="zh-CN"/>
        </w:rPr>
        <w:t>IMAC</w:t>
      </w:r>
      <w:r w:rsidR="00310845" w:rsidRPr="00310845">
        <w:rPr>
          <w:rFonts w:hint="eastAsia"/>
          <w:lang w:eastAsia="zh-CN"/>
        </w:rPr>
        <w:t>）能够清楚地了解正在落实的建议、与这些建议有关的风险、关于建议执行进展或</w:t>
      </w:r>
      <w:r w:rsidR="00310845">
        <w:rPr>
          <w:rFonts w:hint="eastAsia"/>
          <w:lang w:eastAsia="zh-CN"/>
        </w:rPr>
        <w:t>缓解残</w:t>
      </w:r>
      <w:r w:rsidR="00310845" w:rsidRPr="00310845">
        <w:rPr>
          <w:rFonts w:hint="eastAsia"/>
          <w:lang w:eastAsia="zh-CN"/>
        </w:rPr>
        <w:t>余风险的实时信息。</w:t>
      </w:r>
    </w:p>
    <w:p w14:paraId="581ACF7A" w14:textId="053A2AC4" w:rsidR="0085433F" w:rsidRPr="000C156A" w:rsidRDefault="0085433F" w:rsidP="004A7C8D">
      <w:pPr>
        <w:rPr>
          <w:lang w:eastAsia="zh-CN"/>
        </w:rPr>
      </w:pPr>
      <w:r w:rsidRPr="000C156A">
        <w:rPr>
          <w:lang w:eastAsia="zh-CN"/>
        </w:rPr>
        <w:t>10</w:t>
      </w:r>
      <w:r w:rsidRPr="000C156A">
        <w:rPr>
          <w:lang w:eastAsia="zh-CN"/>
        </w:rPr>
        <w:tab/>
      </w:r>
      <w:r w:rsidR="00310845" w:rsidRPr="00310845">
        <w:rPr>
          <w:rFonts w:hint="eastAsia"/>
          <w:lang w:eastAsia="zh-CN"/>
        </w:rPr>
        <w:t>2021</w:t>
      </w:r>
      <w:r w:rsidR="00310845" w:rsidRPr="00310845">
        <w:rPr>
          <w:rFonts w:hint="eastAsia"/>
          <w:lang w:eastAsia="zh-CN"/>
        </w:rPr>
        <w:t>年底，内部审计、外部审计和</w:t>
      </w:r>
      <w:r w:rsidR="00310845" w:rsidRPr="00310845">
        <w:rPr>
          <w:rFonts w:hint="eastAsia"/>
          <w:lang w:eastAsia="zh-CN"/>
        </w:rPr>
        <w:t>IMAC</w:t>
      </w:r>
      <w:r w:rsidR="00310845" w:rsidRPr="00310845">
        <w:rPr>
          <w:rFonts w:hint="eastAsia"/>
          <w:lang w:eastAsia="zh-CN"/>
        </w:rPr>
        <w:t>所有相关建议的执行率为</w:t>
      </w:r>
      <w:r w:rsidR="00310845" w:rsidRPr="00310845">
        <w:rPr>
          <w:rFonts w:hint="eastAsia"/>
          <w:lang w:eastAsia="zh-CN"/>
        </w:rPr>
        <w:t>85%</w:t>
      </w:r>
      <w:r w:rsidR="00310845" w:rsidRPr="00310845">
        <w:rPr>
          <w:rFonts w:hint="eastAsia"/>
          <w:lang w:eastAsia="zh-CN"/>
        </w:rPr>
        <w:t>。</w:t>
      </w:r>
    </w:p>
    <w:p w14:paraId="6309C450" w14:textId="23875189" w:rsidR="004A7C8D" w:rsidRDefault="0085433F" w:rsidP="0085433F">
      <w:pPr>
        <w:rPr>
          <w:rFonts w:cs="Calibri"/>
          <w:szCs w:val="24"/>
          <w:lang w:eastAsia="zh-CN"/>
        </w:rPr>
      </w:pPr>
      <w:r w:rsidRPr="000C156A">
        <w:rPr>
          <w:rFonts w:cs="Calibri"/>
          <w:lang w:eastAsia="zh-CN"/>
        </w:rPr>
        <w:t>11</w:t>
      </w:r>
      <w:r w:rsidRPr="000C156A">
        <w:rPr>
          <w:rFonts w:cs="Calibri"/>
          <w:lang w:eastAsia="zh-CN"/>
        </w:rPr>
        <w:tab/>
      </w:r>
      <w:bookmarkEnd w:id="208"/>
      <w:r w:rsidR="004F693F" w:rsidRPr="004F693F">
        <w:rPr>
          <w:rFonts w:cs="Calibri" w:hint="eastAsia"/>
          <w:lang w:eastAsia="zh-CN"/>
        </w:rPr>
        <w:t>在</w:t>
      </w:r>
      <w:r w:rsidR="004F693F" w:rsidRPr="004F693F">
        <w:rPr>
          <w:rFonts w:cs="Calibri" w:hint="eastAsia"/>
          <w:lang w:eastAsia="zh-CN"/>
        </w:rPr>
        <w:t>2021</w:t>
      </w:r>
      <w:r w:rsidR="004F693F" w:rsidRPr="004F693F">
        <w:rPr>
          <w:rFonts w:cs="Calibri" w:hint="eastAsia"/>
          <w:lang w:eastAsia="zh-CN"/>
        </w:rPr>
        <w:t>年期间，向外聘审计员报告了下列多起调查案件，并在</w:t>
      </w:r>
      <w:r w:rsidR="004F693F" w:rsidRPr="004F693F">
        <w:rPr>
          <w:rFonts w:cs="Calibri" w:hint="eastAsia"/>
          <w:lang w:eastAsia="zh-CN"/>
        </w:rPr>
        <w:t>2020</w:t>
      </w:r>
      <w:r w:rsidR="004F693F" w:rsidRPr="004F693F">
        <w:rPr>
          <w:rFonts w:cs="Calibri" w:hint="eastAsia"/>
          <w:lang w:eastAsia="zh-CN"/>
        </w:rPr>
        <w:t>年报告了可能对</w:t>
      </w:r>
      <w:r w:rsidR="004F693F" w:rsidRPr="004F693F">
        <w:rPr>
          <w:rFonts w:cs="Calibri" w:hint="eastAsia"/>
          <w:lang w:eastAsia="zh-CN"/>
        </w:rPr>
        <w:t>2021</w:t>
      </w:r>
      <w:r w:rsidR="004F693F" w:rsidRPr="004F693F">
        <w:rPr>
          <w:rFonts w:cs="Calibri" w:hint="eastAsia"/>
          <w:lang w:eastAsia="zh-CN"/>
        </w:rPr>
        <w:t>年产生财务影响的案件：</w:t>
      </w:r>
    </w:p>
    <w:p w14:paraId="36848FAD" w14:textId="6CB62E89" w:rsidR="004A7C8D" w:rsidRPr="00711379" w:rsidRDefault="004A7C8D" w:rsidP="004A7C8D">
      <w:pPr>
        <w:pStyle w:val="enumlev2"/>
        <w:rPr>
          <w:lang w:eastAsia="zh-CN"/>
        </w:rPr>
      </w:pPr>
      <w:r w:rsidRPr="00711379">
        <w:rPr>
          <w:lang w:eastAsia="zh-CN"/>
        </w:rPr>
        <w:t>a)</w:t>
      </w:r>
      <w:r w:rsidRPr="00711379">
        <w:rPr>
          <w:lang w:eastAsia="zh-CN"/>
        </w:rPr>
        <w:tab/>
      </w:r>
      <w:r w:rsidR="004F693F" w:rsidRPr="004F693F">
        <w:rPr>
          <w:rFonts w:hint="eastAsia"/>
          <w:lang w:eastAsia="zh-CN"/>
        </w:rPr>
        <w:t>2020</w:t>
      </w:r>
      <w:r w:rsidR="004F693F" w:rsidRPr="004F693F">
        <w:rPr>
          <w:rFonts w:hint="eastAsia"/>
          <w:lang w:eastAsia="zh-CN"/>
        </w:rPr>
        <w:t>年初查明了一起一名工作人员（驻日内瓦的国际职员）涉嫌教育补助金申请欺诈</w:t>
      </w:r>
      <w:r w:rsidR="004F693F">
        <w:rPr>
          <w:rFonts w:hint="eastAsia"/>
          <w:lang w:eastAsia="zh-CN"/>
        </w:rPr>
        <w:t>的</w:t>
      </w:r>
      <w:r w:rsidR="004F693F" w:rsidRPr="004F693F">
        <w:rPr>
          <w:rFonts w:hint="eastAsia"/>
          <w:lang w:eastAsia="zh-CN"/>
        </w:rPr>
        <w:t>案</w:t>
      </w:r>
      <w:r w:rsidR="004F693F">
        <w:rPr>
          <w:rFonts w:hint="eastAsia"/>
          <w:lang w:eastAsia="zh-CN"/>
        </w:rPr>
        <w:t>件</w:t>
      </w:r>
      <w:r w:rsidR="004F693F" w:rsidRPr="004F693F">
        <w:rPr>
          <w:rFonts w:hint="eastAsia"/>
          <w:lang w:eastAsia="zh-CN"/>
        </w:rPr>
        <w:t>。调查已经结束，涉事人员</w:t>
      </w:r>
      <w:r w:rsidR="004F693F">
        <w:rPr>
          <w:rFonts w:hint="eastAsia"/>
          <w:lang w:eastAsia="zh-CN"/>
        </w:rPr>
        <w:t>已</w:t>
      </w:r>
      <w:r w:rsidR="004F693F" w:rsidRPr="004F693F">
        <w:rPr>
          <w:rFonts w:hint="eastAsia"/>
          <w:lang w:eastAsia="zh-CN"/>
        </w:rPr>
        <w:t>于</w:t>
      </w:r>
      <w:r w:rsidR="004F693F" w:rsidRPr="004F693F">
        <w:rPr>
          <w:rFonts w:hint="eastAsia"/>
          <w:lang w:eastAsia="zh-CN"/>
        </w:rPr>
        <w:t>2021</w:t>
      </w:r>
      <w:r w:rsidR="004F693F" w:rsidRPr="004F693F">
        <w:rPr>
          <w:rFonts w:hint="eastAsia"/>
          <w:lang w:eastAsia="zh-CN"/>
        </w:rPr>
        <w:t>年</w:t>
      </w:r>
      <w:r w:rsidR="004F693F" w:rsidRPr="004F693F">
        <w:rPr>
          <w:rFonts w:hint="eastAsia"/>
          <w:lang w:eastAsia="zh-CN"/>
        </w:rPr>
        <w:t>7</w:t>
      </w:r>
      <w:r w:rsidR="004F693F" w:rsidRPr="004F693F">
        <w:rPr>
          <w:rFonts w:hint="eastAsia"/>
          <w:lang w:eastAsia="zh-CN"/>
        </w:rPr>
        <w:t>月</w:t>
      </w:r>
      <w:r w:rsidR="004F693F" w:rsidRPr="004F693F">
        <w:rPr>
          <w:rFonts w:hint="eastAsia"/>
          <w:lang w:eastAsia="zh-CN"/>
        </w:rPr>
        <w:t>31</w:t>
      </w:r>
      <w:r w:rsidR="004F693F" w:rsidRPr="004F693F">
        <w:rPr>
          <w:rFonts w:hint="eastAsia"/>
          <w:lang w:eastAsia="zh-CN"/>
        </w:rPr>
        <w:t>日被辞退。</w:t>
      </w:r>
    </w:p>
    <w:p w14:paraId="1688B545" w14:textId="24242B77" w:rsidR="004A7C8D" w:rsidRPr="002A5B06" w:rsidRDefault="004A7C8D" w:rsidP="004A7C8D">
      <w:pPr>
        <w:pStyle w:val="enumlev2"/>
        <w:rPr>
          <w:lang w:eastAsia="zh-CN"/>
        </w:rPr>
      </w:pPr>
      <w:r>
        <w:rPr>
          <w:lang w:eastAsia="zh-CN"/>
        </w:rPr>
        <w:t>b)</w:t>
      </w:r>
      <w:r>
        <w:rPr>
          <w:lang w:eastAsia="zh-CN"/>
        </w:rPr>
        <w:tab/>
      </w:r>
      <w:r w:rsidR="004F693F" w:rsidRPr="004F693F">
        <w:rPr>
          <w:rFonts w:hint="eastAsia"/>
          <w:lang w:eastAsia="zh-CN"/>
        </w:rPr>
        <w:t>2021</w:t>
      </w:r>
      <w:r w:rsidR="004F693F" w:rsidRPr="004F693F">
        <w:rPr>
          <w:rFonts w:hint="eastAsia"/>
          <w:lang w:eastAsia="zh-CN"/>
        </w:rPr>
        <w:t>年还收到了三起涉及前国际电联医疗保险提供商的医疗保险欺诈案，并由一名外部顾问进行了调查。鉴于欺诈行为是在向两名工作人员支付任何款项之前被发现的，未给本组织带来任何财务后果。</w:t>
      </w:r>
    </w:p>
    <w:p w14:paraId="159ECE3E" w14:textId="1AA44B13" w:rsidR="004A7C8D" w:rsidRPr="002A5B06" w:rsidRDefault="004A7C8D" w:rsidP="004A7C8D">
      <w:pPr>
        <w:pStyle w:val="enumlev2"/>
        <w:rPr>
          <w:lang w:eastAsia="zh-CN"/>
        </w:rPr>
      </w:pPr>
      <w:r>
        <w:rPr>
          <w:lang w:eastAsia="zh-CN"/>
        </w:rPr>
        <w:t>c)</w:t>
      </w:r>
      <w:r>
        <w:rPr>
          <w:lang w:eastAsia="zh-CN"/>
        </w:rPr>
        <w:tab/>
      </w:r>
      <w:r w:rsidR="009D150E" w:rsidRPr="009D150E">
        <w:rPr>
          <w:rFonts w:hint="eastAsia"/>
          <w:lang w:eastAsia="zh-CN"/>
        </w:rPr>
        <w:t>国际电联获悉普华永道对涉及四名顾问（</w:t>
      </w:r>
      <w:r w:rsidR="009D150E" w:rsidRPr="009D150E">
        <w:rPr>
          <w:rFonts w:hint="eastAsia"/>
          <w:lang w:eastAsia="zh-CN"/>
        </w:rPr>
        <w:t>SSA</w:t>
      </w:r>
      <w:r w:rsidR="009D150E" w:rsidRPr="009D150E">
        <w:rPr>
          <w:rFonts w:hint="eastAsia"/>
          <w:lang w:eastAsia="zh-CN"/>
        </w:rPr>
        <w:t>）和一名工作人员的五起潜在欺诈案进行</w:t>
      </w:r>
      <w:r w:rsidR="009D150E">
        <w:rPr>
          <w:rFonts w:hint="eastAsia"/>
          <w:lang w:eastAsia="zh-CN"/>
        </w:rPr>
        <w:t>了</w:t>
      </w:r>
      <w:r w:rsidR="009D150E" w:rsidRPr="009D150E">
        <w:rPr>
          <w:rFonts w:hint="eastAsia"/>
          <w:lang w:eastAsia="zh-CN"/>
        </w:rPr>
        <w:t>法证审查。调查科正在</w:t>
      </w:r>
      <w:r w:rsidR="009D150E">
        <w:rPr>
          <w:rFonts w:hint="eastAsia"/>
          <w:lang w:eastAsia="zh-CN"/>
        </w:rPr>
        <w:t>对</w:t>
      </w:r>
      <w:r w:rsidR="009D150E" w:rsidRPr="009D150E">
        <w:rPr>
          <w:rFonts w:hint="eastAsia"/>
          <w:lang w:eastAsia="zh-CN"/>
        </w:rPr>
        <w:t>这些案件</w:t>
      </w:r>
      <w:r w:rsidR="009D150E">
        <w:rPr>
          <w:rFonts w:hint="eastAsia"/>
          <w:lang w:eastAsia="zh-CN"/>
        </w:rPr>
        <w:t>展开</w:t>
      </w:r>
      <w:r w:rsidR="009D150E" w:rsidRPr="009D150E">
        <w:rPr>
          <w:rFonts w:hint="eastAsia"/>
          <w:lang w:eastAsia="zh-CN"/>
        </w:rPr>
        <w:t>调查。目前尚不掌握任何可以确定所涉金额（如有）的</w:t>
      </w:r>
      <w:r w:rsidR="009D150E">
        <w:rPr>
          <w:rFonts w:hint="eastAsia"/>
          <w:lang w:eastAsia="zh-CN"/>
        </w:rPr>
        <w:t>信息</w:t>
      </w:r>
      <w:r w:rsidR="009D150E" w:rsidRPr="009D150E">
        <w:rPr>
          <w:rFonts w:hint="eastAsia"/>
          <w:lang w:eastAsia="zh-CN"/>
        </w:rPr>
        <w:t>。</w:t>
      </w:r>
    </w:p>
    <w:p w14:paraId="085AE084" w14:textId="3D6E087A" w:rsidR="004A7C8D" w:rsidRPr="002A5B06" w:rsidRDefault="004A7C8D" w:rsidP="004A7C8D">
      <w:pPr>
        <w:pStyle w:val="enumlev2"/>
        <w:rPr>
          <w:lang w:eastAsia="zh-CN"/>
        </w:rPr>
      </w:pPr>
      <w:r>
        <w:rPr>
          <w:lang w:eastAsia="zh-CN"/>
        </w:rPr>
        <w:t>d)</w:t>
      </w:r>
      <w:r>
        <w:rPr>
          <w:lang w:eastAsia="zh-CN"/>
        </w:rPr>
        <w:tab/>
      </w:r>
      <w:r w:rsidR="009D150E" w:rsidRPr="009D150E">
        <w:rPr>
          <w:rFonts w:hint="eastAsia"/>
          <w:lang w:eastAsia="zh-CN"/>
        </w:rPr>
        <w:t>调查科还在调查涉及两名工作人员和一名顾问的欺诈和利益冲突指控。一旦调查结束并对欺诈的影响做出评估，我将对外部审计师</w:t>
      </w:r>
      <w:r w:rsidR="009D150E">
        <w:rPr>
          <w:rFonts w:hint="eastAsia"/>
          <w:lang w:eastAsia="zh-CN"/>
        </w:rPr>
        <w:t>做出</w:t>
      </w:r>
      <w:r w:rsidR="009D150E" w:rsidRPr="009D150E">
        <w:rPr>
          <w:rFonts w:hint="eastAsia"/>
          <w:lang w:eastAsia="zh-CN"/>
        </w:rPr>
        <w:t>评估。</w:t>
      </w:r>
    </w:p>
    <w:p w14:paraId="17964E6B" w14:textId="41480F08" w:rsidR="0085433F" w:rsidRPr="002B5AE2" w:rsidRDefault="004E7032" w:rsidP="002B5AE2">
      <w:pPr>
        <w:rPr>
          <w:rFonts w:cs="Arial"/>
          <w:szCs w:val="24"/>
          <w:lang w:eastAsia="zh-CN"/>
        </w:rPr>
      </w:pPr>
      <w:r w:rsidRPr="002B5AE2">
        <w:rPr>
          <w:rFonts w:cs="Arial" w:hint="eastAsia"/>
          <w:szCs w:val="24"/>
          <w:lang w:eastAsia="zh-CN"/>
        </w:rPr>
        <w:t>1</w:t>
      </w:r>
      <w:r w:rsidRPr="002B5AE2">
        <w:rPr>
          <w:rFonts w:cs="Arial"/>
          <w:szCs w:val="24"/>
          <w:lang w:eastAsia="zh-CN"/>
        </w:rPr>
        <w:t>2</w:t>
      </w:r>
      <w:r w:rsidRPr="002B5AE2">
        <w:rPr>
          <w:rFonts w:cs="Arial"/>
          <w:szCs w:val="24"/>
          <w:lang w:eastAsia="zh-CN"/>
        </w:rPr>
        <w:tab/>
      </w:r>
      <w:r w:rsidR="009D150E" w:rsidRPr="002B5AE2">
        <w:rPr>
          <w:rFonts w:cs="Arial" w:hint="eastAsia"/>
          <w:szCs w:val="24"/>
          <w:lang w:eastAsia="zh-CN"/>
        </w:rPr>
        <w:t>最后，关于曼谷代表处的欺诈案件，已对负有直接或间接责任的工作人员实施了纪律处分，同时在泰国启动了法律行动。在我的直接监督下，一名独立的工作人员正在对欺诈案进行量化处理。</w:t>
      </w:r>
    </w:p>
    <w:p w14:paraId="699274E7" w14:textId="77777777" w:rsidR="0085433F" w:rsidRPr="000C156A" w:rsidRDefault="0085433F" w:rsidP="0085433F">
      <w:pPr>
        <w:rPr>
          <w:lang w:eastAsia="zh-CN"/>
        </w:rPr>
      </w:pPr>
      <w:r w:rsidRPr="000C156A">
        <w:rPr>
          <w:rFonts w:cs="Arial"/>
          <w:szCs w:val="24"/>
          <w:lang w:eastAsia="zh-CN"/>
        </w:rPr>
        <w:t>13</w:t>
      </w:r>
      <w:r w:rsidRPr="000C156A">
        <w:rPr>
          <w:rFonts w:cs="Arial"/>
          <w:szCs w:val="24"/>
          <w:lang w:eastAsia="zh-CN"/>
        </w:rPr>
        <w:tab/>
      </w:r>
      <w:r w:rsidRPr="000C156A">
        <w:rPr>
          <w:rFonts w:hint="eastAsia"/>
          <w:lang w:eastAsia="zh-CN"/>
        </w:rPr>
        <w:t>我还收到了国际电联外部审计员的报告，其中包含有关内部控制问题的建议。国际电联外部审计员提出的所有建议均得到审议。为解决所确定的不足，已酌情制定了行动计划，从而确保不断完善。理事会财务和人力资源工作组（</w:t>
      </w:r>
      <w:r w:rsidRPr="000C156A">
        <w:rPr>
          <w:lang w:eastAsia="zh-CN"/>
        </w:rPr>
        <w:t>CWG-FHR</w:t>
      </w:r>
      <w:r w:rsidRPr="000C156A">
        <w:rPr>
          <w:rFonts w:hint="eastAsia"/>
          <w:lang w:eastAsia="zh-CN"/>
        </w:rPr>
        <w:t>）针对管理层对国际电联外部审计员做出的反应采取了后续行动。</w:t>
      </w:r>
    </w:p>
    <w:p w14:paraId="329BBB3A" w14:textId="77777777" w:rsidR="0085433F" w:rsidRPr="000C156A" w:rsidRDefault="0085433F" w:rsidP="0085433F">
      <w:pPr>
        <w:rPr>
          <w:lang w:eastAsia="zh-CN"/>
        </w:rPr>
      </w:pPr>
      <w:r w:rsidRPr="000C156A">
        <w:rPr>
          <w:rFonts w:cs="Arial"/>
          <w:szCs w:val="24"/>
          <w:lang w:eastAsia="zh-CN"/>
        </w:rPr>
        <w:t>14</w:t>
      </w:r>
      <w:r w:rsidRPr="000C156A">
        <w:rPr>
          <w:rFonts w:cs="Arial"/>
          <w:szCs w:val="24"/>
          <w:lang w:eastAsia="zh-CN"/>
        </w:rPr>
        <w:tab/>
      </w:r>
      <w:r w:rsidRPr="000C156A">
        <w:rPr>
          <w:rFonts w:hint="eastAsia"/>
          <w:lang w:eastAsia="zh-CN"/>
        </w:rPr>
        <w:t>内部审计员认为，需要完善对某些已审查进程的管治和风险管理，而且在不同经审计领域需实行更为有效的控制。</w:t>
      </w:r>
      <w:r w:rsidRPr="000C156A">
        <w:rPr>
          <w:rFonts w:cs="Arial" w:hint="eastAsia"/>
          <w:szCs w:val="24"/>
          <w:lang w:eastAsia="zh-CN"/>
        </w:rPr>
        <w:t>本人已将此审查结果</w:t>
      </w:r>
      <w:r w:rsidRPr="000C156A">
        <w:rPr>
          <w:rFonts w:hint="eastAsia"/>
          <w:lang w:eastAsia="zh-CN"/>
        </w:rPr>
        <w:t>记录在案。已经并将继续采取行动，加强内部控制并降低风险。</w:t>
      </w:r>
    </w:p>
    <w:p w14:paraId="1B6A7CD6" w14:textId="77777777" w:rsidR="0085433F" w:rsidRPr="000C156A" w:rsidRDefault="0085433F" w:rsidP="0085433F">
      <w:pPr>
        <w:rPr>
          <w:lang w:eastAsia="zh-CN"/>
        </w:rPr>
      </w:pPr>
      <w:r w:rsidRPr="000C156A">
        <w:rPr>
          <w:rFonts w:cs="Arial"/>
          <w:szCs w:val="24"/>
          <w:lang w:eastAsia="zh-CN"/>
        </w:rPr>
        <w:t>15</w:t>
      </w:r>
      <w:r w:rsidRPr="000C156A">
        <w:rPr>
          <w:rFonts w:cs="Arial"/>
          <w:szCs w:val="24"/>
          <w:lang w:eastAsia="zh-CN"/>
        </w:rPr>
        <w:tab/>
      </w:r>
      <w:r w:rsidRPr="000C156A">
        <w:rPr>
          <w:rFonts w:hint="eastAsia"/>
          <w:lang w:eastAsia="zh-CN"/>
        </w:rPr>
        <w:t>独立管理顾问委员会（</w:t>
      </w:r>
      <w:r w:rsidRPr="000C156A">
        <w:rPr>
          <w:lang w:eastAsia="zh-CN"/>
        </w:rPr>
        <w:t>IMAC</w:t>
      </w:r>
      <w:r w:rsidRPr="000C156A">
        <w:rPr>
          <w:rFonts w:hint="eastAsia"/>
          <w:lang w:eastAsia="zh-CN"/>
        </w:rPr>
        <w:t>）以专家顾问身份帮助秘书长和理事会履行其管理职责，包括确保国际电联内部控制体系、风险管理和管理流程的有效运作。我亦得到了该委员会的意见和建议。</w:t>
      </w:r>
    </w:p>
    <w:p w14:paraId="5F43CC45" w14:textId="77777777" w:rsidR="0085433F" w:rsidRPr="000C156A" w:rsidRDefault="0085433F" w:rsidP="0085433F">
      <w:pPr>
        <w:pStyle w:val="Headingb"/>
        <w:rPr>
          <w:lang w:eastAsia="zh-CN"/>
        </w:rPr>
      </w:pPr>
      <w:bookmarkStart w:id="209" w:name="_Toc72744927"/>
      <w:bookmarkStart w:id="210" w:name="_Toc72747213"/>
      <w:bookmarkStart w:id="211" w:name="_Toc73461015"/>
      <w:bookmarkStart w:id="212" w:name="_Toc73518662"/>
      <w:bookmarkStart w:id="213" w:name="_Toc73518809"/>
      <w:bookmarkStart w:id="214" w:name="_Toc73519209"/>
      <w:bookmarkStart w:id="215" w:name="_Toc73636091"/>
      <w:bookmarkStart w:id="216" w:name="_Toc73636233"/>
      <w:r w:rsidRPr="000C156A">
        <w:rPr>
          <w:rFonts w:hint="eastAsia"/>
          <w:lang w:eastAsia="zh-CN"/>
        </w:rPr>
        <w:t>声明</w:t>
      </w:r>
      <w:bookmarkEnd w:id="209"/>
      <w:bookmarkEnd w:id="210"/>
      <w:bookmarkEnd w:id="211"/>
      <w:bookmarkEnd w:id="212"/>
      <w:bookmarkEnd w:id="213"/>
      <w:bookmarkEnd w:id="214"/>
      <w:bookmarkEnd w:id="215"/>
      <w:bookmarkEnd w:id="216"/>
    </w:p>
    <w:p w14:paraId="47006B8D" w14:textId="77777777" w:rsidR="0085433F" w:rsidRPr="000C156A" w:rsidRDefault="0085433F" w:rsidP="0085433F">
      <w:pPr>
        <w:ind w:firstLineChars="200" w:firstLine="480"/>
        <w:rPr>
          <w:lang w:eastAsia="zh-CN"/>
        </w:rPr>
      </w:pPr>
      <w:r w:rsidRPr="000C156A">
        <w:rPr>
          <w:rFonts w:hint="eastAsia"/>
          <w:lang w:eastAsia="zh-CN"/>
        </w:rPr>
        <w:t>我致力于确保内部控制体系的不断完善，然而，无论内部控制体系多么有效，设计多么完美都有不可避免的限制（包括规避的可能性）。因此，只能提供一定的，而非绝对的保证。此外，由于条件的变化，内部控制的有效性可能随时间推移而有所不同。</w:t>
      </w:r>
    </w:p>
    <w:p w14:paraId="656F644F" w14:textId="4DDF5A69" w:rsidR="0085433F" w:rsidRPr="004E7032" w:rsidRDefault="0085433F" w:rsidP="002B5AE2">
      <w:pPr>
        <w:keepNext/>
        <w:keepLines/>
        <w:ind w:firstLineChars="200" w:firstLine="480"/>
        <w:rPr>
          <w:bCs/>
          <w:lang w:eastAsia="zh-CN"/>
        </w:rPr>
      </w:pPr>
      <w:r w:rsidRPr="004E7032">
        <w:rPr>
          <w:bCs/>
          <w:lang w:eastAsia="zh-CN"/>
        </w:rPr>
        <w:lastRenderedPageBreak/>
        <w:t>管理层力图克服在国际电联正常工作中出现的或在监督意见中指出的内部控制的不足之处并主要通过在过去一年已到位的、对监督建议执行的跟进予以保证。综上所述，我认为，国际电联在截止于</w:t>
      </w:r>
      <w:r w:rsidRPr="004E7032">
        <w:rPr>
          <w:bCs/>
          <w:lang w:eastAsia="zh-CN"/>
        </w:rPr>
        <w:t>202</w:t>
      </w:r>
      <w:r w:rsidR="004E7032" w:rsidRPr="004E7032">
        <w:rPr>
          <w:bCs/>
          <w:lang w:eastAsia="zh-CN"/>
        </w:rPr>
        <w:t>1</w:t>
      </w:r>
      <w:r w:rsidRPr="004E7032">
        <w:rPr>
          <w:bCs/>
          <w:lang w:eastAsia="zh-CN"/>
        </w:rPr>
        <w:t>年</w:t>
      </w:r>
      <w:r w:rsidRPr="004E7032">
        <w:rPr>
          <w:bCs/>
          <w:lang w:eastAsia="zh-CN"/>
        </w:rPr>
        <w:t>12</w:t>
      </w:r>
      <w:r w:rsidRPr="004E7032">
        <w:rPr>
          <w:bCs/>
          <w:lang w:eastAsia="zh-CN"/>
        </w:rPr>
        <w:t>月</w:t>
      </w:r>
      <w:r w:rsidRPr="004E7032">
        <w:rPr>
          <w:bCs/>
          <w:lang w:eastAsia="zh-CN"/>
        </w:rPr>
        <w:t>31</w:t>
      </w:r>
      <w:r w:rsidRPr="004E7032">
        <w:rPr>
          <w:bCs/>
          <w:lang w:eastAsia="zh-CN"/>
        </w:rPr>
        <w:t>日的一年内以及在财务报表批准之日前具有有效的内部控制体系。</w:t>
      </w:r>
    </w:p>
    <w:p w14:paraId="7D681F36" w14:textId="77777777" w:rsidR="0085433F" w:rsidRPr="000C156A" w:rsidRDefault="0085433F" w:rsidP="0085433F">
      <w:pPr>
        <w:tabs>
          <w:tab w:val="left" w:pos="5245"/>
        </w:tabs>
        <w:spacing w:before="480"/>
        <w:rPr>
          <w:lang w:eastAsia="zh-CN"/>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85433F" w:rsidRPr="000C156A" w14:paraId="787A7F72" w14:textId="77777777" w:rsidTr="003A64C9">
        <w:tc>
          <w:tcPr>
            <w:tcW w:w="4962" w:type="dxa"/>
            <w:hideMark/>
          </w:tcPr>
          <w:p w14:paraId="1E8245C4" w14:textId="77777777" w:rsidR="0085433F" w:rsidRPr="000C156A" w:rsidRDefault="0085433F" w:rsidP="003A64C9">
            <w:pPr>
              <w:tabs>
                <w:tab w:val="left" w:pos="5387"/>
              </w:tabs>
              <w:spacing w:before="60" w:after="60"/>
              <w:jc w:val="center"/>
              <w:rPr>
                <w:lang w:val="fr-CH" w:eastAsia="zh-CN"/>
              </w:rPr>
            </w:pPr>
          </w:p>
        </w:tc>
        <w:tc>
          <w:tcPr>
            <w:tcW w:w="4677" w:type="dxa"/>
            <w:hideMark/>
          </w:tcPr>
          <w:p w14:paraId="06BB4075" w14:textId="77777777" w:rsidR="0085433F" w:rsidRPr="000C156A" w:rsidRDefault="0085433F" w:rsidP="003A64C9">
            <w:pPr>
              <w:tabs>
                <w:tab w:val="left" w:pos="5387"/>
              </w:tabs>
              <w:spacing w:before="60" w:after="60"/>
              <w:jc w:val="center"/>
              <w:rPr>
                <w:lang w:val="fr-CH" w:eastAsia="zh-CN"/>
              </w:rPr>
            </w:pPr>
            <w:r w:rsidRPr="000C156A">
              <w:rPr>
                <w:rFonts w:hint="eastAsia"/>
                <w:lang w:eastAsia="zh-CN"/>
              </w:rPr>
              <w:t>国际电联秘书长</w:t>
            </w:r>
          </w:p>
          <w:p w14:paraId="58A46A38" w14:textId="77777777" w:rsidR="0085433F" w:rsidRPr="000C156A" w:rsidRDefault="0085433F" w:rsidP="003A64C9">
            <w:pPr>
              <w:tabs>
                <w:tab w:val="left" w:pos="5387"/>
              </w:tabs>
              <w:spacing w:before="60" w:after="60"/>
              <w:jc w:val="center"/>
              <w:rPr>
                <w:lang w:val="fr-CH" w:eastAsia="zh-CN"/>
              </w:rPr>
            </w:pPr>
            <w:r w:rsidRPr="000C156A">
              <w:rPr>
                <w:rFonts w:hint="eastAsia"/>
                <w:lang w:val="fr-CH" w:eastAsia="zh-CN"/>
              </w:rPr>
              <w:t>赵厚麟</w:t>
            </w:r>
          </w:p>
          <w:p w14:paraId="368BDC82" w14:textId="77777777" w:rsidR="0085433F" w:rsidRPr="000C156A" w:rsidRDefault="0085433F" w:rsidP="003A64C9">
            <w:pPr>
              <w:tabs>
                <w:tab w:val="left" w:pos="5387"/>
              </w:tabs>
              <w:spacing w:before="60" w:after="60"/>
              <w:jc w:val="center"/>
              <w:rPr>
                <w:lang w:val="fr-CH" w:eastAsia="zh-CN"/>
              </w:rPr>
            </w:pPr>
            <w:r w:rsidRPr="000C156A">
              <w:rPr>
                <w:rFonts w:hint="eastAsia"/>
                <w:lang w:val="fr-CH" w:eastAsia="zh-CN"/>
              </w:rPr>
              <w:t>数字签名</w:t>
            </w:r>
          </w:p>
          <w:p w14:paraId="2E972BDD" w14:textId="24A9C806" w:rsidR="0085433F" w:rsidRPr="000C156A" w:rsidRDefault="0085433F" w:rsidP="003A64C9">
            <w:pPr>
              <w:tabs>
                <w:tab w:val="left" w:pos="5387"/>
              </w:tabs>
              <w:spacing w:before="60" w:after="60"/>
              <w:jc w:val="center"/>
              <w:rPr>
                <w:lang w:val="fr-CH" w:eastAsia="zh-CN"/>
              </w:rPr>
            </w:pPr>
            <w:r w:rsidRPr="000C156A">
              <w:rPr>
                <w:rFonts w:hint="eastAsia"/>
                <w:lang w:val="fr-CH" w:eastAsia="zh-CN"/>
              </w:rPr>
              <w:t>日期：</w:t>
            </w:r>
            <w:r w:rsidRPr="000C156A">
              <w:rPr>
                <w:rFonts w:hint="eastAsia"/>
                <w:lang w:val="fr-CH" w:eastAsia="zh-CN"/>
              </w:rPr>
              <w:t>2</w:t>
            </w:r>
            <w:r w:rsidRPr="000C156A">
              <w:rPr>
                <w:lang w:val="fr-CH" w:eastAsia="zh-CN"/>
              </w:rPr>
              <w:t>02</w:t>
            </w:r>
            <w:r w:rsidR="004E7032">
              <w:rPr>
                <w:lang w:val="fr-CH" w:eastAsia="zh-CN"/>
              </w:rPr>
              <w:t>2</w:t>
            </w:r>
            <w:r w:rsidRPr="000C156A">
              <w:rPr>
                <w:rFonts w:hint="eastAsia"/>
                <w:lang w:val="fr-CH" w:eastAsia="zh-CN"/>
              </w:rPr>
              <w:t>年</w:t>
            </w:r>
            <w:r w:rsidRPr="000C156A">
              <w:rPr>
                <w:rFonts w:hint="eastAsia"/>
                <w:lang w:val="fr-CH" w:eastAsia="zh-CN"/>
              </w:rPr>
              <w:t>3</w:t>
            </w:r>
            <w:r w:rsidRPr="000C156A">
              <w:rPr>
                <w:rFonts w:hint="eastAsia"/>
                <w:lang w:val="fr-CH" w:eastAsia="zh-CN"/>
              </w:rPr>
              <w:t>月</w:t>
            </w:r>
            <w:r w:rsidRPr="000C156A">
              <w:rPr>
                <w:rFonts w:hint="eastAsia"/>
                <w:lang w:val="fr-CH" w:eastAsia="zh-CN"/>
              </w:rPr>
              <w:t>1</w:t>
            </w:r>
            <w:r w:rsidR="004E7032">
              <w:rPr>
                <w:lang w:val="fr-CH" w:eastAsia="zh-CN"/>
              </w:rPr>
              <w:t>1</w:t>
            </w:r>
            <w:r w:rsidRPr="000C156A">
              <w:rPr>
                <w:rFonts w:hint="eastAsia"/>
                <w:lang w:val="fr-CH" w:eastAsia="zh-CN"/>
              </w:rPr>
              <w:t>日</w:t>
            </w:r>
          </w:p>
        </w:tc>
      </w:tr>
    </w:tbl>
    <w:p w14:paraId="0E78212B" w14:textId="77777777" w:rsidR="0085433F" w:rsidRPr="000C156A" w:rsidRDefault="0085433F" w:rsidP="0085433F">
      <w:pPr>
        <w:snapToGrid w:val="0"/>
        <w:spacing w:before="0"/>
        <w:rPr>
          <w:szCs w:val="24"/>
          <w:lang w:eastAsia="zh-CN"/>
        </w:rPr>
      </w:pPr>
    </w:p>
    <w:p w14:paraId="319D1FB3" w14:textId="77777777" w:rsidR="0085433F" w:rsidRPr="000C156A" w:rsidRDefault="0085433F" w:rsidP="0085433F">
      <w:pPr>
        <w:snapToGrid w:val="0"/>
        <w:spacing w:before="240"/>
        <w:jc w:val="right"/>
        <w:rPr>
          <w:szCs w:val="24"/>
          <w:lang w:eastAsia="zh-CN"/>
        </w:rPr>
      </w:pPr>
      <w:r w:rsidRPr="000C156A">
        <w:rPr>
          <w:szCs w:val="24"/>
          <w:lang w:eastAsia="zh-CN"/>
        </w:rPr>
        <w:t>2021</w:t>
      </w:r>
      <w:r w:rsidRPr="000C156A">
        <w:rPr>
          <w:rFonts w:hint="eastAsia"/>
          <w:szCs w:val="24"/>
          <w:lang w:eastAsia="zh-CN"/>
        </w:rPr>
        <w:t>年</w:t>
      </w:r>
      <w:r w:rsidRPr="000C156A">
        <w:rPr>
          <w:rFonts w:hint="eastAsia"/>
          <w:szCs w:val="24"/>
          <w:lang w:eastAsia="zh-CN"/>
        </w:rPr>
        <w:t>3</w:t>
      </w:r>
      <w:r w:rsidRPr="000C156A">
        <w:rPr>
          <w:rFonts w:hint="eastAsia"/>
          <w:szCs w:val="24"/>
          <w:lang w:eastAsia="zh-CN"/>
        </w:rPr>
        <w:t>月</w:t>
      </w:r>
      <w:r w:rsidRPr="000C156A">
        <w:rPr>
          <w:szCs w:val="24"/>
          <w:lang w:eastAsia="zh-CN"/>
        </w:rPr>
        <w:t>15</w:t>
      </w:r>
      <w:r w:rsidRPr="000C156A">
        <w:rPr>
          <w:rFonts w:hint="eastAsia"/>
          <w:szCs w:val="24"/>
          <w:lang w:eastAsia="zh-CN"/>
        </w:rPr>
        <w:t>日，日内瓦</w:t>
      </w:r>
    </w:p>
    <w:p w14:paraId="73D5EEE4" w14:textId="77777777" w:rsidR="0085433F" w:rsidRPr="000C156A" w:rsidRDefault="0085433F" w:rsidP="0085433F">
      <w:pPr>
        <w:rPr>
          <w:lang w:val="en-US" w:eastAsia="zh-CN"/>
        </w:rPr>
      </w:pPr>
      <w:r w:rsidRPr="000C156A">
        <w:rPr>
          <w:lang w:val="en-US" w:eastAsia="zh-CN"/>
        </w:rPr>
        <w:br w:type="page"/>
      </w:r>
    </w:p>
    <w:p w14:paraId="6DF367AC" w14:textId="31B2BD3D" w:rsidR="0085433F" w:rsidRPr="00006ED7" w:rsidRDefault="0085433F" w:rsidP="0085433F">
      <w:pPr>
        <w:pStyle w:val="Heading1"/>
        <w:spacing w:before="1440"/>
        <w:jc w:val="center"/>
        <w:rPr>
          <w:color w:val="000000"/>
          <w:lang w:val="en-US" w:eastAsia="zh-CN"/>
        </w:rPr>
      </w:pPr>
      <w:bookmarkStart w:id="217" w:name="_Toc482892534"/>
      <w:bookmarkStart w:id="218" w:name="_Toc511116005"/>
      <w:bookmarkStart w:id="219" w:name="_Toc41905284"/>
      <w:bookmarkStart w:id="220" w:name="_Toc41905747"/>
      <w:bookmarkStart w:id="221" w:name="_Toc41905835"/>
      <w:bookmarkStart w:id="222" w:name="_Toc41907964"/>
      <w:bookmarkStart w:id="223" w:name="_Toc73636092"/>
      <w:bookmarkStart w:id="224" w:name="_Toc73636234"/>
      <w:bookmarkStart w:id="225" w:name="_Toc110264993"/>
      <w:bookmarkStart w:id="226" w:name="_Toc110265212"/>
      <w:bookmarkStart w:id="227" w:name="_Toc110265678"/>
      <w:bookmarkStart w:id="228" w:name="_Toc110330232"/>
      <w:r w:rsidRPr="00006ED7">
        <w:rPr>
          <w:color w:val="000000"/>
          <w:lang w:val="en-US" w:eastAsia="zh-CN"/>
        </w:rPr>
        <w:lastRenderedPageBreak/>
        <w:t>202</w:t>
      </w:r>
      <w:r w:rsidR="00BC4BD5" w:rsidRPr="00006ED7">
        <w:rPr>
          <w:color w:val="000000"/>
          <w:lang w:val="en-US" w:eastAsia="zh-CN"/>
        </w:rPr>
        <w:t>1</w:t>
      </w:r>
      <w:r w:rsidRPr="000C156A">
        <w:rPr>
          <w:rFonts w:cs="Microsoft YaHei" w:hint="eastAsia"/>
          <w:color w:val="000000"/>
          <w:lang w:val="fr-FR" w:eastAsia="zh-CN"/>
        </w:rPr>
        <w:t>年</w:t>
      </w:r>
      <w:r w:rsidRPr="00006ED7">
        <w:rPr>
          <w:color w:val="000000"/>
          <w:lang w:val="en-US" w:eastAsia="zh-CN"/>
        </w:rPr>
        <w:t>12</w:t>
      </w:r>
      <w:r w:rsidRPr="000C156A">
        <w:rPr>
          <w:rFonts w:cs="Microsoft YaHei" w:hint="eastAsia"/>
          <w:color w:val="000000"/>
          <w:lang w:val="fr-FR" w:eastAsia="zh-CN"/>
        </w:rPr>
        <w:t>月</w:t>
      </w:r>
      <w:r w:rsidRPr="00006ED7">
        <w:rPr>
          <w:color w:val="000000"/>
          <w:lang w:val="en-US" w:eastAsia="zh-CN"/>
        </w:rPr>
        <w:t>31</w:t>
      </w:r>
      <w:r w:rsidRPr="000C156A">
        <w:rPr>
          <w:rFonts w:cs="Microsoft YaHei" w:hint="eastAsia"/>
          <w:color w:val="000000"/>
          <w:lang w:val="fr-FR" w:eastAsia="zh-CN"/>
        </w:rPr>
        <w:t>日截止的年度财务报表证书</w:t>
      </w:r>
      <w:bookmarkEnd w:id="217"/>
      <w:bookmarkEnd w:id="218"/>
      <w:bookmarkEnd w:id="219"/>
      <w:bookmarkEnd w:id="220"/>
      <w:bookmarkEnd w:id="221"/>
      <w:bookmarkEnd w:id="222"/>
      <w:bookmarkEnd w:id="223"/>
      <w:bookmarkEnd w:id="224"/>
      <w:bookmarkEnd w:id="225"/>
      <w:bookmarkEnd w:id="226"/>
      <w:bookmarkEnd w:id="227"/>
      <w:bookmarkEnd w:id="228"/>
    </w:p>
    <w:p w14:paraId="2DDD283F" w14:textId="77777777" w:rsidR="0085433F" w:rsidRPr="000C156A" w:rsidRDefault="0085433F" w:rsidP="0085433F">
      <w:pPr>
        <w:spacing w:before="240" w:after="240"/>
        <w:jc w:val="center"/>
        <w:rPr>
          <w:rFonts w:asciiTheme="minorHAnsi" w:hAnsiTheme="minorHAnsi"/>
          <w:b/>
          <w:smallCaps/>
          <w:sz w:val="28"/>
          <w:szCs w:val="28"/>
          <w:lang w:val="en-US" w:eastAsia="zh-CN"/>
        </w:rPr>
      </w:pPr>
      <w:r w:rsidRPr="000C156A">
        <w:rPr>
          <w:rFonts w:hint="eastAsia"/>
          <w:b/>
          <w:bCs/>
          <w:sz w:val="28"/>
          <w:lang w:eastAsia="zh-CN"/>
        </w:rPr>
        <w:t>国际电信联盟，日内瓦</w:t>
      </w:r>
    </w:p>
    <w:p w14:paraId="185DCEFB" w14:textId="33DCB9D4" w:rsidR="0085433F" w:rsidRPr="000C156A" w:rsidRDefault="0085433F" w:rsidP="0085433F">
      <w:pPr>
        <w:spacing w:before="480"/>
        <w:ind w:firstLineChars="200" w:firstLine="480"/>
        <w:rPr>
          <w:lang w:eastAsia="zh-CN"/>
        </w:rPr>
      </w:pPr>
      <w:r w:rsidRPr="000C156A">
        <w:rPr>
          <w:rFonts w:hint="eastAsia"/>
          <w:lang w:eastAsia="zh-CN"/>
        </w:rPr>
        <w:t>依据《财务规则》第</w:t>
      </w:r>
      <w:r w:rsidRPr="000C156A">
        <w:rPr>
          <w:lang w:eastAsia="zh-CN"/>
        </w:rPr>
        <w:t>30</w:t>
      </w:r>
      <w:r w:rsidRPr="000C156A">
        <w:rPr>
          <w:rFonts w:hint="eastAsia"/>
          <w:lang w:eastAsia="zh-CN"/>
        </w:rPr>
        <w:t>条，国际电信联盟的账目和财务报表的建立和维护符合国际公共部门会计准则（</w:t>
      </w:r>
      <w:r w:rsidRPr="000C156A">
        <w:rPr>
          <w:lang w:eastAsia="zh-CN"/>
        </w:rPr>
        <w:t>IPSAS</w:t>
      </w:r>
      <w:r w:rsidRPr="000C156A">
        <w:rPr>
          <w:rFonts w:hint="eastAsia"/>
          <w:lang w:eastAsia="zh-CN"/>
        </w:rPr>
        <w:t>）。截止于</w:t>
      </w:r>
      <w:r w:rsidRPr="000C156A">
        <w:rPr>
          <w:bCs/>
          <w:lang w:val="en-US" w:eastAsia="zh-CN"/>
        </w:rPr>
        <w:t>202</w:t>
      </w:r>
      <w:r w:rsidR="00BC4BD5">
        <w:rPr>
          <w:bCs/>
          <w:lang w:val="en-US"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日的年度财务报表及报表说明和相关附件经过审查获得批准。</w:t>
      </w:r>
    </w:p>
    <w:p w14:paraId="61DA41B5" w14:textId="77777777" w:rsidR="0085433F" w:rsidRPr="000C156A" w:rsidRDefault="0085433F" w:rsidP="0085433F">
      <w:pPr>
        <w:spacing w:before="360" w:after="480"/>
        <w:rPr>
          <w:lang w:val="en-US"/>
        </w:rPr>
      </w:pPr>
      <w:r w:rsidRPr="000C156A">
        <w:rPr>
          <w:lang w:val="en-US"/>
        </w:rPr>
        <w:t>2021</w:t>
      </w:r>
      <w:r w:rsidRPr="000C156A">
        <w:rPr>
          <w:rFonts w:hint="eastAsia"/>
          <w:lang w:eastAsia="zh-CN"/>
        </w:rPr>
        <w:t>年</w:t>
      </w:r>
      <w:r w:rsidRPr="000C156A">
        <w:rPr>
          <w:lang w:eastAsia="zh-CN"/>
        </w:rPr>
        <w:t>3</w:t>
      </w:r>
      <w:r w:rsidRPr="000C156A">
        <w:rPr>
          <w:rFonts w:hint="eastAsia"/>
          <w:lang w:eastAsia="zh-CN"/>
        </w:rPr>
        <w:t>月</w:t>
      </w:r>
      <w:r w:rsidRPr="000C156A">
        <w:rPr>
          <w:lang w:val="en-US"/>
        </w:rPr>
        <w:t>15</w:t>
      </w:r>
      <w:r w:rsidRPr="000C156A">
        <w:rPr>
          <w:rFonts w:hint="eastAsia"/>
          <w:lang w:eastAsia="zh-CN"/>
        </w:rPr>
        <w:t>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85433F" w:rsidRPr="000C156A" w14:paraId="715E59A8" w14:textId="77777777" w:rsidTr="003A64C9">
        <w:tc>
          <w:tcPr>
            <w:tcW w:w="4536" w:type="dxa"/>
            <w:hideMark/>
          </w:tcPr>
          <w:p w14:paraId="0D17A462" w14:textId="77777777" w:rsidR="0085433F" w:rsidRPr="000C156A" w:rsidRDefault="0085433F" w:rsidP="003A64C9">
            <w:pPr>
              <w:jc w:val="center"/>
              <w:rPr>
                <w:rFonts w:asciiTheme="minorHAnsi" w:eastAsiaTheme="minorEastAsia" w:hAnsiTheme="minorHAnsi"/>
                <w:bCs/>
              </w:rPr>
            </w:pPr>
            <w:r w:rsidRPr="000C156A">
              <w:rPr>
                <w:rFonts w:asciiTheme="minorHAnsi" w:eastAsiaTheme="minorEastAsia" w:hAnsiTheme="minorHAnsi" w:cs="Microsoft YaHei"/>
                <w:bCs/>
              </w:rPr>
              <w:t>财务资源管理部主任</w:t>
            </w:r>
            <w:r w:rsidRPr="000C156A">
              <w:rPr>
                <w:rFonts w:asciiTheme="minorHAnsi" w:eastAsiaTheme="minorEastAsia" w:hAnsiTheme="minorHAnsi"/>
                <w:bCs/>
              </w:rPr>
              <w:br/>
              <w:t>Alassane Ba</w:t>
            </w:r>
          </w:p>
          <w:p w14:paraId="5F09FF18" w14:textId="77777777" w:rsidR="0085433F" w:rsidRPr="00006ED7" w:rsidRDefault="0085433F" w:rsidP="003A64C9">
            <w:pPr>
              <w:tabs>
                <w:tab w:val="left" w:pos="5387"/>
              </w:tabs>
              <w:spacing w:before="60" w:after="60"/>
              <w:jc w:val="center"/>
              <w:rPr>
                <w:lang w:val="en-US" w:eastAsia="zh-CN"/>
              </w:rPr>
            </w:pPr>
            <w:r w:rsidRPr="000C156A">
              <w:rPr>
                <w:rFonts w:hint="eastAsia"/>
                <w:lang w:val="fr-CH" w:eastAsia="zh-CN"/>
              </w:rPr>
              <w:t>数字签名</w:t>
            </w:r>
          </w:p>
          <w:p w14:paraId="1D8C1E1A" w14:textId="394B31E0" w:rsidR="0085433F" w:rsidRPr="000C156A" w:rsidRDefault="0085433F" w:rsidP="003A64C9">
            <w:pPr>
              <w:spacing w:before="60"/>
              <w:jc w:val="center"/>
              <w:rPr>
                <w:rFonts w:asciiTheme="minorHAnsi" w:eastAsiaTheme="minorEastAsia" w:hAnsiTheme="minorHAnsi"/>
                <w:bCs/>
                <w:lang w:eastAsia="zh-CN"/>
              </w:rPr>
            </w:pPr>
            <w:r w:rsidRPr="000C156A">
              <w:rPr>
                <w:rFonts w:hint="eastAsia"/>
                <w:lang w:val="fr-CH" w:eastAsia="zh-CN"/>
              </w:rPr>
              <w:t>日期</w:t>
            </w:r>
            <w:r w:rsidRPr="00006ED7">
              <w:rPr>
                <w:rFonts w:hint="eastAsia"/>
                <w:lang w:val="en-US" w:eastAsia="zh-CN"/>
              </w:rPr>
              <w:t>：2</w:t>
            </w:r>
            <w:r w:rsidRPr="00006ED7">
              <w:rPr>
                <w:lang w:val="en-US" w:eastAsia="zh-CN"/>
              </w:rPr>
              <w:t>02</w:t>
            </w:r>
            <w:r w:rsidR="00BC4BD5" w:rsidRPr="00006ED7">
              <w:rPr>
                <w:lang w:val="en-US" w:eastAsia="zh-CN"/>
              </w:rPr>
              <w:t>2</w:t>
            </w:r>
            <w:r w:rsidRPr="000C156A">
              <w:rPr>
                <w:rFonts w:hint="eastAsia"/>
                <w:lang w:val="fr-CH" w:eastAsia="zh-CN"/>
              </w:rPr>
              <w:t>年</w:t>
            </w:r>
            <w:r w:rsidRPr="00006ED7">
              <w:rPr>
                <w:rFonts w:hint="eastAsia"/>
                <w:lang w:val="en-US" w:eastAsia="zh-CN"/>
              </w:rPr>
              <w:t>3</w:t>
            </w:r>
            <w:r w:rsidRPr="000C156A">
              <w:rPr>
                <w:rFonts w:hint="eastAsia"/>
                <w:lang w:val="fr-CH" w:eastAsia="zh-CN"/>
              </w:rPr>
              <w:t>月</w:t>
            </w:r>
            <w:r w:rsidRPr="00006ED7">
              <w:rPr>
                <w:rFonts w:hint="eastAsia"/>
                <w:lang w:val="en-US" w:eastAsia="zh-CN"/>
              </w:rPr>
              <w:t>1</w:t>
            </w:r>
            <w:r w:rsidR="00BC4BD5" w:rsidRPr="00006ED7">
              <w:rPr>
                <w:lang w:val="en-US" w:eastAsia="zh-CN"/>
              </w:rPr>
              <w:t>1</w:t>
            </w:r>
            <w:r w:rsidRPr="000C156A">
              <w:rPr>
                <w:rFonts w:hint="eastAsia"/>
                <w:lang w:val="fr-CH" w:eastAsia="zh-CN"/>
              </w:rPr>
              <w:t>日</w:t>
            </w:r>
          </w:p>
        </w:tc>
        <w:tc>
          <w:tcPr>
            <w:tcW w:w="5103" w:type="dxa"/>
            <w:hideMark/>
          </w:tcPr>
          <w:p w14:paraId="236B91E1" w14:textId="77777777" w:rsidR="0085433F" w:rsidRPr="000C156A" w:rsidRDefault="0085433F" w:rsidP="003A64C9">
            <w:pPr>
              <w:ind w:left="813"/>
              <w:jc w:val="center"/>
              <w:rPr>
                <w:rFonts w:asciiTheme="minorHAnsi" w:eastAsiaTheme="minorEastAsia" w:hAnsiTheme="minorHAnsi" w:cs="Microsoft YaHei"/>
                <w:bCs/>
                <w:lang w:eastAsia="zh-CN"/>
              </w:rPr>
            </w:pPr>
            <w:r w:rsidRPr="000C156A">
              <w:rPr>
                <w:rFonts w:asciiTheme="minorHAnsi" w:eastAsiaTheme="minorEastAsia" w:hAnsiTheme="minorHAnsi" w:cs="Microsoft YaHei"/>
                <w:bCs/>
                <w:lang w:eastAsia="zh-CN"/>
              </w:rPr>
              <w:t>秘书长</w:t>
            </w:r>
            <w:r w:rsidRPr="000C156A">
              <w:rPr>
                <w:rFonts w:asciiTheme="minorHAnsi" w:eastAsiaTheme="minorEastAsia" w:hAnsiTheme="minorHAnsi"/>
                <w:bCs/>
                <w:lang w:eastAsia="zh-CN"/>
              </w:rPr>
              <w:br/>
            </w:r>
            <w:r w:rsidRPr="000C156A">
              <w:rPr>
                <w:rFonts w:asciiTheme="minorHAnsi" w:eastAsiaTheme="minorEastAsia" w:hAnsiTheme="minorHAnsi" w:cs="Microsoft YaHei"/>
                <w:bCs/>
                <w:lang w:eastAsia="zh-CN"/>
              </w:rPr>
              <w:t>赵厚麟</w:t>
            </w:r>
          </w:p>
          <w:p w14:paraId="70C834AF" w14:textId="77777777" w:rsidR="0085433F" w:rsidRPr="00006ED7" w:rsidRDefault="0085433F" w:rsidP="003A64C9">
            <w:pPr>
              <w:spacing w:before="60"/>
              <w:ind w:left="813"/>
              <w:jc w:val="center"/>
              <w:rPr>
                <w:lang w:eastAsia="zh-CN"/>
              </w:rPr>
            </w:pPr>
            <w:r w:rsidRPr="000C156A">
              <w:rPr>
                <w:rFonts w:hint="eastAsia"/>
                <w:lang w:val="fr-CH" w:eastAsia="zh-CN"/>
              </w:rPr>
              <w:t>数字签名</w:t>
            </w:r>
          </w:p>
          <w:p w14:paraId="4B9A1682" w14:textId="390E4FF2" w:rsidR="0085433F" w:rsidRPr="000C156A" w:rsidRDefault="0085433F" w:rsidP="003A64C9">
            <w:pPr>
              <w:spacing w:before="60"/>
              <w:ind w:left="813"/>
              <w:jc w:val="center"/>
              <w:rPr>
                <w:rFonts w:asciiTheme="minorHAnsi" w:eastAsiaTheme="minorEastAsia" w:hAnsiTheme="minorHAnsi"/>
                <w:bCs/>
                <w:lang w:eastAsia="zh-CN"/>
              </w:rPr>
            </w:pPr>
            <w:r w:rsidRPr="000C156A">
              <w:rPr>
                <w:rFonts w:hint="eastAsia"/>
                <w:lang w:val="fr-CH" w:eastAsia="zh-CN"/>
              </w:rPr>
              <w:t>日期</w:t>
            </w:r>
            <w:r w:rsidRPr="00006ED7">
              <w:rPr>
                <w:rFonts w:hint="eastAsia"/>
                <w:lang w:eastAsia="zh-CN"/>
              </w:rPr>
              <w:t>：2</w:t>
            </w:r>
            <w:r w:rsidRPr="00006ED7">
              <w:rPr>
                <w:lang w:eastAsia="zh-CN"/>
              </w:rPr>
              <w:t>02</w:t>
            </w:r>
            <w:r w:rsidR="00BC4BD5" w:rsidRPr="00006ED7">
              <w:rPr>
                <w:lang w:eastAsia="zh-CN"/>
              </w:rPr>
              <w:t>2</w:t>
            </w:r>
            <w:r w:rsidRPr="000C156A">
              <w:rPr>
                <w:rFonts w:hint="eastAsia"/>
                <w:lang w:val="fr-CH" w:eastAsia="zh-CN"/>
              </w:rPr>
              <w:t>年</w:t>
            </w:r>
            <w:r w:rsidRPr="00006ED7">
              <w:rPr>
                <w:rFonts w:hint="eastAsia"/>
                <w:lang w:eastAsia="zh-CN"/>
              </w:rPr>
              <w:t>3</w:t>
            </w:r>
            <w:r w:rsidRPr="000C156A">
              <w:rPr>
                <w:rFonts w:hint="eastAsia"/>
                <w:lang w:val="fr-CH" w:eastAsia="zh-CN"/>
              </w:rPr>
              <w:t>月</w:t>
            </w:r>
            <w:r w:rsidRPr="00006ED7">
              <w:rPr>
                <w:rFonts w:hint="eastAsia"/>
                <w:lang w:eastAsia="zh-CN"/>
              </w:rPr>
              <w:t>1</w:t>
            </w:r>
            <w:r w:rsidR="00BC4BD5" w:rsidRPr="00006ED7">
              <w:rPr>
                <w:lang w:eastAsia="zh-CN"/>
              </w:rPr>
              <w:t>1</w:t>
            </w:r>
            <w:r w:rsidRPr="000C156A">
              <w:rPr>
                <w:rFonts w:hint="eastAsia"/>
                <w:lang w:val="fr-CH" w:eastAsia="zh-CN"/>
              </w:rPr>
              <w:t>日</w:t>
            </w:r>
          </w:p>
        </w:tc>
      </w:tr>
    </w:tbl>
    <w:p w14:paraId="4BA27977" w14:textId="77777777" w:rsidR="0085433F" w:rsidRPr="000C156A" w:rsidRDefault="0085433F" w:rsidP="0085433F">
      <w:pPr>
        <w:rPr>
          <w:lang w:val="en-US" w:eastAsia="zh-CN"/>
        </w:rPr>
      </w:pPr>
      <w:r w:rsidRPr="000C156A">
        <w:rPr>
          <w:lang w:val="en-US" w:eastAsia="zh-CN"/>
        </w:rPr>
        <w:br w:type="page"/>
      </w:r>
    </w:p>
    <w:p w14:paraId="331AB8C0" w14:textId="557935B2" w:rsidR="0085433F" w:rsidRPr="000C156A" w:rsidRDefault="0085433F" w:rsidP="0085433F">
      <w:pPr>
        <w:pStyle w:val="Heading1"/>
        <w:jc w:val="center"/>
        <w:rPr>
          <w:w w:val="105"/>
          <w:sz w:val="32"/>
          <w:szCs w:val="28"/>
          <w:lang w:val="en-US" w:eastAsia="zh-CN"/>
        </w:rPr>
      </w:pPr>
      <w:bookmarkStart w:id="229" w:name="_Toc358364827"/>
      <w:bookmarkStart w:id="230" w:name="_Toc329077314"/>
      <w:bookmarkStart w:id="231" w:name="_Toc482892535"/>
      <w:bookmarkStart w:id="232" w:name="_Toc511116006"/>
      <w:bookmarkStart w:id="233" w:name="_Toc511768677"/>
      <w:bookmarkStart w:id="234" w:name="_Toc41905285"/>
      <w:bookmarkStart w:id="235" w:name="_Toc41905748"/>
      <w:bookmarkStart w:id="236" w:name="_Toc41905836"/>
      <w:bookmarkStart w:id="237" w:name="_Toc41907965"/>
      <w:bookmarkStart w:id="238" w:name="_Toc72745299"/>
      <w:bookmarkStart w:id="239" w:name="_Toc72747214"/>
      <w:bookmarkStart w:id="240" w:name="_Toc73461016"/>
      <w:bookmarkStart w:id="241" w:name="_Toc73518810"/>
      <w:bookmarkStart w:id="242" w:name="_Toc73636093"/>
      <w:bookmarkStart w:id="243" w:name="_Toc73636235"/>
      <w:bookmarkStart w:id="244" w:name="_Toc110264994"/>
      <w:bookmarkStart w:id="245" w:name="_Toc110265213"/>
      <w:bookmarkStart w:id="246" w:name="_Toc110265679"/>
      <w:bookmarkStart w:id="247" w:name="_Toc110330233"/>
      <w:r w:rsidRPr="000C156A">
        <w:rPr>
          <w:rFonts w:hint="eastAsia"/>
          <w:lang w:eastAsia="zh-CN"/>
        </w:rPr>
        <w:lastRenderedPageBreak/>
        <w:t>财务报表</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32E7485" w14:textId="77777777" w:rsidR="0085433F" w:rsidRPr="000C156A" w:rsidRDefault="0085433F" w:rsidP="0085433F">
      <w:pPr>
        <w:keepNext/>
        <w:jc w:val="right"/>
        <w:rPr>
          <w:b/>
          <w:bCs/>
          <w:lang w:val="en-US" w:eastAsia="zh-CN"/>
        </w:rPr>
      </w:pPr>
      <w:r w:rsidRPr="000C156A">
        <w:rPr>
          <w:rFonts w:hint="eastAsia"/>
          <w:b/>
          <w:bCs/>
          <w:lang w:val="fr-CH" w:eastAsia="zh-CN"/>
        </w:rPr>
        <w:t>页码</w:t>
      </w:r>
    </w:p>
    <w:bookmarkStart w:id="248" w:name="_Toc304390545"/>
    <w:bookmarkStart w:id="249" w:name="_Toc304406411"/>
    <w:p w14:paraId="4AF0CAFC" w14:textId="0BABC785" w:rsidR="000D37DF" w:rsidRPr="000D37DF" w:rsidRDefault="0085433F" w:rsidP="000D37DF">
      <w:pPr>
        <w:pStyle w:val="TOC1"/>
        <w:tabs>
          <w:tab w:val="clear" w:pos="7938"/>
          <w:tab w:val="clear" w:pos="8789"/>
          <w:tab w:val="left" w:pos="1134"/>
          <w:tab w:val="left" w:leader="dot" w:pos="9356"/>
          <w:tab w:val="center" w:pos="9639"/>
        </w:tabs>
        <w:rPr>
          <w:rStyle w:val="Hyperlink"/>
          <w:rFonts w:cs="Microsoft YaHei"/>
          <w:lang w:val="fr-FR"/>
        </w:rPr>
      </w:pPr>
      <w:r w:rsidRPr="000C156A">
        <w:rPr>
          <w:rStyle w:val="Hyperlink"/>
          <w:color w:val="auto"/>
          <w:u w:val="none"/>
          <w:lang w:val="ru-RU"/>
        </w:rPr>
        <w:fldChar w:fldCharType="begin"/>
      </w:r>
      <w:r w:rsidRPr="000C156A">
        <w:rPr>
          <w:rStyle w:val="Hyperlink"/>
          <w:color w:val="auto"/>
          <w:u w:val="none"/>
          <w:lang w:val="ru-RU" w:eastAsia="zh-CN"/>
        </w:rPr>
        <w:instrText xml:space="preserve"> TOC \o "1-1" \h \z \u \t "Heading 2,2,Heading 3,3,Heading 5,5" </w:instrText>
      </w:r>
      <w:r w:rsidRPr="000C156A">
        <w:rPr>
          <w:rStyle w:val="Hyperlink"/>
          <w:color w:val="auto"/>
          <w:u w:val="none"/>
          <w:lang w:val="ru-RU"/>
        </w:rPr>
        <w:fldChar w:fldCharType="separate"/>
      </w:r>
      <w:hyperlink w:anchor="_Toc110265680" w:history="1">
        <w:r w:rsidR="000D37DF" w:rsidRPr="00DE4764">
          <w:rPr>
            <w:rStyle w:val="Hyperlink"/>
            <w:rFonts w:cs="Microsoft YaHei" w:hint="eastAsia"/>
            <w:noProof/>
            <w:lang w:val="fr-FR" w:eastAsia="zh-CN"/>
          </w:rPr>
          <w:t>一</w:t>
        </w:r>
        <w:r w:rsidR="000D37DF" w:rsidRPr="000D37DF">
          <w:rPr>
            <w:rStyle w:val="Hyperlink"/>
            <w:rFonts w:cs="Microsoft YaHei"/>
            <w:noProof/>
            <w:lang w:val="fr-FR" w:eastAsia="zh-CN"/>
          </w:rPr>
          <w:t xml:space="preserve"> – </w:t>
        </w:r>
        <w:r w:rsidR="000D37DF" w:rsidRPr="00DE4764">
          <w:rPr>
            <w:rStyle w:val="Hyperlink"/>
            <w:rFonts w:cs="Microsoft YaHei" w:hint="eastAsia"/>
            <w:noProof/>
            <w:lang w:val="fr-FR" w:eastAsia="zh-CN"/>
          </w:rPr>
          <w:t>财务状况表</w:t>
        </w:r>
        <w:r w:rsidR="000D37DF" w:rsidRPr="000D37DF">
          <w:rPr>
            <w:rStyle w:val="Hyperlink"/>
            <w:rFonts w:cs="Microsoft YaHei"/>
            <w:noProof/>
            <w:lang w:val="fr-FR" w:eastAsia="zh-CN"/>
          </w:rPr>
          <w:t xml:space="preserve"> – </w:t>
        </w:r>
        <w:r w:rsidR="000D37DF" w:rsidRPr="00DE4764">
          <w:rPr>
            <w:rStyle w:val="Hyperlink"/>
            <w:rFonts w:cs="Microsoft YaHei" w:hint="eastAsia"/>
            <w:noProof/>
            <w:lang w:val="fr-FR" w:eastAsia="zh-CN"/>
          </w:rPr>
          <w:t>截至</w:t>
        </w:r>
        <w:r w:rsidR="000D37DF" w:rsidRPr="000D37DF">
          <w:rPr>
            <w:rStyle w:val="Hyperlink"/>
            <w:rFonts w:cs="Microsoft YaHei"/>
            <w:noProof/>
            <w:lang w:val="fr-FR" w:eastAsia="zh-CN"/>
          </w:rPr>
          <w:t>2021</w:t>
        </w:r>
        <w:r w:rsidR="000D37DF" w:rsidRPr="00DE4764">
          <w:rPr>
            <w:rStyle w:val="Hyperlink"/>
            <w:rFonts w:cs="Microsoft YaHei" w:hint="eastAsia"/>
            <w:noProof/>
            <w:lang w:val="fr-FR" w:eastAsia="zh-CN"/>
          </w:rPr>
          <w:t>年</w:t>
        </w:r>
        <w:r w:rsidR="000D37DF" w:rsidRPr="000D37DF">
          <w:rPr>
            <w:rStyle w:val="Hyperlink"/>
            <w:rFonts w:cs="Microsoft YaHei"/>
            <w:noProof/>
            <w:lang w:val="fr-FR" w:eastAsia="zh-CN"/>
          </w:rPr>
          <w:t>12</w:t>
        </w:r>
        <w:r w:rsidR="000D37DF" w:rsidRPr="00DE4764">
          <w:rPr>
            <w:rStyle w:val="Hyperlink"/>
            <w:rFonts w:cs="Microsoft YaHei" w:hint="eastAsia"/>
            <w:noProof/>
            <w:lang w:val="fr-FR" w:eastAsia="zh-CN"/>
          </w:rPr>
          <w:t>月</w:t>
        </w:r>
        <w:r w:rsidR="000D37DF" w:rsidRPr="000D37DF">
          <w:rPr>
            <w:rStyle w:val="Hyperlink"/>
            <w:rFonts w:cs="Microsoft YaHei"/>
            <w:noProof/>
            <w:lang w:val="fr-FR" w:eastAsia="zh-CN"/>
          </w:rPr>
          <w:t>31</w:t>
        </w:r>
        <w:r w:rsidR="000D37DF" w:rsidRPr="00DE4764">
          <w:rPr>
            <w:rStyle w:val="Hyperlink"/>
            <w:rFonts w:cs="Microsoft YaHei" w:hint="eastAsia"/>
            <w:noProof/>
            <w:lang w:val="fr-FR" w:eastAsia="zh-CN"/>
          </w:rPr>
          <w:t>日的资产负债表</w:t>
        </w:r>
        <w:r w:rsidR="00043B8D">
          <w:rPr>
            <w:rStyle w:val="Hyperlink"/>
            <w:rFonts w:cs="Microsoft YaHei"/>
            <w:noProof/>
            <w:lang w:val="fr-FR" w:eastAsia="zh-CN"/>
          </w:rPr>
          <w:br/>
        </w:r>
        <w:r w:rsidR="000D37DF" w:rsidRPr="000D37DF">
          <w:rPr>
            <w:rStyle w:val="Hyperlink"/>
            <w:rFonts w:cs="Microsoft YaHei" w:hint="eastAsia"/>
            <w:noProof/>
            <w:lang w:val="fr-FR" w:eastAsia="zh-CN"/>
          </w:rPr>
          <w:t>（</w:t>
        </w:r>
        <w:r w:rsidR="000D37DF" w:rsidRPr="00DE4764">
          <w:rPr>
            <w:rStyle w:val="Hyperlink"/>
            <w:rFonts w:cs="Microsoft YaHei" w:hint="eastAsia"/>
            <w:noProof/>
            <w:lang w:val="fr-FR" w:eastAsia="zh-CN"/>
          </w:rPr>
          <w:t>包含截至</w:t>
        </w:r>
        <w:r w:rsidR="000D37DF" w:rsidRPr="000D37DF">
          <w:rPr>
            <w:rStyle w:val="Hyperlink"/>
            <w:rFonts w:cs="Microsoft YaHei"/>
            <w:noProof/>
            <w:lang w:val="fr-FR" w:eastAsia="zh-CN"/>
          </w:rPr>
          <w:t>2020</w:t>
        </w:r>
        <w:r w:rsidR="000D37DF" w:rsidRPr="00DE4764">
          <w:rPr>
            <w:rStyle w:val="Hyperlink"/>
            <w:rFonts w:cs="Microsoft YaHei" w:hint="eastAsia"/>
            <w:noProof/>
            <w:lang w:val="fr-FR" w:eastAsia="zh-CN"/>
          </w:rPr>
          <w:t>年</w:t>
        </w:r>
        <w:r w:rsidR="000D37DF" w:rsidRPr="000D37DF">
          <w:rPr>
            <w:rStyle w:val="Hyperlink"/>
            <w:rFonts w:cs="Microsoft YaHei"/>
            <w:noProof/>
            <w:lang w:val="fr-FR" w:eastAsia="zh-CN"/>
          </w:rPr>
          <w:t>12</w:t>
        </w:r>
        <w:r w:rsidR="000D37DF" w:rsidRPr="00DE4764">
          <w:rPr>
            <w:rStyle w:val="Hyperlink"/>
            <w:rFonts w:cs="Microsoft YaHei" w:hint="eastAsia"/>
            <w:noProof/>
            <w:lang w:val="fr-FR" w:eastAsia="zh-CN"/>
          </w:rPr>
          <w:t>月</w:t>
        </w:r>
        <w:r w:rsidR="000D37DF" w:rsidRPr="000D37DF">
          <w:rPr>
            <w:rStyle w:val="Hyperlink"/>
            <w:rFonts w:cs="Microsoft YaHei"/>
            <w:noProof/>
            <w:lang w:val="fr-FR" w:eastAsia="zh-CN"/>
          </w:rPr>
          <w:t>31</w:t>
        </w:r>
        <w:r w:rsidR="000D37DF" w:rsidRPr="00DE4764">
          <w:rPr>
            <w:rStyle w:val="Hyperlink"/>
            <w:rFonts w:cs="Microsoft YaHei" w:hint="eastAsia"/>
            <w:noProof/>
            <w:lang w:val="fr-FR" w:eastAsia="zh-CN"/>
          </w:rPr>
          <w:t>日的比较数字</w:t>
        </w:r>
        <w:r w:rsidR="000D37DF" w:rsidRPr="000D37DF">
          <w:rPr>
            <w:rStyle w:val="Hyperlink"/>
            <w:rFonts w:cs="Microsoft YaHei" w:hint="eastAsia"/>
            <w:noProof/>
            <w:lang w:val="fr-FR" w:eastAsia="zh-CN"/>
          </w:rPr>
          <w:t>）</w:t>
        </w:r>
        <w:r w:rsidR="00043B8D">
          <w:rPr>
            <w:rStyle w:val="Hyperlink"/>
            <w:rFonts w:cs="Microsoft YaHei"/>
            <w:noProof/>
            <w:lang w:val="fr-FR" w:eastAsia="zh-CN"/>
          </w:rPr>
          <w:tab/>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_Toc110265680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26</w:t>
        </w:r>
        <w:r w:rsidR="000D37DF" w:rsidRPr="000D37DF">
          <w:rPr>
            <w:rStyle w:val="Hyperlink"/>
            <w:rFonts w:cs="Microsoft YaHei"/>
            <w:webHidden/>
            <w:lang w:val="fr-FR" w:eastAsia="zh-CN"/>
          </w:rPr>
          <w:fldChar w:fldCharType="end"/>
        </w:r>
      </w:hyperlink>
    </w:p>
    <w:p w14:paraId="12A81306" w14:textId="62069772"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81" w:history="1">
        <w:r w:rsidR="000D37DF" w:rsidRPr="00DE4764">
          <w:rPr>
            <w:rStyle w:val="Hyperlink"/>
            <w:rFonts w:cs="Microsoft YaHei" w:hint="eastAsia"/>
            <w:noProof/>
            <w:lang w:val="fr-FR" w:eastAsia="zh-CN"/>
          </w:rPr>
          <w:t>二</w:t>
        </w:r>
        <w:r w:rsidR="000D37DF" w:rsidRPr="000D37DF">
          <w:rPr>
            <w:rStyle w:val="Hyperlink"/>
            <w:rFonts w:cs="Microsoft YaHei"/>
            <w:noProof/>
            <w:lang w:val="fr-FR" w:eastAsia="zh-CN"/>
          </w:rPr>
          <w:t xml:space="preserve"> – 2021</w:t>
        </w:r>
        <w:r w:rsidR="000D37DF" w:rsidRPr="00DE4764">
          <w:rPr>
            <w:rStyle w:val="Hyperlink"/>
            <w:rFonts w:cs="Microsoft YaHei" w:hint="eastAsia"/>
            <w:noProof/>
            <w:lang w:val="fr-FR" w:eastAsia="zh-CN"/>
          </w:rPr>
          <w:t>年</w:t>
        </w:r>
        <w:r w:rsidR="000D37DF" w:rsidRPr="000D37DF">
          <w:rPr>
            <w:rStyle w:val="Hyperlink"/>
            <w:rFonts w:cs="Microsoft YaHei"/>
            <w:noProof/>
            <w:lang w:val="fr-FR" w:eastAsia="zh-CN"/>
          </w:rPr>
          <w:t>12</w:t>
        </w:r>
        <w:r w:rsidR="000D37DF" w:rsidRPr="00DE4764">
          <w:rPr>
            <w:rStyle w:val="Hyperlink"/>
            <w:rFonts w:cs="Microsoft YaHei" w:hint="eastAsia"/>
            <w:noProof/>
            <w:lang w:val="fr-FR" w:eastAsia="zh-CN"/>
          </w:rPr>
          <w:t>月</w:t>
        </w:r>
        <w:r w:rsidR="000D37DF" w:rsidRPr="000D37DF">
          <w:rPr>
            <w:rStyle w:val="Hyperlink"/>
            <w:rFonts w:cs="Microsoft YaHei"/>
            <w:noProof/>
            <w:lang w:val="fr-FR" w:eastAsia="zh-CN"/>
          </w:rPr>
          <w:t>31</w:t>
        </w:r>
        <w:r w:rsidR="000D37DF" w:rsidRPr="00DE4764">
          <w:rPr>
            <w:rStyle w:val="Hyperlink"/>
            <w:rFonts w:cs="Microsoft YaHei" w:hint="eastAsia"/>
            <w:noProof/>
            <w:lang w:val="fr-FR" w:eastAsia="zh-CN"/>
          </w:rPr>
          <w:t>日结束的周期的财务业绩表</w:t>
        </w:r>
        <w:r w:rsidR="000D37DF" w:rsidRPr="000D37DF">
          <w:rPr>
            <w:rStyle w:val="Hyperlink"/>
            <w:rFonts w:cs="Microsoft YaHei"/>
            <w:noProof/>
            <w:lang w:val="fr-FR" w:eastAsia="zh-CN"/>
          </w:rPr>
          <w:br/>
        </w:r>
        <w:r w:rsidR="000D37DF" w:rsidRPr="000D37DF">
          <w:rPr>
            <w:rStyle w:val="Hyperlink"/>
            <w:rFonts w:cs="Microsoft YaHei" w:hint="eastAsia"/>
            <w:noProof/>
            <w:lang w:val="fr-FR" w:eastAsia="zh-CN"/>
          </w:rPr>
          <w:t>（</w:t>
        </w:r>
        <w:r w:rsidR="000D37DF" w:rsidRPr="00DE4764">
          <w:rPr>
            <w:rStyle w:val="Hyperlink"/>
            <w:rFonts w:cs="Microsoft YaHei" w:hint="eastAsia"/>
            <w:noProof/>
            <w:lang w:val="fr-FR" w:eastAsia="zh-CN"/>
          </w:rPr>
          <w:t>包含截至</w:t>
        </w:r>
        <w:r w:rsidR="000D37DF" w:rsidRPr="000D37DF">
          <w:rPr>
            <w:rStyle w:val="Hyperlink"/>
            <w:rFonts w:cs="Microsoft YaHei"/>
            <w:noProof/>
            <w:lang w:val="fr-FR" w:eastAsia="zh-CN"/>
          </w:rPr>
          <w:t>2020</w:t>
        </w:r>
        <w:r w:rsidR="000D37DF" w:rsidRPr="00DE4764">
          <w:rPr>
            <w:rStyle w:val="Hyperlink"/>
            <w:rFonts w:cs="Microsoft YaHei" w:hint="eastAsia"/>
            <w:noProof/>
            <w:lang w:val="fr-FR" w:eastAsia="zh-CN"/>
          </w:rPr>
          <w:t>年</w:t>
        </w:r>
        <w:r w:rsidR="000D37DF" w:rsidRPr="000D37DF">
          <w:rPr>
            <w:rStyle w:val="Hyperlink"/>
            <w:rFonts w:cs="Microsoft YaHei"/>
            <w:noProof/>
            <w:lang w:val="fr-FR" w:eastAsia="zh-CN"/>
          </w:rPr>
          <w:t>12</w:t>
        </w:r>
        <w:r w:rsidR="000D37DF" w:rsidRPr="00DE4764">
          <w:rPr>
            <w:rStyle w:val="Hyperlink"/>
            <w:rFonts w:cs="Microsoft YaHei" w:hint="eastAsia"/>
            <w:noProof/>
            <w:lang w:val="fr-FR" w:eastAsia="zh-CN"/>
          </w:rPr>
          <w:t>月</w:t>
        </w:r>
        <w:r w:rsidR="000D37DF" w:rsidRPr="000D37DF">
          <w:rPr>
            <w:rStyle w:val="Hyperlink"/>
            <w:rFonts w:cs="Microsoft YaHei"/>
            <w:noProof/>
            <w:lang w:val="fr-FR" w:eastAsia="zh-CN"/>
          </w:rPr>
          <w:t>31</w:t>
        </w:r>
        <w:r w:rsidR="000D37DF" w:rsidRPr="00DE4764">
          <w:rPr>
            <w:rStyle w:val="Hyperlink"/>
            <w:rFonts w:cs="Microsoft YaHei" w:hint="eastAsia"/>
            <w:noProof/>
            <w:lang w:val="fr-FR" w:eastAsia="zh-CN"/>
          </w:rPr>
          <w:t>日的比较数字</w:t>
        </w:r>
        <w:r w:rsidR="000D37DF" w:rsidRPr="000D37DF">
          <w:rPr>
            <w:rStyle w:val="Hyperlink"/>
            <w:rFonts w:cs="Microsoft YaHei" w:hint="eastAsia"/>
            <w:noProof/>
            <w:lang w:val="fr-FR" w:eastAsia="zh-CN"/>
          </w:rPr>
          <w:t>）</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_Toc110265681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27</w:t>
        </w:r>
        <w:r w:rsidR="000D37DF" w:rsidRPr="000D37DF">
          <w:rPr>
            <w:rStyle w:val="Hyperlink"/>
            <w:rFonts w:cs="Microsoft YaHei"/>
            <w:webHidden/>
            <w:lang w:val="fr-FR" w:eastAsia="zh-CN"/>
          </w:rPr>
          <w:fldChar w:fldCharType="end"/>
        </w:r>
      </w:hyperlink>
    </w:p>
    <w:p w14:paraId="54EE7FC1" w14:textId="1ACD1A29"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82" w:history="1">
        <w:r w:rsidR="000D37DF" w:rsidRPr="00DE4764">
          <w:rPr>
            <w:rStyle w:val="Hyperlink"/>
            <w:rFonts w:cs="Microsoft YaHei" w:hint="eastAsia"/>
            <w:noProof/>
            <w:lang w:val="fr-FR" w:eastAsia="zh-CN"/>
          </w:rPr>
          <w:t>三</w:t>
        </w:r>
        <w:r w:rsidR="000D37DF" w:rsidRPr="000D37DF">
          <w:rPr>
            <w:rStyle w:val="Hyperlink"/>
            <w:rFonts w:cs="Microsoft YaHei"/>
            <w:noProof/>
            <w:lang w:val="fr-FR" w:eastAsia="zh-CN"/>
          </w:rPr>
          <w:t xml:space="preserve"> – 2021</w:t>
        </w:r>
        <w:r w:rsidR="000D37DF" w:rsidRPr="00DE4764">
          <w:rPr>
            <w:rStyle w:val="Hyperlink"/>
            <w:rFonts w:cs="Microsoft YaHei" w:hint="eastAsia"/>
            <w:noProof/>
            <w:lang w:val="fr-FR" w:eastAsia="zh-CN"/>
          </w:rPr>
          <w:t>年</w:t>
        </w:r>
        <w:r w:rsidR="000D37DF" w:rsidRPr="000D37DF">
          <w:rPr>
            <w:rStyle w:val="Hyperlink"/>
            <w:rFonts w:cs="Microsoft YaHei"/>
            <w:noProof/>
            <w:lang w:val="fr-FR" w:eastAsia="zh-CN"/>
          </w:rPr>
          <w:t>12</w:t>
        </w:r>
        <w:r w:rsidR="000D37DF" w:rsidRPr="00DE4764">
          <w:rPr>
            <w:rStyle w:val="Hyperlink"/>
            <w:rFonts w:cs="Microsoft YaHei" w:hint="eastAsia"/>
            <w:noProof/>
            <w:lang w:val="fr-FR" w:eastAsia="zh-CN"/>
          </w:rPr>
          <w:t>月</w:t>
        </w:r>
        <w:r w:rsidR="000D37DF" w:rsidRPr="000D37DF">
          <w:rPr>
            <w:rStyle w:val="Hyperlink"/>
            <w:rFonts w:cs="Microsoft YaHei"/>
            <w:noProof/>
            <w:lang w:val="fr-FR" w:eastAsia="zh-CN"/>
          </w:rPr>
          <w:t>31</w:t>
        </w:r>
        <w:r w:rsidR="000D37DF" w:rsidRPr="00DE4764">
          <w:rPr>
            <w:rStyle w:val="Hyperlink"/>
            <w:rFonts w:cs="Microsoft YaHei" w:hint="eastAsia"/>
            <w:noProof/>
            <w:lang w:val="fr-FR" w:eastAsia="zh-CN"/>
          </w:rPr>
          <w:t>日结束的周期的资产净值变化表</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_Toc110265682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28</w:t>
        </w:r>
        <w:r w:rsidR="000D37DF" w:rsidRPr="000D37DF">
          <w:rPr>
            <w:rStyle w:val="Hyperlink"/>
            <w:rFonts w:cs="Microsoft YaHei"/>
            <w:webHidden/>
            <w:lang w:val="fr-FR" w:eastAsia="zh-CN"/>
          </w:rPr>
          <w:fldChar w:fldCharType="end"/>
        </w:r>
      </w:hyperlink>
    </w:p>
    <w:p w14:paraId="5CA80041" w14:textId="1B83E317"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83" w:history="1">
        <w:r w:rsidR="000D37DF" w:rsidRPr="00DE4764">
          <w:rPr>
            <w:rStyle w:val="Hyperlink"/>
            <w:rFonts w:cs="Microsoft YaHei" w:hint="eastAsia"/>
            <w:noProof/>
            <w:lang w:val="fr-FR" w:eastAsia="zh-CN"/>
          </w:rPr>
          <w:t>四</w:t>
        </w:r>
        <w:r w:rsidR="000D37DF" w:rsidRPr="000D37DF">
          <w:rPr>
            <w:rStyle w:val="Hyperlink"/>
            <w:rFonts w:cs="Microsoft YaHei"/>
            <w:noProof/>
            <w:lang w:val="fr-FR" w:eastAsia="zh-CN"/>
          </w:rPr>
          <w:t xml:space="preserve"> – 2021</w:t>
        </w:r>
        <w:r w:rsidR="000D37DF" w:rsidRPr="00DE4764">
          <w:rPr>
            <w:rStyle w:val="Hyperlink"/>
            <w:rFonts w:cs="Microsoft YaHei" w:hint="eastAsia"/>
            <w:noProof/>
            <w:lang w:val="fr-FR" w:eastAsia="zh-CN"/>
          </w:rPr>
          <w:t>年</w:t>
        </w:r>
        <w:r w:rsidR="000D37DF" w:rsidRPr="000D37DF">
          <w:rPr>
            <w:rStyle w:val="Hyperlink"/>
            <w:rFonts w:cs="Microsoft YaHei"/>
            <w:noProof/>
            <w:lang w:val="fr-FR" w:eastAsia="zh-CN"/>
          </w:rPr>
          <w:t>12</w:t>
        </w:r>
        <w:r w:rsidR="000D37DF" w:rsidRPr="00DE4764">
          <w:rPr>
            <w:rStyle w:val="Hyperlink"/>
            <w:rFonts w:cs="Microsoft YaHei" w:hint="eastAsia"/>
            <w:noProof/>
            <w:lang w:val="fr-FR" w:eastAsia="zh-CN"/>
          </w:rPr>
          <w:t>月</w:t>
        </w:r>
        <w:r w:rsidR="000D37DF" w:rsidRPr="000D37DF">
          <w:rPr>
            <w:rStyle w:val="Hyperlink"/>
            <w:rFonts w:cs="Microsoft YaHei"/>
            <w:noProof/>
            <w:lang w:val="fr-FR" w:eastAsia="zh-CN"/>
          </w:rPr>
          <w:t>31</w:t>
        </w:r>
        <w:r w:rsidR="000D37DF" w:rsidRPr="00DE4764">
          <w:rPr>
            <w:rStyle w:val="Hyperlink"/>
            <w:rFonts w:cs="Microsoft YaHei" w:hint="eastAsia"/>
            <w:noProof/>
            <w:lang w:val="fr-FR" w:eastAsia="zh-CN"/>
          </w:rPr>
          <w:t>日结束的周期的现金流表</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_Toc110265683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29</w:t>
        </w:r>
        <w:r w:rsidR="000D37DF" w:rsidRPr="000D37DF">
          <w:rPr>
            <w:rStyle w:val="Hyperlink"/>
            <w:rFonts w:cs="Microsoft YaHei"/>
            <w:webHidden/>
            <w:lang w:val="fr-FR" w:eastAsia="zh-CN"/>
          </w:rPr>
          <w:fldChar w:fldCharType="end"/>
        </w:r>
      </w:hyperlink>
    </w:p>
    <w:p w14:paraId="341EA218" w14:textId="4758B7E5"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84" w:history="1">
        <w:r w:rsidR="000D37DF" w:rsidRPr="00DE4764">
          <w:rPr>
            <w:rStyle w:val="Hyperlink"/>
            <w:rFonts w:cs="Microsoft YaHei" w:hint="eastAsia"/>
            <w:noProof/>
            <w:lang w:val="fr-FR" w:eastAsia="zh-CN"/>
          </w:rPr>
          <w:t>五</w:t>
        </w:r>
        <w:r w:rsidR="000D37DF" w:rsidRPr="000D37DF">
          <w:rPr>
            <w:rStyle w:val="Hyperlink"/>
            <w:rFonts w:cs="Microsoft YaHei"/>
            <w:noProof/>
            <w:lang w:val="fr-FR" w:eastAsia="zh-CN"/>
          </w:rPr>
          <w:t xml:space="preserve"> – 2021</w:t>
        </w:r>
        <w:r w:rsidR="000D37DF" w:rsidRPr="00DE4764">
          <w:rPr>
            <w:rStyle w:val="Hyperlink"/>
            <w:rFonts w:cs="Microsoft YaHei" w:hint="eastAsia"/>
            <w:noProof/>
            <w:lang w:val="fr-FR" w:eastAsia="zh-CN"/>
          </w:rPr>
          <w:t>年财务期预算金额与实际发生金额的对比表</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_Toc110265684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30</w:t>
        </w:r>
        <w:r w:rsidR="000D37DF" w:rsidRPr="000D37DF">
          <w:rPr>
            <w:rStyle w:val="Hyperlink"/>
            <w:rFonts w:cs="Microsoft YaHei"/>
            <w:webHidden/>
            <w:lang w:val="fr-FR" w:eastAsia="zh-CN"/>
          </w:rPr>
          <w:fldChar w:fldCharType="end"/>
        </w:r>
      </w:hyperlink>
    </w:p>
    <w:p w14:paraId="4644D76D" w14:textId="54F2379D"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86"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1</w:t>
        </w:r>
        <w:r w:rsidR="000D37DF" w:rsidRPr="000D37DF">
          <w:rPr>
            <w:rStyle w:val="Hyperlink"/>
            <w:rFonts w:cs="Microsoft YaHei"/>
            <w:lang w:val="fr-FR"/>
          </w:rPr>
          <w:tab/>
        </w:r>
        <w:r w:rsidR="000D37DF" w:rsidRPr="00DE4764">
          <w:rPr>
            <w:rStyle w:val="Hyperlink"/>
            <w:rFonts w:cs="Microsoft YaHei" w:hint="eastAsia"/>
            <w:noProof/>
            <w:lang w:val="fr-FR" w:eastAsia="zh-CN"/>
          </w:rPr>
          <w:t>国际电联的目标</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_Toc110265686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31</w:t>
        </w:r>
        <w:r w:rsidR="000D37DF" w:rsidRPr="000D37DF">
          <w:rPr>
            <w:rStyle w:val="Hyperlink"/>
            <w:rFonts w:cs="Microsoft YaHei"/>
            <w:webHidden/>
            <w:lang w:val="fr-FR" w:eastAsia="zh-CN"/>
          </w:rPr>
          <w:fldChar w:fldCharType="end"/>
        </w:r>
      </w:hyperlink>
    </w:p>
    <w:p w14:paraId="5A094DA8" w14:textId="2049045C"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87"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2</w:t>
        </w:r>
        <w:r w:rsidR="000D37DF" w:rsidRPr="000D37DF">
          <w:rPr>
            <w:rStyle w:val="Hyperlink"/>
            <w:rFonts w:cs="Microsoft YaHei"/>
            <w:lang w:val="fr-FR"/>
          </w:rPr>
          <w:tab/>
        </w:r>
        <w:r w:rsidR="000D37DF" w:rsidRPr="00DE4764">
          <w:rPr>
            <w:rStyle w:val="Hyperlink"/>
            <w:rFonts w:cs="Microsoft YaHei" w:hint="eastAsia"/>
            <w:noProof/>
            <w:lang w:val="fr-FR" w:eastAsia="zh-CN"/>
          </w:rPr>
          <w:t>主要会计原则</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_Toc110265687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32</w:t>
        </w:r>
        <w:r w:rsidR="000D37DF" w:rsidRPr="000D37DF">
          <w:rPr>
            <w:rStyle w:val="Hyperlink"/>
            <w:rFonts w:cs="Microsoft YaHei"/>
            <w:webHidden/>
            <w:lang w:val="fr-FR" w:eastAsia="zh-CN"/>
          </w:rPr>
          <w:fldChar w:fldCharType="end"/>
        </w:r>
      </w:hyperlink>
    </w:p>
    <w:p w14:paraId="31F516CD" w14:textId="429697D8"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88" w:history="1">
        <w:r w:rsidR="000D37DF" w:rsidRPr="000D37DF">
          <w:rPr>
            <w:rStyle w:val="Hyperlink"/>
            <w:rFonts w:cs="Microsoft YaHei" w:hint="eastAsia"/>
            <w:noProof/>
            <w:lang w:val="fr-FR" w:eastAsia="zh-CN"/>
          </w:rPr>
          <w:t>外汇</w:t>
        </w:r>
        <w:r w:rsidR="000D37DF" w:rsidRPr="000D37DF">
          <w:rPr>
            <w:rStyle w:val="Hyperlink"/>
            <w:rFonts w:cs="Microsoft YaHei"/>
            <w:webHidden/>
            <w:lang w:val="fr-FR" w:eastAsia="zh-CN"/>
          </w:rPr>
          <w:tab/>
        </w:r>
        <w:r w:rsidR="000D37DF">
          <w:rPr>
            <w:rStyle w:val="Hyperlink"/>
            <w:rFonts w:cs="Microsoft YaHei"/>
            <w:webHidden/>
            <w:lang w:val="fr-FR" w:eastAsia="zh-CN"/>
          </w:rPr>
          <w:tab/>
        </w:r>
        <w:r w:rsid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_Toc110265688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32</w:t>
        </w:r>
        <w:r w:rsidR="000D37DF" w:rsidRPr="000D37DF">
          <w:rPr>
            <w:rStyle w:val="Hyperlink"/>
            <w:rFonts w:cs="Microsoft YaHei"/>
            <w:webHidden/>
            <w:lang w:val="fr-FR" w:eastAsia="zh-CN"/>
          </w:rPr>
          <w:fldChar w:fldCharType="end"/>
        </w:r>
      </w:hyperlink>
    </w:p>
    <w:p w14:paraId="2278781D" w14:textId="77BD20F3"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89" w:history="1">
        <w:r w:rsidR="000D37DF" w:rsidRPr="000D37DF">
          <w:rPr>
            <w:rStyle w:val="Hyperlink"/>
            <w:rFonts w:cs="Microsoft YaHei" w:hint="eastAsia"/>
            <w:noProof/>
            <w:lang w:val="fr-FR" w:eastAsia="zh-CN"/>
          </w:rPr>
          <w:t>金融工具</w:t>
        </w:r>
        <w:r w:rsidR="000D37DF" w:rsidRPr="000D37DF">
          <w:rPr>
            <w:rStyle w:val="Hyperlink"/>
            <w:rFonts w:cs="Microsoft YaHei"/>
            <w:webHidden/>
            <w:lang w:val="fr-FR" w:eastAsia="zh-CN"/>
          </w:rPr>
          <w:tab/>
        </w:r>
        <w:r w:rsid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_Toc110265689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33</w:t>
        </w:r>
        <w:r w:rsidR="000D37DF" w:rsidRPr="000D37DF">
          <w:rPr>
            <w:rStyle w:val="Hyperlink"/>
            <w:rFonts w:cs="Microsoft YaHei"/>
            <w:webHidden/>
            <w:lang w:val="fr-FR" w:eastAsia="zh-CN"/>
          </w:rPr>
          <w:fldChar w:fldCharType="end"/>
        </w:r>
      </w:hyperlink>
    </w:p>
    <w:p w14:paraId="02A4A883" w14:textId="78C94FAD"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90" w:history="1">
        <w:r w:rsidR="000D37DF" w:rsidRPr="000D37DF">
          <w:rPr>
            <w:rStyle w:val="Hyperlink"/>
            <w:rFonts w:cs="Microsoft YaHei" w:hint="eastAsia"/>
            <w:noProof/>
            <w:lang w:val="fr-FR" w:eastAsia="zh-CN"/>
          </w:rPr>
          <w:t>应收款项减损准备金的确定</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_Toc110265690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34</w:t>
        </w:r>
        <w:r w:rsidR="000D37DF" w:rsidRPr="000D37DF">
          <w:rPr>
            <w:rStyle w:val="Hyperlink"/>
            <w:rFonts w:cs="Microsoft YaHei"/>
            <w:webHidden/>
            <w:lang w:val="fr-FR" w:eastAsia="zh-CN"/>
          </w:rPr>
          <w:fldChar w:fldCharType="end"/>
        </w:r>
      </w:hyperlink>
    </w:p>
    <w:p w14:paraId="01E15102" w14:textId="7AD0D932"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91" w:history="1">
        <w:r w:rsidR="000D37DF" w:rsidRPr="000D37DF">
          <w:rPr>
            <w:rStyle w:val="Hyperlink"/>
            <w:rFonts w:cs="Microsoft YaHei" w:hint="eastAsia"/>
            <w:noProof/>
            <w:lang w:val="fr-FR" w:eastAsia="zh-CN"/>
          </w:rPr>
          <w:t>资产减损准备金的使用和提供</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_Toc110265691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35</w:t>
        </w:r>
        <w:r w:rsidR="000D37DF" w:rsidRPr="000D37DF">
          <w:rPr>
            <w:rStyle w:val="Hyperlink"/>
            <w:rFonts w:cs="Microsoft YaHei"/>
            <w:webHidden/>
            <w:lang w:val="fr-FR" w:eastAsia="zh-CN"/>
          </w:rPr>
          <w:fldChar w:fldCharType="end"/>
        </w:r>
      </w:hyperlink>
    </w:p>
    <w:p w14:paraId="3BED5BAC" w14:textId="4D3515EB"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92" w:history="1">
        <w:r w:rsidR="000D37DF" w:rsidRPr="000D37DF">
          <w:rPr>
            <w:rStyle w:val="Hyperlink"/>
            <w:rFonts w:cs="Microsoft YaHei" w:hint="eastAsia"/>
            <w:noProof/>
            <w:lang w:val="fr-FR" w:eastAsia="zh-CN"/>
          </w:rPr>
          <w:t>库存</w:t>
        </w:r>
        <w:r w:rsidR="000D37DF" w:rsidRPr="000D37DF">
          <w:rPr>
            <w:rStyle w:val="Hyperlink"/>
            <w:rFonts w:cs="Microsoft YaHei"/>
            <w:webHidden/>
            <w:lang w:val="fr-FR" w:eastAsia="zh-CN"/>
          </w:rPr>
          <w:tab/>
        </w:r>
        <w:r w:rsidR="000D37DF">
          <w:rPr>
            <w:rStyle w:val="Hyperlink"/>
            <w:rFonts w:cs="Microsoft YaHei"/>
            <w:webHidden/>
            <w:lang w:val="fr-FR" w:eastAsia="zh-CN"/>
          </w:rPr>
          <w:tab/>
        </w:r>
        <w:r w:rsid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_Toc110265692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35</w:t>
        </w:r>
        <w:r w:rsidR="000D37DF" w:rsidRPr="000D37DF">
          <w:rPr>
            <w:rStyle w:val="Hyperlink"/>
            <w:rFonts w:cs="Microsoft YaHei"/>
            <w:webHidden/>
            <w:lang w:val="fr-FR" w:eastAsia="zh-CN"/>
          </w:rPr>
          <w:fldChar w:fldCharType="end"/>
        </w:r>
      </w:hyperlink>
    </w:p>
    <w:p w14:paraId="1BE2AAD3" w14:textId="5738C225"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93" w:history="1">
        <w:r w:rsidR="000D37DF" w:rsidRPr="000D37DF">
          <w:rPr>
            <w:rStyle w:val="Hyperlink"/>
            <w:rFonts w:cs="Microsoft YaHei" w:hint="eastAsia"/>
            <w:noProof/>
            <w:lang w:val="fr-FR" w:eastAsia="zh-CN"/>
          </w:rPr>
          <w:t>物业和设备</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_Toc110265693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35</w:t>
        </w:r>
        <w:r w:rsidR="000D37DF" w:rsidRPr="000D37DF">
          <w:rPr>
            <w:rStyle w:val="Hyperlink"/>
            <w:rFonts w:cs="Microsoft YaHei"/>
            <w:webHidden/>
            <w:lang w:val="fr-FR" w:eastAsia="zh-CN"/>
          </w:rPr>
          <w:fldChar w:fldCharType="end"/>
        </w:r>
      </w:hyperlink>
    </w:p>
    <w:p w14:paraId="61C02E93" w14:textId="22626C29"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94" w:history="1">
        <w:r w:rsidR="000D37DF" w:rsidRPr="000D37DF">
          <w:rPr>
            <w:rStyle w:val="Hyperlink"/>
            <w:rFonts w:cs="Microsoft YaHei" w:hint="eastAsia"/>
            <w:noProof/>
            <w:lang w:val="fr-FR" w:eastAsia="zh-CN"/>
          </w:rPr>
          <w:t>租赁的固定资产</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_Toc110265694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37</w:t>
        </w:r>
        <w:r w:rsidR="000D37DF" w:rsidRPr="000D37DF">
          <w:rPr>
            <w:rStyle w:val="Hyperlink"/>
            <w:rFonts w:cs="Microsoft YaHei"/>
            <w:webHidden/>
            <w:lang w:val="fr-FR" w:eastAsia="zh-CN"/>
          </w:rPr>
          <w:fldChar w:fldCharType="end"/>
        </w:r>
      </w:hyperlink>
    </w:p>
    <w:p w14:paraId="24C7BA03" w14:textId="385D94A3"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95" w:history="1">
        <w:r w:rsidR="000D37DF" w:rsidRPr="000D37DF">
          <w:rPr>
            <w:rStyle w:val="Hyperlink"/>
            <w:rFonts w:cs="Microsoft YaHei" w:hint="eastAsia"/>
            <w:noProof/>
            <w:lang w:val="fr-FR" w:eastAsia="zh-CN"/>
          </w:rPr>
          <w:t>无形资产</w:t>
        </w:r>
        <w:r w:rsidR="000D37DF">
          <w:rPr>
            <w:rStyle w:val="Hyperlink"/>
            <w:rFonts w:cs="Microsoft YaHei"/>
            <w:noProof/>
            <w:lang w:val="fr-FR" w:eastAsia="zh-CN"/>
          </w:rPr>
          <w:tab/>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_Toc110265695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37</w:t>
        </w:r>
        <w:r w:rsidR="000D37DF" w:rsidRPr="000D37DF">
          <w:rPr>
            <w:rStyle w:val="Hyperlink"/>
            <w:rFonts w:cs="Microsoft YaHei"/>
            <w:webHidden/>
            <w:lang w:val="fr-FR" w:eastAsia="zh-CN"/>
          </w:rPr>
          <w:fldChar w:fldCharType="end"/>
        </w:r>
      </w:hyperlink>
    </w:p>
    <w:p w14:paraId="1D37BB31" w14:textId="3D46FC26"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96" w:history="1">
        <w:r w:rsidR="000D37DF" w:rsidRPr="000D37DF">
          <w:rPr>
            <w:rStyle w:val="Hyperlink"/>
            <w:rFonts w:cs="Microsoft YaHei" w:hint="eastAsia"/>
            <w:noProof/>
            <w:lang w:val="fr-FR" w:eastAsia="zh-CN"/>
          </w:rPr>
          <w:t>准备金</w:t>
        </w:r>
        <w:r w:rsidR="000D37DF" w:rsidRPr="000D37DF">
          <w:rPr>
            <w:rStyle w:val="Hyperlink"/>
            <w:rFonts w:cs="Microsoft YaHei"/>
            <w:webHidden/>
            <w:lang w:val="fr-FR" w:eastAsia="zh-CN"/>
          </w:rPr>
          <w:tab/>
        </w:r>
        <w:r w:rsid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_Toc110265696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37</w:t>
        </w:r>
        <w:r w:rsidR="000D37DF" w:rsidRPr="000D37DF">
          <w:rPr>
            <w:rStyle w:val="Hyperlink"/>
            <w:rFonts w:cs="Microsoft YaHei"/>
            <w:webHidden/>
            <w:lang w:val="fr-FR" w:eastAsia="zh-CN"/>
          </w:rPr>
          <w:fldChar w:fldCharType="end"/>
        </w:r>
      </w:hyperlink>
    </w:p>
    <w:p w14:paraId="7E14FFD1" w14:textId="271D93B7"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97" w:history="1">
        <w:r w:rsidR="000D37DF" w:rsidRPr="000D37DF">
          <w:rPr>
            <w:rStyle w:val="Hyperlink"/>
            <w:rFonts w:cs="Microsoft YaHei" w:hint="eastAsia"/>
            <w:noProof/>
            <w:lang w:val="fr-FR" w:eastAsia="zh-CN"/>
          </w:rPr>
          <w:t>备用资产和负债</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_Toc110265697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38</w:t>
        </w:r>
        <w:r w:rsidR="000D37DF" w:rsidRPr="000D37DF">
          <w:rPr>
            <w:rStyle w:val="Hyperlink"/>
            <w:rFonts w:cs="Microsoft YaHei"/>
            <w:webHidden/>
            <w:lang w:val="fr-FR" w:eastAsia="zh-CN"/>
          </w:rPr>
          <w:fldChar w:fldCharType="end"/>
        </w:r>
      </w:hyperlink>
    </w:p>
    <w:p w14:paraId="06A6FDE6" w14:textId="2A4F1ECE"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98" w:history="1">
        <w:r w:rsidR="000D37DF" w:rsidRPr="000D37DF">
          <w:rPr>
            <w:rStyle w:val="Hyperlink"/>
            <w:rFonts w:cs="Microsoft YaHei" w:hint="eastAsia"/>
            <w:noProof/>
            <w:lang w:val="fr-FR" w:eastAsia="zh-CN"/>
          </w:rPr>
          <w:t>职员福利</w:t>
        </w:r>
        <w:r w:rsidR="000D37DF">
          <w:rPr>
            <w:rStyle w:val="Hyperlink"/>
            <w:rFonts w:cs="Microsoft YaHei"/>
            <w:noProof/>
            <w:lang w:val="fr-FR" w:eastAsia="zh-CN"/>
          </w:rPr>
          <w:tab/>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_Toc110265698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38</w:t>
        </w:r>
        <w:r w:rsidR="000D37DF" w:rsidRPr="000D37DF">
          <w:rPr>
            <w:rStyle w:val="Hyperlink"/>
            <w:rFonts w:cs="Microsoft YaHei"/>
            <w:webHidden/>
            <w:lang w:val="fr-FR" w:eastAsia="zh-CN"/>
          </w:rPr>
          <w:fldChar w:fldCharType="end"/>
        </w:r>
      </w:hyperlink>
    </w:p>
    <w:p w14:paraId="4F671587" w14:textId="548999A0"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699" w:history="1">
        <w:r w:rsidR="000D37DF" w:rsidRPr="000D37DF">
          <w:rPr>
            <w:rStyle w:val="Hyperlink"/>
            <w:rFonts w:cs="Microsoft YaHei" w:hint="eastAsia"/>
            <w:noProof/>
            <w:lang w:val="fr-FR" w:eastAsia="zh-CN"/>
          </w:rPr>
          <w:t>资金的确认</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_Toc110265699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39</w:t>
        </w:r>
        <w:r w:rsidR="000D37DF" w:rsidRPr="000D37DF">
          <w:rPr>
            <w:rStyle w:val="Hyperlink"/>
            <w:rFonts w:cs="Microsoft YaHei"/>
            <w:webHidden/>
            <w:lang w:val="fr-FR" w:eastAsia="zh-CN"/>
          </w:rPr>
          <w:fldChar w:fldCharType="end"/>
        </w:r>
      </w:hyperlink>
    </w:p>
    <w:p w14:paraId="40B1C5FE" w14:textId="58B74131"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00" w:history="1">
        <w:r w:rsidR="000D37DF" w:rsidRPr="000D37DF">
          <w:rPr>
            <w:rStyle w:val="Hyperlink"/>
            <w:rFonts w:cs="Microsoft YaHei" w:hint="eastAsia"/>
            <w:noProof/>
            <w:lang w:val="fr-FR" w:eastAsia="zh-CN"/>
          </w:rPr>
          <w:t>已划拨第三方资金</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_Toc110265700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39</w:t>
        </w:r>
        <w:r w:rsidR="000D37DF" w:rsidRPr="000D37DF">
          <w:rPr>
            <w:rStyle w:val="Hyperlink"/>
            <w:rFonts w:cs="Microsoft YaHei"/>
            <w:webHidden/>
            <w:lang w:val="fr-FR" w:eastAsia="zh-CN"/>
          </w:rPr>
          <w:fldChar w:fldCharType="end"/>
        </w:r>
      </w:hyperlink>
    </w:p>
    <w:p w14:paraId="7F0574F7" w14:textId="78E65397"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01" w:history="1">
        <w:r w:rsidR="000D37DF" w:rsidRPr="000D37DF">
          <w:rPr>
            <w:rStyle w:val="Hyperlink"/>
            <w:rFonts w:cs="Microsoft YaHei" w:hint="eastAsia"/>
            <w:noProof/>
            <w:lang w:val="fr-FR" w:eastAsia="zh-CN"/>
          </w:rPr>
          <w:t>储备金账目</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_Toc110265701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39</w:t>
        </w:r>
        <w:r w:rsidR="000D37DF" w:rsidRPr="000D37DF">
          <w:rPr>
            <w:rStyle w:val="Hyperlink"/>
            <w:rFonts w:cs="Microsoft YaHei"/>
            <w:webHidden/>
            <w:lang w:val="fr-FR" w:eastAsia="zh-CN"/>
          </w:rPr>
          <w:fldChar w:fldCharType="end"/>
        </w:r>
      </w:hyperlink>
    </w:p>
    <w:p w14:paraId="0F6523D1" w14:textId="24E3DF00"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02" w:history="1">
        <w:r w:rsidR="000D37DF" w:rsidRPr="000D37DF">
          <w:rPr>
            <w:rStyle w:val="Hyperlink"/>
            <w:rFonts w:cs="Microsoft YaHei" w:hint="eastAsia"/>
            <w:noProof/>
            <w:lang w:val="fr-FR" w:eastAsia="zh-CN"/>
          </w:rPr>
          <w:t>其他资金</w:t>
        </w:r>
        <w:r w:rsidR="000D37DF" w:rsidRPr="000D37DF">
          <w:rPr>
            <w:rStyle w:val="Hyperlink"/>
            <w:rFonts w:cs="Microsoft YaHei"/>
            <w:webHidden/>
            <w:lang w:val="fr-FR" w:eastAsia="zh-CN"/>
          </w:rPr>
          <w:tab/>
        </w:r>
        <w:r w:rsid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_Toc110265702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40</w:t>
        </w:r>
        <w:r w:rsidR="000D37DF" w:rsidRPr="000D37DF">
          <w:rPr>
            <w:rStyle w:val="Hyperlink"/>
            <w:rFonts w:cs="Microsoft YaHei"/>
            <w:webHidden/>
            <w:lang w:val="fr-FR" w:eastAsia="zh-CN"/>
          </w:rPr>
          <w:fldChar w:fldCharType="end"/>
        </w:r>
      </w:hyperlink>
    </w:p>
    <w:p w14:paraId="361BB49C" w14:textId="4EC380F1"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03" w:history="1">
        <w:r w:rsidR="000D37DF" w:rsidRPr="000D37DF">
          <w:rPr>
            <w:rStyle w:val="Hyperlink"/>
            <w:rFonts w:cs="Microsoft YaHei" w:hint="eastAsia"/>
            <w:noProof/>
            <w:lang w:val="fr-FR" w:eastAsia="zh-CN"/>
          </w:rPr>
          <w:t>新办公楼基金</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_Toc110265703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40</w:t>
        </w:r>
        <w:r w:rsidR="000D37DF" w:rsidRPr="000D37DF">
          <w:rPr>
            <w:rStyle w:val="Hyperlink"/>
            <w:rFonts w:cs="Microsoft YaHei"/>
            <w:webHidden/>
            <w:lang w:val="fr-FR" w:eastAsia="zh-CN"/>
          </w:rPr>
          <w:fldChar w:fldCharType="end"/>
        </w:r>
      </w:hyperlink>
    </w:p>
    <w:p w14:paraId="5FEC9A8A" w14:textId="03893058"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04" w:history="1">
        <w:r w:rsidR="000D37DF" w:rsidRPr="000D37DF">
          <w:rPr>
            <w:rStyle w:val="Hyperlink"/>
            <w:rFonts w:cs="Microsoft YaHei" w:hint="eastAsia"/>
            <w:noProof/>
            <w:lang w:val="fr-FR" w:eastAsia="zh-CN"/>
          </w:rPr>
          <w:t>预算外活动相关基金</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_Toc110265704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41</w:t>
        </w:r>
        <w:r w:rsidR="000D37DF" w:rsidRPr="000D37DF">
          <w:rPr>
            <w:rStyle w:val="Hyperlink"/>
            <w:rFonts w:cs="Microsoft YaHei"/>
            <w:webHidden/>
            <w:lang w:val="fr-FR" w:eastAsia="zh-CN"/>
          </w:rPr>
          <w:fldChar w:fldCharType="end"/>
        </w:r>
      </w:hyperlink>
    </w:p>
    <w:p w14:paraId="12F1801E" w14:textId="352DC6E9"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05" w:history="1">
        <w:r w:rsidR="000D37DF" w:rsidRPr="000D37DF">
          <w:rPr>
            <w:rStyle w:val="Hyperlink"/>
            <w:rFonts w:cs="Microsoft YaHei" w:hint="eastAsia"/>
            <w:noProof/>
            <w:lang w:val="fr-FR" w:eastAsia="zh-CN"/>
          </w:rPr>
          <w:t>收入的确认</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_Toc110265705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41</w:t>
        </w:r>
        <w:r w:rsidR="000D37DF" w:rsidRPr="000D37DF">
          <w:rPr>
            <w:rStyle w:val="Hyperlink"/>
            <w:rFonts w:cs="Microsoft YaHei"/>
            <w:webHidden/>
            <w:lang w:val="fr-FR" w:eastAsia="zh-CN"/>
          </w:rPr>
          <w:fldChar w:fldCharType="end"/>
        </w:r>
      </w:hyperlink>
    </w:p>
    <w:p w14:paraId="55CCCC86" w14:textId="198CAFDE"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06" w:history="1">
        <w:r w:rsidR="000D37DF" w:rsidRPr="000D37DF">
          <w:rPr>
            <w:rStyle w:val="Hyperlink"/>
            <w:rFonts w:cs="Microsoft YaHei" w:hint="eastAsia"/>
            <w:noProof/>
            <w:lang w:val="fr-FR" w:eastAsia="zh-CN"/>
          </w:rPr>
          <w:t>分部门报告</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_Toc110265706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42</w:t>
        </w:r>
        <w:r w:rsidR="000D37DF" w:rsidRPr="000D37DF">
          <w:rPr>
            <w:rStyle w:val="Hyperlink"/>
            <w:rFonts w:cs="Microsoft YaHei"/>
            <w:webHidden/>
            <w:lang w:val="fr-FR" w:eastAsia="zh-CN"/>
          </w:rPr>
          <w:fldChar w:fldCharType="end"/>
        </w:r>
      </w:hyperlink>
    </w:p>
    <w:p w14:paraId="2CCF116A" w14:textId="12F3B40D"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07" w:history="1">
        <w:r w:rsidR="000D37DF" w:rsidRPr="000D37DF">
          <w:rPr>
            <w:rStyle w:val="Hyperlink"/>
            <w:rFonts w:cs="Microsoft YaHei" w:hint="eastAsia"/>
            <w:noProof/>
            <w:lang w:val="fr-FR" w:eastAsia="zh-CN"/>
          </w:rPr>
          <w:t>预算比较</w:t>
        </w:r>
        <w:r w:rsidR="000D37DF">
          <w:rPr>
            <w:rStyle w:val="Hyperlink"/>
            <w:rFonts w:cs="Microsoft YaHei"/>
            <w:noProof/>
            <w:lang w:val="fr-FR" w:eastAsia="zh-CN"/>
          </w:rPr>
          <w:tab/>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_Toc110265707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43</w:t>
        </w:r>
        <w:r w:rsidR="000D37DF" w:rsidRPr="000D37DF">
          <w:rPr>
            <w:rStyle w:val="Hyperlink"/>
            <w:rFonts w:cs="Microsoft YaHei"/>
            <w:webHidden/>
            <w:lang w:val="fr-FR" w:eastAsia="zh-CN"/>
          </w:rPr>
          <w:fldChar w:fldCharType="end"/>
        </w:r>
      </w:hyperlink>
    </w:p>
    <w:p w14:paraId="1EDBD618" w14:textId="1D02E04F"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08"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3</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净资产的管理</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_Toc110265708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43</w:t>
        </w:r>
        <w:r w:rsidR="000D37DF" w:rsidRPr="000D37DF">
          <w:rPr>
            <w:rStyle w:val="Hyperlink"/>
            <w:rFonts w:cs="Microsoft YaHei"/>
            <w:noProof/>
            <w:webHidden/>
            <w:lang w:val="fr-FR" w:eastAsia="zh-CN"/>
          </w:rPr>
          <w:fldChar w:fldCharType="end"/>
        </w:r>
      </w:hyperlink>
    </w:p>
    <w:p w14:paraId="72B10E3D" w14:textId="6F11CA08"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09"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4</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财务风险的管理</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_Toc110265709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43</w:t>
        </w:r>
        <w:r w:rsidR="000D37DF" w:rsidRPr="000D37DF">
          <w:rPr>
            <w:rStyle w:val="Hyperlink"/>
            <w:rFonts w:cs="Microsoft YaHei"/>
            <w:noProof/>
            <w:webHidden/>
            <w:lang w:val="fr-FR" w:eastAsia="zh-CN"/>
          </w:rPr>
          <w:fldChar w:fldCharType="end"/>
        </w:r>
      </w:hyperlink>
    </w:p>
    <w:p w14:paraId="0D7C2ADB" w14:textId="0BCED631"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10"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5</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判定和会计估算</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_Toc110265710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46</w:t>
        </w:r>
        <w:r w:rsidR="000D37DF" w:rsidRPr="000D37DF">
          <w:rPr>
            <w:rStyle w:val="Hyperlink"/>
            <w:rFonts w:cs="Microsoft YaHei"/>
            <w:noProof/>
            <w:webHidden/>
            <w:lang w:val="fr-FR" w:eastAsia="zh-CN"/>
          </w:rPr>
          <w:fldChar w:fldCharType="end"/>
        </w:r>
      </w:hyperlink>
    </w:p>
    <w:p w14:paraId="6F84CE3A" w14:textId="6ED5D1B0"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11" w:history="1">
        <w:r w:rsidR="000D37DF" w:rsidRPr="00DE4764">
          <w:rPr>
            <w:rStyle w:val="Hyperlink"/>
            <w:rFonts w:cs="Microsoft YaHei" w:hint="eastAsia"/>
            <w:noProof/>
            <w:lang w:val="fr-FR" w:eastAsia="zh-CN"/>
          </w:rPr>
          <w:t>说明</w:t>
        </w:r>
        <w:r w:rsidR="000D37DF" w:rsidRPr="00DE4764">
          <w:rPr>
            <w:rStyle w:val="Hyperlink"/>
            <w:rFonts w:cs="Microsoft YaHei"/>
            <w:noProof/>
            <w:lang w:val="fr-FR" w:eastAsia="zh-CN"/>
          </w:rPr>
          <w:t>6</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现金和现金等价物</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_Toc110265711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46</w:t>
        </w:r>
        <w:r w:rsidR="000D37DF" w:rsidRPr="000D37DF">
          <w:rPr>
            <w:rStyle w:val="Hyperlink"/>
            <w:rFonts w:cs="Microsoft YaHei"/>
            <w:noProof/>
            <w:webHidden/>
            <w:lang w:val="fr-FR" w:eastAsia="zh-CN"/>
          </w:rPr>
          <w:fldChar w:fldCharType="end"/>
        </w:r>
      </w:hyperlink>
    </w:p>
    <w:p w14:paraId="54E86986" w14:textId="0E3AB3A8"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12"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7</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投资</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_Toc110265712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47</w:t>
        </w:r>
        <w:r w:rsidR="000D37DF" w:rsidRPr="000D37DF">
          <w:rPr>
            <w:rStyle w:val="Hyperlink"/>
            <w:rFonts w:cs="Microsoft YaHei"/>
            <w:noProof/>
            <w:webHidden/>
            <w:lang w:val="fr-FR" w:eastAsia="zh-CN"/>
          </w:rPr>
          <w:fldChar w:fldCharType="end"/>
        </w:r>
      </w:hyperlink>
    </w:p>
    <w:p w14:paraId="73252D97" w14:textId="0DAD332C"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13"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8</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应收款项</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_Toc110265713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47</w:t>
        </w:r>
        <w:r w:rsidR="000D37DF" w:rsidRPr="000D37DF">
          <w:rPr>
            <w:rStyle w:val="Hyperlink"/>
            <w:rFonts w:cs="Microsoft YaHei"/>
            <w:noProof/>
            <w:webHidden/>
            <w:lang w:val="fr-FR" w:eastAsia="zh-CN"/>
          </w:rPr>
          <w:fldChar w:fldCharType="end"/>
        </w:r>
      </w:hyperlink>
    </w:p>
    <w:p w14:paraId="7452F9FB" w14:textId="18A0B4C2"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14" w:history="1">
        <w:r w:rsidR="000D37DF" w:rsidRPr="00DE4764">
          <w:rPr>
            <w:rStyle w:val="Hyperlink"/>
            <w:rFonts w:cs="Microsoft YaHei" w:hint="eastAsia"/>
            <w:noProof/>
            <w:lang w:val="fr-FR" w:eastAsia="zh-CN"/>
          </w:rPr>
          <w:t>说明</w:t>
        </w:r>
        <w:r w:rsidR="000D37DF" w:rsidRPr="00DE4764">
          <w:rPr>
            <w:rStyle w:val="Hyperlink"/>
            <w:rFonts w:cs="Microsoft YaHei"/>
            <w:noProof/>
            <w:lang w:val="fr-FR" w:eastAsia="zh-CN"/>
          </w:rPr>
          <w:t>9</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库存</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_Toc110265714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48</w:t>
        </w:r>
        <w:r w:rsidR="000D37DF" w:rsidRPr="000D37DF">
          <w:rPr>
            <w:rStyle w:val="Hyperlink"/>
            <w:rFonts w:cs="Microsoft YaHei"/>
            <w:noProof/>
            <w:webHidden/>
            <w:lang w:val="fr-FR" w:eastAsia="zh-CN"/>
          </w:rPr>
          <w:fldChar w:fldCharType="end"/>
        </w:r>
      </w:hyperlink>
    </w:p>
    <w:p w14:paraId="2E4D0367" w14:textId="18778B50"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15" w:history="1">
        <w:r w:rsidR="000D37DF" w:rsidRPr="00DE4764">
          <w:rPr>
            <w:rStyle w:val="Hyperlink"/>
            <w:rFonts w:cs="Microsoft YaHei" w:hint="eastAsia"/>
            <w:noProof/>
            <w:lang w:val="fr-FR" w:eastAsia="zh-CN"/>
          </w:rPr>
          <w:t>说明</w:t>
        </w:r>
        <w:r w:rsidR="000D37DF" w:rsidRPr="00DE4764">
          <w:rPr>
            <w:rStyle w:val="Hyperlink"/>
            <w:rFonts w:cs="Microsoft YaHei"/>
            <w:noProof/>
            <w:lang w:val="fr-FR" w:eastAsia="zh-CN"/>
          </w:rPr>
          <w:t>10</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其它应收款项</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_Toc110265715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49</w:t>
        </w:r>
        <w:r w:rsidR="000D37DF" w:rsidRPr="000D37DF">
          <w:rPr>
            <w:rStyle w:val="Hyperlink"/>
            <w:rFonts w:cs="Microsoft YaHei"/>
            <w:noProof/>
            <w:webHidden/>
            <w:lang w:val="fr-FR" w:eastAsia="zh-CN"/>
          </w:rPr>
          <w:fldChar w:fldCharType="end"/>
        </w:r>
      </w:hyperlink>
    </w:p>
    <w:p w14:paraId="5B884B93" w14:textId="641477BD"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16"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11</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财产和设备</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_Toc110265716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49</w:t>
        </w:r>
        <w:r w:rsidR="000D37DF" w:rsidRPr="000D37DF">
          <w:rPr>
            <w:rStyle w:val="Hyperlink"/>
            <w:rFonts w:cs="Microsoft YaHei"/>
            <w:noProof/>
            <w:webHidden/>
            <w:lang w:val="fr-FR" w:eastAsia="zh-CN"/>
          </w:rPr>
          <w:fldChar w:fldCharType="end"/>
        </w:r>
      </w:hyperlink>
    </w:p>
    <w:p w14:paraId="16C83958" w14:textId="22B8A3C6"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17" w:history="1">
        <w:r w:rsidR="000D37DF" w:rsidRPr="00DE4764">
          <w:rPr>
            <w:rStyle w:val="Hyperlink"/>
            <w:rFonts w:cs="Microsoft YaHei" w:hint="eastAsia"/>
            <w:noProof/>
            <w:lang w:val="fr-FR" w:eastAsia="zh-CN"/>
          </w:rPr>
          <w:t>说明</w:t>
        </w:r>
        <w:r w:rsidR="000D37DF" w:rsidRPr="00DE4764">
          <w:rPr>
            <w:rStyle w:val="Hyperlink"/>
            <w:rFonts w:cs="Microsoft YaHei"/>
            <w:noProof/>
            <w:lang w:val="fr-FR" w:eastAsia="zh-CN"/>
          </w:rPr>
          <w:t>12</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无形资产</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_Toc110265717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51</w:t>
        </w:r>
        <w:r w:rsidR="000D37DF" w:rsidRPr="000D37DF">
          <w:rPr>
            <w:rStyle w:val="Hyperlink"/>
            <w:rFonts w:cs="Microsoft YaHei"/>
            <w:noProof/>
            <w:webHidden/>
            <w:lang w:val="fr-FR" w:eastAsia="zh-CN"/>
          </w:rPr>
          <w:fldChar w:fldCharType="end"/>
        </w:r>
      </w:hyperlink>
    </w:p>
    <w:p w14:paraId="1A4CB0E0" w14:textId="08CE0E8C"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18" w:history="1">
        <w:r w:rsidR="000D37DF" w:rsidRPr="00DE4764">
          <w:rPr>
            <w:rStyle w:val="Hyperlink"/>
            <w:rFonts w:cs="Microsoft YaHei" w:hint="eastAsia"/>
            <w:noProof/>
            <w:lang w:val="fr-FR" w:eastAsia="zh-CN"/>
          </w:rPr>
          <w:t>说明</w:t>
        </w:r>
        <w:r w:rsidR="000D37DF" w:rsidRPr="00DE4764">
          <w:rPr>
            <w:rStyle w:val="Hyperlink"/>
            <w:rFonts w:cs="Microsoft YaHei"/>
            <w:noProof/>
            <w:lang w:val="fr-FR" w:eastAsia="zh-CN"/>
          </w:rPr>
          <w:t>13</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建设中的资产</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_Toc110265718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51</w:t>
        </w:r>
        <w:r w:rsidR="000D37DF" w:rsidRPr="000D37DF">
          <w:rPr>
            <w:rStyle w:val="Hyperlink"/>
            <w:rFonts w:cs="Microsoft YaHei"/>
            <w:noProof/>
            <w:webHidden/>
            <w:lang w:val="fr-FR" w:eastAsia="zh-CN"/>
          </w:rPr>
          <w:fldChar w:fldCharType="end"/>
        </w:r>
      </w:hyperlink>
    </w:p>
    <w:p w14:paraId="0B2A34EE" w14:textId="613A1BBE"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19"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14</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供货商和其它债权方</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_Toc110265719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52</w:t>
        </w:r>
        <w:r w:rsidR="000D37DF" w:rsidRPr="000D37DF">
          <w:rPr>
            <w:rStyle w:val="Hyperlink"/>
            <w:rFonts w:cs="Microsoft YaHei"/>
            <w:noProof/>
            <w:webHidden/>
            <w:lang w:val="fr-FR" w:eastAsia="zh-CN"/>
          </w:rPr>
          <w:fldChar w:fldCharType="end"/>
        </w:r>
      </w:hyperlink>
    </w:p>
    <w:p w14:paraId="6D3D40BC" w14:textId="4280EE0B"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20" w:history="1">
        <w:r w:rsidR="000D37DF" w:rsidRPr="00DE4764">
          <w:rPr>
            <w:rStyle w:val="Hyperlink"/>
            <w:rFonts w:cs="Microsoft YaHei" w:hint="eastAsia"/>
            <w:noProof/>
            <w:lang w:val="fr-FR" w:eastAsia="zh-CN"/>
          </w:rPr>
          <w:t>说明</w:t>
        </w:r>
        <w:r w:rsidR="000D37DF" w:rsidRPr="00DE4764">
          <w:rPr>
            <w:rStyle w:val="Hyperlink"/>
            <w:rFonts w:cs="Microsoft YaHei"/>
            <w:noProof/>
            <w:lang w:val="fr-FR" w:eastAsia="zh-CN"/>
          </w:rPr>
          <w:t>15</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递延收入</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_Toc110265720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52</w:t>
        </w:r>
        <w:r w:rsidR="000D37DF" w:rsidRPr="000D37DF">
          <w:rPr>
            <w:rStyle w:val="Hyperlink"/>
            <w:rFonts w:cs="Microsoft YaHei"/>
            <w:noProof/>
            <w:webHidden/>
            <w:lang w:val="fr-FR" w:eastAsia="zh-CN"/>
          </w:rPr>
          <w:fldChar w:fldCharType="end"/>
        </w:r>
      </w:hyperlink>
    </w:p>
    <w:p w14:paraId="61E967ED" w14:textId="671D152B"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21"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16</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借款及其它财务负债</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_Toc110265721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53</w:t>
        </w:r>
        <w:r w:rsidR="000D37DF" w:rsidRPr="000D37DF">
          <w:rPr>
            <w:rStyle w:val="Hyperlink"/>
            <w:rFonts w:cs="Microsoft YaHei"/>
            <w:noProof/>
            <w:webHidden/>
            <w:lang w:val="fr-FR" w:eastAsia="zh-CN"/>
          </w:rPr>
          <w:fldChar w:fldCharType="end"/>
        </w:r>
      </w:hyperlink>
    </w:p>
    <w:p w14:paraId="5244E436" w14:textId="56C24CB2"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noProof/>
          <w:lang w:val="fr-FR" w:eastAsia="zh-CN"/>
        </w:rPr>
      </w:pPr>
      <w:hyperlink w:anchor="_Toc110265722"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17</w:t>
        </w:r>
        <w:r w:rsidR="000D37DF" w:rsidRPr="000D37DF">
          <w:rPr>
            <w:rStyle w:val="Hyperlink"/>
            <w:rFonts w:cs="Microsoft YaHei"/>
            <w:noProof/>
            <w:lang w:val="fr-FR" w:eastAsia="zh-CN"/>
          </w:rPr>
          <w:tab/>
        </w:r>
        <w:r w:rsidR="000D37DF" w:rsidRPr="00DE4764">
          <w:rPr>
            <w:rStyle w:val="Hyperlink"/>
            <w:rFonts w:cs="Microsoft YaHei" w:hint="eastAsia"/>
            <w:noProof/>
            <w:lang w:val="fr-FR" w:eastAsia="zh-CN"/>
          </w:rPr>
          <w:t>职员福利</w:t>
        </w:r>
        <w:r w:rsidR="000D37DF" w:rsidRPr="000D37DF">
          <w:rPr>
            <w:rStyle w:val="Hyperlink"/>
            <w:rFonts w:cs="Microsoft YaHei"/>
            <w:noProof/>
            <w:webHidden/>
            <w:lang w:val="fr-FR" w:eastAsia="zh-CN"/>
          </w:rPr>
          <w:tab/>
        </w:r>
        <w:r w:rsidR="000D37DF" w:rsidRPr="000D37DF">
          <w:rPr>
            <w:rStyle w:val="Hyperlink"/>
            <w:rFonts w:cs="Microsoft YaHei"/>
            <w:noProof/>
            <w:webHidden/>
            <w:lang w:val="fr-FR" w:eastAsia="zh-CN"/>
          </w:rPr>
          <w:fldChar w:fldCharType="begin"/>
        </w:r>
        <w:r w:rsidR="000D37DF" w:rsidRPr="000D37DF">
          <w:rPr>
            <w:rStyle w:val="Hyperlink"/>
            <w:rFonts w:cs="Microsoft YaHei"/>
            <w:noProof/>
            <w:webHidden/>
            <w:lang w:val="fr-FR" w:eastAsia="zh-CN"/>
          </w:rPr>
          <w:instrText xml:space="preserve"> PAGEREF _Toc110265722 \h </w:instrText>
        </w:r>
        <w:r w:rsidR="000D37DF" w:rsidRPr="000D37DF">
          <w:rPr>
            <w:rStyle w:val="Hyperlink"/>
            <w:rFonts w:cs="Microsoft YaHei"/>
            <w:noProof/>
            <w:webHidden/>
            <w:lang w:val="fr-FR" w:eastAsia="zh-CN"/>
          </w:rPr>
        </w:r>
        <w:r w:rsidR="000D37DF" w:rsidRPr="000D37DF">
          <w:rPr>
            <w:rStyle w:val="Hyperlink"/>
            <w:rFonts w:cs="Microsoft YaHei"/>
            <w:noProof/>
            <w:webHidden/>
            <w:lang w:val="fr-FR" w:eastAsia="zh-CN"/>
          </w:rPr>
          <w:fldChar w:fldCharType="separate"/>
        </w:r>
        <w:r w:rsidR="000D37DF" w:rsidRPr="000D37DF">
          <w:rPr>
            <w:rStyle w:val="Hyperlink"/>
            <w:rFonts w:cs="Microsoft YaHei"/>
            <w:noProof/>
            <w:webHidden/>
            <w:lang w:val="fr-FR" w:eastAsia="zh-CN"/>
          </w:rPr>
          <w:t>53</w:t>
        </w:r>
        <w:r w:rsidR="000D37DF" w:rsidRPr="000D37DF">
          <w:rPr>
            <w:rStyle w:val="Hyperlink"/>
            <w:rFonts w:cs="Microsoft YaHei"/>
            <w:noProof/>
            <w:webHidden/>
            <w:lang w:val="fr-FR" w:eastAsia="zh-CN"/>
          </w:rPr>
          <w:fldChar w:fldCharType="end"/>
        </w:r>
      </w:hyperlink>
    </w:p>
    <w:p w14:paraId="37F3C1C9" w14:textId="6DA9EBA1" w:rsidR="000D37DF" w:rsidRPr="000D37DF" w:rsidRDefault="00A97A32" w:rsidP="00965F9F">
      <w:pPr>
        <w:pStyle w:val="TOC1"/>
        <w:tabs>
          <w:tab w:val="clear" w:pos="7938"/>
          <w:tab w:val="clear" w:pos="8789"/>
          <w:tab w:val="left" w:pos="1162"/>
          <w:tab w:val="left" w:leader="dot" w:pos="9356"/>
          <w:tab w:val="center" w:pos="9639"/>
        </w:tabs>
        <w:rPr>
          <w:rStyle w:val="Hyperlink"/>
          <w:rFonts w:cs="Microsoft YaHei"/>
          <w:lang w:val="fr-FR"/>
        </w:rPr>
      </w:pPr>
      <w:hyperlink w:anchor="_Toc110265723" w:history="1">
        <w:r w:rsidR="000D37DF" w:rsidRPr="00DE4764">
          <w:rPr>
            <w:rStyle w:val="Hyperlink"/>
            <w:rFonts w:cs="Microsoft YaHei"/>
            <w:noProof/>
            <w:lang w:val="fr-FR" w:eastAsia="zh-CN"/>
          </w:rPr>
          <w:t>17.1</w:t>
        </w:r>
        <w:r w:rsidR="000D37DF" w:rsidRPr="000D37DF">
          <w:rPr>
            <w:rStyle w:val="Hyperlink"/>
            <w:rFonts w:cs="Microsoft YaHei"/>
            <w:lang w:val="fr-FR"/>
          </w:rPr>
          <w:tab/>
        </w:r>
        <w:r w:rsidR="00965F9F">
          <w:rPr>
            <w:rStyle w:val="Hyperlink"/>
            <w:rFonts w:cs="Microsoft YaHei"/>
            <w:lang w:val="fr-FR"/>
          </w:rPr>
          <w:tab/>
        </w:r>
        <w:r w:rsidR="000D37DF" w:rsidRPr="00DE4764">
          <w:rPr>
            <w:rStyle w:val="Hyperlink"/>
            <w:rFonts w:cs="Microsoft YaHei" w:hint="eastAsia"/>
            <w:noProof/>
            <w:lang w:val="fr-FR" w:eastAsia="zh-CN"/>
          </w:rPr>
          <w:t>短期职员福利</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_Toc110265723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53</w:t>
        </w:r>
        <w:r w:rsidR="000D37DF" w:rsidRPr="000D37DF">
          <w:rPr>
            <w:rStyle w:val="Hyperlink"/>
            <w:rFonts w:cs="Microsoft YaHei"/>
            <w:webHidden/>
            <w:lang w:val="fr-FR" w:eastAsia="zh-CN"/>
          </w:rPr>
          <w:fldChar w:fldCharType="end"/>
        </w:r>
      </w:hyperlink>
    </w:p>
    <w:p w14:paraId="1D5E1184" w14:textId="2AC18157" w:rsidR="000D37DF" w:rsidRPr="000D37DF" w:rsidRDefault="00A97A32" w:rsidP="00965F9F">
      <w:pPr>
        <w:pStyle w:val="TOC1"/>
        <w:tabs>
          <w:tab w:val="clear" w:pos="7938"/>
          <w:tab w:val="clear" w:pos="8789"/>
          <w:tab w:val="left" w:pos="1162"/>
          <w:tab w:val="left" w:leader="dot" w:pos="9356"/>
          <w:tab w:val="center" w:pos="9639"/>
        </w:tabs>
        <w:rPr>
          <w:rStyle w:val="Hyperlink"/>
          <w:rFonts w:cs="Microsoft YaHei"/>
          <w:lang w:val="fr-FR"/>
        </w:rPr>
      </w:pPr>
      <w:hyperlink w:anchor="_Toc110265724" w:history="1">
        <w:r w:rsidR="000D37DF" w:rsidRPr="00DE4764">
          <w:rPr>
            <w:rStyle w:val="Hyperlink"/>
            <w:rFonts w:cs="Microsoft YaHei"/>
            <w:noProof/>
            <w:lang w:val="fr-FR" w:eastAsia="zh-CN"/>
          </w:rPr>
          <w:t>17.2</w:t>
        </w:r>
        <w:r w:rsidR="000D37DF" w:rsidRPr="000D37DF">
          <w:rPr>
            <w:rStyle w:val="Hyperlink"/>
            <w:rFonts w:cs="Microsoft YaHei"/>
            <w:lang w:val="fr-FR"/>
          </w:rPr>
          <w:tab/>
        </w:r>
        <w:r w:rsidR="00965F9F">
          <w:rPr>
            <w:rStyle w:val="Hyperlink"/>
            <w:rFonts w:cs="Microsoft YaHei"/>
            <w:lang w:val="fr-FR"/>
          </w:rPr>
          <w:tab/>
        </w:r>
        <w:r w:rsidR="000D37DF" w:rsidRPr="00DE4764">
          <w:rPr>
            <w:rStyle w:val="Hyperlink"/>
            <w:rFonts w:cs="Microsoft YaHei" w:hint="eastAsia"/>
            <w:noProof/>
            <w:lang w:val="fr-FR" w:eastAsia="zh-CN"/>
          </w:rPr>
          <w:t>长期职员福利</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_Toc110265724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54</w:t>
        </w:r>
        <w:r w:rsidR="000D37DF" w:rsidRPr="000D37DF">
          <w:rPr>
            <w:rStyle w:val="Hyperlink"/>
            <w:rFonts w:cs="Microsoft YaHei"/>
            <w:webHidden/>
            <w:lang w:val="fr-FR" w:eastAsia="zh-CN"/>
          </w:rPr>
          <w:fldChar w:fldCharType="end"/>
        </w:r>
      </w:hyperlink>
    </w:p>
    <w:p w14:paraId="68B8B95B" w14:textId="7349386B"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31"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18</w:t>
        </w:r>
        <w:r w:rsidR="000D37DF" w:rsidRPr="000D37DF">
          <w:rPr>
            <w:rStyle w:val="Hyperlink"/>
            <w:rFonts w:cs="Microsoft YaHei"/>
            <w:lang w:val="fr-FR"/>
          </w:rPr>
          <w:tab/>
        </w:r>
        <w:r w:rsidR="000D37DF" w:rsidRPr="00DE4764">
          <w:rPr>
            <w:rStyle w:val="Hyperlink"/>
            <w:rFonts w:cs="Microsoft YaHei" w:hint="eastAsia"/>
            <w:noProof/>
            <w:lang w:val="fr-FR" w:eastAsia="zh-CN"/>
          </w:rPr>
          <w:t>准备金</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_Toc110265731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59</w:t>
        </w:r>
        <w:r w:rsidR="000D37DF" w:rsidRPr="000D37DF">
          <w:rPr>
            <w:rStyle w:val="Hyperlink"/>
            <w:rFonts w:cs="Microsoft YaHei"/>
            <w:webHidden/>
            <w:lang w:val="fr-FR" w:eastAsia="zh-CN"/>
          </w:rPr>
          <w:fldChar w:fldCharType="end"/>
        </w:r>
      </w:hyperlink>
    </w:p>
    <w:p w14:paraId="11ABD232" w14:textId="344821B7"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32" w:history="1">
        <w:r w:rsidR="000D37DF" w:rsidRPr="00DE4764">
          <w:rPr>
            <w:rStyle w:val="Hyperlink"/>
            <w:rFonts w:cs="Microsoft YaHei" w:hint="eastAsia"/>
            <w:noProof/>
            <w:lang w:val="fr-FR" w:eastAsia="zh-CN"/>
          </w:rPr>
          <w:t>说明</w:t>
        </w:r>
        <w:r w:rsidR="000D37DF" w:rsidRPr="00DE4764">
          <w:rPr>
            <w:rStyle w:val="Hyperlink"/>
            <w:rFonts w:cs="Microsoft YaHei"/>
            <w:noProof/>
            <w:lang w:val="fr-FR" w:eastAsia="zh-CN"/>
          </w:rPr>
          <w:t>19</w:t>
        </w:r>
        <w:r w:rsidR="000D37DF" w:rsidRPr="000D37DF">
          <w:rPr>
            <w:rStyle w:val="Hyperlink"/>
            <w:rFonts w:cs="Microsoft YaHei"/>
            <w:lang w:val="fr-FR"/>
          </w:rPr>
          <w:tab/>
        </w:r>
        <w:r w:rsidR="000D37DF" w:rsidRPr="00DE4764">
          <w:rPr>
            <w:rStyle w:val="Hyperlink"/>
            <w:rFonts w:cs="Microsoft YaHei" w:hint="eastAsia"/>
            <w:noProof/>
            <w:lang w:val="fr-FR" w:eastAsia="zh-CN"/>
          </w:rPr>
          <w:t>其它债务</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_Toc110265732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59</w:t>
        </w:r>
        <w:r w:rsidR="000D37DF" w:rsidRPr="000D37DF">
          <w:rPr>
            <w:rStyle w:val="Hyperlink"/>
            <w:rFonts w:cs="Microsoft YaHei"/>
            <w:webHidden/>
            <w:lang w:val="fr-FR" w:eastAsia="zh-CN"/>
          </w:rPr>
          <w:fldChar w:fldCharType="end"/>
        </w:r>
      </w:hyperlink>
    </w:p>
    <w:p w14:paraId="07AB7E7E" w14:textId="31B94A21"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33"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20</w:t>
        </w:r>
        <w:r w:rsidR="000D37DF" w:rsidRPr="000D37DF">
          <w:rPr>
            <w:rStyle w:val="Hyperlink"/>
            <w:rFonts w:cs="Microsoft YaHei"/>
            <w:lang w:val="fr-FR"/>
          </w:rPr>
          <w:tab/>
        </w:r>
        <w:r w:rsidR="000D37DF" w:rsidRPr="00DE4764">
          <w:rPr>
            <w:rStyle w:val="Hyperlink"/>
            <w:rFonts w:cs="Microsoft YaHei" w:hint="eastAsia"/>
            <w:noProof/>
            <w:lang w:val="fr-FR" w:eastAsia="zh-CN"/>
          </w:rPr>
          <w:t>已分配和未分配预算外资金</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_Toc110265733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59</w:t>
        </w:r>
        <w:r w:rsidR="000D37DF" w:rsidRPr="000D37DF">
          <w:rPr>
            <w:rStyle w:val="Hyperlink"/>
            <w:rFonts w:cs="Microsoft YaHei"/>
            <w:webHidden/>
            <w:lang w:val="fr-FR" w:eastAsia="zh-CN"/>
          </w:rPr>
          <w:fldChar w:fldCharType="end"/>
        </w:r>
      </w:hyperlink>
    </w:p>
    <w:p w14:paraId="59204F56" w14:textId="67A8E5D2"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34"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21</w:t>
        </w:r>
        <w:r w:rsidR="000D37DF" w:rsidRPr="000D37DF">
          <w:rPr>
            <w:rStyle w:val="Hyperlink"/>
            <w:rFonts w:cs="Microsoft YaHei"/>
            <w:lang w:val="fr-FR"/>
          </w:rPr>
          <w:tab/>
        </w:r>
        <w:r w:rsidR="000D37DF" w:rsidRPr="00DE4764">
          <w:rPr>
            <w:rStyle w:val="Hyperlink"/>
            <w:rFonts w:cs="Microsoft YaHei" w:hint="eastAsia"/>
            <w:noProof/>
            <w:lang w:val="fr-FR" w:eastAsia="zh-CN"/>
          </w:rPr>
          <w:t>分摊会费</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_Toc110265734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60</w:t>
        </w:r>
        <w:r w:rsidR="000D37DF" w:rsidRPr="000D37DF">
          <w:rPr>
            <w:rStyle w:val="Hyperlink"/>
            <w:rFonts w:cs="Microsoft YaHei"/>
            <w:webHidden/>
            <w:lang w:val="fr-FR" w:eastAsia="zh-CN"/>
          </w:rPr>
          <w:fldChar w:fldCharType="end"/>
        </w:r>
      </w:hyperlink>
    </w:p>
    <w:p w14:paraId="47906C7C" w14:textId="0A84C4AF"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35" w:history="1">
        <w:r w:rsidR="000D37DF" w:rsidRPr="00DE4764">
          <w:rPr>
            <w:rStyle w:val="Hyperlink"/>
            <w:rFonts w:cs="Microsoft YaHei" w:hint="eastAsia"/>
            <w:noProof/>
            <w:lang w:val="fr-FR" w:eastAsia="zh-CN"/>
          </w:rPr>
          <w:t>说明</w:t>
        </w:r>
        <w:r w:rsidR="000D37DF" w:rsidRPr="00DE4764">
          <w:rPr>
            <w:rStyle w:val="Hyperlink"/>
            <w:rFonts w:cs="Microsoft YaHei"/>
            <w:noProof/>
            <w:lang w:val="fr-FR" w:eastAsia="zh-CN"/>
          </w:rPr>
          <w:t>22</w:t>
        </w:r>
        <w:r w:rsidR="000D37DF" w:rsidRPr="000D37DF">
          <w:rPr>
            <w:rStyle w:val="Hyperlink"/>
            <w:rFonts w:cs="Microsoft YaHei"/>
            <w:lang w:val="fr-FR"/>
          </w:rPr>
          <w:tab/>
        </w:r>
        <w:r w:rsidR="000D37DF" w:rsidRPr="00DE4764">
          <w:rPr>
            <w:rStyle w:val="Hyperlink"/>
            <w:rFonts w:cs="Microsoft YaHei" w:hint="eastAsia"/>
            <w:noProof/>
            <w:lang w:val="fr-FR" w:eastAsia="zh-CN"/>
          </w:rPr>
          <w:t>收入</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_Toc110265735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60</w:t>
        </w:r>
        <w:r w:rsidR="000D37DF" w:rsidRPr="000D37DF">
          <w:rPr>
            <w:rStyle w:val="Hyperlink"/>
            <w:rFonts w:cs="Microsoft YaHei"/>
            <w:webHidden/>
            <w:lang w:val="fr-FR" w:eastAsia="zh-CN"/>
          </w:rPr>
          <w:fldChar w:fldCharType="end"/>
        </w:r>
      </w:hyperlink>
    </w:p>
    <w:p w14:paraId="0A9EAD83" w14:textId="043B80D5"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36"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23</w:t>
        </w:r>
        <w:r w:rsidR="000D37DF" w:rsidRPr="000D37DF">
          <w:rPr>
            <w:rStyle w:val="Hyperlink"/>
            <w:rFonts w:cs="Microsoft YaHei"/>
            <w:lang w:val="fr-FR"/>
          </w:rPr>
          <w:tab/>
        </w:r>
        <w:r w:rsidR="000D37DF" w:rsidRPr="00DE4764">
          <w:rPr>
            <w:rStyle w:val="Hyperlink"/>
            <w:rFonts w:cs="Microsoft YaHei" w:hint="eastAsia"/>
            <w:noProof/>
            <w:lang w:val="fr-FR" w:eastAsia="zh-CN"/>
          </w:rPr>
          <w:t>费用</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_Toc110265736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61</w:t>
        </w:r>
        <w:r w:rsidR="000D37DF" w:rsidRPr="000D37DF">
          <w:rPr>
            <w:rStyle w:val="Hyperlink"/>
            <w:rFonts w:cs="Microsoft YaHei"/>
            <w:webHidden/>
            <w:lang w:val="fr-FR" w:eastAsia="zh-CN"/>
          </w:rPr>
          <w:fldChar w:fldCharType="end"/>
        </w:r>
      </w:hyperlink>
    </w:p>
    <w:p w14:paraId="0473339D" w14:textId="2763F99F"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37" w:history="1">
        <w:r w:rsidR="000D37DF" w:rsidRPr="00DE4764">
          <w:rPr>
            <w:rStyle w:val="Hyperlink"/>
            <w:rFonts w:cs="Microsoft YaHei" w:hint="eastAsia"/>
            <w:noProof/>
            <w:lang w:val="fr-FR" w:eastAsia="zh-CN"/>
          </w:rPr>
          <w:t>人员费用</w:t>
        </w:r>
        <w:r w:rsidR="000D37DF" w:rsidRPr="000D37DF">
          <w:rPr>
            <w:rStyle w:val="Hyperlink"/>
            <w:rFonts w:cs="Microsoft YaHei"/>
            <w:webHidden/>
            <w:lang w:val="fr-FR" w:eastAsia="zh-CN"/>
          </w:rPr>
          <w:tab/>
        </w:r>
        <w:r w:rsid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_Toc110265737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61</w:t>
        </w:r>
        <w:r w:rsidR="000D37DF" w:rsidRPr="000D37DF">
          <w:rPr>
            <w:rStyle w:val="Hyperlink"/>
            <w:rFonts w:cs="Microsoft YaHei"/>
            <w:webHidden/>
            <w:lang w:val="fr-FR" w:eastAsia="zh-CN"/>
          </w:rPr>
          <w:fldChar w:fldCharType="end"/>
        </w:r>
      </w:hyperlink>
    </w:p>
    <w:p w14:paraId="528FCA47" w14:textId="416C0CCC"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38" w:history="1">
        <w:r w:rsidR="000D37DF" w:rsidRPr="00DE4764">
          <w:rPr>
            <w:rStyle w:val="Hyperlink"/>
            <w:rFonts w:cs="Microsoft YaHei" w:hint="eastAsia"/>
            <w:noProof/>
            <w:lang w:val="fr-FR" w:eastAsia="zh-CN"/>
          </w:rPr>
          <w:t>差旅费用</w:t>
        </w:r>
        <w:r w:rsidR="000D37DF" w:rsidRPr="000D37DF">
          <w:rPr>
            <w:rStyle w:val="Hyperlink"/>
            <w:rFonts w:cs="Microsoft YaHei"/>
            <w:webHidden/>
            <w:lang w:val="fr-FR" w:eastAsia="zh-CN"/>
          </w:rPr>
          <w:tab/>
        </w:r>
        <w:r w:rsid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_Toc110265738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62</w:t>
        </w:r>
        <w:r w:rsidR="000D37DF" w:rsidRPr="000D37DF">
          <w:rPr>
            <w:rStyle w:val="Hyperlink"/>
            <w:rFonts w:cs="Microsoft YaHei"/>
            <w:webHidden/>
            <w:lang w:val="fr-FR" w:eastAsia="zh-CN"/>
          </w:rPr>
          <w:fldChar w:fldCharType="end"/>
        </w:r>
      </w:hyperlink>
    </w:p>
    <w:p w14:paraId="714FE121" w14:textId="6933C540"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39" w:history="1">
        <w:r w:rsidR="000D37DF" w:rsidRPr="00DE4764">
          <w:rPr>
            <w:rStyle w:val="Hyperlink"/>
            <w:rFonts w:cs="Microsoft YaHei" w:hint="eastAsia"/>
            <w:noProof/>
            <w:lang w:val="fr-FR" w:eastAsia="zh-CN"/>
          </w:rPr>
          <w:t>合同服务</w:t>
        </w:r>
        <w:r w:rsidR="000D37DF" w:rsidRPr="000D37DF">
          <w:rPr>
            <w:rStyle w:val="Hyperlink"/>
            <w:rFonts w:cs="Microsoft YaHei"/>
            <w:webHidden/>
            <w:lang w:val="fr-FR" w:eastAsia="zh-CN"/>
          </w:rPr>
          <w:tab/>
        </w:r>
        <w:r w:rsid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_Toc110265739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62</w:t>
        </w:r>
        <w:r w:rsidR="000D37DF" w:rsidRPr="000D37DF">
          <w:rPr>
            <w:rStyle w:val="Hyperlink"/>
            <w:rFonts w:cs="Microsoft YaHei"/>
            <w:webHidden/>
            <w:lang w:val="fr-FR" w:eastAsia="zh-CN"/>
          </w:rPr>
          <w:fldChar w:fldCharType="end"/>
        </w:r>
      </w:hyperlink>
    </w:p>
    <w:p w14:paraId="207C98F0" w14:textId="4811EFC0"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40" w:history="1">
        <w:r w:rsidR="000D37DF" w:rsidRPr="00DE4764">
          <w:rPr>
            <w:rStyle w:val="Hyperlink"/>
            <w:rFonts w:cs="Microsoft YaHei" w:hint="eastAsia"/>
            <w:noProof/>
            <w:lang w:val="fr-FR" w:eastAsia="zh-CN"/>
          </w:rPr>
          <w:t>房屋设备租金与维修费</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_Toc110265740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62</w:t>
        </w:r>
        <w:r w:rsidR="000D37DF" w:rsidRPr="000D37DF">
          <w:rPr>
            <w:rStyle w:val="Hyperlink"/>
            <w:rFonts w:cs="Microsoft YaHei"/>
            <w:webHidden/>
            <w:lang w:val="fr-FR" w:eastAsia="zh-CN"/>
          </w:rPr>
          <w:fldChar w:fldCharType="end"/>
        </w:r>
      </w:hyperlink>
    </w:p>
    <w:p w14:paraId="67040308" w14:textId="52FBD187"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41" w:history="1">
        <w:r w:rsidR="000D37DF" w:rsidRPr="00DE4764">
          <w:rPr>
            <w:rStyle w:val="Hyperlink"/>
            <w:rFonts w:cs="Microsoft YaHei" w:hint="eastAsia"/>
            <w:noProof/>
            <w:lang w:val="fr-FR" w:eastAsia="zh-CN"/>
          </w:rPr>
          <w:t>设备和办公用品，运输、电信和服务费用</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_Toc110265741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62</w:t>
        </w:r>
        <w:r w:rsidR="000D37DF" w:rsidRPr="000D37DF">
          <w:rPr>
            <w:rStyle w:val="Hyperlink"/>
            <w:rFonts w:cs="Microsoft YaHei"/>
            <w:webHidden/>
            <w:lang w:val="fr-FR" w:eastAsia="zh-CN"/>
          </w:rPr>
          <w:fldChar w:fldCharType="end"/>
        </w:r>
      </w:hyperlink>
    </w:p>
    <w:p w14:paraId="1FF52D90" w14:textId="02230B9C"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42" w:history="1">
        <w:r w:rsidR="000D37DF" w:rsidRPr="00DE4764">
          <w:rPr>
            <w:rStyle w:val="Hyperlink"/>
            <w:rFonts w:cs="Microsoft YaHei" w:hint="eastAsia"/>
            <w:noProof/>
            <w:lang w:val="fr-FR" w:eastAsia="zh-CN"/>
          </w:rPr>
          <w:t>其它费用</w:t>
        </w:r>
        <w:r w:rsidR="000D37DF" w:rsidRPr="000D37DF">
          <w:rPr>
            <w:rStyle w:val="Hyperlink"/>
            <w:rFonts w:cs="Microsoft YaHei"/>
            <w:webHidden/>
            <w:lang w:val="fr-FR" w:eastAsia="zh-CN"/>
          </w:rPr>
          <w:tab/>
        </w:r>
        <w:r w:rsid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_Toc110265742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63</w:t>
        </w:r>
        <w:r w:rsidR="000D37DF" w:rsidRPr="000D37DF">
          <w:rPr>
            <w:rStyle w:val="Hyperlink"/>
            <w:rFonts w:cs="Microsoft YaHei"/>
            <w:webHidden/>
            <w:lang w:val="fr-FR" w:eastAsia="zh-CN"/>
          </w:rPr>
          <w:fldChar w:fldCharType="end"/>
        </w:r>
      </w:hyperlink>
    </w:p>
    <w:p w14:paraId="1BE1B71F" w14:textId="15810D9B"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43" w:history="1">
        <w:r w:rsidR="000D37DF" w:rsidRPr="00DE4764">
          <w:rPr>
            <w:rStyle w:val="Hyperlink"/>
            <w:rFonts w:cs="Microsoft YaHei" w:hint="eastAsia"/>
            <w:noProof/>
            <w:lang w:val="fr-FR" w:eastAsia="zh-CN"/>
          </w:rPr>
          <w:t>理财费用</w:t>
        </w:r>
        <w:r w:rsidR="000D37DF" w:rsidRPr="000D37DF">
          <w:rPr>
            <w:rStyle w:val="Hyperlink"/>
            <w:rFonts w:cs="Microsoft YaHei"/>
            <w:webHidden/>
            <w:lang w:val="fr-FR" w:eastAsia="zh-CN"/>
          </w:rPr>
          <w:tab/>
        </w:r>
        <w:r w:rsid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_Toc110265743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63</w:t>
        </w:r>
        <w:r w:rsidR="000D37DF" w:rsidRPr="000D37DF">
          <w:rPr>
            <w:rStyle w:val="Hyperlink"/>
            <w:rFonts w:cs="Microsoft YaHei"/>
            <w:webHidden/>
            <w:lang w:val="fr-FR" w:eastAsia="zh-CN"/>
          </w:rPr>
          <w:fldChar w:fldCharType="end"/>
        </w:r>
      </w:hyperlink>
    </w:p>
    <w:p w14:paraId="3D3AD084" w14:textId="548F7EA7"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44" w:history="1">
        <w:r w:rsidR="000D37DF" w:rsidRPr="00DE4764">
          <w:rPr>
            <w:rStyle w:val="Hyperlink"/>
            <w:rFonts w:cs="Microsoft YaHei" w:hint="eastAsia"/>
            <w:noProof/>
            <w:lang w:val="fr-FR" w:eastAsia="zh-CN"/>
          </w:rPr>
          <w:t>说明</w:t>
        </w:r>
        <w:r w:rsidR="000D37DF" w:rsidRPr="00DE4764">
          <w:rPr>
            <w:rStyle w:val="Hyperlink"/>
            <w:rFonts w:cs="Microsoft YaHei"/>
            <w:noProof/>
            <w:lang w:val="fr-FR" w:eastAsia="zh-CN"/>
          </w:rPr>
          <w:t>24</w:t>
        </w:r>
        <w:r w:rsidR="000D37DF" w:rsidRPr="000D37DF">
          <w:rPr>
            <w:rStyle w:val="Hyperlink"/>
            <w:rFonts w:cs="Microsoft YaHei"/>
            <w:lang w:val="fr-FR"/>
          </w:rPr>
          <w:tab/>
        </w:r>
        <w:r w:rsidR="000D37DF" w:rsidRPr="00DE4764">
          <w:rPr>
            <w:rStyle w:val="Hyperlink"/>
            <w:rFonts w:cs="Microsoft YaHei" w:hint="eastAsia"/>
            <w:noProof/>
            <w:lang w:val="fr-FR" w:eastAsia="zh-CN"/>
          </w:rPr>
          <w:t>分部门报告</w:t>
        </w:r>
        <w:r w:rsidR="000D37DF" w:rsidRPr="00DE4764">
          <w:rPr>
            <w:rStyle w:val="Hyperlink"/>
            <w:rFonts w:cs="Microsoft YaHei"/>
            <w:noProof/>
            <w:lang w:val="fr-FR" w:eastAsia="zh-CN"/>
          </w:rPr>
          <w:t xml:space="preserve"> – 2021</w:t>
        </w:r>
        <w:r w:rsidR="000D37DF" w:rsidRPr="00DE4764">
          <w:rPr>
            <w:rStyle w:val="Hyperlink"/>
            <w:rFonts w:cs="Microsoft YaHei" w:hint="eastAsia"/>
            <w:noProof/>
            <w:lang w:val="fr-FR" w:eastAsia="zh-CN"/>
          </w:rPr>
          <w:t>年财务业绩报表</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_Toc110265744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64</w:t>
        </w:r>
        <w:r w:rsidR="000D37DF" w:rsidRPr="000D37DF">
          <w:rPr>
            <w:rStyle w:val="Hyperlink"/>
            <w:rFonts w:cs="Microsoft YaHei"/>
            <w:webHidden/>
            <w:lang w:val="fr-FR" w:eastAsia="zh-CN"/>
          </w:rPr>
          <w:fldChar w:fldCharType="end"/>
        </w:r>
      </w:hyperlink>
    </w:p>
    <w:p w14:paraId="145E30E5" w14:textId="55061FA5"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45" w:history="1">
        <w:r w:rsidR="000D37DF" w:rsidRPr="00DE4764">
          <w:rPr>
            <w:rStyle w:val="Hyperlink"/>
            <w:rFonts w:cs="Microsoft YaHei" w:hint="eastAsia"/>
            <w:noProof/>
            <w:lang w:val="fr-FR" w:eastAsia="zh-CN"/>
          </w:rPr>
          <w:t>说明</w:t>
        </w:r>
        <w:r w:rsidR="000D37DF" w:rsidRPr="00DE4764">
          <w:rPr>
            <w:rStyle w:val="Hyperlink"/>
            <w:rFonts w:cs="Microsoft YaHei"/>
            <w:noProof/>
            <w:lang w:val="fr-FR" w:eastAsia="zh-CN"/>
          </w:rPr>
          <w:t>25</w:t>
        </w:r>
        <w:r w:rsidR="000D37DF" w:rsidRPr="000D37DF">
          <w:rPr>
            <w:rStyle w:val="Hyperlink"/>
            <w:rFonts w:cs="Microsoft YaHei"/>
            <w:lang w:val="fr-FR"/>
          </w:rPr>
          <w:tab/>
        </w:r>
        <w:r w:rsidR="000D37DF" w:rsidRPr="00DE4764">
          <w:rPr>
            <w:rStyle w:val="Hyperlink"/>
            <w:rFonts w:cs="Microsoft YaHei" w:hint="eastAsia"/>
            <w:noProof/>
            <w:lang w:val="fr-FR" w:eastAsia="zh-CN"/>
          </w:rPr>
          <w:t>区域代表处</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_Toc110265745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66</w:t>
        </w:r>
        <w:r w:rsidR="000D37DF" w:rsidRPr="000D37DF">
          <w:rPr>
            <w:rStyle w:val="Hyperlink"/>
            <w:rFonts w:cs="Microsoft YaHei"/>
            <w:webHidden/>
            <w:lang w:val="fr-FR" w:eastAsia="zh-CN"/>
          </w:rPr>
          <w:fldChar w:fldCharType="end"/>
        </w:r>
      </w:hyperlink>
    </w:p>
    <w:p w14:paraId="7C868BF7" w14:textId="02608648"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46"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26</w:t>
        </w:r>
        <w:r w:rsidR="000D37DF" w:rsidRPr="000D37DF">
          <w:rPr>
            <w:rStyle w:val="Hyperlink"/>
            <w:rFonts w:cs="Microsoft YaHei"/>
            <w:lang w:val="fr-FR"/>
          </w:rPr>
          <w:tab/>
        </w:r>
        <w:r w:rsidR="000D37DF" w:rsidRPr="00DE4764">
          <w:rPr>
            <w:rStyle w:val="Hyperlink"/>
            <w:rFonts w:cs="Microsoft YaHei" w:hint="eastAsia"/>
            <w:noProof/>
            <w:lang w:val="fr-FR" w:eastAsia="zh-CN"/>
          </w:rPr>
          <w:t>预算金额与实际发生金额的核对</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_Toc110265746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66</w:t>
        </w:r>
        <w:r w:rsidR="000D37DF" w:rsidRPr="000D37DF">
          <w:rPr>
            <w:rStyle w:val="Hyperlink"/>
            <w:rFonts w:cs="Microsoft YaHei"/>
            <w:webHidden/>
            <w:lang w:val="fr-FR" w:eastAsia="zh-CN"/>
          </w:rPr>
          <w:fldChar w:fldCharType="end"/>
        </w:r>
      </w:hyperlink>
    </w:p>
    <w:p w14:paraId="50B48D92" w14:textId="42D7FE68"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47"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27</w:t>
        </w:r>
        <w:r w:rsidR="000D37DF" w:rsidRPr="000D37DF">
          <w:rPr>
            <w:rStyle w:val="Hyperlink"/>
            <w:rFonts w:cs="Microsoft YaHei"/>
            <w:lang w:val="fr-FR"/>
          </w:rPr>
          <w:tab/>
        </w:r>
        <w:r w:rsidR="000D37DF" w:rsidRPr="00DE4764">
          <w:rPr>
            <w:rStyle w:val="Hyperlink"/>
            <w:rFonts w:cs="Microsoft YaHei" w:hint="eastAsia"/>
            <w:noProof/>
            <w:lang w:val="fr-FR" w:eastAsia="zh-CN"/>
          </w:rPr>
          <w:t>相关方的披露</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_Toc110265747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67</w:t>
        </w:r>
        <w:r w:rsidR="000D37DF" w:rsidRPr="000D37DF">
          <w:rPr>
            <w:rStyle w:val="Hyperlink"/>
            <w:rFonts w:cs="Microsoft YaHei"/>
            <w:webHidden/>
            <w:lang w:val="fr-FR" w:eastAsia="zh-CN"/>
          </w:rPr>
          <w:fldChar w:fldCharType="end"/>
        </w:r>
      </w:hyperlink>
    </w:p>
    <w:p w14:paraId="39A80A35" w14:textId="0A0C51E3" w:rsidR="000D37DF" w:rsidRPr="000D37DF" w:rsidRDefault="00A97A32" w:rsidP="000D37DF">
      <w:pPr>
        <w:pStyle w:val="TOC1"/>
        <w:tabs>
          <w:tab w:val="clear" w:pos="7938"/>
          <w:tab w:val="clear" w:pos="8789"/>
          <w:tab w:val="left" w:pos="1134"/>
          <w:tab w:val="left" w:leader="dot" w:pos="9356"/>
          <w:tab w:val="center" w:pos="9639"/>
        </w:tabs>
        <w:rPr>
          <w:rStyle w:val="Hyperlink"/>
          <w:rFonts w:cs="Microsoft YaHei"/>
          <w:lang w:val="fr-FR"/>
        </w:rPr>
      </w:pPr>
      <w:hyperlink w:anchor="_Toc110265748"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28</w:t>
        </w:r>
        <w:r w:rsidR="000D37DF" w:rsidRPr="000D37DF">
          <w:rPr>
            <w:rStyle w:val="Hyperlink"/>
            <w:rFonts w:cs="Microsoft YaHei"/>
            <w:lang w:val="fr-FR"/>
          </w:rPr>
          <w:tab/>
        </w:r>
        <w:r w:rsidR="000D37DF" w:rsidRPr="00DE4764">
          <w:rPr>
            <w:rStyle w:val="Hyperlink"/>
            <w:rFonts w:cs="Microsoft YaHei" w:hint="eastAsia"/>
            <w:noProof/>
            <w:lang w:val="fr-FR" w:eastAsia="zh-CN"/>
          </w:rPr>
          <w:t>承付款项</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_Toc110265748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68</w:t>
        </w:r>
        <w:r w:rsidR="000D37DF" w:rsidRPr="000D37DF">
          <w:rPr>
            <w:rStyle w:val="Hyperlink"/>
            <w:rFonts w:cs="Microsoft YaHei"/>
            <w:webHidden/>
            <w:lang w:val="fr-FR" w:eastAsia="zh-CN"/>
          </w:rPr>
          <w:fldChar w:fldCharType="end"/>
        </w:r>
      </w:hyperlink>
    </w:p>
    <w:p w14:paraId="7E9C69DE" w14:textId="7BDC772B" w:rsidR="000D37DF" w:rsidRDefault="00A97A32" w:rsidP="000D37DF">
      <w:pPr>
        <w:pStyle w:val="TOC1"/>
        <w:tabs>
          <w:tab w:val="clear" w:pos="7938"/>
          <w:tab w:val="clear" w:pos="8789"/>
          <w:tab w:val="left" w:pos="1134"/>
          <w:tab w:val="left" w:leader="dot" w:pos="9356"/>
          <w:tab w:val="center" w:pos="9639"/>
        </w:tabs>
        <w:rPr>
          <w:rFonts w:asciiTheme="minorHAnsi" w:eastAsiaTheme="minorEastAsia" w:hAnsiTheme="minorHAnsi" w:cstheme="minorBidi"/>
          <w:noProof/>
          <w:sz w:val="22"/>
          <w:szCs w:val="22"/>
          <w:lang w:eastAsia="zh-CN"/>
        </w:rPr>
      </w:pPr>
      <w:hyperlink w:anchor="_Toc110265749" w:history="1">
        <w:r w:rsidR="000D37DF" w:rsidRPr="00DE4764">
          <w:rPr>
            <w:rStyle w:val="Hyperlink"/>
            <w:rFonts w:cs="Microsoft YaHei" w:hint="eastAsia"/>
            <w:noProof/>
            <w:lang w:val="fr-FR" w:eastAsia="zh-CN"/>
          </w:rPr>
          <w:t>说明</w:t>
        </w:r>
        <w:r w:rsidR="000D37DF" w:rsidRPr="000D37DF">
          <w:rPr>
            <w:rStyle w:val="Hyperlink"/>
            <w:rFonts w:cs="Microsoft YaHei"/>
            <w:noProof/>
            <w:lang w:val="fr-FR" w:eastAsia="zh-CN"/>
          </w:rPr>
          <w:t>29</w:t>
        </w:r>
        <w:r w:rsidR="000D37DF" w:rsidRPr="000D37DF">
          <w:rPr>
            <w:rStyle w:val="Hyperlink"/>
            <w:rFonts w:cs="Microsoft YaHei"/>
            <w:lang w:val="fr-FR"/>
          </w:rPr>
          <w:tab/>
        </w:r>
        <w:r w:rsidR="000D37DF" w:rsidRPr="00DE4764">
          <w:rPr>
            <w:rStyle w:val="Hyperlink"/>
            <w:rFonts w:cs="Microsoft YaHei" w:hint="eastAsia"/>
            <w:noProof/>
            <w:lang w:val="fr-FR" w:eastAsia="zh-CN"/>
          </w:rPr>
          <w:t>报告日期之后出现的事件</w:t>
        </w:r>
        <w:r w:rsidR="000D37DF" w:rsidRPr="000D37DF">
          <w:rPr>
            <w:rStyle w:val="Hyperlink"/>
            <w:rFonts w:cs="Microsoft YaHei"/>
            <w:webHidden/>
            <w:lang w:val="fr-FR" w:eastAsia="zh-CN"/>
          </w:rPr>
          <w:tab/>
        </w:r>
        <w:r w:rsidR="000D37DF" w:rsidRPr="000D37DF">
          <w:rPr>
            <w:rStyle w:val="Hyperlink"/>
            <w:rFonts w:cs="Microsoft YaHei"/>
            <w:webHidden/>
            <w:lang w:val="fr-FR" w:eastAsia="zh-CN"/>
          </w:rPr>
          <w:fldChar w:fldCharType="begin"/>
        </w:r>
        <w:r w:rsidR="000D37DF" w:rsidRPr="000D37DF">
          <w:rPr>
            <w:rStyle w:val="Hyperlink"/>
            <w:rFonts w:cs="Microsoft YaHei"/>
            <w:webHidden/>
            <w:lang w:val="fr-FR" w:eastAsia="zh-CN"/>
          </w:rPr>
          <w:instrText xml:space="preserve"> PAGEREF _Toc110265749 \h </w:instrText>
        </w:r>
        <w:r w:rsidR="000D37DF" w:rsidRPr="000D37DF">
          <w:rPr>
            <w:rStyle w:val="Hyperlink"/>
            <w:rFonts w:cs="Microsoft YaHei"/>
            <w:webHidden/>
            <w:lang w:val="fr-FR" w:eastAsia="zh-CN"/>
          </w:rPr>
        </w:r>
        <w:r w:rsidR="000D37DF" w:rsidRPr="000D37DF">
          <w:rPr>
            <w:rStyle w:val="Hyperlink"/>
            <w:rFonts w:cs="Microsoft YaHei"/>
            <w:webHidden/>
            <w:lang w:val="fr-FR" w:eastAsia="zh-CN"/>
          </w:rPr>
          <w:fldChar w:fldCharType="separate"/>
        </w:r>
        <w:r w:rsidR="000D37DF" w:rsidRPr="000D37DF">
          <w:rPr>
            <w:rStyle w:val="Hyperlink"/>
            <w:rFonts w:cs="Microsoft YaHei"/>
            <w:webHidden/>
            <w:lang w:val="fr-FR" w:eastAsia="zh-CN"/>
          </w:rPr>
          <w:t>68</w:t>
        </w:r>
        <w:r w:rsidR="000D37DF" w:rsidRPr="000D37DF">
          <w:rPr>
            <w:rStyle w:val="Hyperlink"/>
            <w:rFonts w:cs="Microsoft YaHei"/>
            <w:webHidden/>
            <w:lang w:val="fr-FR" w:eastAsia="zh-CN"/>
          </w:rPr>
          <w:fldChar w:fldCharType="end"/>
        </w:r>
      </w:hyperlink>
    </w:p>
    <w:p w14:paraId="78CC80A6" w14:textId="53082487" w:rsidR="0085433F" w:rsidRPr="000C156A" w:rsidRDefault="0085433F" w:rsidP="0085433F">
      <w:pPr>
        <w:pStyle w:val="TOC1"/>
        <w:tabs>
          <w:tab w:val="left" w:leader="dot" w:pos="9356"/>
        </w:tabs>
        <w:rPr>
          <w:b/>
          <w:sz w:val="28"/>
          <w:lang w:val="en-US"/>
        </w:rPr>
      </w:pPr>
      <w:r w:rsidRPr="000C156A">
        <w:rPr>
          <w:rStyle w:val="Hyperlink"/>
          <w:caps/>
          <w:color w:val="auto"/>
          <w:szCs w:val="24"/>
          <w:u w:val="none"/>
          <w:lang w:val="ru-RU"/>
        </w:rPr>
        <w:fldChar w:fldCharType="end"/>
      </w:r>
      <w:r w:rsidRPr="000C156A">
        <w:rPr>
          <w:lang w:val="en-US"/>
        </w:rPr>
        <w:br w:type="page"/>
      </w:r>
    </w:p>
    <w:p w14:paraId="58704DEC" w14:textId="299716A0" w:rsidR="0085433F" w:rsidRDefault="0085433F" w:rsidP="0085433F">
      <w:pPr>
        <w:pStyle w:val="Heading1"/>
        <w:spacing w:after="240"/>
        <w:jc w:val="center"/>
        <w:rPr>
          <w:rFonts w:cs="Microsoft YaHei"/>
          <w:lang w:eastAsia="zh-CN"/>
        </w:rPr>
      </w:pPr>
      <w:bookmarkStart w:id="250" w:name="_Toc41906885"/>
      <w:bookmarkStart w:id="251" w:name="_Toc41907966"/>
      <w:bookmarkStart w:id="252" w:name="_Toc41908034"/>
      <w:bookmarkStart w:id="253" w:name="_Toc72744928"/>
      <w:bookmarkStart w:id="254" w:name="_Toc72747002"/>
      <w:bookmarkStart w:id="255" w:name="_Toc73356640"/>
      <w:bookmarkStart w:id="256" w:name="_Toc73519211"/>
      <w:bookmarkStart w:id="257" w:name="_Toc73636094"/>
      <w:bookmarkStart w:id="258" w:name="_Toc110263981"/>
      <w:bookmarkStart w:id="259" w:name="_Toc110264060"/>
      <w:bookmarkStart w:id="260" w:name="_Toc110265680"/>
      <w:bookmarkStart w:id="261" w:name="_Toc110330069"/>
      <w:bookmarkStart w:id="262" w:name="_Toc110330234"/>
      <w:bookmarkStart w:id="263" w:name="_Toc305764056"/>
      <w:bookmarkStart w:id="264" w:name="_Toc329011603"/>
      <w:r w:rsidRPr="000C156A">
        <w:rPr>
          <w:rFonts w:cs="Microsoft YaHei" w:hint="eastAsia"/>
          <w:lang w:val="fr-FR" w:eastAsia="zh-CN"/>
        </w:rPr>
        <w:lastRenderedPageBreak/>
        <w:t>一</w:t>
      </w:r>
      <w:r w:rsidRPr="000C156A">
        <w:rPr>
          <w:lang w:eastAsia="zh-CN"/>
        </w:rPr>
        <w:t xml:space="preserve"> – </w:t>
      </w:r>
      <w:r w:rsidRPr="000C156A">
        <w:rPr>
          <w:rFonts w:cs="Microsoft YaHei" w:hint="eastAsia"/>
          <w:lang w:val="fr-FR" w:eastAsia="zh-CN"/>
        </w:rPr>
        <w:t>财务状况表</w:t>
      </w:r>
      <w:r w:rsidRPr="000C156A">
        <w:rPr>
          <w:lang w:eastAsia="zh-CN"/>
        </w:rPr>
        <w:t xml:space="preserve"> – </w:t>
      </w:r>
      <w:r w:rsidRPr="000C156A">
        <w:rPr>
          <w:rFonts w:cs="Microsoft YaHei" w:hint="eastAsia"/>
          <w:lang w:val="fr-FR" w:eastAsia="zh-CN"/>
        </w:rPr>
        <w:t>截至</w:t>
      </w:r>
      <w:r w:rsidRPr="000C156A">
        <w:rPr>
          <w:bCs/>
          <w:szCs w:val="28"/>
          <w:lang w:val="en-US" w:eastAsia="zh-CN"/>
        </w:rPr>
        <w:t>202</w:t>
      </w:r>
      <w:r w:rsidR="00493002">
        <w:rPr>
          <w:bCs/>
          <w:szCs w:val="28"/>
          <w:lang w:val="en-US" w:eastAsia="zh-CN"/>
        </w:rPr>
        <w:t>1</w:t>
      </w:r>
      <w:r w:rsidRPr="000C156A">
        <w:rPr>
          <w:rFonts w:cs="Microsoft YaHei" w:hint="eastAsia"/>
          <w:lang w:val="fr-FR" w:eastAsia="zh-CN"/>
        </w:rPr>
        <w:t>年</w:t>
      </w:r>
      <w:r w:rsidRPr="000C156A">
        <w:rPr>
          <w:lang w:eastAsia="zh-CN"/>
        </w:rPr>
        <w:t>12</w:t>
      </w:r>
      <w:r w:rsidRPr="000C156A">
        <w:rPr>
          <w:rFonts w:cs="Microsoft YaHei" w:hint="eastAsia"/>
          <w:lang w:val="fr-FR" w:eastAsia="zh-CN"/>
        </w:rPr>
        <w:t>月</w:t>
      </w:r>
      <w:r w:rsidRPr="000C156A">
        <w:rPr>
          <w:lang w:eastAsia="zh-CN"/>
        </w:rPr>
        <w:t>31</w:t>
      </w:r>
      <w:r w:rsidRPr="000C156A">
        <w:rPr>
          <w:rFonts w:cs="Microsoft YaHei" w:hint="eastAsia"/>
          <w:lang w:val="fr-FR" w:eastAsia="zh-CN"/>
        </w:rPr>
        <w:t>日的资产负债表</w:t>
      </w:r>
      <w:r w:rsidRPr="000C156A">
        <w:rPr>
          <w:lang w:eastAsia="zh-CN"/>
        </w:rPr>
        <w:br/>
      </w:r>
      <w:r w:rsidRPr="000C156A">
        <w:rPr>
          <w:rFonts w:cs="Microsoft YaHei" w:hint="eastAsia"/>
          <w:lang w:eastAsia="zh-CN"/>
        </w:rPr>
        <w:t>（</w:t>
      </w:r>
      <w:r w:rsidRPr="000C156A">
        <w:rPr>
          <w:rFonts w:cs="Microsoft YaHei" w:hint="eastAsia"/>
          <w:lang w:val="fr-FR" w:eastAsia="zh-CN"/>
        </w:rPr>
        <w:t>包含截至</w:t>
      </w:r>
      <w:r w:rsidRPr="000C156A">
        <w:rPr>
          <w:bCs/>
          <w:szCs w:val="28"/>
          <w:lang w:val="en-US" w:eastAsia="zh-CN"/>
        </w:rPr>
        <w:t>20</w:t>
      </w:r>
      <w:r w:rsidR="00493002">
        <w:rPr>
          <w:bCs/>
          <w:szCs w:val="28"/>
          <w:lang w:val="en-US" w:eastAsia="zh-CN"/>
        </w:rPr>
        <w:t>20</w:t>
      </w:r>
      <w:r w:rsidRPr="000C156A">
        <w:rPr>
          <w:rFonts w:cs="Microsoft YaHei" w:hint="eastAsia"/>
          <w:lang w:val="fr-FR" w:eastAsia="zh-CN"/>
        </w:rPr>
        <w:t>年</w:t>
      </w:r>
      <w:r w:rsidRPr="000C156A">
        <w:rPr>
          <w:lang w:eastAsia="zh-CN"/>
        </w:rPr>
        <w:t>12</w:t>
      </w:r>
      <w:r w:rsidRPr="000C156A">
        <w:rPr>
          <w:rFonts w:cs="Microsoft YaHei" w:hint="eastAsia"/>
          <w:lang w:val="fr-FR" w:eastAsia="zh-CN"/>
        </w:rPr>
        <w:t>月</w:t>
      </w:r>
      <w:r w:rsidRPr="000C156A">
        <w:rPr>
          <w:lang w:eastAsia="zh-CN"/>
        </w:rPr>
        <w:t>31</w:t>
      </w:r>
      <w:r w:rsidRPr="000C156A">
        <w:rPr>
          <w:rFonts w:cs="Microsoft YaHei" w:hint="eastAsia"/>
          <w:lang w:val="fr-FR" w:eastAsia="zh-CN"/>
        </w:rPr>
        <w:t>日的比较数字</w:t>
      </w:r>
      <w:r w:rsidRPr="000C156A">
        <w:rPr>
          <w:rFonts w:cs="Microsoft YaHei" w:hint="eastAsia"/>
          <w:lang w:eastAsia="zh-CN"/>
        </w:rPr>
        <w:t>）</w:t>
      </w:r>
      <w:bookmarkEnd w:id="250"/>
      <w:bookmarkEnd w:id="251"/>
      <w:bookmarkEnd w:id="252"/>
      <w:bookmarkEnd w:id="253"/>
      <w:bookmarkEnd w:id="254"/>
      <w:bookmarkEnd w:id="255"/>
      <w:bookmarkEnd w:id="256"/>
      <w:bookmarkEnd w:id="257"/>
      <w:bookmarkEnd w:id="258"/>
      <w:bookmarkEnd w:id="259"/>
      <w:bookmarkEnd w:id="260"/>
      <w:bookmarkEnd w:id="261"/>
      <w:bookmarkEnd w:id="262"/>
    </w:p>
    <w:tbl>
      <w:tblPr>
        <w:tblW w:w="5003" w:type="pct"/>
        <w:tblLook w:val="04A0" w:firstRow="1" w:lastRow="0" w:firstColumn="1" w:lastColumn="0" w:noHBand="0" w:noVBand="1"/>
      </w:tblPr>
      <w:tblGrid>
        <w:gridCol w:w="5382"/>
        <w:gridCol w:w="2126"/>
        <w:gridCol w:w="2127"/>
      </w:tblGrid>
      <w:tr w:rsidR="0085433F" w:rsidRPr="00493002" w14:paraId="23A31399" w14:textId="77777777" w:rsidTr="003A64C9">
        <w:tc>
          <w:tcPr>
            <w:tcW w:w="5382" w:type="dxa"/>
            <w:tcBorders>
              <w:top w:val="single" w:sz="4" w:space="0" w:color="auto"/>
              <w:left w:val="single" w:sz="4" w:space="0" w:color="auto"/>
              <w:bottom w:val="single" w:sz="4" w:space="0" w:color="auto"/>
              <w:right w:val="nil"/>
            </w:tcBorders>
            <w:shd w:val="clear" w:color="auto" w:fill="auto"/>
            <w:noWrap/>
            <w:vAlign w:val="bottom"/>
            <w:hideMark/>
          </w:tcPr>
          <w:p w14:paraId="676A4D0B" w14:textId="77777777" w:rsidR="0085433F" w:rsidRPr="00493002" w:rsidRDefault="0085433F" w:rsidP="003A64C9">
            <w:pPr>
              <w:overflowPunct/>
              <w:autoSpaceDE/>
              <w:autoSpaceDN/>
              <w:adjustRightInd/>
              <w:spacing w:before="0"/>
              <w:textAlignment w:val="auto"/>
              <w:rPr>
                <w:rFonts w:cs="Calibri"/>
                <w:color w:val="000000"/>
                <w:sz w:val="20"/>
                <w:lang w:val="en-US" w:eastAsia="zh-CN"/>
              </w:rPr>
            </w:pPr>
            <w:bookmarkStart w:id="265" w:name="_Toc305764057"/>
            <w:bookmarkStart w:id="266" w:name="_Toc329011604"/>
            <w:bookmarkEnd w:id="248"/>
            <w:bookmarkEnd w:id="249"/>
            <w:bookmarkEnd w:id="263"/>
            <w:bookmarkEnd w:id="264"/>
            <w:r w:rsidRPr="00493002">
              <w:rPr>
                <w:rFonts w:cs="Calibri" w:hint="eastAsia"/>
                <w:color w:val="000000"/>
                <w:sz w:val="20"/>
                <w:lang w:val="en-US" w:eastAsia="zh-CN"/>
              </w:rPr>
              <w:t>（单位：千瑞郎）</w:t>
            </w:r>
          </w:p>
        </w:tc>
        <w:tc>
          <w:tcPr>
            <w:tcW w:w="2126" w:type="dxa"/>
            <w:tcBorders>
              <w:top w:val="single" w:sz="4" w:space="0" w:color="auto"/>
              <w:left w:val="nil"/>
              <w:bottom w:val="single" w:sz="4" w:space="0" w:color="auto"/>
              <w:right w:val="single" w:sz="4" w:space="0" w:color="auto"/>
            </w:tcBorders>
            <w:shd w:val="clear" w:color="auto" w:fill="auto"/>
            <w:hideMark/>
          </w:tcPr>
          <w:p w14:paraId="741A97ED" w14:textId="240CF7B3" w:rsidR="0085433F" w:rsidRPr="00493002" w:rsidRDefault="0085433F" w:rsidP="003A64C9">
            <w:pPr>
              <w:overflowPunct/>
              <w:autoSpaceDE/>
              <w:autoSpaceDN/>
              <w:adjustRightInd/>
              <w:spacing w:before="0"/>
              <w:jc w:val="right"/>
              <w:textAlignment w:val="auto"/>
              <w:rPr>
                <w:rFonts w:cs="Calibri"/>
                <w:b/>
                <w:bCs/>
                <w:color w:val="000000"/>
                <w:sz w:val="20"/>
                <w:lang w:val="en-US" w:eastAsia="zh-CN"/>
              </w:rPr>
            </w:pPr>
            <w:r w:rsidRPr="00493002">
              <w:rPr>
                <w:rFonts w:cs="Calibri"/>
                <w:b/>
                <w:bCs/>
                <w:color w:val="000000"/>
                <w:sz w:val="20"/>
                <w:lang w:val="en-US" w:eastAsia="zh-CN"/>
              </w:rPr>
              <w:t>202</w:t>
            </w:r>
            <w:r w:rsidR="000310B5">
              <w:rPr>
                <w:rFonts w:cs="Calibri"/>
                <w:b/>
                <w:bCs/>
                <w:color w:val="000000"/>
                <w:sz w:val="20"/>
                <w:lang w:val="en-US" w:eastAsia="zh-CN"/>
              </w:rPr>
              <w:t>1</w:t>
            </w:r>
            <w:r w:rsidRPr="00493002">
              <w:rPr>
                <w:rFonts w:cs="Calibri"/>
                <w:b/>
                <w:bCs/>
                <w:color w:val="000000"/>
                <w:sz w:val="20"/>
                <w:lang w:val="en-US" w:eastAsia="zh-CN"/>
              </w:rPr>
              <w:t>年</w:t>
            </w:r>
            <w:r w:rsidRPr="00493002">
              <w:rPr>
                <w:rFonts w:cs="Calibri"/>
                <w:b/>
                <w:bCs/>
                <w:color w:val="000000"/>
                <w:sz w:val="20"/>
                <w:lang w:val="en-US" w:eastAsia="zh-CN"/>
              </w:rPr>
              <w:t>12</w:t>
            </w:r>
            <w:r w:rsidRPr="00493002">
              <w:rPr>
                <w:rFonts w:cs="Calibri"/>
                <w:b/>
                <w:bCs/>
                <w:color w:val="000000"/>
                <w:sz w:val="20"/>
                <w:lang w:val="en-US" w:eastAsia="zh-CN"/>
              </w:rPr>
              <w:t>月</w:t>
            </w:r>
            <w:r w:rsidRPr="00493002">
              <w:rPr>
                <w:rFonts w:cs="Calibri"/>
                <w:b/>
                <w:bCs/>
                <w:color w:val="000000"/>
                <w:sz w:val="20"/>
                <w:lang w:val="en-US" w:eastAsia="zh-CN"/>
              </w:rPr>
              <w:t>31</w:t>
            </w:r>
            <w:r w:rsidRPr="00493002">
              <w:rPr>
                <w:rFonts w:cs="Calibri"/>
                <w:b/>
                <w:bCs/>
                <w:color w:val="000000"/>
                <w:sz w:val="20"/>
                <w:lang w:val="en-US" w:eastAsia="zh-CN"/>
              </w:rPr>
              <w:t>日</w:t>
            </w:r>
          </w:p>
        </w:tc>
        <w:tc>
          <w:tcPr>
            <w:tcW w:w="2127" w:type="dxa"/>
            <w:tcBorders>
              <w:top w:val="single" w:sz="4" w:space="0" w:color="auto"/>
              <w:left w:val="nil"/>
              <w:bottom w:val="single" w:sz="4" w:space="0" w:color="auto"/>
              <w:right w:val="single" w:sz="4" w:space="0" w:color="auto"/>
            </w:tcBorders>
            <w:shd w:val="clear" w:color="auto" w:fill="auto"/>
            <w:hideMark/>
          </w:tcPr>
          <w:p w14:paraId="3B4365BF" w14:textId="04F2181F" w:rsidR="0085433F" w:rsidRPr="00493002" w:rsidRDefault="0085433F" w:rsidP="003A64C9">
            <w:pPr>
              <w:overflowPunct/>
              <w:autoSpaceDE/>
              <w:autoSpaceDN/>
              <w:adjustRightInd/>
              <w:spacing w:before="0"/>
              <w:jc w:val="right"/>
              <w:textAlignment w:val="auto"/>
              <w:rPr>
                <w:rFonts w:cs="Calibri"/>
                <w:b/>
                <w:bCs/>
                <w:color w:val="000000"/>
                <w:sz w:val="20"/>
                <w:lang w:val="en-US" w:eastAsia="zh-CN"/>
              </w:rPr>
            </w:pPr>
            <w:r w:rsidRPr="00493002">
              <w:rPr>
                <w:rFonts w:cs="Calibri"/>
                <w:b/>
                <w:bCs/>
                <w:color w:val="000000"/>
                <w:sz w:val="20"/>
                <w:lang w:val="en-US" w:eastAsia="zh-CN"/>
              </w:rPr>
              <w:t>20</w:t>
            </w:r>
            <w:r w:rsidR="000310B5">
              <w:rPr>
                <w:rFonts w:cs="Calibri"/>
                <w:b/>
                <w:bCs/>
                <w:color w:val="000000"/>
                <w:sz w:val="20"/>
                <w:lang w:val="en-US" w:eastAsia="zh-CN"/>
              </w:rPr>
              <w:t>20</w:t>
            </w:r>
            <w:r w:rsidRPr="00493002">
              <w:rPr>
                <w:rFonts w:cs="Calibri"/>
                <w:b/>
                <w:bCs/>
                <w:color w:val="000000"/>
                <w:sz w:val="20"/>
                <w:lang w:val="en-US" w:eastAsia="zh-CN"/>
              </w:rPr>
              <w:t>年</w:t>
            </w:r>
            <w:r w:rsidRPr="00493002">
              <w:rPr>
                <w:rFonts w:cs="Calibri"/>
                <w:b/>
                <w:bCs/>
                <w:color w:val="000000"/>
                <w:sz w:val="20"/>
                <w:lang w:val="en-US" w:eastAsia="zh-CN"/>
              </w:rPr>
              <w:t>12</w:t>
            </w:r>
            <w:r w:rsidRPr="00493002">
              <w:rPr>
                <w:rFonts w:cs="Calibri"/>
                <w:b/>
                <w:bCs/>
                <w:color w:val="000000"/>
                <w:sz w:val="20"/>
                <w:lang w:val="en-US" w:eastAsia="zh-CN"/>
              </w:rPr>
              <w:t>月</w:t>
            </w:r>
            <w:r w:rsidRPr="00493002">
              <w:rPr>
                <w:rFonts w:cs="Calibri"/>
                <w:b/>
                <w:bCs/>
                <w:color w:val="000000"/>
                <w:sz w:val="20"/>
                <w:lang w:val="en-US" w:eastAsia="zh-CN"/>
              </w:rPr>
              <w:t>31</w:t>
            </w:r>
            <w:r w:rsidRPr="00493002">
              <w:rPr>
                <w:rFonts w:cs="Calibri"/>
                <w:b/>
                <w:bCs/>
                <w:color w:val="000000"/>
                <w:sz w:val="20"/>
                <w:lang w:val="en-US" w:eastAsia="zh-CN"/>
              </w:rPr>
              <w:t>日</w:t>
            </w:r>
          </w:p>
        </w:tc>
      </w:tr>
      <w:tr w:rsidR="0085433F" w:rsidRPr="00493002" w14:paraId="61090C9C" w14:textId="77777777" w:rsidTr="003A64C9">
        <w:tc>
          <w:tcPr>
            <w:tcW w:w="5382" w:type="dxa"/>
            <w:tcBorders>
              <w:top w:val="nil"/>
              <w:left w:val="single" w:sz="8" w:space="0" w:color="auto"/>
              <w:bottom w:val="nil"/>
              <w:right w:val="nil"/>
            </w:tcBorders>
            <w:shd w:val="clear" w:color="auto" w:fill="auto"/>
            <w:vAlign w:val="center"/>
            <w:hideMark/>
          </w:tcPr>
          <w:p w14:paraId="4233ABCC" w14:textId="77777777" w:rsidR="0085433F" w:rsidRPr="00493002" w:rsidRDefault="0085433F" w:rsidP="003A64C9">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en-US" w:eastAsia="zh-CN"/>
              </w:rPr>
              <w:t>资产</w:t>
            </w:r>
          </w:p>
        </w:tc>
        <w:tc>
          <w:tcPr>
            <w:tcW w:w="2126" w:type="dxa"/>
            <w:tcBorders>
              <w:top w:val="nil"/>
              <w:left w:val="nil"/>
              <w:bottom w:val="nil"/>
              <w:right w:val="single" w:sz="4" w:space="0" w:color="auto"/>
            </w:tcBorders>
            <w:shd w:val="clear" w:color="auto" w:fill="auto"/>
            <w:hideMark/>
          </w:tcPr>
          <w:p w14:paraId="53529B6F" w14:textId="77777777" w:rsidR="0085433F" w:rsidRPr="00493002" w:rsidRDefault="0085433F" w:rsidP="003A64C9">
            <w:pPr>
              <w:overflowPunct/>
              <w:autoSpaceDE/>
              <w:autoSpaceDN/>
              <w:adjustRightInd/>
              <w:spacing w:before="0"/>
              <w:jc w:val="right"/>
              <w:textAlignment w:val="auto"/>
              <w:rPr>
                <w:rFonts w:cs="Calibri"/>
                <w:b/>
                <w:bCs/>
                <w:color w:val="000000"/>
                <w:sz w:val="20"/>
                <w:lang w:val="en-US" w:eastAsia="zh-CN"/>
              </w:rPr>
            </w:pPr>
            <w:r w:rsidRPr="00493002">
              <w:rPr>
                <w:rFonts w:cs="Calibri"/>
                <w:b/>
                <w:bCs/>
                <w:color w:val="000000"/>
                <w:sz w:val="20"/>
                <w:lang w:val="en-US" w:eastAsia="zh-CN"/>
              </w:rPr>
              <w:t> </w:t>
            </w:r>
          </w:p>
        </w:tc>
        <w:tc>
          <w:tcPr>
            <w:tcW w:w="2127" w:type="dxa"/>
            <w:tcBorders>
              <w:top w:val="nil"/>
              <w:left w:val="nil"/>
              <w:bottom w:val="nil"/>
              <w:right w:val="single" w:sz="4" w:space="0" w:color="auto"/>
            </w:tcBorders>
            <w:shd w:val="clear" w:color="auto" w:fill="auto"/>
            <w:hideMark/>
          </w:tcPr>
          <w:p w14:paraId="2321C180" w14:textId="77777777" w:rsidR="0085433F" w:rsidRPr="00493002" w:rsidRDefault="0085433F" w:rsidP="003A64C9">
            <w:pPr>
              <w:overflowPunct/>
              <w:autoSpaceDE/>
              <w:autoSpaceDN/>
              <w:adjustRightInd/>
              <w:spacing w:before="0"/>
              <w:jc w:val="right"/>
              <w:textAlignment w:val="auto"/>
              <w:rPr>
                <w:rFonts w:cs="Calibri"/>
                <w:b/>
                <w:bCs/>
                <w:color w:val="000000"/>
                <w:sz w:val="20"/>
                <w:lang w:val="en-US" w:eastAsia="zh-CN"/>
              </w:rPr>
            </w:pPr>
            <w:r w:rsidRPr="00493002">
              <w:rPr>
                <w:rFonts w:cs="Calibri"/>
                <w:b/>
                <w:bCs/>
                <w:color w:val="000000"/>
                <w:sz w:val="20"/>
                <w:lang w:val="en-US" w:eastAsia="zh-CN"/>
              </w:rPr>
              <w:t> </w:t>
            </w:r>
          </w:p>
        </w:tc>
      </w:tr>
      <w:tr w:rsidR="0085433F" w:rsidRPr="00493002" w14:paraId="79DC2BF4" w14:textId="77777777" w:rsidTr="003A64C9">
        <w:tc>
          <w:tcPr>
            <w:tcW w:w="5382" w:type="dxa"/>
            <w:tcBorders>
              <w:top w:val="nil"/>
              <w:left w:val="single" w:sz="8" w:space="0" w:color="auto"/>
              <w:bottom w:val="nil"/>
              <w:right w:val="nil"/>
            </w:tcBorders>
            <w:shd w:val="clear" w:color="auto" w:fill="auto"/>
            <w:vAlign w:val="center"/>
            <w:hideMark/>
          </w:tcPr>
          <w:p w14:paraId="3335B6F5" w14:textId="77777777" w:rsidR="0085433F" w:rsidRPr="00493002" w:rsidRDefault="0085433F" w:rsidP="003A64C9">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en-US" w:eastAsia="zh-CN"/>
              </w:rPr>
              <w:t>流动资产</w:t>
            </w:r>
          </w:p>
        </w:tc>
        <w:tc>
          <w:tcPr>
            <w:tcW w:w="2126" w:type="dxa"/>
            <w:tcBorders>
              <w:top w:val="nil"/>
              <w:left w:val="nil"/>
              <w:bottom w:val="nil"/>
              <w:right w:val="single" w:sz="4" w:space="0" w:color="auto"/>
            </w:tcBorders>
            <w:shd w:val="clear" w:color="auto" w:fill="auto"/>
            <w:hideMark/>
          </w:tcPr>
          <w:p w14:paraId="2EB89944" w14:textId="77777777" w:rsidR="0085433F" w:rsidRPr="00493002" w:rsidRDefault="0085433F" w:rsidP="003A64C9">
            <w:pPr>
              <w:overflowPunct/>
              <w:autoSpaceDE/>
              <w:autoSpaceDN/>
              <w:adjustRightInd/>
              <w:spacing w:before="0"/>
              <w:jc w:val="right"/>
              <w:textAlignment w:val="auto"/>
              <w:rPr>
                <w:rFonts w:cs="Calibri"/>
                <w:color w:val="000000"/>
                <w:sz w:val="20"/>
                <w:lang w:val="en-US" w:eastAsia="zh-CN"/>
              </w:rPr>
            </w:pPr>
            <w:r w:rsidRPr="00493002">
              <w:rPr>
                <w:rFonts w:cs="Calibri"/>
                <w:color w:val="000000"/>
                <w:sz w:val="20"/>
                <w:lang w:val="en-US" w:eastAsia="zh-CN"/>
              </w:rPr>
              <w:t> </w:t>
            </w:r>
          </w:p>
        </w:tc>
        <w:tc>
          <w:tcPr>
            <w:tcW w:w="2127" w:type="dxa"/>
            <w:tcBorders>
              <w:top w:val="nil"/>
              <w:left w:val="nil"/>
              <w:bottom w:val="nil"/>
              <w:right w:val="single" w:sz="4" w:space="0" w:color="auto"/>
            </w:tcBorders>
            <w:shd w:val="clear" w:color="auto" w:fill="auto"/>
            <w:hideMark/>
          </w:tcPr>
          <w:p w14:paraId="7ADC8B62" w14:textId="77777777" w:rsidR="0085433F" w:rsidRPr="00493002" w:rsidRDefault="0085433F" w:rsidP="003A64C9">
            <w:pPr>
              <w:overflowPunct/>
              <w:autoSpaceDE/>
              <w:autoSpaceDN/>
              <w:adjustRightInd/>
              <w:spacing w:before="0"/>
              <w:jc w:val="right"/>
              <w:textAlignment w:val="auto"/>
              <w:rPr>
                <w:rFonts w:cs="Calibri"/>
                <w:color w:val="000000"/>
                <w:sz w:val="20"/>
                <w:lang w:val="en-US" w:eastAsia="zh-CN"/>
              </w:rPr>
            </w:pPr>
            <w:r w:rsidRPr="00493002">
              <w:rPr>
                <w:rFonts w:cs="Calibri"/>
                <w:color w:val="000000"/>
                <w:sz w:val="20"/>
                <w:lang w:val="en-US" w:eastAsia="zh-CN"/>
              </w:rPr>
              <w:t> </w:t>
            </w:r>
          </w:p>
        </w:tc>
      </w:tr>
      <w:tr w:rsidR="000310B5" w:rsidRPr="00493002" w14:paraId="3A5E28F3" w14:textId="77777777" w:rsidTr="003A64C9">
        <w:tc>
          <w:tcPr>
            <w:tcW w:w="5382" w:type="dxa"/>
            <w:tcBorders>
              <w:top w:val="nil"/>
              <w:left w:val="single" w:sz="8" w:space="0" w:color="auto"/>
              <w:bottom w:val="nil"/>
              <w:right w:val="nil"/>
            </w:tcBorders>
            <w:shd w:val="clear" w:color="auto" w:fill="auto"/>
            <w:vAlign w:val="center"/>
            <w:hideMark/>
          </w:tcPr>
          <w:p w14:paraId="0E8F2B80"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现金和现金等价物</w:t>
            </w:r>
          </w:p>
        </w:tc>
        <w:tc>
          <w:tcPr>
            <w:tcW w:w="2126" w:type="dxa"/>
            <w:tcBorders>
              <w:top w:val="nil"/>
              <w:left w:val="nil"/>
              <w:bottom w:val="nil"/>
              <w:right w:val="single" w:sz="4" w:space="0" w:color="auto"/>
            </w:tcBorders>
            <w:shd w:val="clear" w:color="auto" w:fill="auto"/>
            <w:vAlign w:val="bottom"/>
            <w:hideMark/>
          </w:tcPr>
          <w:p w14:paraId="25848AB8" w14:textId="3A7A9CB2"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130</w:t>
            </w:r>
            <w:r w:rsidRPr="000310B5">
              <w:rPr>
                <w:sz w:val="20"/>
              </w:rPr>
              <w:t> </w:t>
            </w:r>
            <w:r w:rsidRPr="000310B5">
              <w:rPr>
                <w:rFonts w:eastAsia="Calibri" w:cs="Calibri"/>
                <w:sz w:val="20"/>
              </w:rPr>
              <w:t xml:space="preserve">392 </w:t>
            </w:r>
          </w:p>
        </w:tc>
        <w:tc>
          <w:tcPr>
            <w:tcW w:w="2127" w:type="dxa"/>
            <w:tcBorders>
              <w:top w:val="nil"/>
              <w:left w:val="nil"/>
              <w:bottom w:val="nil"/>
              <w:right w:val="single" w:sz="4" w:space="0" w:color="auto"/>
            </w:tcBorders>
            <w:shd w:val="clear" w:color="auto" w:fill="auto"/>
            <w:vAlign w:val="bottom"/>
            <w:hideMark/>
          </w:tcPr>
          <w:p w14:paraId="68CA77AD" w14:textId="42E0D019"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99</w:t>
            </w:r>
            <w:r w:rsidRPr="000310B5">
              <w:rPr>
                <w:sz w:val="20"/>
              </w:rPr>
              <w:t> </w:t>
            </w:r>
            <w:r w:rsidRPr="000310B5">
              <w:rPr>
                <w:rFonts w:eastAsia="Calibri" w:cs="Calibri"/>
                <w:sz w:val="20"/>
              </w:rPr>
              <w:t>406</w:t>
            </w:r>
          </w:p>
        </w:tc>
      </w:tr>
      <w:tr w:rsidR="000310B5" w:rsidRPr="00493002" w14:paraId="38FA54BD" w14:textId="77777777" w:rsidTr="003A64C9">
        <w:tc>
          <w:tcPr>
            <w:tcW w:w="5382" w:type="dxa"/>
            <w:tcBorders>
              <w:top w:val="nil"/>
              <w:left w:val="single" w:sz="8" w:space="0" w:color="auto"/>
              <w:bottom w:val="nil"/>
              <w:right w:val="nil"/>
            </w:tcBorders>
            <w:shd w:val="clear" w:color="auto" w:fill="auto"/>
            <w:vAlign w:val="center"/>
            <w:hideMark/>
          </w:tcPr>
          <w:p w14:paraId="4955CAD8"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投资</w:t>
            </w:r>
          </w:p>
        </w:tc>
        <w:tc>
          <w:tcPr>
            <w:tcW w:w="2126" w:type="dxa"/>
            <w:tcBorders>
              <w:top w:val="nil"/>
              <w:left w:val="nil"/>
              <w:bottom w:val="nil"/>
              <w:right w:val="single" w:sz="4" w:space="0" w:color="auto"/>
            </w:tcBorders>
            <w:shd w:val="clear" w:color="auto" w:fill="auto"/>
            <w:hideMark/>
          </w:tcPr>
          <w:p w14:paraId="7B538EC4" w14:textId="03925528"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95</w:t>
            </w:r>
            <w:r w:rsidRPr="000310B5">
              <w:rPr>
                <w:sz w:val="20"/>
              </w:rPr>
              <w:t> </w:t>
            </w:r>
            <w:r w:rsidRPr="000310B5">
              <w:rPr>
                <w:rFonts w:eastAsia="Calibri" w:cs="Calibri"/>
                <w:sz w:val="20"/>
              </w:rPr>
              <w:t xml:space="preserve">033 </w:t>
            </w:r>
          </w:p>
        </w:tc>
        <w:tc>
          <w:tcPr>
            <w:tcW w:w="2127" w:type="dxa"/>
            <w:tcBorders>
              <w:top w:val="nil"/>
              <w:left w:val="nil"/>
              <w:bottom w:val="nil"/>
              <w:right w:val="single" w:sz="4" w:space="0" w:color="auto"/>
            </w:tcBorders>
            <w:shd w:val="clear" w:color="auto" w:fill="auto"/>
            <w:hideMark/>
          </w:tcPr>
          <w:p w14:paraId="4F98EE49" w14:textId="459C39EE"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95</w:t>
            </w:r>
            <w:r w:rsidRPr="000310B5">
              <w:rPr>
                <w:sz w:val="20"/>
              </w:rPr>
              <w:t> </w:t>
            </w:r>
            <w:r w:rsidRPr="000310B5">
              <w:rPr>
                <w:rFonts w:eastAsia="Calibri" w:cs="Calibri"/>
                <w:sz w:val="20"/>
              </w:rPr>
              <w:t>516</w:t>
            </w:r>
          </w:p>
        </w:tc>
      </w:tr>
      <w:tr w:rsidR="000310B5" w:rsidRPr="00493002" w14:paraId="38EF920C" w14:textId="77777777" w:rsidTr="003A64C9">
        <w:tc>
          <w:tcPr>
            <w:tcW w:w="5382" w:type="dxa"/>
            <w:tcBorders>
              <w:top w:val="nil"/>
              <w:left w:val="single" w:sz="8" w:space="0" w:color="auto"/>
              <w:bottom w:val="nil"/>
              <w:right w:val="nil"/>
            </w:tcBorders>
            <w:shd w:val="clear" w:color="auto" w:fill="auto"/>
            <w:vAlign w:val="center"/>
            <w:hideMark/>
          </w:tcPr>
          <w:p w14:paraId="7691B7EA"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应收款项</w:t>
            </w:r>
            <w:r w:rsidRPr="00493002">
              <w:rPr>
                <w:rFonts w:cs="Calibri"/>
                <w:color w:val="000000"/>
                <w:sz w:val="20"/>
                <w:lang w:val="en-US" w:eastAsia="zh-CN"/>
              </w:rPr>
              <w:t xml:space="preserve"> – </w:t>
            </w:r>
            <w:r w:rsidRPr="00493002">
              <w:rPr>
                <w:rFonts w:cs="Calibri" w:hint="eastAsia"/>
                <w:color w:val="000000"/>
                <w:sz w:val="20"/>
                <w:lang w:val="en-US" w:eastAsia="zh-CN"/>
              </w:rPr>
              <w:t>兑换交易</w:t>
            </w:r>
          </w:p>
        </w:tc>
        <w:tc>
          <w:tcPr>
            <w:tcW w:w="2126" w:type="dxa"/>
            <w:tcBorders>
              <w:top w:val="nil"/>
              <w:left w:val="nil"/>
              <w:bottom w:val="nil"/>
              <w:right w:val="single" w:sz="4" w:space="0" w:color="auto"/>
            </w:tcBorders>
            <w:shd w:val="clear" w:color="auto" w:fill="auto"/>
            <w:hideMark/>
          </w:tcPr>
          <w:p w14:paraId="4F49835E" w14:textId="2B139A7F"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10</w:t>
            </w:r>
            <w:r w:rsidRPr="000310B5">
              <w:rPr>
                <w:sz w:val="20"/>
              </w:rPr>
              <w:t> </w:t>
            </w:r>
            <w:r w:rsidRPr="000310B5">
              <w:rPr>
                <w:rFonts w:eastAsia="Calibri" w:cs="Calibri"/>
                <w:sz w:val="20"/>
              </w:rPr>
              <w:t xml:space="preserve">989 </w:t>
            </w:r>
          </w:p>
        </w:tc>
        <w:tc>
          <w:tcPr>
            <w:tcW w:w="2127" w:type="dxa"/>
            <w:tcBorders>
              <w:top w:val="nil"/>
              <w:left w:val="nil"/>
              <w:bottom w:val="nil"/>
              <w:right w:val="single" w:sz="4" w:space="0" w:color="auto"/>
            </w:tcBorders>
            <w:shd w:val="clear" w:color="auto" w:fill="auto"/>
            <w:hideMark/>
          </w:tcPr>
          <w:p w14:paraId="524194A0" w14:textId="5D6C073B"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8</w:t>
            </w:r>
            <w:r w:rsidRPr="000310B5">
              <w:rPr>
                <w:sz w:val="20"/>
              </w:rPr>
              <w:t> </w:t>
            </w:r>
            <w:r w:rsidRPr="000310B5">
              <w:rPr>
                <w:rFonts w:eastAsia="Calibri" w:cs="Calibri"/>
                <w:sz w:val="20"/>
              </w:rPr>
              <w:t>481</w:t>
            </w:r>
          </w:p>
        </w:tc>
      </w:tr>
      <w:tr w:rsidR="000310B5" w:rsidRPr="00493002" w14:paraId="18D14A34" w14:textId="77777777" w:rsidTr="003A64C9">
        <w:tc>
          <w:tcPr>
            <w:tcW w:w="5382" w:type="dxa"/>
            <w:tcBorders>
              <w:top w:val="nil"/>
              <w:left w:val="single" w:sz="8" w:space="0" w:color="auto"/>
              <w:bottom w:val="nil"/>
              <w:right w:val="nil"/>
            </w:tcBorders>
            <w:shd w:val="clear" w:color="auto" w:fill="auto"/>
            <w:vAlign w:val="center"/>
            <w:hideMark/>
          </w:tcPr>
          <w:p w14:paraId="59C29A9E"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应收款项</w:t>
            </w:r>
            <w:r w:rsidRPr="00493002">
              <w:rPr>
                <w:rFonts w:cs="Calibri"/>
                <w:color w:val="000000"/>
                <w:sz w:val="20"/>
                <w:lang w:val="en-US" w:eastAsia="zh-CN"/>
              </w:rPr>
              <w:t xml:space="preserve"> – </w:t>
            </w:r>
            <w:r w:rsidRPr="00493002">
              <w:rPr>
                <w:rFonts w:cs="Calibri" w:hint="eastAsia"/>
                <w:color w:val="000000"/>
                <w:sz w:val="20"/>
                <w:lang w:val="en-US" w:eastAsia="zh-CN"/>
              </w:rPr>
              <w:t>非兑换交易</w:t>
            </w:r>
          </w:p>
        </w:tc>
        <w:tc>
          <w:tcPr>
            <w:tcW w:w="2126" w:type="dxa"/>
            <w:tcBorders>
              <w:top w:val="nil"/>
              <w:left w:val="nil"/>
              <w:bottom w:val="nil"/>
              <w:right w:val="single" w:sz="4" w:space="0" w:color="auto"/>
            </w:tcBorders>
            <w:shd w:val="clear" w:color="auto" w:fill="auto"/>
            <w:hideMark/>
          </w:tcPr>
          <w:p w14:paraId="19B28B73" w14:textId="7FE1A816"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76</w:t>
            </w:r>
            <w:r w:rsidRPr="000310B5">
              <w:rPr>
                <w:sz w:val="20"/>
              </w:rPr>
              <w:t> </w:t>
            </w:r>
            <w:r w:rsidRPr="000310B5">
              <w:rPr>
                <w:rFonts w:eastAsia="Calibri" w:cs="Calibri"/>
                <w:sz w:val="20"/>
              </w:rPr>
              <w:t xml:space="preserve">931 </w:t>
            </w:r>
          </w:p>
        </w:tc>
        <w:tc>
          <w:tcPr>
            <w:tcW w:w="2127" w:type="dxa"/>
            <w:tcBorders>
              <w:top w:val="nil"/>
              <w:left w:val="nil"/>
              <w:bottom w:val="nil"/>
              <w:right w:val="single" w:sz="4" w:space="0" w:color="auto"/>
            </w:tcBorders>
            <w:shd w:val="clear" w:color="auto" w:fill="auto"/>
            <w:hideMark/>
          </w:tcPr>
          <w:p w14:paraId="719C6B67" w14:textId="359F26C6"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89</w:t>
            </w:r>
            <w:r w:rsidRPr="000310B5">
              <w:rPr>
                <w:sz w:val="20"/>
              </w:rPr>
              <w:t> </w:t>
            </w:r>
            <w:r w:rsidRPr="000310B5">
              <w:rPr>
                <w:rFonts w:eastAsia="Calibri" w:cs="Calibri"/>
                <w:sz w:val="20"/>
              </w:rPr>
              <w:t xml:space="preserve">306 </w:t>
            </w:r>
          </w:p>
        </w:tc>
      </w:tr>
      <w:tr w:rsidR="000310B5" w:rsidRPr="00493002" w14:paraId="1E25D4BD" w14:textId="77777777" w:rsidTr="003A64C9">
        <w:tc>
          <w:tcPr>
            <w:tcW w:w="5382" w:type="dxa"/>
            <w:tcBorders>
              <w:top w:val="nil"/>
              <w:left w:val="single" w:sz="8" w:space="0" w:color="auto"/>
              <w:bottom w:val="nil"/>
              <w:right w:val="nil"/>
            </w:tcBorders>
            <w:shd w:val="clear" w:color="auto" w:fill="auto"/>
            <w:vAlign w:val="center"/>
            <w:hideMark/>
          </w:tcPr>
          <w:p w14:paraId="30186311"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库存</w:t>
            </w:r>
          </w:p>
        </w:tc>
        <w:tc>
          <w:tcPr>
            <w:tcW w:w="2126" w:type="dxa"/>
            <w:tcBorders>
              <w:top w:val="nil"/>
              <w:left w:val="nil"/>
              <w:bottom w:val="nil"/>
              <w:right w:val="single" w:sz="4" w:space="0" w:color="auto"/>
            </w:tcBorders>
            <w:shd w:val="clear" w:color="auto" w:fill="auto"/>
            <w:hideMark/>
          </w:tcPr>
          <w:p w14:paraId="329D432A" w14:textId="3D29950E"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 xml:space="preserve">467 </w:t>
            </w:r>
          </w:p>
        </w:tc>
        <w:tc>
          <w:tcPr>
            <w:tcW w:w="2127" w:type="dxa"/>
            <w:tcBorders>
              <w:top w:val="nil"/>
              <w:left w:val="nil"/>
              <w:bottom w:val="nil"/>
              <w:right w:val="single" w:sz="4" w:space="0" w:color="auto"/>
            </w:tcBorders>
            <w:shd w:val="clear" w:color="auto" w:fill="auto"/>
            <w:hideMark/>
          </w:tcPr>
          <w:p w14:paraId="562680BE" w14:textId="0D4504D9"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 xml:space="preserve">459 </w:t>
            </w:r>
          </w:p>
        </w:tc>
      </w:tr>
      <w:tr w:rsidR="000310B5" w:rsidRPr="00493002" w14:paraId="1CE1685A" w14:textId="77777777" w:rsidTr="003A64C9">
        <w:tc>
          <w:tcPr>
            <w:tcW w:w="5382" w:type="dxa"/>
            <w:tcBorders>
              <w:top w:val="nil"/>
              <w:left w:val="single" w:sz="8" w:space="0" w:color="auto"/>
              <w:bottom w:val="nil"/>
              <w:right w:val="nil"/>
            </w:tcBorders>
            <w:shd w:val="clear" w:color="auto" w:fill="auto"/>
            <w:vAlign w:val="center"/>
            <w:hideMark/>
          </w:tcPr>
          <w:p w14:paraId="2C5F16BA"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其它应收款项</w:t>
            </w:r>
          </w:p>
        </w:tc>
        <w:tc>
          <w:tcPr>
            <w:tcW w:w="2126" w:type="dxa"/>
            <w:tcBorders>
              <w:top w:val="nil"/>
              <w:left w:val="nil"/>
              <w:bottom w:val="nil"/>
              <w:right w:val="single" w:sz="4" w:space="0" w:color="auto"/>
            </w:tcBorders>
            <w:shd w:val="clear" w:color="auto" w:fill="auto"/>
            <w:hideMark/>
          </w:tcPr>
          <w:p w14:paraId="56F79CA9" w14:textId="0CA69C9D"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7</w:t>
            </w:r>
            <w:r w:rsidRPr="000310B5">
              <w:rPr>
                <w:sz w:val="20"/>
              </w:rPr>
              <w:t> </w:t>
            </w:r>
            <w:r w:rsidRPr="000310B5">
              <w:rPr>
                <w:rFonts w:eastAsia="Calibri" w:cs="Calibri"/>
                <w:sz w:val="20"/>
              </w:rPr>
              <w:t xml:space="preserve">118 </w:t>
            </w:r>
          </w:p>
        </w:tc>
        <w:tc>
          <w:tcPr>
            <w:tcW w:w="2127" w:type="dxa"/>
            <w:tcBorders>
              <w:top w:val="nil"/>
              <w:left w:val="nil"/>
              <w:bottom w:val="nil"/>
              <w:right w:val="single" w:sz="4" w:space="0" w:color="auto"/>
            </w:tcBorders>
            <w:shd w:val="clear" w:color="auto" w:fill="auto"/>
            <w:hideMark/>
          </w:tcPr>
          <w:p w14:paraId="7441D6FC" w14:textId="2F011D4F"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9</w:t>
            </w:r>
            <w:r w:rsidRPr="000310B5">
              <w:rPr>
                <w:sz w:val="20"/>
              </w:rPr>
              <w:t> </w:t>
            </w:r>
            <w:r w:rsidRPr="000310B5">
              <w:rPr>
                <w:rFonts w:eastAsia="Calibri" w:cs="Calibri"/>
                <w:sz w:val="20"/>
              </w:rPr>
              <w:t>439</w:t>
            </w:r>
          </w:p>
        </w:tc>
      </w:tr>
      <w:tr w:rsidR="000310B5" w:rsidRPr="00493002" w14:paraId="40A64A5C" w14:textId="77777777" w:rsidTr="003A64C9">
        <w:tc>
          <w:tcPr>
            <w:tcW w:w="5382" w:type="dxa"/>
            <w:tcBorders>
              <w:top w:val="nil"/>
              <w:left w:val="single" w:sz="8" w:space="0" w:color="auto"/>
              <w:bottom w:val="nil"/>
              <w:right w:val="nil"/>
            </w:tcBorders>
            <w:shd w:val="clear" w:color="auto" w:fill="auto"/>
            <w:vAlign w:val="center"/>
            <w:hideMark/>
          </w:tcPr>
          <w:p w14:paraId="0E6D0044"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UNSMIS</w:t>
            </w:r>
          </w:p>
        </w:tc>
        <w:tc>
          <w:tcPr>
            <w:tcW w:w="2126" w:type="dxa"/>
            <w:tcBorders>
              <w:top w:val="nil"/>
              <w:left w:val="nil"/>
              <w:bottom w:val="nil"/>
              <w:right w:val="single" w:sz="4" w:space="0" w:color="auto"/>
            </w:tcBorders>
            <w:shd w:val="clear" w:color="auto" w:fill="auto"/>
            <w:vAlign w:val="bottom"/>
            <w:hideMark/>
          </w:tcPr>
          <w:p w14:paraId="06AFF3B1" w14:textId="58CE3E55"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c>
          <w:tcPr>
            <w:tcW w:w="2127" w:type="dxa"/>
            <w:tcBorders>
              <w:top w:val="nil"/>
              <w:left w:val="nil"/>
              <w:bottom w:val="nil"/>
              <w:right w:val="single" w:sz="4" w:space="0" w:color="auto"/>
            </w:tcBorders>
            <w:shd w:val="clear" w:color="auto" w:fill="auto"/>
            <w:vAlign w:val="bottom"/>
            <w:hideMark/>
          </w:tcPr>
          <w:p w14:paraId="27248F9D" w14:textId="7B3A2C86"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r>
      <w:tr w:rsidR="000310B5" w:rsidRPr="00493002" w14:paraId="761310B5" w14:textId="77777777" w:rsidTr="003A64C9">
        <w:tc>
          <w:tcPr>
            <w:tcW w:w="5382" w:type="dxa"/>
            <w:tcBorders>
              <w:top w:val="nil"/>
              <w:left w:val="single" w:sz="8" w:space="0" w:color="auto"/>
              <w:bottom w:val="nil"/>
              <w:right w:val="nil"/>
            </w:tcBorders>
            <w:shd w:val="clear" w:color="auto" w:fill="auto"/>
            <w:vAlign w:val="center"/>
            <w:hideMark/>
          </w:tcPr>
          <w:p w14:paraId="467F7A79"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en-US" w:eastAsia="zh-CN"/>
              </w:rPr>
              <w:t>流动资产总额</w:t>
            </w:r>
          </w:p>
        </w:tc>
        <w:tc>
          <w:tcPr>
            <w:tcW w:w="2126" w:type="dxa"/>
            <w:tcBorders>
              <w:top w:val="nil"/>
              <w:left w:val="nil"/>
              <w:bottom w:val="nil"/>
              <w:right w:val="single" w:sz="4" w:space="0" w:color="auto"/>
            </w:tcBorders>
            <w:shd w:val="clear" w:color="auto" w:fill="auto"/>
            <w:vAlign w:val="bottom"/>
            <w:hideMark/>
          </w:tcPr>
          <w:p w14:paraId="238A3FA3" w14:textId="66FA3858"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320</w:t>
            </w:r>
            <w:r w:rsidRPr="000310B5">
              <w:rPr>
                <w:b/>
                <w:sz w:val="20"/>
              </w:rPr>
              <w:t> </w:t>
            </w:r>
            <w:r w:rsidRPr="000310B5">
              <w:rPr>
                <w:rFonts w:eastAsia="Calibri" w:cs="Calibri"/>
                <w:b/>
                <w:sz w:val="20"/>
              </w:rPr>
              <w:t xml:space="preserve">930 </w:t>
            </w:r>
          </w:p>
        </w:tc>
        <w:tc>
          <w:tcPr>
            <w:tcW w:w="2127" w:type="dxa"/>
            <w:tcBorders>
              <w:top w:val="nil"/>
              <w:left w:val="nil"/>
              <w:bottom w:val="nil"/>
              <w:right w:val="single" w:sz="4" w:space="0" w:color="auto"/>
            </w:tcBorders>
            <w:shd w:val="clear" w:color="auto" w:fill="auto"/>
            <w:vAlign w:val="bottom"/>
            <w:hideMark/>
          </w:tcPr>
          <w:p w14:paraId="09B8153A" w14:textId="342BCCAB"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302</w:t>
            </w:r>
            <w:r w:rsidRPr="000310B5">
              <w:rPr>
                <w:b/>
                <w:sz w:val="20"/>
              </w:rPr>
              <w:t> </w:t>
            </w:r>
            <w:r w:rsidRPr="000310B5">
              <w:rPr>
                <w:rFonts w:eastAsia="Calibri" w:cs="Calibri"/>
                <w:b/>
                <w:sz w:val="20"/>
              </w:rPr>
              <w:t xml:space="preserve">607 </w:t>
            </w:r>
          </w:p>
        </w:tc>
      </w:tr>
      <w:tr w:rsidR="0034509B" w:rsidRPr="00493002" w14:paraId="5E5AB0F1" w14:textId="77777777" w:rsidTr="003A64C9">
        <w:tc>
          <w:tcPr>
            <w:tcW w:w="5382" w:type="dxa"/>
            <w:tcBorders>
              <w:top w:val="nil"/>
              <w:left w:val="single" w:sz="8" w:space="0" w:color="auto"/>
              <w:bottom w:val="nil"/>
              <w:right w:val="nil"/>
            </w:tcBorders>
            <w:shd w:val="clear" w:color="auto" w:fill="auto"/>
            <w:vAlign w:val="center"/>
          </w:tcPr>
          <w:p w14:paraId="68587729" w14:textId="77777777" w:rsidR="0034509B" w:rsidRPr="00493002" w:rsidRDefault="0034509B" w:rsidP="000310B5">
            <w:pPr>
              <w:overflowPunct/>
              <w:autoSpaceDE/>
              <w:autoSpaceDN/>
              <w:adjustRightInd/>
              <w:spacing w:before="0"/>
              <w:textAlignment w:val="auto"/>
              <w:rPr>
                <w:rFonts w:cs="Calibri"/>
                <w:b/>
                <w:bCs/>
                <w:color w:val="000000"/>
                <w:sz w:val="20"/>
                <w:lang w:val="en-US" w:eastAsia="zh-CN"/>
              </w:rPr>
            </w:pPr>
          </w:p>
        </w:tc>
        <w:tc>
          <w:tcPr>
            <w:tcW w:w="2126" w:type="dxa"/>
            <w:tcBorders>
              <w:top w:val="nil"/>
              <w:left w:val="nil"/>
              <w:bottom w:val="nil"/>
              <w:right w:val="single" w:sz="4" w:space="0" w:color="auto"/>
            </w:tcBorders>
            <w:shd w:val="clear" w:color="auto" w:fill="auto"/>
            <w:vAlign w:val="bottom"/>
          </w:tcPr>
          <w:p w14:paraId="24E043B3" w14:textId="77777777" w:rsidR="0034509B" w:rsidRPr="000310B5" w:rsidRDefault="0034509B" w:rsidP="000310B5">
            <w:pPr>
              <w:overflowPunct/>
              <w:autoSpaceDE/>
              <w:autoSpaceDN/>
              <w:adjustRightInd/>
              <w:spacing w:before="0"/>
              <w:jc w:val="right"/>
              <w:textAlignment w:val="auto"/>
              <w:rPr>
                <w:rFonts w:cs="Calibri"/>
                <w:color w:val="000000"/>
                <w:sz w:val="20"/>
                <w:lang w:val="en-US" w:eastAsia="zh-CN"/>
              </w:rPr>
            </w:pPr>
          </w:p>
        </w:tc>
        <w:tc>
          <w:tcPr>
            <w:tcW w:w="2127" w:type="dxa"/>
            <w:tcBorders>
              <w:top w:val="nil"/>
              <w:left w:val="nil"/>
              <w:bottom w:val="nil"/>
              <w:right w:val="single" w:sz="4" w:space="0" w:color="auto"/>
            </w:tcBorders>
            <w:shd w:val="clear" w:color="auto" w:fill="auto"/>
            <w:vAlign w:val="bottom"/>
          </w:tcPr>
          <w:p w14:paraId="4A9201C5" w14:textId="77777777" w:rsidR="0034509B" w:rsidRPr="000310B5" w:rsidRDefault="0034509B" w:rsidP="000310B5">
            <w:pPr>
              <w:overflowPunct/>
              <w:autoSpaceDE/>
              <w:autoSpaceDN/>
              <w:adjustRightInd/>
              <w:spacing w:before="0"/>
              <w:jc w:val="right"/>
              <w:textAlignment w:val="auto"/>
              <w:rPr>
                <w:rFonts w:cs="Calibri"/>
                <w:color w:val="000000"/>
                <w:sz w:val="20"/>
                <w:lang w:val="en-US" w:eastAsia="zh-CN"/>
              </w:rPr>
            </w:pPr>
          </w:p>
        </w:tc>
      </w:tr>
      <w:tr w:rsidR="000310B5" w:rsidRPr="00493002" w14:paraId="4781E181" w14:textId="77777777" w:rsidTr="003A64C9">
        <w:tc>
          <w:tcPr>
            <w:tcW w:w="5382" w:type="dxa"/>
            <w:tcBorders>
              <w:top w:val="nil"/>
              <w:left w:val="single" w:sz="8" w:space="0" w:color="auto"/>
              <w:bottom w:val="nil"/>
              <w:right w:val="nil"/>
            </w:tcBorders>
            <w:shd w:val="clear" w:color="auto" w:fill="auto"/>
            <w:vAlign w:val="center"/>
            <w:hideMark/>
          </w:tcPr>
          <w:p w14:paraId="1D0428E1"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en-US" w:eastAsia="zh-CN"/>
              </w:rPr>
              <w:t>非流动资产</w:t>
            </w:r>
          </w:p>
        </w:tc>
        <w:tc>
          <w:tcPr>
            <w:tcW w:w="2126" w:type="dxa"/>
            <w:tcBorders>
              <w:top w:val="nil"/>
              <w:left w:val="nil"/>
              <w:bottom w:val="nil"/>
              <w:right w:val="single" w:sz="4" w:space="0" w:color="auto"/>
            </w:tcBorders>
            <w:shd w:val="clear" w:color="auto" w:fill="auto"/>
            <w:vAlign w:val="bottom"/>
            <w:hideMark/>
          </w:tcPr>
          <w:p w14:paraId="43A1014D"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c>
          <w:tcPr>
            <w:tcW w:w="2127" w:type="dxa"/>
            <w:tcBorders>
              <w:top w:val="nil"/>
              <w:left w:val="nil"/>
              <w:bottom w:val="nil"/>
              <w:right w:val="single" w:sz="4" w:space="0" w:color="auto"/>
            </w:tcBorders>
            <w:shd w:val="clear" w:color="auto" w:fill="auto"/>
            <w:vAlign w:val="bottom"/>
            <w:hideMark/>
          </w:tcPr>
          <w:p w14:paraId="12BBBE58"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r>
      <w:tr w:rsidR="000310B5" w:rsidRPr="00493002" w14:paraId="1EF795A8" w14:textId="77777777" w:rsidTr="003A64C9">
        <w:tc>
          <w:tcPr>
            <w:tcW w:w="5382" w:type="dxa"/>
            <w:tcBorders>
              <w:top w:val="nil"/>
              <w:left w:val="single" w:sz="8" w:space="0" w:color="auto"/>
              <w:bottom w:val="nil"/>
              <w:right w:val="nil"/>
            </w:tcBorders>
            <w:shd w:val="clear" w:color="auto" w:fill="auto"/>
            <w:vAlign w:val="center"/>
            <w:hideMark/>
          </w:tcPr>
          <w:p w14:paraId="5CB4D9CB"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应收款项</w:t>
            </w:r>
            <w:r w:rsidRPr="00493002">
              <w:rPr>
                <w:rFonts w:cs="Calibri"/>
                <w:color w:val="000000"/>
                <w:sz w:val="20"/>
                <w:lang w:val="en-US" w:eastAsia="zh-CN"/>
              </w:rPr>
              <w:t xml:space="preserve"> – </w:t>
            </w:r>
            <w:r w:rsidRPr="00493002">
              <w:rPr>
                <w:rFonts w:cs="Calibri" w:hint="eastAsia"/>
                <w:color w:val="000000"/>
                <w:sz w:val="20"/>
                <w:lang w:val="en-US" w:eastAsia="zh-CN"/>
              </w:rPr>
              <w:t>非兑换交易</w:t>
            </w:r>
          </w:p>
        </w:tc>
        <w:tc>
          <w:tcPr>
            <w:tcW w:w="2126" w:type="dxa"/>
            <w:tcBorders>
              <w:top w:val="nil"/>
              <w:left w:val="nil"/>
              <w:bottom w:val="nil"/>
              <w:right w:val="single" w:sz="4" w:space="0" w:color="auto"/>
            </w:tcBorders>
            <w:shd w:val="clear" w:color="auto" w:fill="auto"/>
            <w:vAlign w:val="bottom"/>
            <w:hideMark/>
          </w:tcPr>
          <w:p w14:paraId="211428F9" w14:textId="2E998A9C"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w:t>
            </w:r>
          </w:p>
        </w:tc>
        <w:tc>
          <w:tcPr>
            <w:tcW w:w="2127" w:type="dxa"/>
            <w:tcBorders>
              <w:top w:val="nil"/>
              <w:left w:val="nil"/>
              <w:bottom w:val="nil"/>
              <w:right w:val="single" w:sz="4" w:space="0" w:color="auto"/>
            </w:tcBorders>
            <w:shd w:val="clear" w:color="auto" w:fill="auto"/>
            <w:vAlign w:val="bottom"/>
            <w:hideMark/>
          </w:tcPr>
          <w:p w14:paraId="1D74A556" w14:textId="3C5281EC"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 xml:space="preserve"> -  </w:t>
            </w:r>
          </w:p>
        </w:tc>
      </w:tr>
      <w:tr w:rsidR="000310B5" w:rsidRPr="00493002" w14:paraId="63E19E8C" w14:textId="77777777" w:rsidTr="003A64C9">
        <w:tc>
          <w:tcPr>
            <w:tcW w:w="5382" w:type="dxa"/>
            <w:tcBorders>
              <w:top w:val="nil"/>
              <w:left w:val="single" w:sz="8" w:space="0" w:color="auto"/>
              <w:bottom w:val="nil"/>
              <w:right w:val="nil"/>
            </w:tcBorders>
            <w:shd w:val="clear" w:color="auto" w:fill="auto"/>
            <w:vAlign w:val="center"/>
            <w:hideMark/>
          </w:tcPr>
          <w:p w14:paraId="1B351777"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物业、机器和设备</w:t>
            </w:r>
          </w:p>
        </w:tc>
        <w:tc>
          <w:tcPr>
            <w:tcW w:w="2126" w:type="dxa"/>
            <w:tcBorders>
              <w:top w:val="nil"/>
              <w:left w:val="nil"/>
              <w:bottom w:val="nil"/>
              <w:right w:val="single" w:sz="4" w:space="0" w:color="auto"/>
            </w:tcBorders>
            <w:shd w:val="clear" w:color="auto" w:fill="auto"/>
            <w:hideMark/>
          </w:tcPr>
          <w:p w14:paraId="5ED1E401" w14:textId="278D6BD2"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71</w:t>
            </w:r>
            <w:r w:rsidRPr="000310B5">
              <w:rPr>
                <w:sz w:val="20"/>
              </w:rPr>
              <w:t> </w:t>
            </w:r>
            <w:r w:rsidRPr="000310B5">
              <w:rPr>
                <w:rFonts w:eastAsia="Calibri" w:cs="Calibri"/>
                <w:sz w:val="20"/>
              </w:rPr>
              <w:t xml:space="preserve">671 </w:t>
            </w:r>
          </w:p>
        </w:tc>
        <w:tc>
          <w:tcPr>
            <w:tcW w:w="2127" w:type="dxa"/>
            <w:tcBorders>
              <w:top w:val="nil"/>
              <w:left w:val="nil"/>
              <w:bottom w:val="nil"/>
              <w:right w:val="single" w:sz="4" w:space="0" w:color="auto"/>
            </w:tcBorders>
            <w:shd w:val="clear" w:color="auto" w:fill="auto"/>
            <w:hideMark/>
          </w:tcPr>
          <w:p w14:paraId="3524E7E9" w14:textId="54F8C35B"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78</w:t>
            </w:r>
            <w:r w:rsidRPr="000310B5">
              <w:rPr>
                <w:sz w:val="20"/>
              </w:rPr>
              <w:t> </w:t>
            </w:r>
            <w:r w:rsidRPr="000310B5">
              <w:rPr>
                <w:rFonts w:eastAsia="Calibri" w:cs="Calibri"/>
                <w:sz w:val="20"/>
              </w:rPr>
              <w:t xml:space="preserve">040 </w:t>
            </w:r>
          </w:p>
        </w:tc>
      </w:tr>
      <w:tr w:rsidR="000310B5" w:rsidRPr="00493002" w14:paraId="6CB15589" w14:textId="77777777" w:rsidTr="003A64C9">
        <w:tc>
          <w:tcPr>
            <w:tcW w:w="5382" w:type="dxa"/>
            <w:tcBorders>
              <w:top w:val="nil"/>
              <w:left w:val="single" w:sz="8" w:space="0" w:color="auto"/>
              <w:bottom w:val="nil"/>
              <w:right w:val="nil"/>
            </w:tcBorders>
            <w:shd w:val="clear" w:color="auto" w:fill="auto"/>
            <w:vAlign w:val="center"/>
            <w:hideMark/>
          </w:tcPr>
          <w:p w14:paraId="618C56F2"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无形资产</w:t>
            </w:r>
          </w:p>
        </w:tc>
        <w:tc>
          <w:tcPr>
            <w:tcW w:w="2126" w:type="dxa"/>
            <w:tcBorders>
              <w:top w:val="nil"/>
              <w:left w:val="nil"/>
              <w:bottom w:val="nil"/>
              <w:right w:val="single" w:sz="4" w:space="0" w:color="auto"/>
            </w:tcBorders>
            <w:shd w:val="clear" w:color="auto" w:fill="auto"/>
            <w:hideMark/>
          </w:tcPr>
          <w:p w14:paraId="5FF065F1" w14:textId="3F13E981"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 xml:space="preserve">792 </w:t>
            </w:r>
          </w:p>
        </w:tc>
        <w:tc>
          <w:tcPr>
            <w:tcW w:w="2127" w:type="dxa"/>
            <w:tcBorders>
              <w:top w:val="nil"/>
              <w:left w:val="nil"/>
              <w:bottom w:val="nil"/>
              <w:right w:val="single" w:sz="4" w:space="0" w:color="auto"/>
            </w:tcBorders>
            <w:shd w:val="clear" w:color="auto" w:fill="auto"/>
            <w:noWrap/>
            <w:hideMark/>
          </w:tcPr>
          <w:p w14:paraId="2483BB33" w14:textId="49E3D9A3"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1</w:t>
            </w:r>
            <w:r w:rsidRPr="000310B5">
              <w:rPr>
                <w:sz w:val="20"/>
              </w:rPr>
              <w:t> </w:t>
            </w:r>
            <w:r w:rsidRPr="000310B5">
              <w:rPr>
                <w:rFonts w:eastAsia="Calibri" w:cs="Calibri"/>
                <w:sz w:val="20"/>
              </w:rPr>
              <w:t>443</w:t>
            </w:r>
          </w:p>
        </w:tc>
      </w:tr>
      <w:tr w:rsidR="000310B5" w:rsidRPr="00493002" w14:paraId="2F23E31A" w14:textId="77777777" w:rsidTr="003A64C9">
        <w:tc>
          <w:tcPr>
            <w:tcW w:w="5382" w:type="dxa"/>
            <w:tcBorders>
              <w:top w:val="nil"/>
              <w:left w:val="single" w:sz="8" w:space="0" w:color="auto"/>
              <w:bottom w:val="nil"/>
              <w:right w:val="nil"/>
            </w:tcBorders>
            <w:shd w:val="clear" w:color="auto" w:fill="auto"/>
            <w:vAlign w:val="center"/>
            <w:hideMark/>
          </w:tcPr>
          <w:p w14:paraId="6A2B69F2"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在建资产</w:t>
            </w:r>
          </w:p>
        </w:tc>
        <w:tc>
          <w:tcPr>
            <w:tcW w:w="2126" w:type="dxa"/>
            <w:tcBorders>
              <w:top w:val="nil"/>
              <w:left w:val="nil"/>
              <w:bottom w:val="nil"/>
              <w:right w:val="single" w:sz="4" w:space="0" w:color="auto"/>
            </w:tcBorders>
            <w:shd w:val="clear" w:color="auto" w:fill="auto"/>
            <w:hideMark/>
          </w:tcPr>
          <w:p w14:paraId="1E8C4873" w14:textId="216F2012"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13</w:t>
            </w:r>
            <w:r w:rsidRPr="000310B5">
              <w:rPr>
                <w:sz w:val="20"/>
              </w:rPr>
              <w:t> </w:t>
            </w:r>
            <w:r w:rsidRPr="000310B5">
              <w:rPr>
                <w:rFonts w:eastAsia="Calibri" w:cs="Calibri"/>
                <w:sz w:val="20"/>
              </w:rPr>
              <w:t xml:space="preserve">732 </w:t>
            </w:r>
          </w:p>
        </w:tc>
        <w:tc>
          <w:tcPr>
            <w:tcW w:w="2127" w:type="dxa"/>
            <w:tcBorders>
              <w:top w:val="nil"/>
              <w:left w:val="nil"/>
              <w:bottom w:val="nil"/>
              <w:right w:val="single" w:sz="4" w:space="0" w:color="auto"/>
            </w:tcBorders>
            <w:shd w:val="clear" w:color="auto" w:fill="auto"/>
            <w:noWrap/>
            <w:hideMark/>
          </w:tcPr>
          <w:p w14:paraId="06C42DF6" w14:textId="67D12946"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9</w:t>
            </w:r>
            <w:r w:rsidRPr="000310B5">
              <w:rPr>
                <w:sz w:val="20"/>
              </w:rPr>
              <w:t> </w:t>
            </w:r>
            <w:r w:rsidRPr="000310B5">
              <w:rPr>
                <w:rFonts w:eastAsia="Calibri" w:cs="Calibri"/>
                <w:sz w:val="20"/>
              </w:rPr>
              <w:t>443</w:t>
            </w:r>
          </w:p>
        </w:tc>
      </w:tr>
      <w:tr w:rsidR="000310B5" w:rsidRPr="00493002" w14:paraId="223068D6" w14:textId="77777777" w:rsidTr="003A64C9">
        <w:tc>
          <w:tcPr>
            <w:tcW w:w="5382" w:type="dxa"/>
            <w:tcBorders>
              <w:top w:val="nil"/>
              <w:left w:val="single" w:sz="8" w:space="0" w:color="auto"/>
              <w:bottom w:val="nil"/>
              <w:right w:val="nil"/>
            </w:tcBorders>
            <w:shd w:val="clear" w:color="auto" w:fill="auto"/>
            <w:vAlign w:val="center"/>
            <w:hideMark/>
          </w:tcPr>
          <w:p w14:paraId="0ECC20C9"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UNSMIS</w:t>
            </w:r>
          </w:p>
        </w:tc>
        <w:tc>
          <w:tcPr>
            <w:tcW w:w="2126" w:type="dxa"/>
            <w:tcBorders>
              <w:top w:val="nil"/>
              <w:left w:val="nil"/>
              <w:bottom w:val="nil"/>
              <w:right w:val="single" w:sz="4" w:space="0" w:color="auto"/>
            </w:tcBorders>
            <w:shd w:val="clear" w:color="auto" w:fill="auto"/>
            <w:hideMark/>
          </w:tcPr>
          <w:p w14:paraId="4812654F" w14:textId="705E64B3"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16</w:t>
            </w:r>
            <w:r w:rsidRPr="000310B5">
              <w:rPr>
                <w:sz w:val="20"/>
              </w:rPr>
              <w:t> </w:t>
            </w:r>
            <w:r w:rsidRPr="000310B5">
              <w:rPr>
                <w:rFonts w:eastAsia="Calibri" w:cs="Calibri"/>
                <w:sz w:val="20"/>
              </w:rPr>
              <w:t xml:space="preserve">267 </w:t>
            </w:r>
          </w:p>
        </w:tc>
        <w:tc>
          <w:tcPr>
            <w:tcW w:w="2127" w:type="dxa"/>
            <w:tcBorders>
              <w:top w:val="nil"/>
              <w:left w:val="nil"/>
              <w:bottom w:val="nil"/>
              <w:right w:val="single" w:sz="4" w:space="0" w:color="auto"/>
            </w:tcBorders>
            <w:shd w:val="clear" w:color="auto" w:fill="auto"/>
            <w:noWrap/>
            <w:hideMark/>
          </w:tcPr>
          <w:p w14:paraId="04C55A93" w14:textId="65E72A2A"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17</w:t>
            </w:r>
            <w:r w:rsidRPr="000310B5">
              <w:rPr>
                <w:sz w:val="20"/>
              </w:rPr>
              <w:t> </w:t>
            </w:r>
            <w:r w:rsidRPr="000310B5">
              <w:rPr>
                <w:rFonts w:eastAsia="Calibri" w:cs="Calibri"/>
                <w:sz w:val="20"/>
              </w:rPr>
              <w:t>441</w:t>
            </w:r>
          </w:p>
        </w:tc>
      </w:tr>
      <w:tr w:rsidR="000310B5" w:rsidRPr="00493002" w14:paraId="445E4B77" w14:textId="77777777" w:rsidTr="003A64C9">
        <w:tc>
          <w:tcPr>
            <w:tcW w:w="5382" w:type="dxa"/>
            <w:tcBorders>
              <w:top w:val="nil"/>
              <w:left w:val="single" w:sz="8" w:space="0" w:color="auto"/>
              <w:bottom w:val="nil"/>
              <w:right w:val="nil"/>
            </w:tcBorders>
            <w:shd w:val="clear" w:color="auto" w:fill="auto"/>
            <w:vAlign w:val="center"/>
            <w:hideMark/>
          </w:tcPr>
          <w:p w14:paraId="36328C65"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en-US" w:eastAsia="zh-CN"/>
              </w:rPr>
              <w:t>非流动资产总额</w:t>
            </w:r>
          </w:p>
        </w:tc>
        <w:tc>
          <w:tcPr>
            <w:tcW w:w="2126" w:type="dxa"/>
            <w:tcBorders>
              <w:top w:val="nil"/>
              <w:left w:val="nil"/>
              <w:bottom w:val="nil"/>
              <w:right w:val="single" w:sz="4" w:space="0" w:color="auto"/>
            </w:tcBorders>
            <w:shd w:val="clear" w:color="auto" w:fill="auto"/>
            <w:hideMark/>
          </w:tcPr>
          <w:p w14:paraId="4C40D070" w14:textId="4D831F0B"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102</w:t>
            </w:r>
            <w:r w:rsidRPr="000310B5">
              <w:rPr>
                <w:b/>
                <w:sz w:val="20"/>
              </w:rPr>
              <w:t> </w:t>
            </w:r>
            <w:r w:rsidRPr="000310B5">
              <w:rPr>
                <w:rFonts w:eastAsia="Calibri" w:cs="Calibri"/>
                <w:b/>
                <w:sz w:val="20"/>
              </w:rPr>
              <w:t xml:space="preserve">462 </w:t>
            </w:r>
          </w:p>
        </w:tc>
        <w:tc>
          <w:tcPr>
            <w:tcW w:w="2127" w:type="dxa"/>
            <w:tcBorders>
              <w:top w:val="nil"/>
              <w:left w:val="nil"/>
              <w:bottom w:val="nil"/>
              <w:right w:val="single" w:sz="4" w:space="0" w:color="auto"/>
            </w:tcBorders>
            <w:shd w:val="clear" w:color="auto" w:fill="auto"/>
            <w:hideMark/>
          </w:tcPr>
          <w:p w14:paraId="6D89390B" w14:textId="61F0541A"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106</w:t>
            </w:r>
            <w:r w:rsidRPr="000310B5">
              <w:rPr>
                <w:b/>
                <w:sz w:val="20"/>
              </w:rPr>
              <w:t> </w:t>
            </w:r>
            <w:r w:rsidRPr="000310B5">
              <w:rPr>
                <w:rFonts w:eastAsia="Calibri" w:cs="Calibri"/>
                <w:b/>
                <w:sz w:val="20"/>
              </w:rPr>
              <w:t xml:space="preserve">367 </w:t>
            </w:r>
          </w:p>
        </w:tc>
      </w:tr>
      <w:tr w:rsidR="0034509B" w:rsidRPr="00493002" w14:paraId="172760B5" w14:textId="77777777" w:rsidTr="003A64C9">
        <w:tc>
          <w:tcPr>
            <w:tcW w:w="5382" w:type="dxa"/>
            <w:tcBorders>
              <w:top w:val="nil"/>
              <w:left w:val="single" w:sz="8" w:space="0" w:color="auto"/>
              <w:bottom w:val="nil"/>
              <w:right w:val="nil"/>
            </w:tcBorders>
            <w:shd w:val="clear" w:color="auto" w:fill="auto"/>
            <w:vAlign w:val="center"/>
          </w:tcPr>
          <w:p w14:paraId="35154026" w14:textId="77777777" w:rsidR="0034509B" w:rsidRPr="00493002" w:rsidRDefault="0034509B" w:rsidP="000310B5">
            <w:pPr>
              <w:overflowPunct/>
              <w:autoSpaceDE/>
              <w:autoSpaceDN/>
              <w:adjustRightInd/>
              <w:spacing w:before="0"/>
              <w:textAlignment w:val="auto"/>
              <w:rPr>
                <w:rFonts w:cs="Calibri"/>
                <w:b/>
                <w:bCs/>
                <w:color w:val="000000"/>
                <w:sz w:val="20"/>
                <w:lang w:val="en-US" w:eastAsia="zh-CN"/>
              </w:rPr>
            </w:pPr>
          </w:p>
        </w:tc>
        <w:tc>
          <w:tcPr>
            <w:tcW w:w="2126" w:type="dxa"/>
            <w:tcBorders>
              <w:top w:val="nil"/>
              <w:left w:val="nil"/>
              <w:bottom w:val="nil"/>
              <w:right w:val="single" w:sz="4" w:space="0" w:color="auto"/>
            </w:tcBorders>
            <w:shd w:val="clear" w:color="auto" w:fill="auto"/>
          </w:tcPr>
          <w:p w14:paraId="0B4AC49B" w14:textId="77777777" w:rsidR="0034509B" w:rsidRPr="000310B5" w:rsidRDefault="0034509B" w:rsidP="000310B5">
            <w:pPr>
              <w:overflowPunct/>
              <w:autoSpaceDE/>
              <w:autoSpaceDN/>
              <w:adjustRightInd/>
              <w:spacing w:before="0"/>
              <w:jc w:val="right"/>
              <w:textAlignment w:val="auto"/>
              <w:rPr>
                <w:rFonts w:eastAsia="Calibri" w:cs="Calibri"/>
                <w:b/>
                <w:sz w:val="20"/>
              </w:rPr>
            </w:pPr>
          </w:p>
        </w:tc>
        <w:tc>
          <w:tcPr>
            <w:tcW w:w="2127" w:type="dxa"/>
            <w:tcBorders>
              <w:top w:val="nil"/>
              <w:left w:val="nil"/>
              <w:bottom w:val="nil"/>
              <w:right w:val="single" w:sz="4" w:space="0" w:color="auto"/>
            </w:tcBorders>
            <w:shd w:val="clear" w:color="auto" w:fill="auto"/>
          </w:tcPr>
          <w:p w14:paraId="4E6516C5" w14:textId="77777777" w:rsidR="0034509B" w:rsidRPr="000310B5" w:rsidRDefault="0034509B" w:rsidP="000310B5">
            <w:pPr>
              <w:overflowPunct/>
              <w:autoSpaceDE/>
              <w:autoSpaceDN/>
              <w:adjustRightInd/>
              <w:spacing w:before="0"/>
              <w:jc w:val="right"/>
              <w:textAlignment w:val="auto"/>
              <w:rPr>
                <w:rFonts w:eastAsia="Calibri" w:cs="Calibri"/>
                <w:b/>
                <w:sz w:val="20"/>
              </w:rPr>
            </w:pPr>
          </w:p>
        </w:tc>
      </w:tr>
      <w:tr w:rsidR="000310B5" w:rsidRPr="00493002" w14:paraId="3AEB52E1" w14:textId="77777777" w:rsidTr="003A64C9">
        <w:tc>
          <w:tcPr>
            <w:tcW w:w="5382" w:type="dxa"/>
            <w:tcBorders>
              <w:top w:val="single" w:sz="4" w:space="0" w:color="auto"/>
              <w:left w:val="single" w:sz="4" w:space="0" w:color="auto"/>
              <w:bottom w:val="single" w:sz="4" w:space="0" w:color="auto"/>
              <w:right w:val="nil"/>
            </w:tcBorders>
            <w:shd w:val="clear" w:color="auto" w:fill="auto"/>
            <w:noWrap/>
            <w:vAlign w:val="center"/>
            <w:hideMark/>
          </w:tcPr>
          <w:p w14:paraId="0617CC3D"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en-US" w:eastAsia="zh-CN"/>
              </w:rPr>
              <w:t>资产总额</w:t>
            </w:r>
          </w:p>
        </w:tc>
        <w:tc>
          <w:tcPr>
            <w:tcW w:w="2126" w:type="dxa"/>
            <w:tcBorders>
              <w:top w:val="single" w:sz="4" w:space="0" w:color="auto"/>
              <w:left w:val="nil"/>
              <w:bottom w:val="single" w:sz="4" w:space="0" w:color="auto"/>
              <w:right w:val="single" w:sz="4" w:space="0" w:color="auto"/>
            </w:tcBorders>
            <w:shd w:val="clear" w:color="auto" w:fill="auto"/>
            <w:noWrap/>
            <w:hideMark/>
          </w:tcPr>
          <w:p w14:paraId="5A0302B2" w14:textId="6DB2C860"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423</w:t>
            </w:r>
            <w:r w:rsidRPr="000310B5">
              <w:rPr>
                <w:b/>
                <w:sz w:val="20"/>
              </w:rPr>
              <w:t> </w:t>
            </w:r>
            <w:r w:rsidRPr="000310B5">
              <w:rPr>
                <w:rFonts w:eastAsia="Calibri" w:cs="Calibri"/>
                <w:b/>
                <w:sz w:val="20"/>
              </w:rPr>
              <w:t>392</w:t>
            </w:r>
          </w:p>
        </w:tc>
        <w:tc>
          <w:tcPr>
            <w:tcW w:w="2127" w:type="dxa"/>
            <w:tcBorders>
              <w:top w:val="single" w:sz="4" w:space="0" w:color="auto"/>
              <w:left w:val="nil"/>
              <w:bottom w:val="single" w:sz="4" w:space="0" w:color="auto"/>
              <w:right w:val="single" w:sz="4" w:space="0" w:color="auto"/>
            </w:tcBorders>
            <w:shd w:val="clear" w:color="auto" w:fill="auto"/>
            <w:noWrap/>
            <w:hideMark/>
          </w:tcPr>
          <w:p w14:paraId="408B4BE4" w14:textId="5BDE4E76"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408</w:t>
            </w:r>
            <w:r w:rsidRPr="000310B5">
              <w:rPr>
                <w:b/>
                <w:sz w:val="20"/>
              </w:rPr>
              <w:t> </w:t>
            </w:r>
            <w:r w:rsidRPr="000310B5">
              <w:rPr>
                <w:rFonts w:eastAsia="Calibri" w:cs="Calibri"/>
                <w:b/>
                <w:sz w:val="20"/>
              </w:rPr>
              <w:t>974</w:t>
            </w:r>
          </w:p>
        </w:tc>
      </w:tr>
      <w:tr w:rsidR="000310B5" w:rsidRPr="00493002" w14:paraId="770B2235" w14:textId="77777777" w:rsidTr="003A64C9">
        <w:tc>
          <w:tcPr>
            <w:tcW w:w="5382" w:type="dxa"/>
            <w:tcBorders>
              <w:top w:val="nil"/>
              <w:left w:val="single" w:sz="8" w:space="0" w:color="auto"/>
              <w:bottom w:val="nil"/>
              <w:right w:val="nil"/>
            </w:tcBorders>
            <w:shd w:val="clear" w:color="auto" w:fill="auto"/>
            <w:vAlign w:val="center"/>
            <w:hideMark/>
          </w:tcPr>
          <w:p w14:paraId="70D74E8A"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en-US" w:eastAsia="zh-CN"/>
              </w:rPr>
              <w:t>负债</w:t>
            </w:r>
          </w:p>
        </w:tc>
        <w:tc>
          <w:tcPr>
            <w:tcW w:w="2126" w:type="dxa"/>
            <w:tcBorders>
              <w:top w:val="nil"/>
              <w:left w:val="nil"/>
              <w:bottom w:val="nil"/>
              <w:right w:val="single" w:sz="4" w:space="0" w:color="auto"/>
            </w:tcBorders>
            <w:shd w:val="clear" w:color="auto" w:fill="auto"/>
            <w:vAlign w:val="bottom"/>
            <w:hideMark/>
          </w:tcPr>
          <w:p w14:paraId="0EECE4F2"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c>
          <w:tcPr>
            <w:tcW w:w="2127" w:type="dxa"/>
            <w:tcBorders>
              <w:top w:val="nil"/>
              <w:left w:val="nil"/>
              <w:bottom w:val="nil"/>
              <w:right w:val="single" w:sz="4" w:space="0" w:color="auto"/>
            </w:tcBorders>
            <w:shd w:val="clear" w:color="auto" w:fill="auto"/>
            <w:vAlign w:val="bottom"/>
            <w:hideMark/>
          </w:tcPr>
          <w:p w14:paraId="3117BF1A"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r>
      <w:tr w:rsidR="000310B5" w:rsidRPr="00493002" w14:paraId="787C4951" w14:textId="77777777" w:rsidTr="003A64C9">
        <w:tc>
          <w:tcPr>
            <w:tcW w:w="5382" w:type="dxa"/>
            <w:tcBorders>
              <w:top w:val="nil"/>
              <w:left w:val="single" w:sz="8" w:space="0" w:color="auto"/>
              <w:bottom w:val="nil"/>
              <w:right w:val="nil"/>
            </w:tcBorders>
            <w:shd w:val="clear" w:color="auto" w:fill="auto"/>
            <w:vAlign w:val="center"/>
            <w:hideMark/>
          </w:tcPr>
          <w:p w14:paraId="012C3C53"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en-US" w:eastAsia="zh-CN"/>
              </w:rPr>
              <w:t>流动负债</w:t>
            </w:r>
          </w:p>
        </w:tc>
        <w:tc>
          <w:tcPr>
            <w:tcW w:w="2126" w:type="dxa"/>
            <w:tcBorders>
              <w:top w:val="nil"/>
              <w:left w:val="nil"/>
              <w:bottom w:val="nil"/>
              <w:right w:val="single" w:sz="4" w:space="0" w:color="auto"/>
            </w:tcBorders>
            <w:shd w:val="clear" w:color="auto" w:fill="auto"/>
            <w:vAlign w:val="bottom"/>
            <w:hideMark/>
          </w:tcPr>
          <w:p w14:paraId="1912F361"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c>
          <w:tcPr>
            <w:tcW w:w="2127" w:type="dxa"/>
            <w:tcBorders>
              <w:top w:val="nil"/>
              <w:left w:val="nil"/>
              <w:bottom w:val="nil"/>
              <w:right w:val="single" w:sz="4" w:space="0" w:color="auto"/>
            </w:tcBorders>
            <w:shd w:val="clear" w:color="auto" w:fill="auto"/>
            <w:vAlign w:val="bottom"/>
            <w:hideMark/>
          </w:tcPr>
          <w:p w14:paraId="070F7EB3"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r>
      <w:tr w:rsidR="000310B5" w:rsidRPr="00493002" w14:paraId="06A61EEE" w14:textId="77777777" w:rsidTr="003A64C9">
        <w:tc>
          <w:tcPr>
            <w:tcW w:w="5382" w:type="dxa"/>
            <w:tcBorders>
              <w:top w:val="nil"/>
              <w:left w:val="single" w:sz="8" w:space="0" w:color="auto"/>
              <w:bottom w:val="nil"/>
              <w:right w:val="nil"/>
            </w:tcBorders>
            <w:shd w:val="clear" w:color="auto" w:fill="auto"/>
            <w:vAlign w:val="center"/>
            <w:hideMark/>
          </w:tcPr>
          <w:p w14:paraId="53159808"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供应商和其它债权人</w:t>
            </w:r>
          </w:p>
        </w:tc>
        <w:tc>
          <w:tcPr>
            <w:tcW w:w="2126" w:type="dxa"/>
            <w:tcBorders>
              <w:top w:val="nil"/>
              <w:left w:val="nil"/>
              <w:bottom w:val="nil"/>
              <w:right w:val="single" w:sz="4" w:space="0" w:color="auto"/>
            </w:tcBorders>
            <w:shd w:val="clear" w:color="auto" w:fill="auto"/>
            <w:vAlign w:val="bottom"/>
            <w:hideMark/>
          </w:tcPr>
          <w:p w14:paraId="7E7646D7" w14:textId="6FE41F2F"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6</w:t>
            </w:r>
            <w:r w:rsidRPr="000310B5">
              <w:rPr>
                <w:sz w:val="20"/>
              </w:rPr>
              <w:t> </w:t>
            </w:r>
            <w:r w:rsidRPr="000310B5">
              <w:rPr>
                <w:rFonts w:eastAsia="Calibri" w:cs="Calibri"/>
                <w:sz w:val="20"/>
              </w:rPr>
              <w:t xml:space="preserve">796 </w:t>
            </w:r>
          </w:p>
        </w:tc>
        <w:tc>
          <w:tcPr>
            <w:tcW w:w="2127" w:type="dxa"/>
            <w:tcBorders>
              <w:top w:val="nil"/>
              <w:left w:val="nil"/>
              <w:bottom w:val="nil"/>
              <w:right w:val="single" w:sz="4" w:space="0" w:color="auto"/>
            </w:tcBorders>
            <w:shd w:val="clear" w:color="auto" w:fill="auto"/>
            <w:vAlign w:val="bottom"/>
            <w:hideMark/>
          </w:tcPr>
          <w:p w14:paraId="1A88A171" w14:textId="4DC4F0C9"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6</w:t>
            </w:r>
            <w:r w:rsidRPr="000310B5">
              <w:rPr>
                <w:sz w:val="20"/>
              </w:rPr>
              <w:t> </w:t>
            </w:r>
            <w:r w:rsidRPr="000310B5">
              <w:rPr>
                <w:rFonts w:eastAsia="Calibri" w:cs="Calibri"/>
                <w:sz w:val="20"/>
              </w:rPr>
              <w:t>015</w:t>
            </w:r>
          </w:p>
        </w:tc>
      </w:tr>
      <w:tr w:rsidR="000310B5" w:rsidRPr="00493002" w14:paraId="0BFCA1F7" w14:textId="77777777" w:rsidTr="003A64C9">
        <w:tc>
          <w:tcPr>
            <w:tcW w:w="5382" w:type="dxa"/>
            <w:tcBorders>
              <w:top w:val="nil"/>
              <w:left w:val="single" w:sz="8" w:space="0" w:color="auto"/>
              <w:bottom w:val="nil"/>
              <w:right w:val="nil"/>
            </w:tcBorders>
            <w:shd w:val="clear" w:color="auto" w:fill="auto"/>
            <w:vAlign w:val="center"/>
            <w:hideMark/>
          </w:tcPr>
          <w:p w14:paraId="2DFD50C0"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递延收入</w:t>
            </w:r>
          </w:p>
        </w:tc>
        <w:tc>
          <w:tcPr>
            <w:tcW w:w="2126" w:type="dxa"/>
            <w:tcBorders>
              <w:top w:val="nil"/>
              <w:left w:val="nil"/>
              <w:bottom w:val="nil"/>
              <w:right w:val="single" w:sz="4" w:space="0" w:color="auto"/>
            </w:tcBorders>
            <w:shd w:val="clear" w:color="auto" w:fill="auto"/>
            <w:hideMark/>
          </w:tcPr>
          <w:p w14:paraId="6A0FA9BE" w14:textId="60086A7B"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132</w:t>
            </w:r>
            <w:r w:rsidRPr="000310B5">
              <w:rPr>
                <w:sz w:val="20"/>
              </w:rPr>
              <w:t> </w:t>
            </w:r>
            <w:r w:rsidRPr="000310B5">
              <w:rPr>
                <w:rFonts w:eastAsia="Calibri" w:cs="Calibri"/>
                <w:sz w:val="20"/>
              </w:rPr>
              <w:t xml:space="preserve">416 </w:t>
            </w:r>
          </w:p>
        </w:tc>
        <w:tc>
          <w:tcPr>
            <w:tcW w:w="2127" w:type="dxa"/>
            <w:tcBorders>
              <w:top w:val="nil"/>
              <w:left w:val="nil"/>
              <w:bottom w:val="nil"/>
              <w:right w:val="single" w:sz="4" w:space="0" w:color="auto"/>
            </w:tcBorders>
            <w:shd w:val="clear" w:color="auto" w:fill="auto"/>
            <w:hideMark/>
          </w:tcPr>
          <w:p w14:paraId="75EFCF9D" w14:textId="4D81230C"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132</w:t>
            </w:r>
            <w:r w:rsidRPr="000310B5">
              <w:rPr>
                <w:sz w:val="20"/>
              </w:rPr>
              <w:t> </w:t>
            </w:r>
            <w:r w:rsidRPr="000310B5">
              <w:rPr>
                <w:rFonts w:eastAsia="Calibri" w:cs="Calibri"/>
                <w:sz w:val="20"/>
              </w:rPr>
              <w:t xml:space="preserve">566 </w:t>
            </w:r>
          </w:p>
        </w:tc>
      </w:tr>
      <w:tr w:rsidR="000310B5" w:rsidRPr="00493002" w14:paraId="567861E3" w14:textId="77777777" w:rsidTr="003A64C9">
        <w:tc>
          <w:tcPr>
            <w:tcW w:w="5382" w:type="dxa"/>
            <w:tcBorders>
              <w:top w:val="nil"/>
              <w:left w:val="single" w:sz="8" w:space="0" w:color="auto"/>
              <w:bottom w:val="nil"/>
              <w:right w:val="nil"/>
            </w:tcBorders>
            <w:shd w:val="clear" w:color="auto" w:fill="auto"/>
            <w:vAlign w:val="center"/>
            <w:hideMark/>
          </w:tcPr>
          <w:p w14:paraId="75DE31CE"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借款和理财负债</w:t>
            </w:r>
          </w:p>
        </w:tc>
        <w:tc>
          <w:tcPr>
            <w:tcW w:w="2126" w:type="dxa"/>
            <w:tcBorders>
              <w:top w:val="nil"/>
              <w:left w:val="nil"/>
              <w:bottom w:val="nil"/>
              <w:right w:val="single" w:sz="4" w:space="0" w:color="auto"/>
            </w:tcBorders>
            <w:shd w:val="clear" w:color="auto" w:fill="auto"/>
            <w:hideMark/>
          </w:tcPr>
          <w:p w14:paraId="6829AB10" w14:textId="6DA1B887"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1</w:t>
            </w:r>
            <w:r w:rsidRPr="000310B5">
              <w:rPr>
                <w:sz w:val="20"/>
              </w:rPr>
              <w:t> </w:t>
            </w:r>
            <w:r w:rsidRPr="000310B5">
              <w:rPr>
                <w:rFonts w:eastAsia="Calibri" w:cs="Calibri"/>
                <w:sz w:val="20"/>
              </w:rPr>
              <w:t xml:space="preserve">391 </w:t>
            </w:r>
          </w:p>
        </w:tc>
        <w:tc>
          <w:tcPr>
            <w:tcW w:w="2127" w:type="dxa"/>
            <w:tcBorders>
              <w:top w:val="nil"/>
              <w:left w:val="nil"/>
              <w:bottom w:val="nil"/>
              <w:right w:val="single" w:sz="4" w:space="0" w:color="auto"/>
            </w:tcBorders>
            <w:shd w:val="clear" w:color="auto" w:fill="auto"/>
            <w:hideMark/>
          </w:tcPr>
          <w:p w14:paraId="21946F23" w14:textId="24FE722C"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1</w:t>
            </w:r>
            <w:r w:rsidRPr="000310B5">
              <w:rPr>
                <w:sz w:val="20"/>
              </w:rPr>
              <w:t> </w:t>
            </w:r>
            <w:r w:rsidRPr="000310B5">
              <w:rPr>
                <w:rFonts w:eastAsia="Calibri" w:cs="Calibri"/>
                <w:sz w:val="20"/>
              </w:rPr>
              <w:t>391</w:t>
            </w:r>
          </w:p>
        </w:tc>
      </w:tr>
      <w:tr w:rsidR="000310B5" w:rsidRPr="00493002" w14:paraId="5D9DB907" w14:textId="77777777" w:rsidTr="003A64C9">
        <w:tc>
          <w:tcPr>
            <w:tcW w:w="5382" w:type="dxa"/>
            <w:tcBorders>
              <w:top w:val="nil"/>
              <w:left w:val="single" w:sz="8" w:space="0" w:color="auto"/>
              <w:bottom w:val="nil"/>
              <w:right w:val="nil"/>
            </w:tcBorders>
            <w:shd w:val="clear" w:color="auto" w:fill="auto"/>
            <w:vAlign w:val="center"/>
            <w:hideMark/>
          </w:tcPr>
          <w:p w14:paraId="635028F0"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职员福利</w:t>
            </w:r>
          </w:p>
        </w:tc>
        <w:tc>
          <w:tcPr>
            <w:tcW w:w="2126" w:type="dxa"/>
            <w:tcBorders>
              <w:top w:val="nil"/>
              <w:left w:val="nil"/>
              <w:bottom w:val="nil"/>
              <w:right w:val="single" w:sz="4" w:space="0" w:color="auto"/>
            </w:tcBorders>
            <w:shd w:val="clear" w:color="auto" w:fill="auto"/>
            <w:hideMark/>
          </w:tcPr>
          <w:p w14:paraId="153F7979" w14:textId="43B57036"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 xml:space="preserve">424 </w:t>
            </w:r>
          </w:p>
        </w:tc>
        <w:tc>
          <w:tcPr>
            <w:tcW w:w="2127" w:type="dxa"/>
            <w:tcBorders>
              <w:top w:val="nil"/>
              <w:left w:val="nil"/>
              <w:bottom w:val="nil"/>
              <w:right w:val="single" w:sz="4" w:space="0" w:color="auto"/>
            </w:tcBorders>
            <w:shd w:val="clear" w:color="auto" w:fill="auto"/>
            <w:hideMark/>
          </w:tcPr>
          <w:p w14:paraId="3F23DB38" w14:textId="384EF214"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 xml:space="preserve">10 </w:t>
            </w:r>
          </w:p>
        </w:tc>
      </w:tr>
      <w:tr w:rsidR="000310B5" w:rsidRPr="00493002" w14:paraId="3A146CE2" w14:textId="77777777" w:rsidTr="003A64C9">
        <w:tc>
          <w:tcPr>
            <w:tcW w:w="5382" w:type="dxa"/>
            <w:tcBorders>
              <w:top w:val="nil"/>
              <w:left w:val="single" w:sz="8" w:space="0" w:color="auto"/>
              <w:bottom w:val="nil"/>
              <w:right w:val="nil"/>
            </w:tcBorders>
            <w:shd w:val="clear" w:color="auto" w:fill="auto"/>
            <w:vAlign w:val="center"/>
            <w:hideMark/>
          </w:tcPr>
          <w:p w14:paraId="06D0188A"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准备金</w:t>
            </w:r>
          </w:p>
        </w:tc>
        <w:tc>
          <w:tcPr>
            <w:tcW w:w="2126" w:type="dxa"/>
            <w:tcBorders>
              <w:top w:val="nil"/>
              <w:left w:val="nil"/>
              <w:bottom w:val="nil"/>
              <w:right w:val="single" w:sz="4" w:space="0" w:color="auto"/>
            </w:tcBorders>
            <w:shd w:val="clear" w:color="auto" w:fill="auto"/>
            <w:hideMark/>
          </w:tcPr>
          <w:p w14:paraId="784A152F" w14:textId="52D7A0B6"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1</w:t>
            </w:r>
            <w:r w:rsidRPr="000310B5">
              <w:rPr>
                <w:sz w:val="20"/>
              </w:rPr>
              <w:t> </w:t>
            </w:r>
            <w:r w:rsidRPr="000310B5">
              <w:rPr>
                <w:rFonts w:eastAsia="Calibri" w:cs="Calibri"/>
                <w:sz w:val="20"/>
              </w:rPr>
              <w:t xml:space="preserve">372 </w:t>
            </w:r>
          </w:p>
        </w:tc>
        <w:tc>
          <w:tcPr>
            <w:tcW w:w="2127" w:type="dxa"/>
            <w:tcBorders>
              <w:top w:val="nil"/>
              <w:left w:val="nil"/>
              <w:bottom w:val="nil"/>
              <w:right w:val="single" w:sz="4" w:space="0" w:color="auto"/>
            </w:tcBorders>
            <w:shd w:val="clear" w:color="auto" w:fill="auto"/>
            <w:hideMark/>
          </w:tcPr>
          <w:p w14:paraId="4D1BAEF9" w14:textId="0838FDC9"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 xml:space="preserve"> 1</w:t>
            </w:r>
            <w:r w:rsidRPr="000310B5">
              <w:rPr>
                <w:sz w:val="20"/>
              </w:rPr>
              <w:t> </w:t>
            </w:r>
            <w:r w:rsidRPr="000310B5">
              <w:rPr>
                <w:rFonts w:eastAsia="Calibri" w:cs="Calibri"/>
                <w:sz w:val="20"/>
              </w:rPr>
              <w:t>105</w:t>
            </w:r>
          </w:p>
        </w:tc>
      </w:tr>
      <w:tr w:rsidR="000310B5" w:rsidRPr="00493002" w14:paraId="66C2D6BC" w14:textId="77777777" w:rsidTr="003A64C9">
        <w:tc>
          <w:tcPr>
            <w:tcW w:w="5382" w:type="dxa"/>
            <w:tcBorders>
              <w:top w:val="nil"/>
              <w:left w:val="single" w:sz="8" w:space="0" w:color="auto"/>
              <w:bottom w:val="nil"/>
              <w:right w:val="nil"/>
            </w:tcBorders>
            <w:shd w:val="clear" w:color="auto" w:fill="auto"/>
            <w:vAlign w:val="center"/>
            <w:hideMark/>
          </w:tcPr>
          <w:p w14:paraId="3CA1FF8E"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其它债务</w:t>
            </w:r>
          </w:p>
        </w:tc>
        <w:tc>
          <w:tcPr>
            <w:tcW w:w="2126" w:type="dxa"/>
            <w:tcBorders>
              <w:top w:val="nil"/>
              <w:left w:val="nil"/>
              <w:bottom w:val="nil"/>
              <w:right w:val="single" w:sz="4" w:space="0" w:color="auto"/>
            </w:tcBorders>
            <w:shd w:val="clear" w:color="auto" w:fill="auto"/>
            <w:hideMark/>
          </w:tcPr>
          <w:p w14:paraId="2DD5C22E" w14:textId="1F8A0700"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4</w:t>
            </w:r>
            <w:r w:rsidRPr="000310B5">
              <w:rPr>
                <w:sz w:val="20"/>
              </w:rPr>
              <w:t> </w:t>
            </w:r>
            <w:r w:rsidRPr="000310B5">
              <w:rPr>
                <w:rFonts w:eastAsia="Calibri" w:cs="Calibri"/>
                <w:sz w:val="20"/>
              </w:rPr>
              <w:t xml:space="preserve">804 </w:t>
            </w:r>
          </w:p>
        </w:tc>
        <w:tc>
          <w:tcPr>
            <w:tcW w:w="2127" w:type="dxa"/>
            <w:tcBorders>
              <w:top w:val="nil"/>
              <w:left w:val="nil"/>
              <w:bottom w:val="nil"/>
              <w:right w:val="single" w:sz="4" w:space="0" w:color="auto"/>
            </w:tcBorders>
            <w:shd w:val="clear" w:color="auto" w:fill="auto"/>
            <w:hideMark/>
          </w:tcPr>
          <w:p w14:paraId="7C871F25" w14:textId="37A17FEC"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4</w:t>
            </w:r>
            <w:r w:rsidRPr="000310B5">
              <w:rPr>
                <w:sz w:val="20"/>
              </w:rPr>
              <w:t> </w:t>
            </w:r>
            <w:r w:rsidRPr="000310B5">
              <w:rPr>
                <w:rFonts w:eastAsia="Calibri" w:cs="Calibri"/>
                <w:sz w:val="20"/>
              </w:rPr>
              <w:t>999</w:t>
            </w:r>
          </w:p>
        </w:tc>
      </w:tr>
      <w:tr w:rsidR="000310B5" w:rsidRPr="00493002" w14:paraId="54CA9275" w14:textId="77777777" w:rsidTr="003A64C9">
        <w:tc>
          <w:tcPr>
            <w:tcW w:w="5382" w:type="dxa"/>
            <w:tcBorders>
              <w:top w:val="nil"/>
              <w:left w:val="single" w:sz="8" w:space="0" w:color="auto"/>
              <w:bottom w:val="nil"/>
              <w:right w:val="nil"/>
            </w:tcBorders>
            <w:shd w:val="clear" w:color="auto" w:fill="auto"/>
            <w:vAlign w:val="center"/>
            <w:hideMark/>
          </w:tcPr>
          <w:p w14:paraId="5BB4D3B8"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UNSMIS</w:t>
            </w:r>
          </w:p>
        </w:tc>
        <w:tc>
          <w:tcPr>
            <w:tcW w:w="2126" w:type="dxa"/>
            <w:tcBorders>
              <w:top w:val="nil"/>
              <w:left w:val="nil"/>
              <w:bottom w:val="nil"/>
              <w:right w:val="single" w:sz="4" w:space="0" w:color="auto"/>
            </w:tcBorders>
            <w:shd w:val="clear" w:color="auto" w:fill="auto"/>
            <w:hideMark/>
          </w:tcPr>
          <w:p w14:paraId="432B297D" w14:textId="49A07645"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1</w:t>
            </w:r>
            <w:r w:rsidRPr="000310B5">
              <w:rPr>
                <w:sz w:val="20"/>
              </w:rPr>
              <w:t> </w:t>
            </w:r>
            <w:r w:rsidRPr="000310B5">
              <w:rPr>
                <w:rFonts w:eastAsia="Calibri" w:cs="Calibri"/>
                <w:sz w:val="20"/>
              </w:rPr>
              <w:t xml:space="preserve">539 </w:t>
            </w:r>
          </w:p>
        </w:tc>
        <w:tc>
          <w:tcPr>
            <w:tcW w:w="2127" w:type="dxa"/>
            <w:tcBorders>
              <w:top w:val="nil"/>
              <w:left w:val="nil"/>
              <w:bottom w:val="nil"/>
              <w:right w:val="single" w:sz="4" w:space="0" w:color="auto"/>
            </w:tcBorders>
            <w:shd w:val="clear" w:color="auto" w:fill="auto"/>
            <w:hideMark/>
          </w:tcPr>
          <w:p w14:paraId="69E36C9C" w14:textId="331334C0"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1</w:t>
            </w:r>
            <w:r w:rsidRPr="000310B5">
              <w:rPr>
                <w:sz w:val="20"/>
              </w:rPr>
              <w:t> </w:t>
            </w:r>
            <w:r w:rsidRPr="000310B5">
              <w:rPr>
                <w:rFonts w:eastAsia="Calibri" w:cs="Calibri"/>
                <w:sz w:val="20"/>
              </w:rPr>
              <w:t>493</w:t>
            </w:r>
          </w:p>
        </w:tc>
      </w:tr>
      <w:tr w:rsidR="000310B5" w:rsidRPr="00493002" w14:paraId="518D5106" w14:textId="77777777" w:rsidTr="003A64C9">
        <w:tc>
          <w:tcPr>
            <w:tcW w:w="5382" w:type="dxa"/>
            <w:tcBorders>
              <w:top w:val="nil"/>
              <w:left w:val="single" w:sz="8" w:space="0" w:color="auto"/>
              <w:bottom w:val="nil"/>
              <w:right w:val="nil"/>
            </w:tcBorders>
            <w:shd w:val="clear" w:color="auto" w:fill="auto"/>
            <w:vAlign w:val="center"/>
            <w:hideMark/>
          </w:tcPr>
          <w:p w14:paraId="7A618105"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fr-FR" w:eastAsia="zh-CN"/>
              </w:rPr>
              <w:t>流动负债总额</w:t>
            </w:r>
          </w:p>
        </w:tc>
        <w:tc>
          <w:tcPr>
            <w:tcW w:w="2126" w:type="dxa"/>
            <w:tcBorders>
              <w:top w:val="nil"/>
              <w:left w:val="nil"/>
              <w:bottom w:val="nil"/>
              <w:right w:val="single" w:sz="4" w:space="0" w:color="auto"/>
            </w:tcBorders>
            <w:shd w:val="clear" w:color="auto" w:fill="auto"/>
            <w:hideMark/>
          </w:tcPr>
          <w:p w14:paraId="099F99F3" w14:textId="36437858"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148</w:t>
            </w:r>
            <w:r w:rsidRPr="000310B5">
              <w:rPr>
                <w:b/>
                <w:sz w:val="20"/>
              </w:rPr>
              <w:t> </w:t>
            </w:r>
            <w:r w:rsidRPr="000310B5">
              <w:rPr>
                <w:rFonts w:eastAsia="Calibri" w:cs="Calibri"/>
                <w:b/>
                <w:sz w:val="20"/>
              </w:rPr>
              <w:t xml:space="preserve">742 </w:t>
            </w:r>
          </w:p>
        </w:tc>
        <w:tc>
          <w:tcPr>
            <w:tcW w:w="2127" w:type="dxa"/>
            <w:tcBorders>
              <w:top w:val="nil"/>
              <w:left w:val="nil"/>
              <w:bottom w:val="nil"/>
              <w:right w:val="single" w:sz="4" w:space="0" w:color="auto"/>
            </w:tcBorders>
            <w:shd w:val="clear" w:color="auto" w:fill="auto"/>
            <w:hideMark/>
          </w:tcPr>
          <w:p w14:paraId="4AE1BFF1" w14:textId="42D07327"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147</w:t>
            </w:r>
            <w:r w:rsidRPr="000310B5">
              <w:rPr>
                <w:b/>
                <w:sz w:val="20"/>
              </w:rPr>
              <w:t> </w:t>
            </w:r>
            <w:r w:rsidRPr="000310B5">
              <w:rPr>
                <w:rFonts w:eastAsia="Calibri" w:cs="Calibri"/>
                <w:b/>
                <w:sz w:val="20"/>
              </w:rPr>
              <w:t xml:space="preserve">579 </w:t>
            </w:r>
          </w:p>
        </w:tc>
      </w:tr>
      <w:tr w:rsidR="0034509B" w:rsidRPr="00493002" w14:paraId="05292B38" w14:textId="77777777" w:rsidTr="003A64C9">
        <w:tc>
          <w:tcPr>
            <w:tcW w:w="5382" w:type="dxa"/>
            <w:tcBorders>
              <w:top w:val="nil"/>
              <w:left w:val="single" w:sz="8" w:space="0" w:color="auto"/>
              <w:bottom w:val="nil"/>
              <w:right w:val="nil"/>
            </w:tcBorders>
            <w:shd w:val="clear" w:color="auto" w:fill="auto"/>
            <w:vAlign w:val="center"/>
          </w:tcPr>
          <w:p w14:paraId="30B54B3B" w14:textId="77777777" w:rsidR="0034509B" w:rsidRPr="00493002" w:rsidRDefault="0034509B" w:rsidP="000310B5">
            <w:pPr>
              <w:overflowPunct/>
              <w:autoSpaceDE/>
              <w:autoSpaceDN/>
              <w:adjustRightInd/>
              <w:spacing w:before="0"/>
              <w:textAlignment w:val="auto"/>
              <w:rPr>
                <w:rFonts w:cs="Calibri"/>
                <w:b/>
                <w:bCs/>
                <w:color w:val="000000"/>
                <w:sz w:val="20"/>
                <w:lang w:val="en-US" w:eastAsia="zh-CN"/>
              </w:rPr>
            </w:pPr>
          </w:p>
        </w:tc>
        <w:tc>
          <w:tcPr>
            <w:tcW w:w="2126" w:type="dxa"/>
            <w:tcBorders>
              <w:top w:val="nil"/>
              <w:left w:val="nil"/>
              <w:bottom w:val="nil"/>
              <w:right w:val="single" w:sz="4" w:space="0" w:color="auto"/>
            </w:tcBorders>
            <w:shd w:val="clear" w:color="auto" w:fill="auto"/>
            <w:vAlign w:val="bottom"/>
          </w:tcPr>
          <w:p w14:paraId="3613DAC5" w14:textId="77777777" w:rsidR="0034509B" w:rsidRPr="000310B5" w:rsidRDefault="0034509B" w:rsidP="000310B5">
            <w:pPr>
              <w:overflowPunct/>
              <w:autoSpaceDE/>
              <w:autoSpaceDN/>
              <w:adjustRightInd/>
              <w:spacing w:before="0"/>
              <w:jc w:val="right"/>
              <w:textAlignment w:val="auto"/>
              <w:rPr>
                <w:rFonts w:cs="Calibri"/>
                <w:color w:val="000000"/>
                <w:sz w:val="20"/>
                <w:lang w:val="en-US" w:eastAsia="zh-CN"/>
              </w:rPr>
            </w:pPr>
          </w:p>
        </w:tc>
        <w:tc>
          <w:tcPr>
            <w:tcW w:w="2127" w:type="dxa"/>
            <w:tcBorders>
              <w:top w:val="nil"/>
              <w:left w:val="nil"/>
              <w:bottom w:val="nil"/>
              <w:right w:val="single" w:sz="4" w:space="0" w:color="auto"/>
            </w:tcBorders>
            <w:shd w:val="clear" w:color="auto" w:fill="auto"/>
            <w:vAlign w:val="bottom"/>
          </w:tcPr>
          <w:p w14:paraId="32BC8438" w14:textId="77777777" w:rsidR="0034509B" w:rsidRPr="000310B5" w:rsidRDefault="0034509B" w:rsidP="000310B5">
            <w:pPr>
              <w:overflowPunct/>
              <w:autoSpaceDE/>
              <w:autoSpaceDN/>
              <w:adjustRightInd/>
              <w:spacing w:before="0"/>
              <w:jc w:val="right"/>
              <w:textAlignment w:val="auto"/>
              <w:rPr>
                <w:rFonts w:cs="Calibri"/>
                <w:color w:val="000000"/>
                <w:sz w:val="20"/>
                <w:lang w:val="en-US" w:eastAsia="zh-CN"/>
              </w:rPr>
            </w:pPr>
          </w:p>
        </w:tc>
      </w:tr>
      <w:tr w:rsidR="000310B5" w:rsidRPr="00493002" w14:paraId="263568FE" w14:textId="77777777" w:rsidTr="003A64C9">
        <w:tc>
          <w:tcPr>
            <w:tcW w:w="5382" w:type="dxa"/>
            <w:tcBorders>
              <w:top w:val="nil"/>
              <w:left w:val="single" w:sz="8" w:space="0" w:color="auto"/>
              <w:bottom w:val="nil"/>
              <w:right w:val="nil"/>
            </w:tcBorders>
            <w:shd w:val="clear" w:color="auto" w:fill="auto"/>
            <w:vAlign w:val="center"/>
            <w:hideMark/>
          </w:tcPr>
          <w:p w14:paraId="25A3686E"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en-US" w:eastAsia="zh-CN"/>
              </w:rPr>
              <w:t>非流动负债</w:t>
            </w:r>
          </w:p>
        </w:tc>
        <w:tc>
          <w:tcPr>
            <w:tcW w:w="2126" w:type="dxa"/>
            <w:tcBorders>
              <w:top w:val="nil"/>
              <w:left w:val="nil"/>
              <w:bottom w:val="nil"/>
              <w:right w:val="single" w:sz="4" w:space="0" w:color="auto"/>
            </w:tcBorders>
            <w:shd w:val="clear" w:color="auto" w:fill="auto"/>
            <w:vAlign w:val="bottom"/>
            <w:hideMark/>
          </w:tcPr>
          <w:p w14:paraId="08EA0873"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c>
          <w:tcPr>
            <w:tcW w:w="2127" w:type="dxa"/>
            <w:tcBorders>
              <w:top w:val="nil"/>
              <w:left w:val="nil"/>
              <w:bottom w:val="nil"/>
              <w:right w:val="single" w:sz="4" w:space="0" w:color="auto"/>
            </w:tcBorders>
            <w:shd w:val="clear" w:color="auto" w:fill="auto"/>
            <w:vAlign w:val="bottom"/>
            <w:hideMark/>
          </w:tcPr>
          <w:p w14:paraId="1552D801"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r>
      <w:tr w:rsidR="000310B5" w:rsidRPr="00493002" w14:paraId="144D953F" w14:textId="77777777" w:rsidTr="003A64C9">
        <w:tc>
          <w:tcPr>
            <w:tcW w:w="5382" w:type="dxa"/>
            <w:tcBorders>
              <w:top w:val="nil"/>
              <w:left w:val="single" w:sz="8" w:space="0" w:color="auto"/>
              <w:bottom w:val="nil"/>
              <w:right w:val="nil"/>
            </w:tcBorders>
            <w:shd w:val="clear" w:color="auto" w:fill="auto"/>
            <w:vAlign w:val="center"/>
            <w:hideMark/>
          </w:tcPr>
          <w:p w14:paraId="6A09AED0"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借款</w:t>
            </w:r>
          </w:p>
        </w:tc>
        <w:tc>
          <w:tcPr>
            <w:tcW w:w="2126" w:type="dxa"/>
            <w:tcBorders>
              <w:top w:val="nil"/>
              <w:left w:val="nil"/>
              <w:bottom w:val="nil"/>
              <w:right w:val="single" w:sz="4" w:space="0" w:color="auto"/>
            </w:tcBorders>
            <w:shd w:val="clear" w:color="auto" w:fill="auto"/>
            <w:vAlign w:val="bottom"/>
            <w:hideMark/>
          </w:tcPr>
          <w:p w14:paraId="108459E7" w14:textId="5CB00C19"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51</w:t>
            </w:r>
            <w:r w:rsidRPr="000310B5">
              <w:rPr>
                <w:sz w:val="20"/>
              </w:rPr>
              <w:t> </w:t>
            </w:r>
            <w:r w:rsidRPr="000310B5">
              <w:rPr>
                <w:rFonts w:eastAsia="Calibri" w:cs="Calibri"/>
                <w:sz w:val="20"/>
              </w:rPr>
              <w:t xml:space="preserve">991 </w:t>
            </w:r>
          </w:p>
        </w:tc>
        <w:tc>
          <w:tcPr>
            <w:tcW w:w="2127" w:type="dxa"/>
            <w:tcBorders>
              <w:top w:val="nil"/>
              <w:left w:val="nil"/>
              <w:bottom w:val="nil"/>
              <w:right w:val="single" w:sz="4" w:space="0" w:color="auto"/>
            </w:tcBorders>
            <w:shd w:val="clear" w:color="auto" w:fill="auto"/>
            <w:vAlign w:val="bottom"/>
            <w:hideMark/>
          </w:tcPr>
          <w:p w14:paraId="40799B74" w14:textId="1CC551EA"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45</w:t>
            </w:r>
            <w:r w:rsidRPr="000310B5">
              <w:rPr>
                <w:sz w:val="20"/>
              </w:rPr>
              <w:t> </w:t>
            </w:r>
            <w:r w:rsidRPr="000310B5">
              <w:rPr>
                <w:rFonts w:eastAsia="Calibri" w:cs="Calibri"/>
                <w:sz w:val="20"/>
              </w:rPr>
              <w:t xml:space="preserve">718 </w:t>
            </w:r>
          </w:p>
        </w:tc>
      </w:tr>
      <w:tr w:rsidR="000310B5" w:rsidRPr="00493002" w14:paraId="5786C3E9" w14:textId="77777777" w:rsidTr="003A64C9">
        <w:tc>
          <w:tcPr>
            <w:tcW w:w="5382" w:type="dxa"/>
            <w:tcBorders>
              <w:top w:val="nil"/>
              <w:left w:val="single" w:sz="8" w:space="0" w:color="auto"/>
              <w:bottom w:val="nil"/>
              <w:right w:val="nil"/>
            </w:tcBorders>
            <w:shd w:val="clear" w:color="auto" w:fill="auto"/>
            <w:vAlign w:val="center"/>
            <w:hideMark/>
          </w:tcPr>
          <w:p w14:paraId="7F635F22"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职员福利</w:t>
            </w:r>
          </w:p>
        </w:tc>
        <w:tc>
          <w:tcPr>
            <w:tcW w:w="2126" w:type="dxa"/>
            <w:tcBorders>
              <w:top w:val="nil"/>
              <w:left w:val="nil"/>
              <w:bottom w:val="nil"/>
              <w:right w:val="single" w:sz="4" w:space="0" w:color="auto"/>
            </w:tcBorders>
            <w:shd w:val="clear" w:color="auto" w:fill="auto"/>
            <w:hideMark/>
          </w:tcPr>
          <w:p w14:paraId="2245A5F9" w14:textId="463F88BA"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570</w:t>
            </w:r>
            <w:r w:rsidRPr="000310B5">
              <w:rPr>
                <w:sz w:val="20"/>
              </w:rPr>
              <w:t> </w:t>
            </w:r>
            <w:r w:rsidRPr="000310B5">
              <w:rPr>
                <w:rFonts w:eastAsia="Calibri" w:cs="Calibri"/>
                <w:sz w:val="20"/>
              </w:rPr>
              <w:t xml:space="preserve">083 </w:t>
            </w:r>
          </w:p>
        </w:tc>
        <w:tc>
          <w:tcPr>
            <w:tcW w:w="2127" w:type="dxa"/>
            <w:tcBorders>
              <w:top w:val="nil"/>
              <w:left w:val="nil"/>
              <w:bottom w:val="nil"/>
              <w:right w:val="single" w:sz="4" w:space="0" w:color="auto"/>
            </w:tcBorders>
            <w:shd w:val="clear" w:color="auto" w:fill="auto"/>
            <w:hideMark/>
          </w:tcPr>
          <w:p w14:paraId="64FCF66E" w14:textId="0AD5B443"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656</w:t>
            </w:r>
            <w:r w:rsidRPr="000310B5">
              <w:rPr>
                <w:sz w:val="20"/>
              </w:rPr>
              <w:t> </w:t>
            </w:r>
            <w:r w:rsidRPr="000310B5">
              <w:rPr>
                <w:rFonts w:eastAsia="Calibri" w:cs="Calibri"/>
                <w:sz w:val="20"/>
              </w:rPr>
              <w:t xml:space="preserve">021 </w:t>
            </w:r>
          </w:p>
        </w:tc>
      </w:tr>
      <w:tr w:rsidR="000310B5" w:rsidRPr="00493002" w14:paraId="70D97464" w14:textId="77777777" w:rsidTr="003A64C9">
        <w:tc>
          <w:tcPr>
            <w:tcW w:w="5382" w:type="dxa"/>
            <w:tcBorders>
              <w:top w:val="nil"/>
              <w:left w:val="single" w:sz="8" w:space="0" w:color="auto"/>
              <w:bottom w:val="nil"/>
              <w:right w:val="nil"/>
            </w:tcBorders>
            <w:shd w:val="clear" w:color="auto" w:fill="auto"/>
            <w:vAlign w:val="center"/>
            <w:hideMark/>
          </w:tcPr>
          <w:p w14:paraId="68169556"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分配的第三方基金</w:t>
            </w:r>
          </w:p>
        </w:tc>
        <w:tc>
          <w:tcPr>
            <w:tcW w:w="2126" w:type="dxa"/>
            <w:tcBorders>
              <w:top w:val="nil"/>
              <w:left w:val="nil"/>
              <w:bottom w:val="nil"/>
              <w:right w:val="single" w:sz="4" w:space="0" w:color="auto"/>
            </w:tcBorders>
            <w:shd w:val="clear" w:color="auto" w:fill="auto"/>
            <w:hideMark/>
          </w:tcPr>
          <w:p w14:paraId="456C0053" w14:textId="65310BD9"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46</w:t>
            </w:r>
            <w:r w:rsidRPr="000310B5">
              <w:rPr>
                <w:sz w:val="20"/>
              </w:rPr>
              <w:t> </w:t>
            </w:r>
            <w:r w:rsidRPr="000310B5">
              <w:rPr>
                <w:rFonts w:eastAsia="Calibri" w:cs="Calibri"/>
                <w:sz w:val="20"/>
              </w:rPr>
              <w:t xml:space="preserve">336 </w:t>
            </w:r>
          </w:p>
        </w:tc>
        <w:tc>
          <w:tcPr>
            <w:tcW w:w="2127" w:type="dxa"/>
            <w:tcBorders>
              <w:top w:val="nil"/>
              <w:left w:val="nil"/>
              <w:bottom w:val="nil"/>
              <w:right w:val="single" w:sz="4" w:space="0" w:color="auto"/>
            </w:tcBorders>
            <w:shd w:val="clear" w:color="auto" w:fill="auto"/>
            <w:hideMark/>
          </w:tcPr>
          <w:p w14:paraId="5B554233" w14:textId="1621EB0B"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38</w:t>
            </w:r>
            <w:r w:rsidRPr="000310B5">
              <w:rPr>
                <w:sz w:val="20"/>
              </w:rPr>
              <w:t> </w:t>
            </w:r>
            <w:r w:rsidRPr="000310B5">
              <w:rPr>
                <w:rFonts w:eastAsia="Calibri" w:cs="Calibri"/>
                <w:sz w:val="20"/>
              </w:rPr>
              <w:t xml:space="preserve">430 </w:t>
            </w:r>
          </w:p>
        </w:tc>
      </w:tr>
      <w:tr w:rsidR="000310B5" w:rsidRPr="00493002" w14:paraId="5B0738C6" w14:textId="77777777" w:rsidTr="003A64C9">
        <w:tc>
          <w:tcPr>
            <w:tcW w:w="5382" w:type="dxa"/>
            <w:tcBorders>
              <w:top w:val="nil"/>
              <w:left w:val="single" w:sz="8" w:space="0" w:color="auto"/>
              <w:bottom w:val="nil"/>
              <w:right w:val="nil"/>
            </w:tcBorders>
            <w:shd w:val="clear" w:color="auto" w:fill="auto"/>
            <w:vAlign w:val="center"/>
            <w:hideMark/>
          </w:tcPr>
          <w:p w14:paraId="615326AC"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分配过程中的第三方基金</w:t>
            </w:r>
          </w:p>
        </w:tc>
        <w:tc>
          <w:tcPr>
            <w:tcW w:w="2126" w:type="dxa"/>
            <w:tcBorders>
              <w:top w:val="nil"/>
              <w:left w:val="nil"/>
              <w:bottom w:val="nil"/>
              <w:right w:val="single" w:sz="4" w:space="0" w:color="auto"/>
            </w:tcBorders>
            <w:shd w:val="clear" w:color="auto" w:fill="auto"/>
            <w:hideMark/>
          </w:tcPr>
          <w:p w14:paraId="4DFF888C" w14:textId="543B02A2"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3</w:t>
            </w:r>
            <w:r w:rsidRPr="000310B5">
              <w:rPr>
                <w:sz w:val="20"/>
              </w:rPr>
              <w:t> </w:t>
            </w:r>
            <w:r w:rsidRPr="000310B5">
              <w:rPr>
                <w:rFonts w:eastAsia="Calibri" w:cs="Calibri"/>
                <w:sz w:val="20"/>
              </w:rPr>
              <w:t xml:space="preserve">684 </w:t>
            </w:r>
          </w:p>
        </w:tc>
        <w:tc>
          <w:tcPr>
            <w:tcW w:w="2127" w:type="dxa"/>
            <w:tcBorders>
              <w:top w:val="nil"/>
              <w:left w:val="nil"/>
              <w:bottom w:val="nil"/>
              <w:right w:val="single" w:sz="4" w:space="0" w:color="auto"/>
            </w:tcBorders>
            <w:shd w:val="clear" w:color="auto" w:fill="auto"/>
            <w:hideMark/>
          </w:tcPr>
          <w:p w14:paraId="5F264A8F" w14:textId="2AD3AE3E"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4</w:t>
            </w:r>
            <w:r w:rsidRPr="000310B5">
              <w:rPr>
                <w:sz w:val="20"/>
              </w:rPr>
              <w:t> </w:t>
            </w:r>
            <w:r w:rsidRPr="000310B5">
              <w:rPr>
                <w:rFonts w:eastAsia="Calibri" w:cs="Calibri"/>
                <w:sz w:val="20"/>
              </w:rPr>
              <w:t>353</w:t>
            </w:r>
          </w:p>
        </w:tc>
      </w:tr>
      <w:tr w:rsidR="000310B5" w:rsidRPr="00493002" w14:paraId="0EE5F46A" w14:textId="77777777" w:rsidTr="003A64C9">
        <w:tc>
          <w:tcPr>
            <w:tcW w:w="5382" w:type="dxa"/>
            <w:tcBorders>
              <w:top w:val="nil"/>
              <w:left w:val="single" w:sz="8" w:space="0" w:color="auto"/>
              <w:bottom w:val="nil"/>
              <w:right w:val="nil"/>
            </w:tcBorders>
            <w:shd w:val="clear" w:color="auto" w:fill="auto"/>
            <w:vAlign w:val="center"/>
            <w:hideMark/>
          </w:tcPr>
          <w:p w14:paraId="3F19E231"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UNSMIS</w:t>
            </w:r>
          </w:p>
        </w:tc>
        <w:tc>
          <w:tcPr>
            <w:tcW w:w="2126" w:type="dxa"/>
            <w:tcBorders>
              <w:top w:val="nil"/>
              <w:left w:val="nil"/>
              <w:bottom w:val="nil"/>
              <w:right w:val="single" w:sz="4" w:space="0" w:color="auto"/>
            </w:tcBorders>
            <w:shd w:val="clear" w:color="auto" w:fill="auto"/>
            <w:hideMark/>
          </w:tcPr>
          <w:p w14:paraId="5F07389B" w14:textId="727B523C"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16</w:t>
            </w:r>
            <w:r w:rsidRPr="000310B5">
              <w:rPr>
                <w:sz w:val="20"/>
              </w:rPr>
              <w:t> </w:t>
            </w:r>
            <w:r w:rsidRPr="000310B5">
              <w:rPr>
                <w:rFonts w:eastAsia="Calibri" w:cs="Calibri"/>
                <w:sz w:val="20"/>
              </w:rPr>
              <w:t xml:space="preserve">267 </w:t>
            </w:r>
          </w:p>
        </w:tc>
        <w:tc>
          <w:tcPr>
            <w:tcW w:w="2127" w:type="dxa"/>
            <w:tcBorders>
              <w:top w:val="nil"/>
              <w:left w:val="nil"/>
              <w:bottom w:val="nil"/>
              <w:right w:val="single" w:sz="4" w:space="0" w:color="auto"/>
            </w:tcBorders>
            <w:shd w:val="clear" w:color="auto" w:fill="auto"/>
            <w:hideMark/>
          </w:tcPr>
          <w:p w14:paraId="3313851A" w14:textId="4F8C173C"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17</w:t>
            </w:r>
            <w:r w:rsidRPr="000310B5">
              <w:rPr>
                <w:sz w:val="20"/>
              </w:rPr>
              <w:t> </w:t>
            </w:r>
            <w:r w:rsidRPr="000310B5">
              <w:rPr>
                <w:rFonts w:eastAsia="Calibri" w:cs="Calibri"/>
                <w:sz w:val="20"/>
              </w:rPr>
              <w:t xml:space="preserve">441 </w:t>
            </w:r>
          </w:p>
        </w:tc>
      </w:tr>
      <w:tr w:rsidR="000310B5" w:rsidRPr="00493002" w14:paraId="3E9C0408" w14:textId="77777777" w:rsidTr="003A64C9">
        <w:tc>
          <w:tcPr>
            <w:tcW w:w="5382" w:type="dxa"/>
            <w:tcBorders>
              <w:top w:val="nil"/>
              <w:left w:val="single" w:sz="8" w:space="0" w:color="auto"/>
              <w:bottom w:val="nil"/>
              <w:right w:val="nil"/>
            </w:tcBorders>
            <w:shd w:val="clear" w:color="auto" w:fill="auto"/>
            <w:vAlign w:val="center"/>
            <w:hideMark/>
          </w:tcPr>
          <w:p w14:paraId="26DE424D"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fr-FR" w:eastAsia="zh-CN"/>
              </w:rPr>
              <w:t>非流动负债总额</w:t>
            </w:r>
          </w:p>
        </w:tc>
        <w:tc>
          <w:tcPr>
            <w:tcW w:w="2126" w:type="dxa"/>
            <w:tcBorders>
              <w:top w:val="nil"/>
              <w:left w:val="nil"/>
              <w:bottom w:val="nil"/>
              <w:right w:val="single" w:sz="4" w:space="0" w:color="auto"/>
            </w:tcBorders>
            <w:shd w:val="clear" w:color="auto" w:fill="auto"/>
            <w:hideMark/>
          </w:tcPr>
          <w:p w14:paraId="37A25BDD" w14:textId="39062CE6"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688</w:t>
            </w:r>
            <w:r w:rsidRPr="000310B5">
              <w:rPr>
                <w:b/>
                <w:sz w:val="20"/>
              </w:rPr>
              <w:t> </w:t>
            </w:r>
            <w:r w:rsidRPr="000310B5">
              <w:rPr>
                <w:rFonts w:eastAsia="Calibri" w:cs="Calibri"/>
                <w:b/>
                <w:sz w:val="20"/>
              </w:rPr>
              <w:t xml:space="preserve">361 </w:t>
            </w:r>
          </w:p>
        </w:tc>
        <w:tc>
          <w:tcPr>
            <w:tcW w:w="2127" w:type="dxa"/>
            <w:tcBorders>
              <w:top w:val="nil"/>
              <w:left w:val="nil"/>
              <w:bottom w:val="nil"/>
              <w:right w:val="single" w:sz="4" w:space="0" w:color="auto"/>
            </w:tcBorders>
            <w:shd w:val="clear" w:color="auto" w:fill="auto"/>
            <w:hideMark/>
          </w:tcPr>
          <w:p w14:paraId="6AAB0998" w14:textId="2787A5CF"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761</w:t>
            </w:r>
            <w:r w:rsidRPr="000310B5">
              <w:rPr>
                <w:b/>
                <w:sz w:val="20"/>
              </w:rPr>
              <w:t> </w:t>
            </w:r>
            <w:r w:rsidRPr="000310B5">
              <w:rPr>
                <w:rFonts w:eastAsia="Calibri" w:cs="Calibri"/>
                <w:b/>
                <w:sz w:val="20"/>
              </w:rPr>
              <w:t xml:space="preserve">963 </w:t>
            </w:r>
          </w:p>
        </w:tc>
      </w:tr>
      <w:tr w:rsidR="0034509B" w:rsidRPr="00493002" w14:paraId="3328CE32" w14:textId="77777777" w:rsidTr="003A64C9">
        <w:tc>
          <w:tcPr>
            <w:tcW w:w="5382" w:type="dxa"/>
            <w:tcBorders>
              <w:top w:val="nil"/>
              <w:left w:val="single" w:sz="8" w:space="0" w:color="auto"/>
              <w:bottom w:val="nil"/>
              <w:right w:val="nil"/>
            </w:tcBorders>
            <w:shd w:val="clear" w:color="auto" w:fill="auto"/>
            <w:vAlign w:val="center"/>
          </w:tcPr>
          <w:p w14:paraId="4718F2C1" w14:textId="77777777" w:rsidR="0034509B" w:rsidRPr="00493002" w:rsidRDefault="0034509B" w:rsidP="000310B5">
            <w:pPr>
              <w:overflowPunct/>
              <w:autoSpaceDE/>
              <w:autoSpaceDN/>
              <w:adjustRightInd/>
              <w:spacing w:before="0"/>
              <w:textAlignment w:val="auto"/>
              <w:rPr>
                <w:rFonts w:cs="Calibri"/>
                <w:b/>
                <w:bCs/>
                <w:color w:val="000000"/>
                <w:sz w:val="20"/>
                <w:lang w:val="fr-FR" w:eastAsia="zh-CN"/>
              </w:rPr>
            </w:pPr>
          </w:p>
        </w:tc>
        <w:tc>
          <w:tcPr>
            <w:tcW w:w="2126" w:type="dxa"/>
            <w:tcBorders>
              <w:top w:val="nil"/>
              <w:left w:val="nil"/>
              <w:bottom w:val="nil"/>
              <w:right w:val="single" w:sz="4" w:space="0" w:color="auto"/>
            </w:tcBorders>
            <w:shd w:val="clear" w:color="auto" w:fill="auto"/>
          </w:tcPr>
          <w:p w14:paraId="2325A05F" w14:textId="77777777" w:rsidR="0034509B" w:rsidRPr="000310B5" w:rsidRDefault="0034509B" w:rsidP="000310B5">
            <w:pPr>
              <w:overflowPunct/>
              <w:autoSpaceDE/>
              <w:autoSpaceDN/>
              <w:adjustRightInd/>
              <w:spacing w:before="0"/>
              <w:jc w:val="right"/>
              <w:textAlignment w:val="auto"/>
              <w:rPr>
                <w:rFonts w:eastAsia="Calibri" w:cs="Calibri"/>
                <w:b/>
                <w:sz w:val="20"/>
              </w:rPr>
            </w:pPr>
          </w:p>
        </w:tc>
        <w:tc>
          <w:tcPr>
            <w:tcW w:w="2127" w:type="dxa"/>
            <w:tcBorders>
              <w:top w:val="nil"/>
              <w:left w:val="nil"/>
              <w:bottom w:val="nil"/>
              <w:right w:val="single" w:sz="4" w:space="0" w:color="auto"/>
            </w:tcBorders>
            <w:shd w:val="clear" w:color="auto" w:fill="auto"/>
          </w:tcPr>
          <w:p w14:paraId="75861036" w14:textId="77777777" w:rsidR="0034509B" w:rsidRPr="000310B5" w:rsidRDefault="0034509B" w:rsidP="000310B5">
            <w:pPr>
              <w:overflowPunct/>
              <w:autoSpaceDE/>
              <w:autoSpaceDN/>
              <w:adjustRightInd/>
              <w:spacing w:before="0"/>
              <w:jc w:val="right"/>
              <w:textAlignment w:val="auto"/>
              <w:rPr>
                <w:rFonts w:eastAsia="Calibri" w:cs="Calibri"/>
                <w:b/>
                <w:sz w:val="20"/>
              </w:rPr>
            </w:pPr>
          </w:p>
        </w:tc>
      </w:tr>
      <w:tr w:rsidR="000310B5" w:rsidRPr="00493002" w14:paraId="28737159" w14:textId="77777777" w:rsidTr="003A64C9">
        <w:tc>
          <w:tcPr>
            <w:tcW w:w="5382" w:type="dxa"/>
            <w:tcBorders>
              <w:top w:val="single" w:sz="4" w:space="0" w:color="auto"/>
              <w:left w:val="single" w:sz="4" w:space="0" w:color="auto"/>
              <w:bottom w:val="single" w:sz="4" w:space="0" w:color="auto"/>
              <w:right w:val="nil"/>
            </w:tcBorders>
            <w:shd w:val="clear" w:color="auto" w:fill="auto"/>
            <w:noWrap/>
            <w:vAlign w:val="center"/>
            <w:hideMark/>
          </w:tcPr>
          <w:p w14:paraId="210FF7C4"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fr-FR" w:eastAsia="zh-CN"/>
              </w:rPr>
              <w:t>负债总额</w:t>
            </w:r>
          </w:p>
        </w:tc>
        <w:tc>
          <w:tcPr>
            <w:tcW w:w="2126" w:type="dxa"/>
            <w:tcBorders>
              <w:top w:val="single" w:sz="4" w:space="0" w:color="auto"/>
              <w:left w:val="nil"/>
              <w:bottom w:val="single" w:sz="4" w:space="0" w:color="auto"/>
              <w:right w:val="single" w:sz="4" w:space="0" w:color="auto"/>
            </w:tcBorders>
            <w:shd w:val="clear" w:color="auto" w:fill="auto"/>
            <w:noWrap/>
            <w:hideMark/>
          </w:tcPr>
          <w:p w14:paraId="7CA0E9EC" w14:textId="42567040"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837</w:t>
            </w:r>
            <w:r w:rsidRPr="000310B5">
              <w:rPr>
                <w:b/>
                <w:sz w:val="20"/>
              </w:rPr>
              <w:t> </w:t>
            </w:r>
            <w:r w:rsidRPr="000310B5">
              <w:rPr>
                <w:rFonts w:eastAsia="Calibri" w:cs="Calibri"/>
                <w:b/>
                <w:sz w:val="20"/>
              </w:rPr>
              <w:t>103</w:t>
            </w:r>
          </w:p>
        </w:tc>
        <w:tc>
          <w:tcPr>
            <w:tcW w:w="2127" w:type="dxa"/>
            <w:tcBorders>
              <w:top w:val="single" w:sz="4" w:space="0" w:color="auto"/>
              <w:left w:val="nil"/>
              <w:bottom w:val="single" w:sz="4" w:space="0" w:color="auto"/>
              <w:right w:val="single" w:sz="4" w:space="0" w:color="auto"/>
            </w:tcBorders>
            <w:shd w:val="clear" w:color="auto" w:fill="auto"/>
            <w:noWrap/>
            <w:hideMark/>
          </w:tcPr>
          <w:p w14:paraId="443B0D21" w14:textId="3D716231"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909</w:t>
            </w:r>
            <w:r w:rsidRPr="000310B5">
              <w:rPr>
                <w:b/>
                <w:sz w:val="20"/>
              </w:rPr>
              <w:t> </w:t>
            </w:r>
            <w:r w:rsidRPr="000310B5">
              <w:rPr>
                <w:rFonts w:eastAsia="Calibri" w:cs="Calibri"/>
                <w:b/>
                <w:sz w:val="20"/>
              </w:rPr>
              <w:t>542</w:t>
            </w:r>
          </w:p>
        </w:tc>
      </w:tr>
      <w:tr w:rsidR="000310B5" w:rsidRPr="00493002" w14:paraId="4A3D2FB5" w14:textId="77777777" w:rsidTr="003A64C9">
        <w:tc>
          <w:tcPr>
            <w:tcW w:w="5382" w:type="dxa"/>
            <w:tcBorders>
              <w:top w:val="nil"/>
              <w:left w:val="single" w:sz="8" w:space="0" w:color="auto"/>
              <w:bottom w:val="nil"/>
              <w:right w:val="nil"/>
            </w:tcBorders>
            <w:shd w:val="clear" w:color="auto" w:fill="auto"/>
            <w:vAlign w:val="center"/>
            <w:hideMark/>
          </w:tcPr>
          <w:p w14:paraId="6FD02C4F"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en-US" w:eastAsia="zh-CN"/>
              </w:rPr>
              <w:t>净资产</w:t>
            </w:r>
          </w:p>
        </w:tc>
        <w:tc>
          <w:tcPr>
            <w:tcW w:w="2126" w:type="dxa"/>
            <w:tcBorders>
              <w:top w:val="nil"/>
              <w:left w:val="nil"/>
              <w:bottom w:val="nil"/>
              <w:right w:val="single" w:sz="4" w:space="0" w:color="auto"/>
            </w:tcBorders>
            <w:shd w:val="clear" w:color="auto" w:fill="auto"/>
            <w:vAlign w:val="bottom"/>
            <w:hideMark/>
          </w:tcPr>
          <w:p w14:paraId="2040CFC2"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c>
          <w:tcPr>
            <w:tcW w:w="2127" w:type="dxa"/>
            <w:tcBorders>
              <w:top w:val="nil"/>
              <w:left w:val="nil"/>
              <w:bottom w:val="nil"/>
              <w:right w:val="single" w:sz="4" w:space="0" w:color="auto"/>
            </w:tcBorders>
            <w:shd w:val="clear" w:color="auto" w:fill="auto"/>
            <w:vAlign w:val="bottom"/>
            <w:hideMark/>
          </w:tcPr>
          <w:p w14:paraId="716EFF18"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r>
      <w:tr w:rsidR="000310B5" w:rsidRPr="00493002" w14:paraId="3A850D4D" w14:textId="77777777" w:rsidTr="003A64C9">
        <w:tc>
          <w:tcPr>
            <w:tcW w:w="5382" w:type="dxa"/>
            <w:tcBorders>
              <w:top w:val="nil"/>
              <w:left w:val="single" w:sz="8" w:space="0" w:color="auto"/>
              <w:bottom w:val="nil"/>
              <w:right w:val="nil"/>
            </w:tcBorders>
            <w:shd w:val="clear" w:color="auto" w:fill="auto"/>
            <w:vAlign w:val="center"/>
            <w:hideMark/>
          </w:tcPr>
          <w:p w14:paraId="285C137D"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本组织的资本</w:t>
            </w:r>
          </w:p>
        </w:tc>
        <w:tc>
          <w:tcPr>
            <w:tcW w:w="2126" w:type="dxa"/>
            <w:tcBorders>
              <w:top w:val="nil"/>
              <w:left w:val="nil"/>
              <w:bottom w:val="nil"/>
              <w:right w:val="single" w:sz="4" w:space="0" w:color="auto"/>
            </w:tcBorders>
            <w:shd w:val="clear" w:color="auto" w:fill="auto"/>
            <w:vAlign w:val="bottom"/>
            <w:hideMark/>
          </w:tcPr>
          <w:p w14:paraId="6F6468FD"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c>
          <w:tcPr>
            <w:tcW w:w="2127" w:type="dxa"/>
            <w:tcBorders>
              <w:top w:val="nil"/>
              <w:left w:val="nil"/>
              <w:bottom w:val="nil"/>
              <w:right w:val="single" w:sz="4" w:space="0" w:color="auto"/>
            </w:tcBorders>
            <w:shd w:val="clear" w:color="auto" w:fill="auto"/>
            <w:vAlign w:val="bottom"/>
            <w:hideMark/>
          </w:tcPr>
          <w:p w14:paraId="7A1CB628" w14:textId="77777777"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p>
        </w:tc>
      </w:tr>
      <w:tr w:rsidR="000310B5" w:rsidRPr="00493002" w14:paraId="38EF6A73" w14:textId="77777777" w:rsidTr="003A64C9">
        <w:tc>
          <w:tcPr>
            <w:tcW w:w="5382" w:type="dxa"/>
            <w:tcBorders>
              <w:top w:val="nil"/>
              <w:left w:val="single" w:sz="8" w:space="0" w:color="auto"/>
              <w:bottom w:val="nil"/>
              <w:right w:val="nil"/>
            </w:tcBorders>
            <w:shd w:val="clear" w:color="auto" w:fill="auto"/>
            <w:vAlign w:val="center"/>
            <w:hideMark/>
          </w:tcPr>
          <w:p w14:paraId="1D5C04B0"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本期盈余</w:t>
            </w:r>
            <w:r w:rsidRPr="00493002">
              <w:rPr>
                <w:rFonts w:cs="Calibri"/>
                <w:color w:val="000000"/>
                <w:sz w:val="20"/>
                <w:lang w:val="en-US" w:eastAsia="zh-CN"/>
              </w:rPr>
              <w:t>/</w:t>
            </w:r>
            <w:r w:rsidRPr="00493002">
              <w:rPr>
                <w:rFonts w:cs="Calibri" w:hint="eastAsia"/>
                <w:color w:val="000000"/>
                <w:sz w:val="20"/>
                <w:lang w:val="en-US" w:eastAsia="zh-CN"/>
              </w:rPr>
              <w:t>亏损再分配前的储备金账目</w:t>
            </w:r>
          </w:p>
        </w:tc>
        <w:tc>
          <w:tcPr>
            <w:tcW w:w="2126" w:type="dxa"/>
            <w:tcBorders>
              <w:top w:val="nil"/>
              <w:left w:val="nil"/>
              <w:bottom w:val="nil"/>
              <w:right w:val="single" w:sz="4" w:space="0" w:color="auto"/>
            </w:tcBorders>
            <w:shd w:val="clear" w:color="auto" w:fill="auto"/>
            <w:vAlign w:val="bottom"/>
            <w:hideMark/>
          </w:tcPr>
          <w:p w14:paraId="6E2C92E0" w14:textId="01DF073B"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27</w:t>
            </w:r>
            <w:r w:rsidRPr="000310B5">
              <w:rPr>
                <w:sz w:val="20"/>
              </w:rPr>
              <w:t> </w:t>
            </w:r>
            <w:r w:rsidRPr="000310B5">
              <w:rPr>
                <w:rFonts w:eastAsia="Calibri" w:cs="Calibri"/>
                <w:sz w:val="20"/>
              </w:rPr>
              <w:t xml:space="preserve">464 </w:t>
            </w:r>
          </w:p>
        </w:tc>
        <w:tc>
          <w:tcPr>
            <w:tcW w:w="2127" w:type="dxa"/>
            <w:tcBorders>
              <w:top w:val="nil"/>
              <w:left w:val="nil"/>
              <w:bottom w:val="nil"/>
              <w:right w:val="single" w:sz="4" w:space="0" w:color="auto"/>
            </w:tcBorders>
            <w:shd w:val="clear" w:color="auto" w:fill="auto"/>
            <w:vAlign w:val="bottom"/>
            <w:hideMark/>
          </w:tcPr>
          <w:p w14:paraId="3F0B8B65" w14:textId="7AAA2124"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25</w:t>
            </w:r>
            <w:r w:rsidRPr="000310B5">
              <w:rPr>
                <w:sz w:val="20"/>
              </w:rPr>
              <w:t> </w:t>
            </w:r>
            <w:r w:rsidRPr="000310B5">
              <w:rPr>
                <w:rFonts w:eastAsia="Calibri" w:cs="Calibri"/>
                <w:sz w:val="20"/>
              </w:rPr>
              <w:t xml:space="preserve">802 </w:t>
            </w:r>
          </w:p>
        </w:tc>
      </w:tr>
      <w:tr w:rsidR="000310B5" w:rsidRPr="00493002" w14:paraId="044C109A" w14:textId="77777777" w:rsidTr="003A64C9">
        <w:tc>
          <w:tcPr>
            <w:tcW w:w="5382" w:type="dxa"/>
            <w:tcBorders>
              <w:top w:val="nil"/>
              <w:left w:val="single" w:sz="8" w:space="0" w:color="auto"/>
              <w:bottom w:val="nil"/>
              <w:right w:val="nil"/>
            </w:tcBorders>
            <w:shd w:val="clear" w:color="auto" w:fill="auto"/>
            <w:vAlign w:val="center"/>
            <w:hideMark/>
          </w:tcPr>
          <w:p w14:paraId="53D37F90"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其他预算外储备金</w:t>
            </w:r>
          </w:p>
        </w:tc>
        <w:tc>
          <w:tcPr>
            <w:tcW w:w="2126" w:type="dxa"/>
            <w:tcBorders>
              <w:top w:val="nil"/>
              <w:left w:val="nil"/>
              <w:bottom w:val="nil"/>
              <w:right w:val="single" w:sz="4" w:space="0" w:color="auto"/>
            </w:tcBorders>
            <w:shd w:val="clear" w:color="auto" w:fill="auto"/>
            <w:hideMark/>
          </w:tcPr>
          <w:p w14:paraId="73D1A395" w14:textId="30EF615C"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70</w:t>
            </w:r>
            <w:r w:rsidRPr="000310B5">
              <w:rPr>
                <w:sz w:val="20"/>
              </w:rPr>
              <w:t> </w:t>
            </w:r>
            <w:r w:rsidRPr="000310B5">
              <w:rPr>
                <w:rFonts w:eastAsia="Calibri" w:cs="Calibri"/>
                <w:sz w:val="20"/>
              </w:rPr>
              <w:t xml:space="preserve">698 </w:t>
            </w:r>
          </w:p>
        </w:tc>
        <w:tc>
          <w:tcPr>
            <w:tcW w:w="2127" w:type="dxa"/>
            <w:tcBorders>
              <w:top w:val="nil"/>
              <w:left w:val="nil"/>
              <w:bottom w:val="nil"/>
              <w:right w:val="single" w:sz="4" w:space="0" w:color="auto"/>
            </w:tcBorders>
            <w:shd w:val="clear" w:color="auto" w:fill="auto"/>
            <w:hideMark/>
          </w:tcPr>
          <w:p w14:paraId="4C7D7706" w14:textId="694D6CA3"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68</w:t>
            </w:r>
            <w:r w:rsidRPr="000310B5">
              <w:rPr>
                <w:sz w:val="20"/>
              </w:rPr>
              <w:t> </w:t>
            </w:r>
            <w:r w:rsidRPr="000310B5">
              <w:rPr>
                <w:rFonts w:eastAsia="Calibri" w:cs="Calibri"/>
                <w:sz w:val="20"/>
              </w:rPr>
              <w:t xml:space="preserve">637 </w:t>
            </w:r>
          </w:p>
        </w:tc>
      </w:tr>
      <w:tr w:rsidR="000310B5" w:rsidRPr="00493002" w14:paraId="04706AED" w14:textId="77777777" w:rsidTr="003A64C9">
        <w:tc>
          <w:tcPr>
            <w:tcW w:w="5382" w:type="dxa"/>
            <w:tcBorders>
              <w:top w:val="nil"/>
              <w:left w:val="single" w:sz="8" w:space="0" w:color="auto"/>
              <w:bottom w:val="nil"/>
              <w:right w:val="nil"/>
            </w:tcBorders>
            <w:shd w:val="clear" w:color="auto" w:fill="auto"/>
            <w:vAlign w:val="center"/>
            <w:hideMark/>
          </w:tcPr>
          <w:p w14:paraId="75259B3D"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color w:val="000000"/>
                <w:sz w:val="20"/>
                <w:lang w:val="en-US" w:eastAsia="zh-CN"/>
              </w:rPr>
              <w:t>ASHI</w:t>
            </w:r>
            <w:r w:rsidRPr="00493002">
              <w:rPr>
                <w:rFonts w:cs="Calibri" w:hint="eastAsia"/>
                <w:color w:val="000000"/>
                <w:sz w:val="20"/>
                <w:lang w:val="en-US" w:eastAsia="zh-CN"/>
              </w:rPr>
              <w:t>精算亏损</w:t>
            </w:r>
          </w:p>
        </w:tc>
        <w:tc>
          <w:tcPr>
            <w:tcW w:w="2126" w:type="dxa"/>
            <w:tcBorders>
              <w:top w:val="nil"/>
              <w:left w:val="nil"/>
              <w:bottom w:val="nil"/>
              <w:right w:val="single" w:sz="4" w:space="0" w:color="auto"/>
            </w:tcBorders>
            <w:shd w:val="clear" w:color="auto" w:fill="auto"/>
            <w:hideMark/>
          </w:tcPr>
          <w:p w14:paraId="3EC17550" w14:textId="6CD728AB"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-162</w:t>
            </w:r>
            <w:r w:rsidRPr="000310B5">
              <w:rPr>
                <w:sz w:val="20"/>
              </w:rPr>
              <w:t> </w:t>
            </w:r>
            <w:r w:rsidRPr="000310B5">
              <w:rPr>
                <w:rFonts w:eastAsia="Calibri" w:cs="Calibri"/>
                <w:sz w:val="20"/>
              </w:rPr>
              <w:t xml:space="preserve">135 </w:t>
            </w:r>
          </w:p>
        </w:tc>
        <w:tc>
          <w:tcPr>
            <w:tcW w:w="2127" w:type="dxa"/>
            <w:tcBorders>
              <w:top w:val="nil"/>
              <w:left w:val="nil"/>
              <w:bottom w:val="nil"/>
              <w:right w:val="single" w:sz="4" w:space="0" w:color="auto"/>
            </w:tcBorders>
            <w:shd w:val="clear" w:color="auto" w:fill="auto"/>
            <w:hideMark/>
          </w:tcPr>
          <w:p w14:paraId="1EBE452C" w14:textId="54728249"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-263</w:t>
            </w:r>
            <w:r w:rsidRPr="000310B5">
              <w:rPr>
                <w:sz w:val="20"/>
              </w:rPr>
              <w:t> </w:t>
            </w:r>
            <w:r w:rsidRPr="000310B5">
              <w:rPr>
                <w:rFonts w:eastAsia="Calibri" w:cs="Calibri"/>
                <w:sz w:val="20"/>
              </w:rPr>
              <w:t xml:space="preserve">101 </w:t>
            </w:r>
          </w:p>
        </w:tc>
      </w:tr>
      <w:tr w:rsidR="000310B5" w:rsidRPr="00493002" w14:paraId="4E45A340" w14:textId="77777777" w:rsidTr="003A64C9">
        <w:tc>
          <w:tcPr>
            <w:tcW w:w="5382" w:type="dxa"/>
            <w:tcBorders>
              <w:top w:val="nil"/>
              <w:left w:val="single" w:sz="8" w:space="0" w:color="auto"/>
              <w:bottom w:val="nil"/>
              <w:right w:val="nil"/>
            </w:tcBorders>
            <w:shd w:val="clear" w:color="auto" w:fill="auto"/>
            <w:vAlign w:val="center"/>
            <w:hideMark/>
          </w:tcPr>
          <w:p w14:paraId="67C2B394"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累计非预算内收益</w:t>
            </w:r>
          </w:p>
        </w:tc>
        <w:tc>
          <w:tcPr>
            <w:tcW w:w="2126" w:type="dxa"/>
            <w:tcBorders>
              <w:top w:val="nil"/>
              <w:left w:val="nil"/>
              <w:bottom w:val="nil"/>
              <w:right w:val="single" w:sz="4" w:space="0" w:color="auto"/>
            </w:tcBorders>
            <w:shd w:val="clear" w:color="auto" w:fill="auto"/>
            <w:hideMark/>
          </w:tcPr>
          <w:p w14:paraId="3370186C" w14:textId="50A5AEB4" w:rsidR="000310B5" w:rsidRPr="000310B5" w:rsidRDefault="000310B5" w:rsidP="000310B5">
            <w:pPr>
              <w:overflowPunct/>
              <w:autoSpaceDE/>
              <w:autoSpaceDN/>
              <w:adjustRightInd/>
              <w:spacing w:before="0"/>
              <w:jc w:val="right"/>
              <w:textAlignment w:val="auto"/>
              <w:rPr>
                <w:rFonts w:cs="Calibri"/>
                <w:sz w:val="20"/>
                <w:lang w:val="en-US" w:eastAsia="zh-CN"/>
              </w:rPr>
            </w:pPr>
            <w:r w:rsidRPr="000310B5">
              <w:rPr>
                <w:rFonts w:eastAsia="Calibri" w:cs="Calibri"/>
                <w:sz w:val="20"/>
              </w:rPr>
              <w:t>-334</w:t>
            </w:r>
            <w:r w:rsidRPr="000310B5">
              <w:rPr>
                <w:sz w:val="20"/>
              </w:rPr>
              <w:t> </w:t>
            </w:r>
            <w:r w:rsidRPr="000310B5">
              <w:rPr>
                <w:rFonts w:eastAsia="Calibri" w:cs="Calibri"/>
                <w:sz w:val="20"/>
              </w:rPr>
              <w:t xml:space="preserve">880 </w:t>
            </w:r>
          </w:p>
        </w:tc>
        <w:tc>
          <w:tcPr>
            <w:tcW w:w="2127" w:type="dxa"/>
            <w:tcBorders>
              <w:top w:val="nil"/>
              <w:left w:val="nil"/>
              <w:bottom w:val="nil"/>
              <w:right w:val="single" w:sz="4" w:space="0" w:color="auto"/>
            </w:tcBorders>
            <w:shd w:val="clear" w:color="auto" w:fill="auto"/>
            <w:hideMark/>
          </w:tcPr>
          <w:p w14:paraId="6E65B109" w14:textId="5B3F2201"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-284</w:t>
            </w:r>
            <w:r w:rsidRPr="000310B5">
              <w:rPr>
                <w:sz w:val="20"/>
              </w:rPr>
              <w:t> </w:t>
            </w:r>
            <w:r w:rsidRPr="000310B5">
              <w:rPr>
                <w:rFonts w:eastAsia="Calibri" w:cs="Calibri"/>
                <w:sz w:val="20"/>
              </w:rPr>
              <w:t xml:space="preserve">649 </w:t>
            </w:r>
          </w:p>
        </w:tc>
      </w:tr>
      <w:tr w:rsidR="000310B5" w:rsidRPr="00493002" w14:paraId="53C7B99E" w14:textId="77777777" w:rsidTr="003A64C9">
        <w:tc>
          <w:tcPr>
            <w:tcW w:w="5382" w:type="dxa"/>
            <w:tcBorders>
              <w:top w:val="nil"/>
              <w:left w:val="single" w:sz="8" w:space="0" w:color="auto"/>
              <w:bottom w:val="nil"/>
              <w:right w:val="nil"/>
            </w:tcBorders>
            <w:shd w:val="clear" w:color="auto" w:fill="auto"/>
            <w:vAlign w:val="center"/>
            <w:hideMark/>
          </w:tcPr>
          <w:p w14:paraId="6094A730" w14:textId="77777777" w:rsidR="000310B5" w:rsidRPr="00493002" w:rsidRDefault="000310B5" w:rsidP="000310B5">
            <w:pPr>
              <w:overflowPunct/>
              <w:autoSpaceDE/>
              <w:autoSpaceDN/>
              <w:adjustRightInd/>
              <w:spacing w:before="0"/>
              <w:textAlignment w:val="auto"/>
              <w:rPr>
                <w:rFonts w:cs="Calibri"/>
                <w:color w:val="000000"/>
                <w:sz w:val="20"/>
                <w:lang w:val="en-US" w:eastAsia="zh-CN"/>
              </w:rPr>
            </w:pPr>
            <w:r w:rsidRPr="00493002">
              <w:rPr>
                <w:rFonts w:cs="Calibri" w:hint="eastAsia"/>
                <w:color w:val="000000"/>
                <w:sz w:val="20"/>
                <w:lang w:val="en-US" w:eastAsia="zh-CN"/>
              </w:rPr>
              <w:t>本期的盈余</w:t>
            </w:r>
            <w:r w:rsidRPr="00493002">
              <w:rPr>
                <w:rFonts w:cs="Calibri"/>
                <w:color w:val="000000"/>
                <w:sz w:val="20"/>
                <w:lang w:val="en-US" w:eastAsia="zh-CN"/>
              </w:rPr>
              <w:t>/</w:t>
            </w:r>
            <w:r w:rsidRPr="00493002">
              <w:rPr>
                <w:rFonts w:cs="Calibri" w:hint="eastAsia"/>
                <w:color w:val="000000"/>
                <w:sz w:val="20"/>
                <w:lang w:val="en-US" w:eastAsia="zh-CN"/>
              </w:rPr>
              <w:t>亏损</w:t>
            </w:r>
          </w:p>
        </w:tc>
        <w:tc>
          <w:tcPr>
            <w:tcW w:w="2126" w:type="dxa"/>
            <w:tcBorders>
              <w:top w:val="nil"/>
              <w:left w:val="nil"/>
              <w:bottom w:val="nil"/>
              <w:right w:val="single" w:sz="4" w:space="0" w:color="auto"/>
            </w:tcBorders>
            <w:shd w:val="clear" w:color="auto" w:fill="auto"/>
            <w:hideMark/>
          </w:tcPr>
          <w:p w14:paraId="41DECD94" w14:textId="7D8A36C3"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-14</w:t>
            </w:r>
            <w:r w:rsidRPr="000310B5">
              <w:rPr>
                <w:sz w:val="20"/>
              </w:rPr>
              <w:t> </w:t>
            </w:r>
            <w:r w:rsidRPr="000310B5">
              <w:rPr>
                <w:rFonts w:eastAsia="Calibri" w:cs="Calibri"/>
                <w:sz w:val="20"/>
              </w:rPr>
              <w:t xml:space="preserve">858 </w:t>
            </w:r>
          </w:p>
        </w:tc>
        <w:tc>
          <w:tcPr>
            <w:tcW w:w="2127" w:type="dxa"/>
            <w:tcBorders>
              <w:top w:val="nil"/>
              <w:left w:val="nil"/>
              <w:bottom w:val="nil"/>
              <w:right w:val="single" w:sz="4" w:space="0" w:color="auto"/>
            </w:tcBorders>
            <w:shd w:val="clear" w:color="auto" w:fill="auto"/>
            <w:hideMark/>
          </w:tcPr>
          <w:p w14:paraId="1B818B3F" w14:textId="24854400" w:rsidR="000310B5" w:rsidRPr="000310B5" w:rsidRDefault="000310B5" w:rsidP="000310B5">
            <w:pPr>
              <w:overflowPunct/>
              <w:autoSpaceDE/>
              <w:autoSpaceDN/>
              <w:adjustRightInd/>
              <w:spacing w:before="0"/>
              <w:jc w:val="right"/>
              <w:textAlignment w:val="auto"/>
              <w:rPr>
                <w:rFonts w:cs="Calibri"/>
                <w:color w:val="000000"/>
                <w:sz w:val="20"/>
                <w:lang w:val="en-US" w:eastAsia="zh-CN"/>
              </w:rPr>
            </w:pPr>
            <w:r w:rsidRPr="000310B5">
              <w:rPr>
                <w:rFonts w:eastAsia="Calibri" w:cs="Calibri"/>
                <w:sz w:val="20"/>
              </w:rPr>
              <w:t>-47</w:t>
            </w:r>
            <w:r w:rsidRPr="000310B5">
              <w:rPr>
                <w:sz w:val="20"/>
              </w:rPr>
              <w:t> </w:t>
            </w:r>
            <w:r w:rsidRPr="000310B5">
              <w:rPr>
                <w:rFonts w:eastAsia="Calibri" w:cs="Calibri"/>
                <w:sz w:val="20"/>
              </w:rPr>
              <w:t xml:space="preserve">259 </w:t>
            </w:r>
          </w:p>
        </w:tc>
      </w:tr>
      <w:tr w:rsidR="000310B5" w:rsidRPr="00493002" w14:paraId="5BC4F537" w14:textId="77777777" w:rsidTr="003A64C9">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8B20C" w14:textId="77777777" w:rsidR="000310B5" w:rsidRPr="00493002" w:rsidRDefault="000310B5" w:rsidP="000310B5">
            <w:pPr>
              <w:overflowPunct/>
              <w:autoSpaceDE/>
              <w:autoSpaceDN/>
              <w:adjustRightInd/>
              <w:spacing w:before="0"/>
              <w:textAlignment w:val="auto"/>
              <w:rPr>
                <w:rFonts w:cs="Calibri"/>
                <w:b/>
                <w:bCs/>
                <w:color w:val="000000"/>
                <w:sz w:val="20"/>
                <w:lang w:val="en-US" w:eastAsia="zh-CN"/>
              </w:rPr>
            </w:pPr>
            <w:r w:rsidRPr="00493002">
              <w:rPr>
                <w:rFonts w:cs="Calibri" w:hint="eastAsia"/>
                <w:b/>
                <w:bCs/>
                <w:color w:val="000000"/>
                <w:sz w:val="20"/>
                <w:lang w:val="fr-FR" w:eastAsia="zh-CN"/>
              </w:rPr>
              <w:t>资产净值总额</w:t>
            </w:r>
          </w:p>
        </w:tc>
        <w:tc>
          <w:tcPr>
            <w:tcW w:w="2126" w:type="dxa"/>
            <w:tcBorders>
              <w:top w:val="single" w:sz="4" w:space="0" w:color="auto"/>
              <w:left w:val="nil"/>
              <w:bottom w:val="single" w:sz="4" w:space="0" w:color="auto"/>
              <w:right w:val="single" w:sz="4" w:space="0" w:color="auto"/>
            </w:tcBorders>
            <w:shd w:val="clear" w:color="auto" w:fill="auto"/>
            <w:noWrap/>
            <w:hideMark/>
          </w:tcPr>
          <w:p w14:paraId="2443536C" w14:textId="227427D3"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 xml:space="preserve"> -413</w:t>
            </w:r>
            <w:r w:rsidRPr="000310B5">
              <w:rPr>
                <w:b/>
                <w:sz w:val="20"/>
              </w:rPr>
              <w:t> </w:t>
            </w:r>
            <w:r w:rsidRPr="000310B5">
              <w:rPr>
                <w:rFonts w:eastAsia="Calibri" w:cs="Calibri"/>
                <w:b/>
                <w:sz w:val="20"/>
              </w:rPr>
              <w:t>711</w:t>
            </w:r>
          </w:p>
        </w:tc>
        <w:tc>
          <w:tcPr>
            <w:tcW w:w="2127" w:type="dxa"/>
            <w:tcBorders>
              <w:top w:val="single" w:sz="4" w:space="0" w:color="auto"/>
              <w:left w:val="nil"/>
              <w:bottom w:val="single" w:sz="4" w:space="0" w:color="auto"/>
              <w:right w:val="single" w:sz="4" w:space="0" w:color="auto"/>
            </w:tcBorders>
            <w:shd w:val="clear" w:color="auto" w:fill="auto"/>
            <w:noWrap/>
            <w:hideMark/>
          </w:tcPr>
          <w:p w14:paraId="45E420A3" w14:textId="765AC0E3" w:rsidR="000310B5" w:rsidRPr="000310B5" w:rsidRDefault="000310B5" w:rsidP="000310B5">
            <w:pPr>
              <w:overflowPunct/>
              <w:autoSpaceDE/>
              <w:autoSpaceDN/>
              <w:adjustRightInd/>
              <w:spacing w:before="0"/>
              <w:jc w:val="right"/>
              <w:textAlignment w:val="auto"/>
              <w:rPr>
                <w:rFonts w:cs="Calibri"/>
                <w:b/>
                <w:bCs/>
                <w:color w:val="000000"/>
                <w:sz w:val="20"/>
                <w:lang w:val="en-US" w:eastAsia="zh-CN"/>
              </w:rPr>
            </w:pPr>
            <w:r w:rsidRPr="000310B5">
              <w:rPr>
                <w:rFonts w:eastAsia="Calibri" w:cs="Calibri"/>
                <w:b/>
                <w:sz w:val="20"/>
              </w:rPr>
              <w:t>-500</w:t>
            </w:r>
            <w:r w:rsidRPr="000310B5">
              <w:rPr>
                <w:b/>
                <w:sz w:val="20"/>
              </w:rPr>
              <w:t> </w:t>
            </w:r>
            <w:r w:rsidRPr="000310B5">
              <w:rPr>
                <w:rFonts w:eastAsia="Calibri" w:cs="Calibri"/>
                <w:b/>
                <w:sz w:val="20"/>
              </w:rPr>
              <w:t>570</w:t>
            </w:r>
          </w:p>
        </w:tc>
      </w:tr>
    </w:tbl>
    <w:p w14:paraId="2E001D51" w14:textId="530BD37C" w:rsidR="0085433F" w:rsidRDefault="0085433F" w:rsidP="0085433F">
      <w:pPr>
        <w:pStyle w:val="Heading1"/>
        <w:spacing w:after="240"/>
        <w:jc w:val="center"/>
        <w:rPr>
          <w:rFonts w:cs="Microsoft YaHei"/>
          <w:lang w:eastAsia="zh-CN"/>
        </w:rPr>
      </w:pPr>
      <w:r w:rsidRPr="000C156A">
        <w:rPr>
          <w:lang w:val="en-US" w:eastAsia="zh-CN"/>
        </w:rPr>
        <w:br w:type="page"/>
      </w:r>
      <w:bookmarkStart w:id="267" w:name="_Toc329165771"/>
      <w:bookmarkStart w:id="268" w:name="_Toc482894781"/>
      <w:bookmarkStart w:id="269" w:name="_Toc482892537"/>
      <w:bookmarkStart w:id="270" w:name="_Toc511116008"/>
      <w:bookmarkStart w:id="271" w:name="_Toc41905838"/>
      <w:bookmarkStart w:id="272" w:name="_Toc41906886"/>
      <w:bookmarkStart w:id="273" w:name="_Toc41907967"/>
      <w:bookmarkStart w:id="274" w:name="_Toc41908035"/>
      <w:bookmarkStart w:id="275" w:name="_Toc73519212"/>
      <w:bookmarkStart w:id="276" w:name="_Toc73636095"/>
      <w:bookmarkStart w:id="277" w:name="_Toc110263982"/>
      <w:bookmarkStart w:id="278" w:name="_Toc110264061"/>
      <w:bookmarkStart w:id="279" w:name="_Toc110265681"/>
      <w:bookmarkStart w:id="280" w:name="_Toc110330070"/>
      <w:bookmarkStart w:id="281" w:name="_Toc110330235"/>
      <w:bookmarkStart w:id="282" w:name="_Toc269839056"/>
      <w:bookmarkStart w:id="283" w:name="_Toc329165790"/>
      <w:bookmarkStart w:id="284" w:name="_Toc305594750"/>
      <w:bookmarkStart w:id="285" w:name="_Toc482892574"/>
      <w:bookmarkStart w:id="286" w:name="_Toc482870839"/>
      <w:bookmarkStart w:id="287" w:name="_Toc511813758"/>
      <w:bookmarkStart w:id="288" w:name="_Toc511817841"/>
      <w:bookmarkStart w:id="289" w:name="_Toc520280741"/>
      <w:bookmarkStart w:id="290" w:name="_Toc10536836"/>
      <w:bookmarkStart w:id="291" w:name="_Toc41905878"/>
      <w:bookmarkStart w:id="292" w:name="_Toc41906906"/>
      <w:bookmarkStart w:id="293" w:name="_Toc41907987"/>
      <w:bookmarkStart w:id="294" w:name="_Toc41908055"/>
      <w:bookmarkEnd w:id="265"/>
      <w:bookmarkEnd w:id="266"/>
      <w:r w:rsidRPr="000C156A">
        <w:rPr>
          <w:rFonts w:cs="Microsoft YaHei" w:hint="eastAsia"/>
          <w:lang w:val="fr-FR" w:eastAsia="zh-CN"/>
        </w:rPr>
        <w:lastRenderedPageBreak/>
        <w:t>二</w:t>
      </w:r>
      <w:r w:rsidRPr="000C156A">
        <w:rPr>
          <w:lang w:eastAsia="zh-CN"/>
        </w:rPr>
        <w:t xml:space="preserve"> – 202</w:t>
      </w:r>
      <w:r w:rsidR="00493002">
        <w:rPr>
          <w:lang w:eastAsia="zh-CN"/>
        </w:rPr>
        <w:t>1</w:t>
      </w:r>
      <w:r w:rsidRPr="000C156A">
        <w:rPr>
          <w:rFonts w:cs="Microsoft YaHei" w:hint="eastAsia"/>
          <w:lang w:val="fr-FR" w:eastAsia="zh-CN"/>
        </w:rPr>
        <w:t>年</w:t>
      </w:r>
      <w:r w:rsidRPr="000C156A">
        <w:rPr>
          <w:lang w:eastAsia="zh-CN"/>
        </w:rPr>
        <w:t>12</w:t>
      </w:r>
      <w:r w:rsidRPr="000C156A">
        <w:rPr>
          <w:rFonts w:cs="Microsoft YaHei" w:hint="eastAsia"/>
          <w:lang w:val="fr-FR" w:eastAsia="zh-CN"/>
        </w:rPr>
        <w:t>月</w:t>
      </w:r>
      <w:r w:rsidRPr="000C156A">
        <w:rPr>
          <w:lang w:eastAsia="zh-CN"/>
        </w:rPr>
        <w:t>31</w:t>
      </w:r>
      <w:r w:rsidRPr="000C156A">
        <w:rPr>
          <w:rFonts w:cs="Microsoft YaHei" w:hint="eastAsia"/>
          <w:lang w:val="fr-FR" w:eastAsia="zh-CN"/>
        </w:rPr>
        <w:t>日结束的周期的财务业绩表</w:t>
      </w:r>
      <w:bookmarkEnd w:id="267"/>
      <w:r w:rsidRPr="000C156A">
        <w:rPr>
          <w:lang w:eastAsia="zh-CN"/>
        </w:rPr>
        <w:br/>
      </w:r>
      <w:r w:rsidRPr="000C156A">
        <w:rPr>
          <w:rFonts w:cs="Microsoft YaHei" w:hint="eastAsia"/>
          <w:lang w:eastAsia="zh-CN"/>
        </w:rPr>
        <w:t>（</w:t>
      </w:r>
      <w:r w:rsidRPr="000C156A">
        <w:rPr>
          <w:rFonts w:cs="Microsoft YaHei" w:hint="eastAsia"/>
          <w:lang w:val="fr-FR" w:eastAsia="zh-CN"/>
        </w:rPr>
        <w:t>包含截至</w:t>
      </w:r>
      <w:r w:rsidRPr="000C156A">
        <w:rPr>
          <w:lang w:eastAsia="zh-CN"/>
        </w:rPr>
        <w:t>20</w:t>
      </w:r>
      <w:r w:rsidR="00493002">
        <w:rPr>
          <w:lang w:eastAsia="zh-CN"/>
        </w:rPr>
        <w:t>20</w:t>
      </w:r>
      <w:r w:rsidRPr="000C156A">
        <w:rPr>
          <w:rFonts w:cs="Microsoft YaHei" w:hint="eastAsia"/>
          <w:lang w:val="fr-FR" w:eastAsia="zh-CN"/>
        </w:rPr>
        <w:t>年</w:t>
      </w:r>
      <w:r w:rsidRPr="000C156A">
        <w:rPr>
          <w:lang w:eastAsia="zh-CN"/>
        </w:rPr>
        <w:t>12</w:t>
      </w:r>
      <w:r w:rsidRPr="000C156A">
        <w:rPr>
          <w:rFonts w:cs="Microsoft YaHei" w:hint="eastAsia"/>
          <w:lang w:val="fr-FR" w:eastAsia="zh-CN"/>
        </w:rPr>
        <w:t>月</w:t>
      </w:r>
      <w:r w:rsidRPr="000C156A">
        <w:rPr>
          <w:lang w:eastAsia="zh-CN"/>
        </w:rPr>
        <w:t>31</w:t>
      </w:r>
      <w:r w:rsidRPr="000C156A">
        <w:rPr>
          <w:rFonts w:cs="Microsoft YaHei" w:hint="eastAsia"/>
          <w:lang w:val="fr-FR" w:eastAsia="zh-CN"/>
        </w:rPr>
        <w:t>日的比较数字</w:t>
      </w:r>
      <w:r w:rsidRPr="000C156A">
        <w:rPr>
          <w:rFonts w:cs="Microsoft YaHei" w:hint="eastAsia"/>
          <w:lang w:eastAsia="zh-CN"/>
        </w:rPr>
        <w: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tbl>
      <w:tblPr>
        <w:tblW w:w="8470" w:type="dxa"/>
        <w:jc w:val="center"/>
        <w:tblLook w:val="04A0" w:firstRow="1" w:lastRow="0" w:firstColumn="1" w:lastColumn="0" w:noHBand="0" w:noVBand="1"/>
      </w:tblPr>
      <w:tblGrid>
        <w:gridCol w:w="4531"/>
        <w:gridCol w:w="1985"/>
        <w:gridCol w:w="1954"/>
      </w:tblGrid>
      <w:tr w:rsidR="0085433F" w:rsidRPr="000C156A" w14:paraId="79578A48" w14:textId="77777777" w:rsidTr="003A64C9">
        <w:trPr>
          <w:trHeight w:val="270"/>
          <w:jc w:val="center"/>
        </w:trPr>
        <w:tc>
          <w:tcPr>
            <w:tcW w:w="4531" w:type="dxa"/>
            <w:tcBorders>
              <w:top w:val="single" w:sz="4" w:space="0" w:color="auto"/>
              <w:left w:val="single" w:sz="4" w:space="0" w:color="auto"/>
              <w:bottom w:val="single" w:sz="4" w:space="0" w:color="auto"/>
              <w:right w:val="nil"/>
            </w:tcBorders>
            <w:shd w:val="clear" w:color="auto" w:fill="auto"/>
            <w:noWrap/>
            <w:hideMark/>
          </w:tcPr>
          <w:p w14:paraId="55717A33" w14:textId="77777777" w:rsidR="0085433F" w:rsidRPr="000C156A" w:rsidRDefault="0085433F" w:rsidP="003A64C9">
            <w:pPr>
              <w:pStyle w:val="Tablehead"/>
              <w:spacing w:before="0"/>
              <w:jc w:val="left"/>
              <w:rPr>
                <w:rFonts w:cs="Calibri"/>
                <w:b w:val="0"/>
                <w:szCs w:val="22"/>
                <w:lang w:val="en-US" w:eastAsia="zh-CN"/>
              </w:rPr>
            </w:pPr>
            <w:r w:rsidRPr="000C156A">
              <w:rPr>
                <w:rFonts w:cs="Calibri" w:hint="eastAsia"/>
                <w:b w:val="0"/>
                <w:szCs w:val="22"/>
                <w:lang w:val="en-US" w:eastAsia="zh-CN"/>
              </w:rPr>
              <w:t>（单位：千瑞郎）</w:t>
            </w:r>
          </w:p>
        </w:tc>
        <w:tc>
          <w:tcPr>
            <w:tcW w:w="1985" w:type="dxa"/>
            <w:tcBorders>
              <w:top w:val="single" w:sz="4" w:space="0" w:color="auto"/>
              <w:left w:val="nil"/>
              <w:bottom w:val="single" w:sz="4" w:space="0" w:color="auto"/>
              <w:right w:val="single" w:sz="4" w:space="0" w:color="auto"/>
            </w:tcBorders>
            <w:shd w:val="clear" w:color="auto" w:fill="auto"/>
            <w:hideMark/>
          </w:tcPr>
          <w:p w14:paraId="7D69E531" w14:textId="4244A27A" w:rsidR="0085433F" w:rsidRPr="000C156A" w:rsidRDefault="0085433F" w:rsidP="003A64C9">
            <w:pPr>
              <w:pStyle w:val="Tablehead"/>
              <w:tabs>
                <w:tab w:val="left" w:pos="596"/>
              </w:tabs>
              <w:spacing w:before="0"/>
              <w:ind w:right="113"/>
              <w:jc w:val="right"/>
              <w:rPr>
                <w:rFonts w:cs="Calibri"/>
                <w:szCs w:val="22"/>
                <w:lang w:val="en-US" w:eastAsia="zh-CN"/>
              </w:rPr>
            </w:pPr>
            <w:r w:rsidRPr="000C156A">
              <w:rPr>
                <w:rFonts w:cs="Calibri"/>
                <w:szCs w:val="22"/>
                <w:lang w:val="en-US" w:eastAsia="zh-CN"/>
              </w:rPr>
              <w:t>202</w:t>
            </w:r>
            <w:r w:rsidR="00D56CE9">
              <w:rPr>
                <w:rFonts w:cs="Calibri"/>
                <w:szCs w:val="22"/>
                <w:lang w:val="en-US" w:eastAsia="zh-CN"/>
              </w:rPr>
              <w:t>1</w:t>
            </w:r>
            <w:r w:rsidRPr="000C156A">
              <w:rPr>
                <w:rFonts w:cs="Calibri" w:hint="eastAsia"/>
                <w:szCs w:val="22"/>
                <w:lang w:val="en-US" w:eastAsia="zh-CN"/>
              </w:rPr>
              <w:t>年</w:t>
            </w:r>
            <w:r w:rsidRPr="000C156A">
              <w:rPr>
                <w:rFonts w:cs="Calibri" w:hint="eastAsia"/>
                <w:szCs w:val="22"/>
                <w:lang w:val="en-US" w:eastAsia="zh-CN"/>
              </w:rPr>
              <w:t>12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c>
          <w:tcPr>
            <w:tcW w:w="1954" w:type="dxa"/>
            <w:tcBorders>
              <w:top w:val="single" w:sz="4" w:space="0" w:color="auto"/>
              <w:left w:val="nil"/>
              <w:bottom w:val="single" w:sz="4" w:space="0" w:color="auto"/>
              <w:right w:val="single" w:sz="4" w:space="0" w:color="auto"/>
            </w:tcBorders>
            <w:shd w:val="clear" w:color="auto" w:fill="auto"/>
            <w:hideMark/>
          </w:tcPr>
          <w:p w14:paraId="628A93DE" w14:textId="5DE0FAE8" w:rsidR="0085433F" w:rsidRPr="000C156A" w:rsidRDefault="0085433F" w:rsidP="003A64C9">
            <w:pPr>
              <w:pStyle w:val="Tablehead"/>
              <w:tabs>
                <w:tab w:val="left" w:pos="596"/>
              </w:tabs>
              <w:spacing w:before="0"/>
              <w:ind w:right="113"/>
              <w:jc w:val="right"/>
              <w:rPr>
                <w:rFonts w:cs="Calibri"/>
                <w:szCs w:val="22"/>
                <w:lang w:val="en-US" w:eastAsia="zh-CN"/>
              </w:rPr>
            </w:pPr>
            <w:r w:rsidRPr="000C156A">
              <w:rPr>
                <w:rFonts w:cs="Calibri"/>
                <w:szCs w:val="22"/>
                <w:lang w:val="en-US" w:eastAsia="zh-CN"/>
              </w:rPr>
              <w:t>20</w:t>
            </w:r>
            <w:r w:rsidR="00D56CE9">
              <w:rPr>
                <w:rFonts w:cs="Calibri"/>
                <w:szCs w:val="22"/>
                <w:lang w:val="en-US" w:eastAsia="zh-CN"/>
              </w:rPr>
              <w:t>20</w:t>
            </w:r>
            <w:r w:rsidRPr="000C156A">
              <w:rPr>
                <w:rFonts w:cs="Calibri" w:hint="eastAsia"/>
                <w:szCs w:val="22"/>
                <w:lang w:val="en-US" w:eastAsia="zh-CN"/>
              </w:rPr>
              <w:t>年</w:t>
            </w:r>
            <w:r w:rsidRPr="000C156A">
              <w:rPr>
                <w:rFonts w:cs="Calibri" w:hint="eastAsia"/>
                <w:szCs w:val="22"/>
                <w:lang w:val="en-US" w:eastAsia="zh-CN"/>
              </w:rPr>
              <w:t>12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r>
      <w:tr w:rsidR="0085433F" w:rsidRPr="000C156A" w14:paraId="12604026" w14:textId="77777777" w:rsidTr="003A64C9">
        <w:trPr>
          <w:trHeight w:val="255"/>
          <w:jc w:val="center"/>
        </w:trPr>
        <w:tc>
          <w:tcPr>
            <w:tcW w:w="4531" w:type="dxa"/>
            <w:tcBorders>
              <w:top w:val="nil"/>
              <w:left w:val="single" w:sz="4" w:space="0" w:color="auto"/>
              <w:bottom w:val="nil"/>
              <w:right w:val="nil"/>
            </w:tcBorders>
            <w:shd w:val="clear" w:color="auto" w:fill="auto"/>
            <w:noWrap/>
            <w:vAlign w:val="bottom"/>
            <w:hideMark/>
          </w:tcPr>
          <w:p w14:paraId="2E60D5CE" w14:textId="77777777" w:rsidR="0085433F" w:rsidRPr="000C156A" w:rsidRDefault="0085433F" w:rsidP="003A64C9">
            <w:pPr>
              <w:overflowPunct/>
              <w:adjustRightInd/>
              <w:spacing w:before="0"/>
              <w:textAlignment w:val="auto"/>
              <w:rPr>
                <w:rFonts w:cs="Calibri"/>
                <w:color w:val="000000"/>
                <w:sz w:val="22"/>
                <w:szCs w:val="22"/>
                <w:lang w:val="en-US" w:eastAsia="zh-CN"/>
              </w:rPr>
            </w:pPr>
            <w:r w:rsidRPr="000C156A">
              <w:rPr>
                <w:rFonts w:cs="Calibri"/>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53F71E2B" w14:textId="77777777" w:rsidR="0085433F" w:rsidRPr="000C156A" w:rsidRDefault="0085433F" w:rsidP="003A64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4A4D4BC2" w14:textId="77777777" w:rsidR="0085433F" w:rsidRPr="000C156A" w:rsidRDefault="0085433F" w:rsidP="003A64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85433F" w:rsidRPr="000C156A" w14:paraId="2F8F2369"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1189B026" w14:textId="77777777" w:rsidR="0085433F" w:rsidRPr="000C156A" w:rsidRDefault="0085433F" w:rsidP="003A64C9">
            <w:pPr>
              <w:overflowPunct/>
              <w:adjustRightInd/>
              <w:spacing w:before="0"/>
              <w:textAlignment w:val="auto"/>
              <w:rPr>
                <w:rFonts w:cs="Calibri"/>
                <w:b/>
                <w:bCs/>
                <w:color w:val="000000"/>
                <w:sz w:val="22"/>
                <w:szCs w:val="22"/>
                <w:lang w:val="en-US" w:eastAsia="zh-CN"/>
              </w:rPr>
            </w:pPr>
            <w:r w:rsidRPr="000C156A">
              <w:rPr>
                <w:rFonts w:cs="Calibri" w:hint="eastAsia"/>
                <w:b/>
                <w:bCs/>
                <w:sz w:val="22"/>
                <w:szCs w:val="22"/>
                <w:lang w:val="en-US" w:eastAsia="zh-CN"/>
              </w:rPr>
              <w:t>收入</w:t>
            </w:r>
          </w:p>
        </w:tc>
        <w:tc>
          <w:tcPr>
            <w:tcW w:w="1985" w:type="dxa"/>
            <w:tcBorders>
              <w:top w:val="nil"/>
              <w:left w:val="nil"/>
              <w:bottom w:val="nil"/>
              <w:right w:val="single" w:sz="4" w:space="0" w:color="auto"/>
            </w:tcBorders>
            <w:shd w:val="clear" w:color="auto" w:fill="auto"/>
            <w:hideMark/>
          </w:tcPr>
          <w:p w14:paraId="6A375A13" w14:textId="77777777" w:rsidR="0085433F" w:rsidRPr="000C156A" w:rsidRDefault="0085433F" w:rsidP="003A64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6887748D" w14:textId="77777777" w:rsidR="0085433F" w:rsidRPr="000C156A" w:rsidRDefault="0085433F" w:rsidP="003A64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85433F" w:rsidRPr="000C156A" w14:paraId="741CE629"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214E32FC" w14:textId="77777777" w:rsidR="0085433F" w:rsidRPr="000C156A" w:rsidRDefault="0085433F" w:rsidP="003A64C9">
            <w:pPr>
              <w:overflowPunct/>
              <w:adjustRightInd/>
              <w:spacing w:before="0"/>
              <w:textAlignment w:val="auto"/>
              <w:rPr>
                <w:rFonts w:cs="Calibri"/>
                <w:b/>
                <w:bCs/>
                <w:color w:val="000000"/>
                <w:sz w:val="22"/>
                <w:szCs w:val="22"/>
                <w:lang w:val="en-US" w:eastAsia="zh-CN"/>
              </w:rPr>
            </w:pPr>
            <w:r w:rsidRPr="000C156A">
              <w:rPr>
                <w:rFonts w:cs="Calibri"/>
                <w:b/>
                <w:bCs/>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5006BE18" w14:textId="77777777" w:rsidR="0085433F" w:rsidRPr="000C156A" w:rsidRDefault="0085433F" w:rsidP="003A64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2DB782AD" w14:textId="77777777" w:rsidR="0085433F" w:rsidRPr="000C156A" w:rsidRDefault="0085433F" w:rsidP="003A64C9">
            <w:pPr>
              <w:overflowPunct/>
              <w:autoSpaceDE/>
              <w:autoSpaceDN/>
              <w:adjustRightInd/>
              <w:spacing w:before="0"/>
              <w:jc w:val="right"/>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D56CE9" w:rsidRPr="000C156A" w14:paraId="5ADEDDC2"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13B69F65" w14:textId="77777777" w:rsidR="00D56CE9" w:rsidRPr="000C156A" w:rsidRDefault="00D56CE9" w:rsidP="00D56CE9">
            <w:pPr>
              <w:pStyle w:val="Tabletext"/>
              <w:spacing w:before="0"/>
              <w:rPr>
                <w:rFonts w:cs="Calibri"/>
                <w:szCs w:val="22"/>
                <w:lang w:val="en-US" w:eastAsia="zh-CN"/>
              </w:rPr>
            </w:pPr>
            <w:r w:rsidRPr="000C156A">
              <w:rPr>
                <w:rFonts w:cs="Calibri"/>
                <w:szCs w:val="22"/>
                <w:lang w:val="en-US" w:eastAsia="zh-CN"/>
              </w:rPr>
              <w:t>分摊会费</w:t>
            </w:r>
          </w:p>
        </w:tc>
        <w:tc>
          <w:tcPr>
            <w:tcW w:w="1985" w:type="dxa"/>
            <w:tcBorders>
              <w:top w:val="nil"/>
              <w:left w:val="nil"/>
              <w:bottom w:val="nil"/>
              <w:right w:val="single" w:sz="4" w:space="0" w:color="auto"/>
            </w:tcBorders>
            <w:shd w:val="clear" w:color="auto" w:fill="auto"/>
            <w:noWrap/>
            <w:vAlign w:val="bottom"/>
            <w:hideMark/>
          </w:tcPr>
          <w:p w14:paraId="600D99C4" w14:textId="51A4F5B7"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125 611</w:t>
            </w:r>
          </w:p>
        </w:tc>
        <w:tc>
          <w:tcPr>
            <w:tcW w:w="1954" w:type="dxa"/>
            <w:tcBorders>
              <w:top w:val="nil"/>
              <w:left w:val="nil"/>
              <w:bottom w:val="nil"/>
              <w:right w:val="single" w:sz="4" w:space="0" w:color="auto"/>
            </w:tcBorders>
            <w:shd w:val="clear" w:color="auto" w:fill="auto"/>
            <w:noWrap/>
            <w:vAlign w:val="bottom"/>
            <w:hideMark/>
          </w:tcPr>
          <w:p w14:paraId="04D0D743" w14:textId="234A1208"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125 741</w:t>
            </w:r>
          </w:p>
        </w:tc>
      </w:tr>
      <w:tr w:rsidR="00D56CE9" w:rsidRPr="000C156A" w14:paraId="4996EED4"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32EE5310" w14:textId="77777777" w:rsidR="00D56CE9" w:rsidRPr="000C156A" w:rsidRDefault="00D56CE9" w:rsidP="00D56CE9">
            <w:pPr>
              <w:pStyle w:val="Tabletext"/>
              <w:spacing w:before="0"/>
              <w:rPr>
                <w:rFonts w:cs="Calibri"/>
                <w:szCs w:val="22"/>
                <w:lang w:val="en-US" w:eastAsia="zh-CN"/>
              </w:rPr>
            </w:pPr>
            <w:r w:rsidRPr="000C156A">
              <w:rPr>
                <w:rFonts w:cs="Calibri" w:hint="eastAsia"/>
                <w:szCs w:val="22"/>
                <w:lang w:val="en-US" w:eastAsia="zh-CN"/>
              </w:rPr>
              <w:t>自愿捐款</w:t>
            </w:r>
          </w:p>
        </w:tc>
        <w:tc>
          <w:tcPr>
            <w:tcW w:w="1985" w:type="dxa"/>
            <w:tcBorders>
              <w:top w:val="nil"/>
              <w:left w:val="nil"/>
              <w:bottom w:val="nil"/>
              <w:right w:val="single" w:sz="4" w:space="0" w:color="auto"/>
            </w:tcBorders>
            <w:shd w:val="clear" w:color="auto" w:fill="auto"/>
            <w:noWrap/>
            <w:hideMark/>
          </w:tcPr>
          <w:p w14:paraId="7BF562C0" w14:textId="51D5303D"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13 581</w:t>
            </w:r>
          </w:p>
        </w:tc>
        <w:tc>
          <w:tcPr>
            <w:tcW w:w="1954" w:type="dxa"/>
            <w:tcBorders>
              <w:top w:val="nil"/>
              <w:left w:val="nil"/>
              <w:bottom w:val="nil"/>
              <w:right w:val="single" w:sz="4" w:space="0" w:color="auto"/>
            </w:tcBorders>
            <w:shd w:val="clear" w:color="auto" w:fill="auto"/>
            <w:noWrap/>
            <w:hideMark/>
          </w:tcPr>
          <w:p w14:paraId="0FDA6D11" w14:textId="2B543EE1"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8 300</w:t>
            </w:r>
          </w:p>
        </w:tc>
      </w:tr>
      <w:tr w:rsidR="00D56CE9" w:rsidRPr="000C156A" w14:paraId="1FFF6543"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3E552A0F" w14:textId="77777777" w:rsidR="00D56CE9" w:rsidRPr="000C156A" w:rsidRDefault="00D56CE9" w:rsidP="00D56CE9">
            <w:pPr>
              <w:pStyle w:val="Tabletext"/>
              <w:spacing w:before="0"/>
              <w:rPr>
                <w:rFonts w:cs="Calibri"/>
                <w:szCs w:val="22"/>
                <w:lang w:val="en-US" w:eastAsia="zh-CN"/>
              </w:rPr>
            </w:pPr>
            <w:r w:rsidRPr="000C156A">
              <w:rPr>
                <w:rFonts w:cs="Calibri" w:hint="eastAsia"/>
                <w:szCs w:val="22"/>
                <w:lang w:val="en-US" w:eastAsia="zh-CN"/>
              </w:rPr>
              <w:t>其它营运收入</w:t>
            </w:r>
          </w:p>
        </w:tc>
        <w:tc>
          <w:tcPr>
            <w:tcW w:w="1985" w:type="dxa"/>
            <w:tcBorders>
              <w:top w:val="nil"/>
              <w:left w:val="nil"/>
              <w:bottom w:val="nil"/>
              <w:right w:val="single" w:sz="4" w:space="0" w:color="auto"/>
            </w:tcBorders>
            <w:shd w:val="clear" w:color="auto" w:fill="auto"/>
            <w:noWrap/>
            <w:hideMark/>
          </w:tcPr>
          <w:p w14:paraId="643B62A1" w14:textId="5BB26F21"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32 774</w:t>
            </w:r>
          </w:p>
        </w:tc>
        <w:tc>
          <w:tcPr>
            <w:tcW w:w="1954" w:type="dxa"/>
            <w:tcBorders>
              <w:top w:val="nil"/>
              <w:left w:val="nil"/>
              <w:bottom w:val="nil"/>
              <w:right w:val="single" w:sz="4" w:space="0" w:color="auto"/>
            </w:tcBorders>
            <w:shd w:val="clear" w:color="auto" w:fill="auto"/>
            <w:noWrap/>
            <w:hideMark/>
          </w:tcPr>
          <w:p w14:paraId="5543AAE1" w14:textId="21D4310D"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40 213</w:t>
            </w:r>
          </w:p>
        </w:tc>
      </w:tr>
      <w:tr w:rsidR="00D56CE9" w:rsidRPr="000C156A" w14:paraId="332EA19C"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23DC87EB" w14:textId="77777777" w:rsidR="00D56CE9" w:rsidRPr="000C156A" w:rsidRDefault="00D56CE9" w:rsidP="00D56CE9">
            <w:pPr>
              <w:pStyle w:val="Tabletext"/>
              <w:spacing w:before="0"/>
              <w:rPr>
                <w:rFonts w:cs="Calibri"/>
                <w:szCs w:val="22"/>
                <w:lang w:val="en-US" w:eastAsia="zh-CN"/>
              </w:rPr>
            </w:pPr>
            <w:r w:rsidRPr="000C156A">
              <w:rPr>
                <w:rFonts w:cs="Calibri" w:hint="eastAsia"/>
                <w:szCs w:val="22"/>
                <w:lang w:val="en-US" w:eastAsia="zh-CN"/>
              </w:rPr>
              <w:t>实物捐赠</w:t>
            </w:r>
          </w:p>
        </w:tc>
        <w:tc>
          <w:tcPr>
            <w:tcW w:w="1985" w:type="dxa"/>
            <w:tcBorders>
              <w:top w:val="nil"/>
              <w:left w:val="nil"/>
              <w:bottom w:val="nil"/>
              <w:right w:val="single" w:sz="4" w:space="0" w:color="auto"/>
            </w:tcBorders>
            <w:shd w:val="clear" w:color="auto" w:fill="auto"/>
            <w:noWrap/>
            <w:hideMark/>
          </w:tcPr>
          <w:p w14:paraId="5E570E46" w14:textId="6BED56D6"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798</w:t>
            </w:r>
          </w:p>
        </w:tc>
        <w:tc>
          <w:tcPr>
            <w:tcW w:w="1954" w:type="dxa"/>
            <w:tcBorders>
              <w:top w:val="nil"/>
              <w:left w:val="nil"/>
              <w:bottom w:val="nil"/>
              <w:right w:val="single" w:sz="4" w:space="0" w:color="auto"/>
            </w:tcBorders>
            <w:shd w:val="clear" w:color="auto" w:fill="auto"/>
            <w:noWrap/>
            <w:hideMark/>
          </w:tcPr>
          <w:p w14:paraId="4CCB6D58" w14:textId="4754F20C"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820</w:t>
            </w:r>
          </w:p>
        </w:tc>
      </w:tr>
      <w:tr w:rsidR="00D56CE9" w:rsidRPr="000C156A" w14:paraId="6C3B0CCA"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1EFAB2F1" w14:textId="77777777" w:rsidR="00D56CE9" w:rsidRPr="000C156A" w:rsidRDefault="00D56CE9" w:rsidP="00D56CE9">
            <w:pPr>
              <w:pStyle w:val="Tabletext"/>
              <w:spacing w:before="0"/>
              <w:rPr>
                <w:rFonts w:cs="Calibri"/>
                <w:szCs w:val="22"/>
                <w:lang w:val="en-US" w:eastAsia="fr-FR"/>
              </w:rPr>
            </w:pPr>
            <w:r w:rsidRPr="000C156A">
              <w:rPr>
                <w:rFonts w:cs="Calibri" w:hint="eastAsia"/>
                <w:szCs w:val="22"/>
                <w:lang w:val="en-US" w:eastAsia="zh-CN"/>
              </w:rPr>
              <w:t>理财</w:t>
            </w:r>
            <w:r w:rsidRPr="000C156A">
              <w:rPr>
                <w:rFonts w:cs="Calibri" w:hint="eastAsia"/>
                <w:szCs w:val="22"/>
                <w:lang w:val="en-US" w:eastAsia="fr-FR"/>
              </w:rPr>
              <w:t>收入</w:t>
            </w:r>
          </w:p>
        </w:tc>
        <w:tc>
          <w:tcPr>
            <w:tcW w:w="1985" w:type="dxa"/>
            <w:tcBorders>
              <w:top w:val="nil"/>
              <w:left w:val="nil"/>
              <w:bottom w:val="nil"/>
              <w:right w:val="single" w:sz="4" w:space="0" w:color="auto"/>
            </w:tcBorders>
            <w:shd w:val="clear" w:color="auto" w:fill="auto"/>
            <w:noWrap/>
            <w:hideMark/>
          </w:tcPr>
          <w:p w14:paraId="12AF9627" w14:textId="64A9A7FD"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2 792</w:t>
            </w:r>
          </w:p>
        </w:tc>
        <w:tc>
          <w:tcPr>
            <w:tcW w:w="1954" w:type="dxa"/>
            <w:tcBorders>
              <w:top w:val="nil"/>
              <w:left w:val="nil"/>
              <w:bottom w:val="nil"/>
              <w:right w:val="single" w:sz="4" w:space="0" w:color="auto"/>
            </w:tcBorders>
            <w:shd w:val="clear" w:color="auto" w:fill="auto"/>
            <w:noWrap/>
            <w:hideMark/>
          </w:tcPr>
          <w:p w14:paraId="75201E65" w14:textId="6A2DB4D9"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-4 700</w:t>
            </w:r>
          </w:p>
        </w:tc>
      </w:tr>
      <w:tr w:rsidR="0085433F" w:rsidRPr="000C156A" w14:paraId="0E792DF0"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30668437" w14:textId="77777777" w:rsidR="0085433F" w:rsidRPr="000C156A" w:rsidRDefault="0085433F" w:rsidP="003A64C9">
            <w:pPr>
              <w:overflowPunct/>
              <w:adjustRightInd/>
              <w:spacing w:before="0"/>
              <w:textAlignment w:val="auto"/>
              <w:rPr>
                <w:rFonts w:cs="Calibri"/>
                <w:color w:val="000000"/>
                <w:sz w:val="22"/>
                <w:szCs w:val="22"/>
                <w:lang w:val="en-US" w:eastAsia="zh-CN"/>
              </w:rPr>
            </w:pPr>
            <w:r w:rsidRPr="000C156A">
              <w:rPr>
                <w:rFonts w:cs="Calibri"/>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67EAFBEF" w14:textId="77777777" w:rsidR="0085433F" w:rsidRPr="000C156A" w:rsidRDefault="0085433F" w:rsidP="003A64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3CCFE461" w14:textId="77777777" w:rsidR="0085433F" w:rsidRPr="000C156A" w:rsidRDefault="0085433F" w:rsidP="003A64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D56CE9" w:rsidRPr="000C156A" w14:paraId="5A4CAF02" w14:textId="77777777" w:rsidTr="003A64C9">
        <w:trPr>
          <w:trHeight w:val="499"/>
          <w:jc w:val="center"/>
        </w:trPr>
        <w:tc>
          <w:tcPr>
            <w:tcW w:w="4531" w:type="dxa"/>
            <w:tcBorders>
              <w:top w:val="single" w:sz="4" w:space="0" w:color="auto"/>
              <w:left w:val="single" w:sz="4" w:space="0" w:color="auto"/>
              <w:bottom w:val="single" w:sz="4" w:space="0" w:color="auto"/>
              <w:right w:val="nil"/>
            </w:tcBorders>
            <w:shd w:val="clear" w:color="auto" w:fill="auto"/>
            <w:noWrap/>
            <w:vAlign w:val="center"/>
            <w:hideMark/>
          </w:tcPr>
          <w:p w14:paraId="59E41BB7" w14:textId="77777777" w:rsidR="00D56CE9" w:rsidRPr="000C156A" w:rsidRDefault="00D56CE9" w:rsidP="00D56CE9">
            <w:pPr>
              <w:overflowPunct/>
              <w:adjustRightInd/>
              <w:spacing w:before="0"/>
              <w:textAlignment w:val="auto"/>
              <w:rPr>
                <w:rFonts w:cs="Calibri"/>
                <w:b/>
                <w:bCs/>
                <w:color w:val="000000"/>
                <w:sz w:val="22"/>
                <w:szCs w:val="22"/>
                <w:lang w:val="en-US" w:eastAsia="zh-CN"/>
              </w:rPr>
            </w:pPr>
            <w:r w:rsidRPr="000C156A">
              <w:rPr>
                <w:rFonts w:cs="Calibri" w:hint="eastAsia"/>
                <w:b/>
                <w:bCs/>
                <w:sz w:val="22"/>
                <w:szCs w:val="22"/>
                <w:lang w:val="en-US" w:eastAsia="fr-FR"/>
              </w:rPr>
              <w:t>收入总额</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F0818EB" w14:textId="21AEEBE1" w:rsidR="00D56CE9" w:rsidRPr="000C156A" w:rsidRDefault="00D56CE9" w:rsidP="00D56CE9">
            <w:pPr>
              <w:overflowPunct/>
              <w:autoSpaceDE/>
              <w:autoSpaceDN/>
              <w:adjustRightInd/>
              <w:spacing w:before="0"/>
              <w:jc w:val="right"/>
              <w:textAlignment w:val="auto"/>
              <w:rPr>
                <w:rFonts w:cs="Calibri"/>
                <w:b/>
                <w:bCs/>
                <w:color w:val="000000"/>
                <w:sz w:val="22"/>
                <w:szCs w:val="22"/>
                <w:lang w:eastAsia="en-GB"/>
              </w:rPr>
            </w:pPr>
            <w:r>
              <w:rPr>
                <w:rFonts w:eastAsia="Calibri" w:cs="Calibri"/>
                <w:b/>
                <w:sz w:val="22"/>
              </w:rPr>
              <w:t>175 556</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14:paraId="14B0B642" w14:textId="4AC8E4B8" w:rsidR="00D56CE9" w:rsidRPr="000C156A" w:rsidRDefault="00D56CE9" w:rsidP="00D56CE9">
            <w:pPr>
              <w:overflowPunct/>
              <w:autoSpaceDE/>
              <w:autoSpaceDN/>
              <w:adjustRightInd/>
              <w:spacing w:before="0"/>
              <w:jc w:val="right"/>
              <w:textAlignment w:val="auto"/>
              <w:rPr>
                <w:rFonts w:cs="Calibri"/>
                <w:b/>
                <w:bCs/>
                <w:color w:val="000000"/>
                <w:sz w:val="22"/>
                <w:szCs w:val="22"/>
                <w:lang w:eastAsia="en-GB"/>
              </w:rPr>
            </w:pPr>
            <w:r>
              <w:rPr>
                <w:rFonts w:eastAsia="Calibri" w:cs="Calibri"/>
                <w:b/>
                <w:sz w:val="22"/>
              </w:rPr>
              <w:t>170 373</w:t>
            </w:r>
          </w:p>
        </w:tc>
      </w:tr>
      <w:tr w:rsidR="0085433F" w:rsidRPr="000C156A" w14:paraId="446DC4D1"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4AE2BFEF" w14:textId="77777777" w:rsidR="0085433F" w:rsidRPr="000C156A" w:rsidRDefault="0085433F" w:rsidP="003A64C9">
            <w:pPr>
              <w:overflowPunct/>
              <w:adjustRightInd/>
              <w:spacing w:before="0"/>
              <w:textAlignment w:val="auto"/>
              <w:rPr>
                <w:rFonts w:cs="Calibri"/>
                <w:b/>
                <w:bCs/>
                <w:color w:val="000000"/>
                <w:sz w:val="22"/>
                <w:szCs w:val="22"/>
                <w:lang w:val="en-US" w:eastAsia="zh-CN"/>
              </w:rPr>
            </w:pPr>
            <w:r w:rsidRPr="000C156A">
              <w:rPr>
                <w:rFonts w:cs="Calibri"/>
                <w:b/>
                <w:bCs/>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77EA165A" w14:textId="77777777" w:rsidR="0085433F" w:rsidRPr="000C156A" w:rsidRDefault="0085433F" w:rsidP="003A64C9">
            <w:pPr>
              <w:overflowPunct/>
              <w:autoSpaceDE/>
              <w:autoSpaceDN/>
              <w:adjustRightInd/>
              <w:spacing w:before="0"/>
              <w:textAlignment w:val="auto"/>
              <w:rPr>
                <w:rFonts w:cs="Calibri"/>
                <w:b/>
                <w:bCs/>
                <w:color w:val="000000"/>
                <w:sz w:val="22"/>
                <w:szCs w:val="22"/>
                <w:lang w:eastAsia="en-GB"/>
              </w:rPr>
            </w:pPr>
            <w:r w:rsidRPr="000C156A">
              <w:rPr>
                <w:rFonts w:cs="Calibri"/>
                <w:b/>
                <w:bCs/>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6A68756D" w14:textId="77777777" w:rsidR="0085433F" w:rsidRPr="000C156A" w:rsidRDefault="0085433F" w:rsidP="003A64C9">
            <w:pPr>
              <w:overflowPunct/>
              <w:autoSpaceDE/>
              <w:autoSpaceDN/>
              <w:adjustRightInd/>
              <w:spacing w:before="0"/>
              <w:textAlignment w:val="auto"/>
              <w:rPr>
                <w:rFonts w:cs="Calibri"/>
                <w:b/>
                <w:bCs/>
                <w:color w:val="000000"/>
                <w:sz w:val="22"/>
                <w:szCs w:val="22"/>
                <w:lang w:eastAsia="en-GB"/>
              </w:rPr>
            </w:pPr>
            <w:r w:rsidRPr="000C156A">
              <w:rPr>
                <w:rFonts w:cs="Calibri"/>
                <w:b/>
                <w:bCs/>
                <w:color w:val="000000"/>
                <w:sz w:val="22"/>
                <w:szCs w:val="22"/>
                <w:lang w:eastAsia="en-GB"/>
              </w:rPr>
              <w:t> </w:t>
            </w:r>
          </w:p>
        </w:tc>
      </w:tr>
      <w:tr w:rsidR="0085433F" w:rsidRPr="000C156A" w14:paraId="70C33E80" w14:textId="77777777" w:rsidTr="003A64C9">
        <w:trPr>
          <w:trHeight w:val="315"/>
          <w:jc w:val="center"/>
        </w:trPr>
        <w:tc>
          <w:tcPr>
            <w:tcW w:w="4531" w:type="dxa"/>
            <w:tcBorders>
              <w:top w:val="nil"/>
              <w:left w:val="single" w:sz="4" w:space="0" w:color="auto"/>
              <w:bottom w:val="nil"/>
              <w:right w:val="nil"/>
            </w:tcBorders>
            <w:shd w:val="clear" w:color="auto" w:fill="auto"/>
            <w:noWrap/>
            <w:vAlign w:val="bottom"/>
            <w:hideMark/>
          </w:tcPr>
          <w:p w14:paraId="4224672F" w14:textId="77777777" w:rsidR="0085433F" w:rsidRPr="000C156A" w:rsidRDefault="0085433F" w:rsidP="003A64C9">
            <w:pPr>
              <w:overflowPunct/>
              <w:adjustRightInd/>
              <w:spacing w:before="0"/>
              <w:textAlignment w:val="auto"/>
              <w:rPr>
                <w:rFonts w:cs="Calibri"/>
                <w:b/>
                <w:bCs/>
                <w:color w:val="000000"/>
                <w:sz w:val="22"/>
                <w:szCs w:val="22"/>
                <w:lang w:val="en-US" w:eastAsia="zh-CN"/>
              </w:rPr>
            </w:pPr>
            <w:r w:rsidRPr="000C156A">
              <w:rPr>
                <w:rFonts w:cs="Calibri" w:hint="eastAsia"/>
                <w:b/>
                <w:bCs/>
                <w:sz w:val="22"/>
                <w:szCs w:val="22"/>
                <w:lang w:val="en-US" w:eastAsia="fr-FR"/>
              </w:rPr>
              <w:t>费用</w:t>
            </w:r>
          </w:p>
        </w:tc>
        <w:tc>
          <w:tcPr>
            <w:tcW w:w="1985" w:type="dxa"/>
            <w:tcBorders>
              <w:top w:val="nil"/>
              <w:left w:val="nil"/>
              <w:bottom w:val="nil"/>
              <w:right w:val="single" w:sz="4" w:space="0" w:color="auto"/>
            </w:tcBorders>
            <w:shd w:val="clear" w:color="auto" w:fill="auto"/>
            <w:hideMark/>
          </w:tcPr>
          <w:p w14:paraId="09974713" w14:textId="77777777" w:rsidR="0085433F" w:rsidRPr="000C156A" w:rsidRDefault="0085433F" w:rsidP="003A64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0B8E64F2" w14:textId="77777777" w:rsidR="0085433F" w:rsidRPr="000C156A" w:rsidRDefault="0085433F" w:rsidP="003A64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85433F" w:rsidRPr="000C156A" w14:paraId="2A1637A7"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0D41A33F" w14:textId="77777777" w:rsidR="0085433F" w:rsidRPr="000C156A" w:rsidRDefault="0085433F" w:rsidP="003A64C9">
            <w:pPr>
              <w:overflowPunct/>
              <w:adjustRightInd/>
              <w:spacing w:before="0"/>
              <w:textAlignment w:val="auto"/>
              <w:rPr>
                <w:rFonts w:cs="Calibri"/>
                <w:b/>
                <w:bCs/>
                <w:color w:val="000000"/>
                <w:sz w:val="22"/>
                <w:szCs w:val="22"/>
                <w:lang w:val="en-US" w:eastAsia="zh-CN"/>
              </w:rPr>
            </w:pPr>
            <w:r w:rsidRPr="000C156A">
              <w:rPr>
                <w:rFonts w:cs="Calibri"/>
                <w:b/>
                <w:bCs/>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2A206D59" w14:textId="77777777" w:rsidR="0085433F" w:rsidRPr="000C156A" w:rsidRDefault="0085433F" w:rsidP="003A64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390FB16B" w14:textId="77777777" w:rsidR="0085433F" w:rsidRPr="000C156A" w:rsidRDefault="0085433F" w:rsidP="003A64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D56CE9" w:rsidRPr="000C156A" w14:paraId="09FCA967" w14:textId="77777777" w:rsidTr="003A64C9">
        <w:trPr>
          <w:trHeight w:val="255"/>
          <w:jc w:val="center"/>
        </w:trPr>
        <w:tc>
          <w:tcPr>
            <w:tcW w:w="4531" w:type="dxa"/>
            <w:tcBorders>
              <w:top w:val="nil"/>
              <w:left w:val="single" w:sz="4" w:space="0" w:color="auto"/>
              <w:bottom w:val="nil"/>
              <w:right w:val="nil"/>
            </w:tcBorders>
            <w:shd w:val="clear" w:color="auto" w:fill="auto"/>
            <w:noWrap/>
            <w:hideMark/>
          </w:tcPr>
          <w:p w14:paraId="3161DD15" w14:textId="77777777" w:rsidR="00D56CE9" w:rsidRPr="000C156A" w:rsidRDefault="00D56CE9" w:rsidP="00D56CE9">
            <w:pPr>
              <w:pStyle w:val="Tabletext"/>
              <w:spacing w:before="0"/>
              <w:rPr>
                <w:rFonts w:cs="Calibri"/>
                <w:szCs w:val="22"/>
                <w:lang w:val="en-US" w:eastAsia="fr-FR"/>
              </w:rPr>
            </w:pPr>
            <w:r w:rsidRPr="000C156A">
              <w:rPr>
                <w:rFonts w:cs="Calibri" w:hint="eastAsia"/>
                <w:szCs w:val="22"/>
                <w:lang w:val="en-US" w:eastAsia="fr-FR"/>
              </w:rPr>
              <w:t>职员费用</w:t>
            </w:r>
          </w:p>
        </w:tc>
        <w:tc>
          <w:tcPr>
            <w:tcW w:w="1985" w:type="dxa"/>
            <w:tcBorders>
              <w:top w:val="nil"/>
              <w:left w:val="nil"/>
              <w:bottom w:val="nil"/>
              <w:right w:val="single" w:sz="4" w:space="0" w:color="auto"/>
            </w:tcBorders>
            <w:shd w:val="clear" w:color="auto" w:fill="auto"/>
            <w:vAlign w:val="bottom"/>
            <w:hideMark/>
          </w:tcPr>
          <w:p w14:paraId="126B3930" w14:textId="1E577AF4"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150 417</w:t>
            </w:r>
          </w:p>
        </w:tc>
        <w:tc>
          <w:tcPr>
            <w:tcW w:w="1954" w:type="dxa"/>
            <w:tcBorders>
              <w:top w:val="nil"/>
              <w:left w:val="nil"/>
              <w:bottom w:val="nil"/>
              <w:right w:val="single" w:sz="4" w:space="0" w:color="auto"/>
            </w:tcBorders>
            <w:shd w:val="clear" w:color="auto" w:fill="auto"/>
            <w:vAlign w:val="bottom"/>
            <w:hideMark/>
          </w:tcPr>
          <w:p w14:paraId="367D8FA6" w14:textId="3C6AB091"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153 825</w:t>
            </w:r>
          </w:p>
        </w:tc>
      </w:tr>
      <w:tr w:rsidR="00D56CE9" w:rsidRPr="000C156A" w14:paraId="54FD7C74"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3CFB7C94" w14:textId="77777777" w:rsidR="00D56CE9" w:rsidRPr="000C156A" w:rsidRDefault="00D56CE9" w:rsidP="00D56CE9">
            <w:pPr>
              <w:pStyle w:val="Tabletext"/>
              <w:spacing w:before="0"/>
              <w:rPr>
                <w:rFonts w:cs="Calibri"/>
                <w:szCs w:val="22"/>
                <w:lang w:val="en-US" w:eastAsia="fr-FR"/>
              </w:rPr>
            </w:pPr>
            <w:r w:rsidRPr="000C156A">
              <w:rPr>
                <w:rFonts w:cs="Calibri" w:hint="eastAsia"/>
                <w:szCs w:val="22"/>
                <w:lang w:val="en-US" w:eastAsia="fr-FR"/>
              </w:rPr>
              <w:t>差旅费用</w:t>
            </w:r>
          </w:p>
        </w:tc>
        <w:tc>
          <w:tcPr>
            <w:tcW w:w="1985" w:type="dxa"/>
            <w:tcBorders>
              <w:top w:val="nil"/>
              <w:left w:val="nil"/>
              <w:bottom w:val="nil"/>
              <w:right w:val="single" w:sz="4" w:space="0" w:color="auto"/>
            </w:tcBorders>
            <w:shd w:val="clear" w:color="auto" w:fill="auto"/>
            <w:hideMark/>
          </w:tcPr>
          <w:p w14:paraId="16E72165" w14:textId="1895067E"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443</w:t>
            </w:r>
          </w:p>
        </w:tc>
        <w:tc>
          <w:tcPr>
            <w:tcW w:w="1954" w:type="dxa"/>
            <w:tcBorders>
              <w:top w:val="nil"/>
              <w:left w:val="nil"/>
              <w:bottom w:val="nil"/>
              <w:right w:val="single" w:sz="4" w:space="0" w:color="auto"/>
            </w:tcBorders>
            <w:shd w:val="clear" w:color="auto" w:fill="auto"/>
            <w:hideMark/>
          </w:tcPr>
          <w:p w14:paraId="3BF8DB2F" w14:textId="1CBE493B"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1 003</w:t>
            </w:r>
          </w:p>
        </w:tc>
      </w:tr>
      <w:tr w:rsidR="00D56CE9" w:rsidRPr="000C156A" w14:paraId="52C2FECD"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1B9C5AF0" w14:textId="77777777" w:rsidR="00D56CE9" w:rsidRPr="000C156A" w:rsidRDefault="00D56CE9" w:rsidP="00D56CE9">
            <w:pPr>
              <w:pStyle w:val="Tabletext"/>
              <w:spacing w:before="0"/>
              <w:rPr>
                <w:rFonts w:cs="Calibri"/>
                <w:szCs w:val="22"/>
                <w:lang w:val="en-US" w:eastAsia="fr-FR"/>
              </w:rPr>
            </w:pPr>
            <w:r w:rsidRPr="000C156A">
              <w:rPr>
                <w:rFonts w:cs="Calibri"/>
                <w:szCs w:val="22"/>
                <w:lang w:val="en-US" w:eastAsia="fr-FR"/>
              </w:rPr>
              <w:t>合同服</w:t>
            </w:r>
            <w:r w:rsidRPr="000C156A">
              <w:rPr>
                <w:rFonts w:cs="Calibri" w:hint="eastAsia"/>
                <w:szCs w:val="22"/>
                <w:lang w:val="en-US" w:eastAsia="fr-FR"/>
              </w:rPr>
              <w:t>务</w:t>
            </w:r>
          </w:p>
        </w:tc>
        <w:tc>
          <w:tcPr>
            <w:tcW w:w="1985" w:type="dxa"/>
            <w:tcBorders>
              <w:top w:val="nil"/>
              <w:left w:val="nil"/>
              <w:bottom w:val="nil"/>
              <w:right w:val="single" w:sz="4" w:space="0" w:color="auto"/>
            </w:tcBorders>
            <w:shd w:val="clear" w:color="auto" w:fill="auto"/>
            <w:hideMark/>
          </w:tcPr>
          <w:p w14:paraId="58597923" w14:textId="2AB99913"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21 038</w:t>
            </w:r>
          </w:p>
        </w:tc>
        <w:tc>
          <w:tcPr>
            <w:tcW w:w="1954" w:type="dxa"/>
            <w:tcBorders>
              <w:top w:val="nil"/>
              <w:left w:val="nil"/>
              <w:bottom w:val="nil"/>
              <w:right w:val="single" w:sz="4" w:space="0" w:color="auto"/>
            </w:tcBorders>
            <w:shd w:val="clear" w:color="auto" w:fill="auto"/>
            <w:hideMark/>
          </w:tcPr>
          <w:p w14:paraId="7B890648" w14:textId="7A287606"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14 512</w:t>
            </w:r>
          </w:p>
        </w:tc>
      </w:tr>
      <w:tr w:rsidR="00D56CE9" w:rsidRPr="000C156A" w14:paraId="3A42BFBF"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1DB5E80D" w14:textId="77777777" w:rsidR="00D56CE9" w:rsidRPr="000C156A" w:rsidRDefault="00D56CE9" w:rsidP="00D56CE9">
            <w:pPr>
              <w:pStyle w:val="Tabletext"/>
              <w:spacing w:before="0"/>
              <w:rPr>
                <w:rFonts w:cs="Calibri"/>
                <w:szCs w:val="22"/>
                <w:lang w:val="en-US" w:eastAsia="zh-CN"/>
              </w:rPr>
            </w:pPr>
            <w:r w:rsidRPr="000C156A">
              <w:rPr>
                <w:rFonts w:cs="Calibri" w:hint="eastAsia"/>
                <w:szCs w:val="22"/>
                <w:lang w:val="en-US" w:eastAsia="zh-CN"/>
              </w:rPr>
              <w:t>房屋设备租金与维修费</w:t>
            </w:r>
          </w:p>
        </w:tc>
        <w:tc>
          <w:tcPr>
            <w:tcW w:w="1985" w:type="dxa"/>
            <w:tcBorders>
              <w:top w:val="nil"/>
              <w:left w:val="nil"/>
              <w:bottom w:val="nil"/>
              <w:right w:val="single" w:sz="4" w:space="0" w:color="auto"/>
            </w:tcBorders>
            <w:shd w:val="clear" w:color="auto" w:fill="auto"/>
            <w:hideMark/>
          </w:tcPr>
          <w:p w14:paraId="6693EB93" w14:textId="5148BFB2"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1 847</w:t>
            </w:r>
          </w:p>
        </w:tc>
        <w:tc>
          <w:tcPr>
            <w:tcW w:w="1954" w:type="dxa"/>
            <w:tcBorders>
              <w:top w:val="nil"/>
              <w:left w:val="nil"/>
              <w:bottom w:val="nil"/>
              <w:right w:val="single" w:sz="4" w:space="0" w:color="auto"/>
            </w:tcBorders>
            <w:shd w:val="clear" w:color="auto" w:fill="auto"/>
            <w:hideMark/>
          </w:tcPr>
          <w:p w14:paraId="53C150BA" w14:textId="5D27DB0E"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3 004</w:t>
            </w:r>
          </w:p>
        </w:tc>
      </w:tr>
      <w:tr w:rsidR="00D56CE9" w:rsidRPr="000C156A" w14:paraId="727775D1"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2DC2C380" w14:textId="77777777" w:rsidR="00D56CE9" w:rsidRPr="000C156A" w:rsidRDefault="00D56CE9" w:rsidP="00D56CE9">
            <w:pPr>
              <w:pStyle w:val="Tabletext"/>
              <w:spacing w:before="0"/>
              <w:rPr>
                <w:rFonts w:cs="Calibri"/>
                <w:szCs w:val="22"/>
                <w:lang w:val="en-US" w:eastAsia="fr-FR"/>
              </w:rPr>
            </w:pPr>
            <w:r w:rsidRPr="000C156A">
              <w:rPr>
                <w:rFonts w:cs="Calibri" w:hint="eastAsia"/>
                <w:szCs w:val="22"/>
                <w:lang w:val="en-US" w:eastAsia="fr-FR"/>
              </w:rPr>
              <w:t>设备和用品</w:t>
            </w:r>
          </w:p>
        </w:tc>
        <w:tc>
          <w:tcPr>
            <w:tcW w:w="1985" w:type="dxa"/>
            <w:tcBorders>
              <w:top w:val="nil"/>
              <w:left w:val="nil"/>
              <w:bottom w:val="nil"/>
              <w:right w:val="single" w:sz="4" w:space="0" w:color="auto"/>
            </w:tcBorders>
            <w:shd w:val="clear" w:color="auto" w:fill="auto"/>
            <w:hideMark/>
          </w:tcPr>
          <w:p w14:paraId="23D2D96C" w14:textId="1CD7BA88"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2 297</w:t>
            </w:r>
          </w:p>
        </w:tc>
        <w:tc>
          <w:tcPr>
            <w:tcW w:w="1954" w:type="dxa"/>
            <w:tcBorders>
              <w:top w:val="nil"/>
              <w:left w:val="nil"/>
              <w:bottom w:val="nil"/>
              <w:right w:val="single" w:sz="4" w:space="0" w:color="auto"/>
            </w:tcBorders>
            <w:shd w:val="clear" w:color="auto" w:fill="auto"/>
            <w:hideMark/>
          </w:tcPr>
          <w:p w14:paraId="6AEBC87E" w14:textId="115C2111"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2 896</w:t>
            </w:r>
          </w:p>
        </w:tc>
      </w:tr>
      <w:tr w:rsidR="00D56CE9" w:rsidRPr="000C156A" w14:paraId="568F25B5"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6BEFD06E" w14:textId="77777777" w:rsidR="00D56CE9" w:rsidRPr="000C156A" w:rsidRDefault="00D56CE9" w:rsidP="00D56CE9">
            <w:pPr>
              <w:pStyle w:val="Tabletext"/>
              <w:spacing w:before="0"/>
              <w:rPr>
                <w:rFonts w:cs="Calibri"/>
                <w:szCs w:val="22"/>
                <w:lang w:val="en-US" w:eastAsia="fr-FR"/>
              </w:rPr>
            </w:pPr>
            <w:r w:rsidRPr="000C156A">
              <w:rPr>
                <w:rFonts w:cs="Calibri" w:hint="eastAsia"/>
                <w:szCs w:val="22"/>
                <w:lang w:val="en-US" w:eastAsia="fr-FR"/>
              </w:rPr>
              <w:t>折旧和减值损失</w:t>
            </w:r>
          </w:p>
        </w:tc>
        <w:tc>
          <w:tcPr>
            <w:tcW w:w="1985" w:type="dxa"/>
            <w:tcBorders>
              <w:top w:val="nil"/>
              <w:left w:val="nil"/>
              <w:bottom w:val="nil"/>
              <w:right w:val="single" w:sz="4" w:space="0" w:color="auto"/>
            </w:tcBorders>
            <w:shd w:val="clear" w:color="auto" w:fill="auto"/>
            <w:hideMark/>
          </w:tcPr>
          <w:p w14:paraId="6A1BEF63" w14:textId="788B9B06"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9 693</w:t>
            </w:r>
          </w:p>
        </w:tc>
        <w:tc>
          <w:tcPr>
            <w:tcW w:w="1954" w:type="dxa"/>
            <w:tcBorders>
              <w:top w:val="nil"/>
              <w:left w:val="nil"/>
              <w:bottom w:val="nil"/>
              <w:right w:val="single" w:sz="4" w:space="0" w:color="auto"/>
            </w:tcBorders>
            <w:shd w:val="clear" w:color="auto" w:fill="auto"/>
            <w:hideMark/>
          </w:tcPr>
          <w:p w14:paraId="4CBBAAAA" w14:textId="5CCD7189"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16 598</w:t>
            </w:r>
          </w:p>
        </w:tc>
      </w:tr>
      <w:tr w:rsidR="00D56CE9" w:rsidRPr="000C156A" w14:paraId="458A5FF1"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4CA66473" w14:textId="77777777" w:rsidR="00D56CE9" w:rsidRPr="000C156A" w:rsidRDefault="00D56CE9" w:rsidP="00D56CE9">
            <w:pPr>
              <w:pStyle w:val="Tabletext"/>
              <w:spacing w:before="0"/>
              <w:rPr>
                <w:rFonts w:cs="Calibri"/>
                <w:szCs w:val="22"/>
                <w:lang w:val="en-US" w:eastAsia="zh-CN"/>
              </w:rPr>
            </w:pPr>
            <w:r w:rsidRPr="000C156A">
              <w:rPr>
                <w:rFonts w:cs="Calibri" w:hint="eastAsia"/>
                <w:szCs w:val="22"/>
                <w:lang w:val="en-US" w:eastAsia="zh-CN"/>
              </w:rPr>
              <w:t>运输、通信和服务费用</w:t>
            </w:r>
          </w:p>
        </w:tc>
        <w:tc>
          <w:tcPr>
            <w:tcW w:w="1985" w:type="dxa"/>
            <w:tcBorders>
              <w:top w:val="nil"/>
              <w:left w:val="nil"/>
              <w:bottom w:val="nil"/>
              <w:right w:val="single" w:sz="4" w:space="0" w:color="auto"/>
            </w:tcBorders>
            <w:shd w:val="clear" w:color="auto" w:fill="auto"/>
            <w:hideMark/>
          </w:tcPr>
          <w:p w14:paraId="2668657F" w14:textId="4492FAC4"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1 505</w:t>
            </w:r>
          </w:p>
        </w:tc>
        <w:tc>
          <w:tcPr>
            <w:tcW w:w="1954" w:type="dxa"/>
            <w:tcBorders>
              <w:top w:val="nil"/>
              <w:left w:val="nil"/>
              <w:bottom w:val="nil"/>
              <w:right w:val="single" w:sz="4" w:space="0" w:color="auto"/>
            </w:tcBorders>
            <w:shd w:val="clear" w:color="auto" w:fill="auto"/>
            <w:hideMark/>
          </w:tcPr>
          <w:p w14:paraId="0E0A8B30" w14:textId="1C2729F1"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1 599</w:t>
            </w:r>
          </w:p>
        </w:tc>
      </w:tr>
      <w:tr w:rsidR="00D56CE9" w:rsidRPr="000C156A" w14:paraId="1776702F"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688F8088" w14:textId="77777777" w:rsidR="00D56CE9" w:rsidRPr="000C156A" w:rsidRDefault="00D56CE9" w:rsidP="00D56CE9">
            <w:pPr>
              <w:pStyle w:val="Tabletext"/>
              <w:spacing w:before="0"/>
              <w:rPr>
                <w:rFonts w:cs="Calibri"/>
                <w:szCs w:val="22"/>
                <w:lang w:val="en-US" w:eastAsia="zh-CN"/>
              </w:rPr>
            </w:pPr>
            <w:r w:rsidRPr="000C156A">
              <w:rPr>
                <w:rFonts w:cs="Calibri" w:hint="eastAsia"/>
                <w:szCs w:val="22"/>
                <w:lang w:val="en-US" w:eastAsia="fr-FR"/>
              </w:rPr>
              <w:t>其它费用</w:t>
            </w:r>
          </w:p>
        </w:tc>
        <w:tc>
          <w:tcPr>
            <w:tcW w:w="1985" w:type="dxa"/>
            <w:tcBorders>
              <w:top w:val="nil"/>
              <w:left w:val="nil"/>
              <w:bottom w:val="nil"/>
              <w:right w:val="single" w:sz="4" w:space="0" w:color="auto"/>
            </w:tcBorders>
            <w:shd w:val="clear" w:color="auto" w:fill="auto"/>
            <w:hideMark/>
          </w:tcPr>
          <w:p w14:paraId="6442D565" w14:textId="55CB5C9A"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2 937</w:t>
            </w:r>
          </w:p>
        </w:tc>
        <w:tc>
          <w:tcPr>
            <w:tcW w:w="1954" w:type="dxa"/>
            <w:tcBorders>
              <w:top w:val="nil"/>
              <w:left w:val="nil"/>
              <w:bottom w:val="nil"/>
              <w:right w:val="single" w:sz="4" w:space="0" w:color="auto"/>
            </w:tcBorders>
            <w:shd w:val="clear" w:color="auto" w:fill="auto"/>
            <w:hideMark/>
          </w:tcPr>
          <w:p w14:paraId="7301646C" w14:textId="71C65120"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8 306</w:t>
            </w:r>
          </w:p>
        </w:tc>
      </w:tr>
      <w:tr w:rsidR="00D56CE9" w:rsidRPr="000C156A" w14:paraId="7C1817B5"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35BA72BF" w14:textId="77777777" w:rsidR="00D56CE9" w:rsidRPr="000C156A" w:rsidRDefault="00D56CE9" w:rsidP="00D56CE9">
            <w:pPr>
              <w:pStyle w:val="Tabletext"/>
              <w:spacing w:before="0"/>
              <w:rPr>
                <w:rFonts w:cs="Calibri"/>
                <w:szCs w:val="22"/>
                <w:lang w:val="en-US" w:eastAsia="fr-FR"/>
              </w:rPr>
            </w:pPr>
            <w:r w:rsidRPr="000C156A">
              <w:rPr>
                <w:rFonts w:cs="Calibri" w:hint="eastAsia"/>
                <w:szCs w:val="22"/>
                <w:lang w:val="en-US" w:eastAsia="fr-FR"/>
              </w:rPr>
              <w:t>实物捐赠</w:t>
            </w:r>
          </w:p>
        </w:tc>
        <w:tc>
          <w:tcPr>
            <w:tcW w:w="1985" w:type="dxa"/>
            <w:tcBorders>
              <w:top w:val="nil"/>
              <w:left w:val="nil"/>
              <w:bottom w:val="nil"/>
              <w:right w:val="single" w:sz="4" w:space="0" w:color="auto"/>
            </w:tcBorders>
            <w:shd w:val="clear" w:color="auto" w:fill="auto"/>
            <w:hideMark/>
          </w:tcPr>
          <w:p w14:paraId="4CD0E1A7" w14:textId="442A592F"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798</w:t>
            </w:r>
          </w:p>
        </w:tc>
        <w:tc>
          <w:tcPr>
            <w:tcW w:w="1954" w:type="dxa"/>
            <w:tcBorders>
              <w:top w:val="nil"/>
              <w:left w:val="nil"/>
              <w:bottom w:val="nil"/>
              <w:right w:val="single" w:sz="4" w:space="0" w:color="auto"/>
            </w:tcBorders>
            <w:shd w:val="clear" w:color="auto" w:fill="auto"/>
            <w:hideMark/>
          </w:tcPr>
          <w:p w14:paraId="046D9C76" w14:textId="12A4554C"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820</w:t>
            </w:r>
          </w:p>
        </w:tc>
      </w:tr>
      <w:tr w:rsidR="00D56CE9" w:rsidRPr="000C156A" w14:paraId="7F8CFF8E"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4352677A" w14:textId="77777777" w:rsidR="00D56CE9" w:rsidRPr="000C156A" w:rsidRDefault="00D56CE9" w:rsidP="00D56CE9">
            <w:pPr>
              <w:pStyle w:val="Tabletext"/>
              <w:spacing w:before="0"/>
              <w:rPr>
                <w:rFonts w:cs="Calibri"/>
                <w:szCs w:val="22"/>
                <w:lang w:val="en-US" w:eastAsia="zh-CN"/>
              </w:rPr>
            </w:pPr>
            <w:r w:rsidRPr="000C156A">
              <w:rPr>
                <w:rFonts w:cs="Calibri" w:hint="eastAsia"/>
                <w:szCs w:val="22"/>
                <w:lang w:val="en-US" w:eastAsia="fr-FR"/>
              </w:rPr>
              <w:t>财务费用</w:t>
            </w:r>
          </w:p>
        </w:tc>
        <w:tc>
          <w:tcPr>
            <w:tcW w:w="1985" w:type="dxa"/>
            <w:tcBorders>
              <w:top w:val="nil"/>
              <w:left w:val="nil"/>
              <w:bottom w:val="nil"/>
              <w:right w:val="single" w:sz="4" w:space="0" w:color="auto"/>
            </w:tcBorders>
            <w:shd w:val="clear" w:color="auto" w:fill="auto"/>
            <w:hideMark/>
          </w:tcPr>
          <w:p w14:paraId="4B587C60" w14:textId="6A636EBC"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-561</w:t>
            </w:r>
          </w:p>
        </w:tc>
        <w:tc>
          <w:tcPr>
            <w:tcW w:w="1954" w:type="dxa"/>
            <w:tcBorders>
              <w:top w:val="nil"/>
              <w:left w:val="nil"/>
              <w:bottom w:val="nil"/>
              <w:right w:val="single" w:sz="4" w:space="0" w:color="auto"/>
            </w:tcBorders>
            <w:shd w:val="clear" w:color="auto" w:fill="auto"/>
            <w:hideMark/>
          </w:tcPr>
          <w:p w14:paraId="1CA84C8A" w14:textId="41C3B4B6"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15 069</w:t>
            </w:r>
          </w:p>
        </w:tc>
      </w:tr>
      <w:tr w:rsidR="0085433F" w:rsidRPr="000C156A" w14:paraId="4A4EFEA7" w14:textId="77777777" w:rsidTr="003A64C9">
        <w:trPr>
          <w:trHeight w:val="255"/>
          <w:jc w:val="center"/>
        </w:trPr>
        <w:tc>
          <w:tcPr>
            <w:tcW w:w="4531" w:type="dxa"/>
            <w:tcBorders>
              <w:top w:val="nil"/>
              <w:left w:val="single" w:sz="4" w:space="0" w:color="auto"/>
              <w:bottom w:val="nil"/>
              <w:right w:val="nil"/>
            </w:tcBorders>
            <w:shd w:val="clear" w:color="auto" w:fill="auto"/>
            <w:hideMark/>
          </w:tcPr>
          <w:p w14:paraId="5F34D7FB" w14:textId="77777777" w:rsidR="0085433F" w:rsidRPr="000C156A" w:rsidRDefault="0085433F" w:rsidP="003A64C9">
            <w:pPr>
              <w:overflowPunct/>
              <w:adjustRightInd/>
              <w:spacing w:before="0"/>
              <w:textAlignment w:val="auto"/>
              <w:rPr>
                <w:rFonts w:cs="Calibri"/>
                <w:color w:val="000000"/>
                <w:sz w:val="22"/>
                <w:szCs w:val="22"/>
                <w:lang w:val="en-US" w:eastAsia="zh-CN"/>
              </w:rPr>
            </w:pPr>
            <w:r w:rsidRPr="000C156A">
              <w:rPr>
                <w:rFonts w:cs="Calibri"/>
                <w:color w:val="000000"/>
                <w:sz w:val="22"/>
                <w:szCs w:val="22"/>
                <w:lang w:val="en-US" w:eastAsia="zh-CN"/>
              </w:rPr>
              <w:t> </w:t>
            </w:r>
          </w:p>
        </w:tc>
        <w:tc>
          <w:tcPr>
            <w:tcW w:w="1985" w:type="dxa"/>
            <w:tcBorders>
              <w:top w:val="nil"/>
              <w:left w:val="nil"/>
              <w:bottom w:val="nil"/>
              <w:right w:val="single" w:sz="4" w:space="0" w:color="auto"/>
            </w:tcBorders>
            <w:shd w:val="clear" w:color="auto" w:fill="auto"/>
            <w:hideMark/>
          </w:tcPr>
          <w:p w14:paraId="094E9985" w14:textId="77777777" w:rsidR="0085433F" w:rsidRPr="000C156A" w:rsidRDefault="0085433F" w:rsidP="003A64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c>
          <w:tcPr>
            <w:tcW w:w="1954" w:type="dxa"/>
            <w:tcBorders>
              <w:top w:val="nil"/>
              <w:left w:val="nil"/>
              <w:bottom w:val="nil"/>
              <w:right w:val="single" w:sz="4" w:space="0" w:color="auto"/>
            </w:tcBorders>
            <w:shd w:val="clear" w:color="auto" w:fill="auto"/>
            <w:hideMark/>
          </w:tcPr>
          <w:p w14:paraId="276434EC" w14:textId="77777777" w:rsidR="0085433F" w:rsidRPr="000C156A" w:rsidRDefault="0085433F" w:rsidP="003A64C9">
            <w:pPr>
              <w:overflowPunct/>
              <w:autoSpaceDE/>
              <w:autoSpaceDN/>
              <w:adjustRightInd/>
              <w:spacing w:before="0"/>
              <w:textAlignment w:val="auto"/>
              <w:rPr>
                <w:rFonts w:cs="Calibri"/>
                <w:color w:val="000000"/>
                <w:sz w:val="22"/>
                <w:szCs w:val="22"/>
                <w:lang w:eastAsia="en-GB"/>
              </w:rPr>
            </w:pPr>
            <w:r w:rsidRPr="000C156A">
              <w:rPr>
                <w:rFonts w:cs="Calibri"/>
                <w:color w:val="000000"/>
                <w:sz w:val="22"/>
                <w:szCs w:val="22"/>
                <w:lang w:eastAsia="en-GB"/>
              </w:rPr>
              <w:t> </w:t>
            </w:r>
          </w:p>
        </w:tc>
      </w:tr>
      <w:tr w:rsidR="00D56CE9" w:rsidRPr="000C156A" w14:paraId="245D3A47" w14:textId="77777777" w:rsidTr="003A64C9">
        <w:trPr>
          <w:trHeight w:val="329"/>
          <w:jc w:val="center"/>
        </w:trPr>
        <w:tc>
          <w:tcPr>
            <w:tcW w:w="4531" w:type="dxa"/>
            <w:tcBorders>
              <w:top w:val="single" w:sz="4" w:space="0" w:color="auto"/>
              <w:left w:val="single" w:sz="4" w:space="0" w:color="auto"/>
              <w:bottom w:val="single" w:sz="4" w:space="0" w:color="auto"/>
              <w:right w:val="nil"/>
            </w:tcBorders>
            <w:shd w:val="clear" w:color="auto" w:fill="auto"/>
            <w:noWrap/>
            <w:hideMark/>
          </w:tcPr>
          <w:p w14:paraId="538C19FE" w14:textId="77777777" w:rsidR="00D56CE9" w:rsidRPr="000C156A" w:rsidRDefault="00D56CE9" w:rsidP="00D56CE9">
            <w:pPr>
              <w:pStyle w:val="Tablehead"/>
              <w:spacing w:before="20" w:after="20"/>
              <w:jc w:val="left"/>
              <w:rPr>
                <w:rFonts w:cs="Calibri"/>
                <w:b w:val="0"/>
                <w:bCs/>
                <w:szCs w:val="22"/>
                <w:lang w:val="en-US" w:eastAsia="fr-FR"/>
              </w:rPr>
            </w:pPr>
            <w:r w:rsidRPr="000C156A">
              <w:rPr>
                <w:rFonts w:cs="Calibri" w:hint="eastAsia"/>
                <w:bCs/>
                <w:szCs w:val="22"/>
                <w:lang w:val="en-US" w:eastAsia="fr-FR"/>
              </w:rPr>
              <w:t>费用总额</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0CE107F" w14:textId="588EF84E" w:rsidR="00D56CE9" w:rsidRPr="000C156A" w:rsidRDefault="00D56CE9" w:rsidP="00D56CE9">
            <w:pPr>
              <w:overflowPunct/>
              <w:autoSpaceDE/>
              <w:autoSpaceDN/>
              <w:adjustRightInd/>
              <w:spacing w:before="0"/>
              <w:jc w:val="right"/>
              <w:textAlignment w:val="auto"/>
              <w:rPr>
                <w:rFonts w:cs="Calibri"/>
                <w:b/>
                <w:bCs/>
                <w:color w:val="000000"/>
                <w:sz w:val="22"/>
                <w:szCs w:val="22"/>
                <w:lang w:eastAsia="en-GB"/>
              </w:rPr>
            </w:pPr>
            <w:r>
              <w:rPr>
                <w:rFonts w:eastAsia="Calibri" w:cs="Calibri"/>
                <w:b/>
                <w:sz w:val="22"/>
              </w:rPr>
              <w:t>190 413</w:t>
            </w:r>
          </w:p>
        </w:tc>
        <w:tc>
          <w:tcPr>
            <w:tcW w:w="1954" w:type="dxa"/>
            <w:tcBorders>
              <w:top w:val="single" w:sz="4" w:space="0" w:color="auto"/>
              <w:left w:val="nil"/>
              <w:bottom w:val="single" w:sz="4" w:space="0" w:color="auto"/>
              <w:right w:val="single" w:sz="4" w:space="0" w:color="auto"/>
            </w:tcBorders>
            <w:shd w:val="clear" w:color="auto" w:fill="auto"/>
            <w:noWrap/>
            <w:vAlign w:val="center"/>
            <w:hideMark/>
          </w:tcPr>
          <w:p w14:paraId="3C5BAF34" w14:textId="340C12F2" w:rsidR="00D56CE9" w:rsidRPr="000C156A" w:rsidRDefault="00D56CE9" w:rsidP="00D56CE9">
            <w:pPr>
              <w:overflowPunct/>
              <w:autoSpaceDE/>
              <w:autoSpaceDN/>
              <w:adjustRightInd/>
              <w:spacing w:before="0"/>
              <w:jc w:val="right"/>
              <w:textAlignment w:val="auto"/>
              <w:rPr>
                <w:rFonts w:cs="Calibri"/>
                <w:b/>
                <w:bCs/>
                <w:color w:val="000000"/>
                <w:sz w:val="22"/>
                <w:szCs w:val="22"/>
                <w:lang w:eastAsia="en-GB"/>
              </w:rPr>
            </w:pPr>
            <w:r>
              <w:rPr>
                <w:rFonts w:eastAsia="Calibri" w:cs="Calibri"/>
                <w:b/>
                <w:sz w:val="22"/>
              </w:rPr>
              <w:t>217 632</w:t>
            </w:r>
          </w:p>
        </w:tc>
      </w:tr>
      <w:tr w:rsidR="00D56CE9" w:rsidRPr="000C156A" w14:paraId="1017A5EA" w14:textId="77777777" w:rsidTr="003A64C9">
        <w:trPr>
          <w:trHeight w:val="277"/>
          <w:jc w:val="center"/>
        </w:trPr>
        <w:tc>
          <w:tcPr>
            <w:tcW w:w="4531" w:type="dxa"/>
            <w:tcBorders>
              <w:top w:val="nil"/>
              <w:left w:val="single" w:sz="4" w:space="0" w:color="auto"/>
              <w:bottom w:val="single" w:sz="4" w:space="0" w:color="auto"/>
              <w:right w:val="nil"/>
            </w:tcBorders>
            <w:shd w:val="clear" w:color="auto" w:fill="auto"/>
            <w:noWrap/>
            <w:hideMark/>
          </w:tcPr>
          <w:p w14:paraId="27918E36" w14:textId="77777777" w:rsidR="00D56CE9" w:rsidRPr="000C156A" w:rsidRDefault="00D56CE9" w:rsidP="00D56CE9">
            <w:pPr>
              <w:pStyle w:val="Tablehead"/>
              <w:spacing w:before="20" w:after="20"/>
              <w:jc w:val="left"/>
              <w:rPr>
                <w:rFonts w:cs="Calibri"/>
                <w:b w:val="0"/>
                <w:bCs/>
                <w:szCs w:val="22"/>
                <w:lang w:val="en-US" w:eastAsia="zh-CN"/>
              </w:rPr>
            </w:pPr>
            <w:r w:rsidRPr="000C156A">
              <w:rPr>
                <w:rFonts w:cs="Calibri" w:hint="eastAsia"/>
                <w:bCs/>
                <w:szCs w:val="22"/>
                <w:lang w:val="en-US" w:eastAsia="fr-FR"/>
              </w:rPr>
              <w:t>本期的盈余</w:t>
            </w:r>
            <w:r w:rsidRPr="000C156A">
              <w:rPr>
                <w:rFonts w:cs="Calibri" w:hint="eastAsia"/>
                <w:bCs/>
                <w:szCs w:val="22"/>
                <w:lang w:val="en-US" w:eastAsia="zh-CN"/>
              </w:rPr>
              <w:t>/</w:t>
            </w:r>
            <w:r w:rsidRPr="000C156A">
              <w:rPr>
                <w:rFonts w:cs="Calibri" w:hint="eastAsia"/>
                <w:bCs/>
                <w:szCs w:val="22"/>
                <w:lang w:val="en-US" w:eastAsia="fr-FR"/>
              </w:rPr>
              <w:t>亏损</w:t>
            </w:r>
          </w:p>
        </w:tc>
        <w:tc>
          <w:tcPr>
            <w:tcW w:w="1985" w:type="dxa"/>
            <w:tcBorders>
              <w:top w:val="nil"/>
              <w:left w:val="nil"/>
              <w:bottom w:val="single" w:sz="4" w:space="0" w:color="auto"/>
              <w:right w:val="single" w:sz="4" w:space="0" w:color="auto"/>
            </w:tcBorders>
            <w:shd w:val="clear" w:color="auto" w:fill="auto"/>
            <w:noWrap/>
            <w:vAlign w:val="center"/>
            <w:hideMark/>
          </w:tcPr>
          <w:p w14:paraId="16096DFC" w14:textId="77A3D05B"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-14 858</w:t>
            </w:r>
          </w:p>
        </w:tc>
        <w:tc>
          <w:tcPr>
            <w:tcW w:w="1954" w:type="dxa"/>
            <w:tcBorders>
              <w:top w:val="nil"/>
              <w:left w:val="nil"/>
              <w:bottom w:val="single" w:sz="4" w:space="0" w:color="auto"/>
              <w:right w:val="single" w:sz="4" w:space="0" w:color="auto"/>
            </w:tcBorders>
            <w:shd w:val="clear" w:color="auto" w:fill="auto"/>
            <w:noWrap/>
            <w:vAlign w:val="center"/>
            <w:hideMark/>
          </w:tcPr>
          <w:p w14:paraId="02CD1127" w14:textId="77556C65" w:rsidR="00D56CE9" w:rsidRPr="000C156A" w:rsidRDefault="00D56CE9" w:rsidP="00D56CE9">
            <w:pPr>
              <w:overflowPunct/>
              <w:autoSpaceDE/>
              <w:autoSpaceDN/>
              <w:adjustRightInd/>
              <w:spacing w:before="0"/>
              <w:jc w:val="right"/>
              <w:textAlignment w:val="auto"/>
              <w:rPr>
                <w:rFonts w:cs="Calibri"/>
                <w:color w:val="000000"/>
                <w:sz w:val="22"/>
                <w:szCs w:val="22"/>
                <w:lang w:eastAsia="en-GB"/>
              </w:rPr>
            </w:pPr>
            <w:r>
              <w:rPr>
                <w:rFonts w:eastAsia="Calibri" w:cs="Calibri"/>
                <w:sz w:val="22"/>
              </w:rPr>
              <w:t>-47 259</w:t>
            </w:r>
          </w:p>
        </w:tc>
      </w:tr>
    </w:tbl>
    <w:p w14:paraId="7644C3F2" w14:textId="77777777" w:rsidR="0085433F" w:rsidRPr="000C156A" w:rsidRDefault="0085433F" w:rsidP="0085433F">
      <w:r w:rsidRPr="000C156A">
        <w:br w:type="page"/>
      </w:r>
      <w:bookmarkStart w:id="295" w:name="_MON_1402486013"/>
      <w:bookmarkStart w:id="296" w:name="_MON_1402488600"/>
      <w:bookmarkStart w:id="297" w:name="_MON_1402986623"/>
      <w:bookmarkStart w:id="298" w:name="_MON_1402753501"/>
      <w:bookmarkEnd w:id="295"/>
      <w:bookmarkEnd w:id="296"/>
      <w:bookmarkEnd w:id="297"/>
      <w:bookmarkEnd w:id="298"/>
    </w:p>
    <w:p w14:paraId="471E05C3" w14:textId="28E158DC" w:rsidR="0085433F" w:rsidRPr="00006ED7" w:rsidRDefault="0085433F" w:rsidP="0085433F">
      <w:pPr>
        <w:pStyle w:val="Heading1"/>
        <w:spacing w:after="240"/>
        <w:jc w:val="center"/>
        <w:rPr>
          <w:rFonts w:cs="Microsoft YaHei"/>
          <w:lang w:eastAsia="zh-CN"/>
        </w:rPr>
      </w:pPr>
      <w:bookmarkStart w:id="299" w:name="_Toc329165772"/>
      <w:bookmarkStart w:id="300" w:name="_Toc482894782"/>
      <w:bookmarkStart w:id="301" w:name="_Toc482892538"/>
      <w:bookmarkStart w:id="302" w:name="_Toc511116009"/>
      <w:bookmarkStart w:id="303" w:name="_Toc41905839"/>
      <w:bookmarkStart w:id="304" w:name="_Toc41906887"/>
      <w:bookmarkStart w:id="305" w:name="_Toc41907968"/>
      <w:bookmarkStart w:id="306" w:name="_Toc41908036"/>
      <w:bookmarkStart w:id="307" w:name="_Toc73519213"/>
      <w:bookmarkStart w:id="308" w:name="_Toc110263983"/>
      <w:bookmarkStart w:id="309" w:name="_Toc110264062"/>
      <w:bookmarkStart w:id="310" w:name="_Toc110265682"/>
      <w:bookmarkStart w:id="311" w:name="_Toc110330071"/>
      <w:bookmarkStart w:id="312" w:name="_Toc110330236"/>
      <w:r w:rsidRPr="000C156A">
        <w:rPr>
          <w:rFonts w:cs="Microsoft YaHei" w:hint="eastAsia"/>
          <w:lang w:val="fr-FR" w:eastAsia="zh-CN"/>
        </w:rPr>
        <w:lastRenderedPageBreak/>
        <w:t>三</w:t>
      </w:r>
      <w:r w:rsidRPr="000C156A">
        <w:rPr>
          <w:lang w:eastAsia="zh-CN"/>
        </w:rPr>
        <w:t xml:space="preserve"> – 202</w:t>
      </w:r>
      <w:r w:rsidR="00493002">
        <w:rPr>
          <w:lang w:eastAsia="zh-CN"/>
        </w:rPr>
        <w:t>1</w:t>
      </w:r>
      <w:r w:rsidRPr="000C156A">
        <w:rPr>
          <w:rFonts w:cs="Microsoft YaHei" w:hint="eastAsia"/>
          <w:lang w:val="fr-FR" w:eastAsia="zh-CN"/>
        </w:rPr>
        <w:t>年</w:t>
      </w:r>
      <w:r w:rsidRPr="000C156A">
        <w:rPr>
          <w:lang w:eastAsia="zh-CN"/>
        </w:rPr>
        <w:t>12</w:t>
      </w:r>
      <w:r w:rsidRPr="000C156A">
        <w:rPr>
          <w:rFonts w:cs="Microsoft YaHei" w:hint="eastAsia"/>
          <w:lang w:val="fr-FR" w:eastAsia="zh-CN"/>
        </w:rPr>
        <w:t>月</w:t>
      </w:r>
      <w:r w:rsidRPr="000C156A">
        <w:rPr>
          <w:lang w:eastAsia="zh-CN"/>
        </w:rPr>
        <w:t>31</w:t>
      </w:r>
      <w:r w:rsidRPr="000C156A">
        <w:rPr>
          <w:rFonts w:cs="Microsoft YaHei" w:hint="eastAsia"/>
          <w:lang w:val="fr-FR" w:eastAsia="zh-CN"/>
        </w:rPr>
        <w:t>日结束的周期的资产净值变化</w:t>
      </w:r>
      <w:bookmarkEnd w:id="299"/>
      <w:r w:rsidRPr="000C156A">
        <w:rPr>
          <w:rFonts w:cs="Microsoft YaHei" w:hint="eastAsia"/>
          <w:lang w:val="fr-FR" w:eastAsia="zh-CN"/>
        </w:rPr>
        <w:t>表</w:t>
      </w:r>
      <w:bookmarkEnd w:id="300"/>
      <w:bookmarkEnd w:id="301"/>
      <w:bookmarkEnd w:id="302"/>
      <w:bookmarkEnd w:id="303"/>
      <w:bookmarkEnd w:id="304"/>
      <w:bookmarkEnd w:id="305"/>
      <w:bookmarkEnd w:id="306"/>
      <w:bookmarkEnd w:id="307"/>
      <w:bookmarkEnd w:id="308"/>
      <w:bookmarkEnd w:id="309"/>
      <w:bookmarkEnd w:id="310"/>
      <w:bookmarkEnd w:id="311"/>
      <w:bookmarkEnd w:id="312"/>
    </w:p>
    <w:tbl>
      <w:tblPr>
        <w:tblW w:w="9500" w:type="dxa"/>
        <w:tblInd w:w="-10" w:type="dxa"/>
        <w:tblLook w:val="04A0" w:firstRow="1" w:lastRow="0" w:firstColumn="1" w:lastColumn="0" w:noHBand="0" w:noVBand="1"/>
      </w:tblPr>
      <w:tblGrid>
        <w:gridCol w:w="2977"/>
        <w:gridCol w:w="1843"/>
        <w:gridCol w:w="1559"/>
        <w:gridCol w:w="1276"/>
        <w:gridCol w:w="1845"/>
      </w:tblGrid>
      <w:tr w:rsidR="0085433F" w:rsidRPr="000C156A" w14:paraId="0B5B11DD" w14:textId="77777777" w:rsidTr="003A64C9">
        <w:trPr>
          <w:trHeight w:val="521"/>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CFE493" w14:textId="77777777" w:rsidR="0085433F" w:rsidRPr="000C156A" w:rsidRDefault="0085433F" w:rsidP="003A64C9">
            <w:pPr>
              <w:pStyle w:val="Tablehead"/>
              <w:spacing w:before="20" w:after="60"/>
              <w:jc w:val="left"/>
              <w:rPr>
                <w:rFonts w:cs="Calibri"/>
                <w:szCs w:val="22"/>
                <w:lang w:val="en-US" w:eastAsia="zh-CN"/>
              </w:rPr>
            </w:pPr>
            <w:bookmarkStart w:id="313" w:name="_MON_1402489248"/>
            <w:bookmarkStart w:id="314" w:name="_MON_1396442479"/>
            <w:bookmarkStart w:id="315" w:name="_MON_1402488670"/>
            <w:bookmarkStart w:id="316" w:name="_MON_1402488972"/>
            <w:bookmarkStart w:id="317" w:name="_MON_1402753589"/>
            <w:bookmarkStart w:id="318" w:name="_MON_1402753602"/>
            <w:bookmarkStart w:id="319" w:name="_MON_1402488996"/>
            <w:bookmarkStart w:id="320" w:name="_MON_1402489007"/>
            <w:bookmarkStart w:id="321" w:name="_MON_1402489067"/>
            <w:bookmarkStart w:id="322" w:name="_MON_1402489117"/>
            <w:bookmarkEnd w:id="313"/>
            <w:bookmarkEnd w:id="314"/>
            <w:bookmarkEnd w:id="315"/>
            <w:bookmarkEnd w:id="316"/>
            <w:bookmarkEnd w:id="317"/>
            <w:bookmarkEnd w:id="318"/>
            <w:bookmarkEnd w:id="319"/>
            <w:bookmarkEnd w:id="320"/>
            <w:bookmarkEnd w:id="321"/>
            <w:bookmarkEnd w:id="322"/>
            <w:r w:rsidRPr="000C156A">
              <w:rPr>
                <w:rFonts w:cs="Calibri" w:hint="eastAsia"/>
                <w:bCs/>
                <w:szCs w:val="22"/>
                <w:lang w:val="en-US" w:eastAsia="zh-CN"/>
              </w:rPr>
              <w:t>（单位：千瑞郎）</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380DA54" w14:textId="25404FFF" w:rsidR="0085433F" w:rsidRPr="000C156A" w:rsidRDefault="0085433F" w:rsidP="003A64C9">
            <w:pPr>
              <w:pStyle w:val="Tablehead"/>
              <w:spacing w:before="20" w:after="60"/>
              <w:rPr>
                <w:rFonts w:cs="Calibri"/>
                <w:szCs w:val="22"/>
                <w:lang w:val="en-US" w:eastAsia="zh-CN"/>
              </w:rPr>
            </w:pPr>
            <w:r w:rsidRPr="000C156A">
              <w:rPr>
                <w:rFonts w:cs="Calibri"/>
                <w:szCs w:val="22"/>
                <w:lang w:val="en-US"/>
              </w:rPr>
              <w:t>20</w:t>
            </w:r>
            <w:r w:rsidR="00CE4F2C">
              <w:rPr>
                <w:rFonts w:cs="Calibri"/>
                <w:szCs w:val="22"/>
                <w:lang w:val="en-US"/>
              </w:rPr>
              <w:t>20</w:t>
            </w:r>
            <w:r w:rsidRPr="000C156A">
              <w:rPr>
                <w:rFonts w:cs="Calibri" w:hint="eastAsia"/>
                <w:szCs w:val="22"/>
                <w:lang w:val="en-US" w:eastAsia="zh-CN"/>
              </w:rPr>
              <w:t>年</w:t>
            </w:r>
            <w:r w:rsidRPr="000C156A">
              <w:rPr>
                <w:rFonts w:cs="Calibri" w:hint="eastAsia"/>
                <w:szCs w:val="22"/>
                <w:lang w:val="en-US" w:eastAsia="zh-CN"/>
              </w:rPr>
              <w:t>12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144BD2E" w14:textId="364B3124" w:rsidR="0085433F" w:rsidRPr="000C156A" w:rsidRDefault="0085433F" w:rsidP="003A64C9">
            <w:pPr>
              <w:pStyle w:val="Tablehead"/>
              <w:spacing w:before="20" w:after="60"/>
              <w:rPr>
                <w:rFonts w:cs="Calibri"/>
                <w:szCs w:val="22"/>
                <w:lang w:val="en-US" w:eastAsia="zh-CN"/>
              </w:rPr>
            </w:pPr>
            <w:r w:rsidRPr="000C156A">
              <w:rPr>
                <w:rFonts w:cs="Calibri"/>
                <w:szCs w:val="22"/>
                <w:lang w:val="en-US" w:eastAsia="zh-CN"/>
              </w:rPr>
              <w:t>202</w:t>
            </w:r>
            <w:r w:rsidR="00CE4F2C">
              <w:rPr>
                <w:rFonts w:cs="Calibri"/>
                <w:szCs w:val="22"/>
                <w:lang w:val="en-US" w:eastAsia="zh-CN"/>
              </w:rPr>
              <w:t>1</w:t>
            </w:r>
            <w:r w:rsidRPr="000C156A">
              <w:rPr>
                <w:rFonts w:cs="Calibri" w:hint="eastAsia"/>
                <w:szCs w:val="22"/>
                <w:lang w:val="en-US" w:eastAsia="zh-CN"/>
              </w:rPr>
              <w:t>年</w:t>
            </w:r>
            <w:r w:rsidRPr="000C156A">
              <w:rPr>
                <w:rFonts w:cs="Calibri"/>
                <w:szCs w:val="22"/>
                <w:lang w:val="en-US" w:eastAsia="zh-CN"/>
              </w:rPr>
              <w:br/>
            </w:r>
            <w:r w:rsidRPr="000C156A">
              <w:rPr>
                <w:rFonts w:cs="Calibri" w:hint="eastAsia"/>
                <w:szCs w:val="22"/>
                <w:lang w:val="en-US" w:eastAsia="zh-CN"/>
              </w:rPr>
              <w:t>盈余</w:t>
            </w:r>
            <w:r w:rsidRPr="000C156A">
              <w:rPr>
                <w:rFonts w:cs="Calibri" w:hint="eastAsia"/>
                <w:szCs w:val="22"/>
                <w:lang w:val="en-US" w:eastAsia="zh-CN"/>
              </w:rPr>
              <w:t>/</w:t>
            </w:r>
            <w:r w:rsidRPr="000C156A">
              <w:rPr>
                <w:rFonts w:cs="Calibri" w:hint="eastAsia"/>
                <w:szCs w:val="22"/>
                <w:lang w:val="en-US" w:eastAsia="zh-CN"/>
              </w:rPr>
              <w:t>亏损</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51A6082" w14:textId="77777777" w:rsidR="0085433F" w:rsidRPr="000C156A" w:rsidRDefault="0085433F" w:rsidP="003A64C9">
            <w:pPr>
              <w:pStyle w:val="Tablehead"/>
              <w:spacing w:before="20" w:after="60"/>
              <w:rPr>
                <w:rFonts w:cs="Calibri"/>
                <w:szCs w:val="22"/>
                <w:lang w:val="en-US" w:eastAsia="zh-CN"/>
              </w:rPr>
            </w:pPr>
            <w:r w:rsidRPr="000C156A">
              <w:rPr>
                <w:rFonts w:cs="Calibri" w:hint="eastAsia"/>
                <w:szCs w:val="22"/>
                <w:lang w:val="en-US" w:eastAsia="zh-CN"/>
              </w:rPr>
              <w:t>其他调整</w:t>
            </w:r>
          </w:p>
        </w:tc>
        <w:tc>
          <w:tcPr>
            <w:tcW w:w="1845" w:type="dxa"/>
            <w:tcBorders>
              <w:top w:val="single" w:sz="8" w:space="0" w:color="auto"/>
              <w:left w:val="nil"/>
              <w:bottom w:val="single" w:sz="8" w:space="0" w:color="auto"/>
              <w:right w:val="single" w:sz="8" w:space="0" w:color="auto"/>
            </w:tcBorders>
            <w:shd w:val="clear" w:color="auto" w:fill="auto"/>
            <w:vAlign w:val="center"/>
            <w:hideMark/>
          </w:tcPr>
          <w:p w14:paraId="4FF52A0D" w14:textId="5507F869" w:rsidR="0085433F" w:rsidRPr="000C156A" w:rsidRDefault="0085433F" w:rsidP="003A64C9">
            <w:pPr>
              <w:pStyle w:val="Tablehead"/>
              <w:spacing w:before="20" w:after="60"/>
              <w:rPr>
                <w:rFonts w:cs="Calibri"/>
                <w:szCs w:val="22"/>
                <w:lang w:val="en-US" w:eastAsia="zh-CN"/>
              </w:rPr>
            </w:pPr>
            <w:r w:rsidRPr="000C156A">
              <w:rPr>
                <w:rFonts w:cs="Calibri"/>
                <w:szCs w:val="22"/>
                <w:lang w:val="en-US" w:eastAsia="zh-CN"/>
              </w:rPr>
              <w:t>202</w:t>
            </w:r>
            <w:r w:rsidR="00CE4F2C">
              <w:rPr>
                <w:rFonts w:cs="Calibri"/>
                <w:szCs w:val="22"/>
                <w:lang w:val="en-US" w:eastAsia="zh-CN"/>
              </w:rPr>
              <w:t>1</w:t>
            </w:r>
            <w:r w:rsidRPr="000C156A">
              <w:rPr>
                <w:rFonts w:cs="Calibri" w:hint="eastAsia"/>
                <w:szCs w:val="22"/>
                <w:lang w:val="en-US" w:eastAsia="zh-CN"/>
              </w:rPr>
              <w:t>年</w:t>
            </w:r>
            <w:r w:rsidRPr="000C156A">
              <w:rPr>
                <w:rFonts w:cs="Calibri" w:hint="eastAsia"/>
                <w:szCs w:val="22"/>
                <w:lang w:val="en-US" w:eastAsia="zh-CN"/>
              </w:rPr>
              <w:t>1</w:t>
            </w:r>
            <w:r w:rsidRPr="000C156A">
              <w:rPr>
                <w:rFonts w:cs="Calibri"/>
                <w:szCs w:val="22"/>
                <w:lang w:val="en-US" w:eastAsia="zh-CN"/>
              </w:rPr>
              <w:t>2</w:t>
            </w:r>
            <w:r w:rsidRPr="000C156A">
              <w:rPr>
                <w:rFonts w:cs="Calibri" w:hint="eastAsia"/>
                <w:szCs w:val="22"/>
                <w:lang w:val="en-US" w:eastAsia="zh-CN"/>
              </w:rPr>
              <w:t>月</w:t>
            </w:r>
            <w:r w:rsidRPr="000C156A">
              <w:rPr>
                <w:rFonts w:cs="Calibri" w:hint="eastAsia"/>
                <w:szCs w:val="22"/>
                <w:lang w:val="en-US" w:eastAsia="zh-CN"/>
              </w:rPr>
              <w:t>31</w:t>
            </w:r>
            <w:r w:rsidRPr="000C156A">
              <w:rPr>
                <w:rFonts w:cs="Calibri" w:hint="eastAsia"/>
                <w:szCs w:val="22"/>
                <w:lang w:val="en-US" w:eastAsia="zh-CN"/>
              </w:rPr>
              <w:t>日</w:t>
            </w:r>
          </w:p>
        </w:tc>
      </w:tr>
      <w:tr w:rsidR="00CE4F2C" w:rsidRPr="000C156A" w14:paraId="3BED7B1B"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3FC8F64B" w14:textId="77777777" w:rsidR="00CE4F2C" w:rsidRPr="000C156A" w:rsidRDefault="00CE4F2C" w:rsidP="00CE4F2C">
            <w:pPr>
              <w:pStyle w:val="Tabletext"/>
              <w:rPr>
                <w:rFonts w:cs="Calibri"/>
                <w:b/>
                <w:bCs/>
                <w:szCs w:val="22"/>
                <w:lang w:val="en-US" w:eastAsia="zh-CN"/>
              </w:rPr>
            </w:pPr>
            <w:r w:rsidRPr="000C156A">
              <w:rPr>
                <w:rFonts w:cs="Calibri" w:hint="eastAsia"/>
                <w:b/>
                <w:bCs/>
                <w:szCs w:val="22"/>
                <w:lang w:val="en-US" w:eastAsia="zh-CN"/>
              </w:rPr>
              <w:t>向</w:t>
            </w:r>
            <w:r w:rsidRPr="000C156A">
              <w:rPr>
                <w:rFonts w:cs="Calibri"/>
                <w:b/>
                <w:bCs/>
                <w:szCs w:val="22"/>
                <w:lang w:val="en-US" w:eastAsia="zh-CN"/>
              </w:rPr>
              <w:t>IPSAS</w:t>
            </w:r>
            <w:r w:rsidRPr="000C156A">
              <w:rPr>
                <w:rFonts w:cs="Calibri" w:hint="eastAsia"/>
                <w:b/>
                <w:bCs/>
                <w:szCs w:val="22"/>
                <w:lang w:val="en-US" w:eastAsia="zh-CN"/>
              </w:rPr>
              <w:t>过渡</w:t>
            </w:r>
          </w:p>
        </w:tc>
        <w:tc>
          <w:tcPr>
            <w:tcW w:w="1843" w:type="dxa"/>
            <w:tcBorders>
              <w:top w:val="nil"/>
              <w:left w:val="nil"/>
              <w:bottom w:val="nil"/>
              <w:right w:val="single" w:sz="8" w:space="0" w:color="auto"/>
            </w:tcBorders>
            <w:shd w:val="clear" w:color="auto" w:fill="auto"/>
            <w:hideMark/>
          </w:tcPr>
          <w:p w14:paraId="1B9D7F21" w14:textId="1773E717" w:rsidR="00CE4F2C" w:rsidRPr="00CE4F2C" w:rsidRDefault="00CE4F2C" w:rsidP="00CE4F2C">
            <w:pPr>
              <w:overflowPunct/>
              <w:autoSpaceDE/>
              <w:autoSpaceDN/>
              <w:adjustRightInd/>
              <w:spacing w:before="0"/>
              <w:jc w:val="right"/>
              <w:textAlignment w:val="auto"/>
              <w:rPr>
                <w:rFonts w:cs="Calibri"/>
                <w:b/>
                <w:bCs/>
                <w:sz w:val="22"/>
                <w:szCs w:val="22"/>
                <w:lang w:eastAsia="zh-CN"/>
              </w:rPr>
            </w:pPr>
            <w:r w:rsidRPr="00CE4F2C">
              <w:rPr>
                <w:rFonts w:eastAsia="Calibri" w:cs="Calibri"/>
                <w:b/>
                <w:sz w:val="22"/>
                <w:szCs w:val="22"/>
              </w:rPr>
              <w:t>-125</w:t>
            </w:r>
            <w:r>
              <w:rPr>
                <w:rFonts w:eastAsia="Calibri" w:cs="Calibri"/>
                <w:b/>
                <w:sz w:val="22"/>
                <w:szCs w:val="22"/>
              </w:rPr>
              <w:t> </w:t>
            </w:r>
            <w:r w:rsidRPr="00CE4F2C">
              <w:rPr>
                <w:rFonts w:eastAsia="Calibri" w:cs="Calibri"/>
                <w:b/>
                <w:sz w:val="22"/>
                <w:szCs w:val="22"/>
              </w:rPr>
              <w:t>100</w:t>
            </w:r>
          </w:p>
        </w:tc>
        <w:tc>
          <w:tcPr>
            <w:tcW w:w="1559" w:type="dxa"/>
            <w:tcBorders>
              <w:top w:val="nil"/>
              <w:left w:val="nil"/>
              <w:bottom w:val="nil"/>
              <w:right w:val="single" w:sz="8" w:space="0" w:color="auto"/>
            </w:tcBorders>
            <w:shd w:val="clear" w:color="auto" w:fill="auto"/>
            <w:hideMark/>
          </w:tcPr>
          <w:p w14:paraId="0422CD57" w14:textId="78E93C8C" w:rsidR="00CE4F2C" w:rsidRPr="00CE4F2C" w:rsidRDefault="00CE4F2C" w:rsidP="00CE4F2C">
            <w:pPr>
              <w:overflowPunct/>
              <w:autoSpaceDE/>
              <w:autoSpaceDN/>
              <w:adjustRightInd/>
              <w:spacing w:before="0"/>
              <w:jc w:val="right"/>
              <w:textAlignment w:val="auto"/>
              <w:rPr>
                <w:rFonts w:cs="Calibri"/>
                <w:b/>
                <w:bCs/>
                <w:color w:val="000000"/>
                <w:sz w:val="22"/>
                <w:szCs w:val="22"/>
                <w:lang w:eastAsia="zh-CN"/>
              </w:rPr>
            </w:pPr>
            <w:r w:rsidRPr="00CE4F2C">
              <w:rPr>
                <w:rFonts w:eastAsia="Calibri" w:cs="Calibri"/>
                <w:b/>
                <w:sz w:val="22"/>
                <w:szCs w:val="22"/>
              </w:rPr>
              <w:t>-</w:t>
            </w:r>
          </w:p>
        </w:tc>
        <w:tc>
          <w:tcPr>
            <w:tcW w:w="1276" w:type="dxa"/>
            <w:tcBorders>
              <w:top w:val="nil"/>
              <w:left w:val="nil"/>
              <w:bottom w:val="nil"/>
              <w:right w:val="single" w:sz="8" w:space="0" w:color="auto"/>
            </w:tcBorders>
            <w:shd w:val="clear" w:color="auto" w:fill="auto"/>
            <w:hideMark/>
          </w:tcPr>
          <w:p w14:paraId="462C267F" w14:textId="6706F7B2" w:rsidR="00CE4F2C" w:rsidRPr="00CE4F2C" w:rsidRDefault="00CE4F2C" w:rsidP="00CE4F2C">
            <w:pPr>
              <w:overflowPunct/>
              <w:autoSpaceDE/>
              <w:autoSpaceDN/>
              <w:adjustRightInd/>
              <w:spacing w:before="0"/>
              <w:jc w:val="right"/>
              <w:textAlignment w:val="auto"/>
              <w:rPr>
                <w:rFonts w:cs="Calibri"/>
                <w:b/>
                <w:bCs/>
                <w:sz w:val="22"/>
                <w:szCs w:val="22"/>
                <w:lang w:eastAsia="zh-CN"/>
              </w:rPr>
            </w:pPr>
            <w:r w:rsidRPr="00CE4F2C">
              <w:rPr>
                <w:rFonts w:eastAsia="Calibri" w:cs="Calibri"/>
                <w:b/>
                <w:sz w:val="22"/>
                <w:szCs w:val="22"/>
              </w:rPr>
              <w:t>-</w:t>
            </w:r>
          </w:p>
        </w:tc>
        <w:tc>
          <w:tcPr>
            <w:tcW w:w="1845" w:type="dxa"/>
            <w:tcBorders>
              <w:top w:val="nil"/>
              <w:left w:val="nil"/>
              <w:bottom w:val="nil"/>
              <w:right w:val="single" w:sz="8" w:space="0" w:color="auto"/>
            </w:tcBorders>
            <w:shd w:val="clear" w:color="auto" w:fill="auto"/>
            <w:hideMark/>
          </w:tcPr>
          <w:p w14:paraId="26CDB034" w14:textId="2DE20136" w:rsidR="00CE4F2C" w:rsidRPr="00CE4F2C" w:rsidRDefault="00CE4F2C" w:rsidP="00CE4F2C">
            <w:pPr>
              <w:overflowPunct/>
              <w:autoSpaceDE/>
              <w:autoSpaceDN/>
              <w:adjustRightInd/>
              <w:spacing w:before="0"/>
              <w:jc w:val="right"/>
              <w:textAlignment w:val="auto"/>
              <w:rPr>
                <w:rFonts w:cs="Calibri"/>
                <w:b/>
                <w:bCs/>
                <w:color w:val="000000"/>
                <w:sz w:val="22"/>
                <w:szCs w:val="22"/>
                <w:lang w:eastAsia="zh-CN"/>
              </w:rPr>
            </w:pPr>
            <w:r w:rsidRPr="00CE4F2C">
              <w:rPr>
                <w:rFonts w:eastAsia="Calibri" w:cs="Calibri"/>
                <w:b/>
                <w:sz w:val="22"/>
                <w:szCs w:val="22"/>
              </w:rPr>
              <w:t>-125</w:t>
            </w:r>
            <w:r>
              <w:rPr>
                <w:rFonts w:eastAsia="Calibri" w:cs="Calibri"/>
                <w:b/>
                <w:sz w:val="22"/>
                <w:szCs w:val="22"/>
              </w:rPr>
              <w:t> </w:t>
            </w:r>
            <w:r w:rsidRPr="00CE4F2C">
              <w:rPr>
                <w:rFonts w:eastAsia="Calibri" w:cs="Calibri"/>
                <w:b/>
                <w:sz w:val="22"/>
                <w:szCs w:val="22"/>
              </w:rPr>
              <w:t>100</w:t>
            </w:r>
          </w:p>
        </w:tc>
      </w:tr>
      <w:tr w:rsidR="00CE4F2C" w:rsidRPr="000C156A" w14:paraId="6A4CC9AE"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209887D6" w14:textId="77777777" w:rsidR="00CE4F2C" w:rsidRPr="000C156A" w:rsidRDefault="00CE4F2C" w:rsidP="00CE4F2C">
            <w:pPr>
              <w:pStyle w:val="Tabletext"/>
              <w:rPr>
                <w:rFonts w:cs="Calibri"/>
                <w:b/>
                <w:bCs/>
                <w:szCs w:val="22"/>
                <w:lang w:val="en-US" w:eastAsia="zh-CN"/>
              </w:rPr>
            </w:pPr>
            <w:r w:rsidRPr="000C156A">
              <w:rPr>
                <w:rFonts w:cs="Calibri" w:hint="eastAsia"/>
                <w:b/>
                <w:bCs/>
                <w:szCs w:val="22"/>
                <w:lang w:val="en-US" w:eastAsia="zh-CN"/>
              </w:rPr>
              <w:t>储备金账目</w:t>
            </w:r>
          </w:p>
        </w:tc>
        <w:tc>
          <w:tcPr>
            <w:tcW w:w="1843" w:type="dxa"/>
            <w:tcBorders>
              <w:top w:val="nil"/>
              <w:left w:val="nil"/>
              <w:bottom w:val="nil"/>
              <w:right w:val="single" w:sz="8" w:space="0" w:color="auto"/>
            </w:tcBorders>
            <w:shd w:val="clear" w:color="auto" w:fill="auto"/>
            <w:hideMark/>
          </w:tcPr>
          <w:p w14:paraId="169FEC18" w14:textId="2B3A2C80" w:rsidR="00CE4F2C" w:rsidRPr="00CE4F2C" w:rsidRDefault="00CE4F2C" w:rsidP="00CE4F2C">
            <w:pPr>
              <w:overflowPunct/>
              <w:autoSpaceDE/>
              <w:autoSpaceDN/>
              <w:adjustRightInd/>
              <w:spacing w:before="0"/>
              <w:jc w:val="right"/>
              <w:textAlignment w:val="auto"/>
              <w:rPr>
                <w:rFonts w:cs="Calibri"/>
                <w:b/>
                <w:bCs/>
                <w:sz w:val="22"/>
                <w:szCs w:val="22"/>
                <w:lang w:eastAsia="zh-CN"/>
              </w:rPr>
            </w:pPr>
            <w:r w:rsidRPr="00CE4F2C">
              <w:rPr>
                <w:rFonts w:eastAsia="Calibri" w:cs="Calibri"/>
                <w:b/>
                <w:sz w:val="22"/>
                <w:szCs w:val="22"/>
              </w:rPr>
              <w:t>25</w:t>
            </w:r>
            <w:r>
              <w:rPr>
                <w:rFonts w:eastAsia="Calibri" w:cs="Calibri"/>
                <w:b/>
                <w:sz w:val="22"/>
                <w:szCs w:val="22"/>
              </w:rPr>
              <w:t> </w:t>
            </w:r>
            <w:r w:rsidRPr="00CE4F2C">
              <w:rPr>
                <w:rFonts w:eastAsia="Calibri" w:cs="Calibri"/>
                <w:b/>
                <w:sz w:val="22"/>
                <w:szCs w:val="22"/>
              </w:rPr>
              <w:t>802</w:t>
            </w:r>
          </w:p>
        </w:tc>
        <w:tc>
          <w:tcPr>
            <w:tcW w:w="1559" w:type="dxa"/>
            <w:tcBorders>
              <w:top w:val="nil"/>
              <w:left w:val="nil"/>
              <w:bottom w:val="nil"/>
              <w:right w:val="single" w:sz="8" w:space="0" w:color="auto"/>
            </w:tcBorders>
            <w:shd w:val="clear" w:color="auto" w:fill="auto"/>
            <w:hideMark/>
          </w:tcPr>
          <w:p w14:paraId="103115E9" w14:textId="2D4CC8B1" w:rsidR="00CE4F2C" w:rsidRPr="00CE4F2C" w:rsidRDefault="00CE4F2C" w:rsidP="00CE4F2C">
            <w:pPr>
              <w:overflowPunct/>
              <w:autoSpaceDE/>
              <w:autoSpaceDN/>
              <w:adjustRightInd/>
              <w:spacing w:before="0"/>
              <w:jc w:val="right"/>
              <w:textAlignment w:val="auto"/>
              <w:rPr>
                <w:rFonts w:cs="Calibri"/>
                <w:b/>
                <w:bCs/>
                <w:color w:val="000000"/>
                <w:sz w:val="22"/>
                <w:szCs w:val="22"/>
                <w:lang w:eastAsia="zh-CN"/>
              </w:rPr>
            </w:pPr>
            <w:r w:rsidRPr="00CE4F2C">
              <w:rPr>
                <w:rFonts w:eastAsia="Calibri" w:cs="Calibri"/>
                <w:b/>
                <w:sz w:val="22"/>
                <w:szCs w:val="22"/>
              </w:rPr>
              <w:t>44</w:t>
            </w:r>
          </w:p>
        </w:tc>
        <w:tc>
          <w:tcPr>
            <w:tcW w:w="1276" w:type="dxa"/>
            <w:tcBorders>
              <w:top w:val="nil"/>
              <w:left w:val="nil"/>
              <w:bottom w:val="nil"/>
              <w:right w:val="single" w:sz="8" w:space="0" w:color="auto"/>
            </w:tcBorders>
            <w:shd w:val="clear" w:color="auto" w:fill="auto"/>
            <w:hideMark/>
          </w:tcPr>
          <w:p w14:paraId="4622402B" w14:textId="6B498F7A" w:rsidR="00CE4F2C" w:rsidRPr="00CE4F2C" w:rsidRDefault="00CE4F2C" w:rsidP="00CE4F2C">
            <w:pPr>
              <w:overflowPunct/>
              <w:autoSpaceDE/>
              <w:autoSpaceDN/>
              <w:adjustRightInd/>
              <w:spacing w:before="0"/>
              <w:jc w:val="right"/>
              <w:textAlignment w:val="auto"/>
              <w:rPr>
                <w:rFonts w:cs="Calibri"/>
                <w:b/>
                <w:bCs/>
                <w:sz w:val="22"/>
                <w:szCs w:val="22"/>
                <w:lang w:eastAsia="zh-CN"/>
              </w:rPr>
            </w:pPr>
            <w:r w:rsidRPr="00CE4F2C">
              <w:rPr>
                <w:rFonts w:eastAsia="Calibri" w:cs="Calibri"/>
                <w:b/>
                <w:sz w:val="22"/>
                <w:szCs w:val="22"/>
              </w:rPr>
              <w:t>1</w:t>
            </w:r>
            <w:r>
              <w:rPr>
                <w:rFonts w:eastAsia="Calibri" w:cs="Calibri"/>
                <w:b/>
                <w:sz w:val="22"/>
                <w:szCs w:val="22"/>
              </w:rPr>
              <w:t> </w:t>
            </w:r>
            <w:r w:rsidRPr="00CE4F2C">
              <w:rPr>
                <w:rFonts w:eastAsia="Calibri" w:cs="Calibri"/>
                <w:b/>
                <w:sz w:val="22"/>
                <w:szCs w:val="22"/>
              </w:rPr>
              <w:t>662</w:t>
            </w:r>
          </w:p>
        </w:tc>
        <w:tc>
          <w:tcPr>
            <w:tcW w:w="1845" w:type="dxa"/>
            <w:tcBorders>
              <w:top w:val="nil"/>
              <w:left w:val="nil"/>
              <w:bottom w:val="nil"/>
              <w:right w:val="single" w:sz="8" w:space="0" w:color="auto"/>
            </w:tcBorders>
            <w:shd w:val="clear" w:color="auto" w:fill="auto"/>
            <w:hideMark/>
          </w:tcPr>
          <w:p w14:paraId="2B049820" w14:textId="550126C1" w:rsidR="00CE4F2C" w:rsidRPr="00CE4F2C" w:rsidRDefault="00CE4F2C" w:rsidP="00CE4F2C">
            <w:pPr>
              <w:overflowPunct/>
              <w:autoSpaceDE/>
              <w:autoSpaceDN/>
              <w:adjustRightInd/>
              <w:spacing w:before="0"/>
              <w:jc w:val="right"/>
              <w:textAlignment w:val="auto"/>
              <w:rPr>
                <w:rFonts w:cs="Calibri"/>
                <w:b/>
                <w:bCs/>
                <w:color w:val="000000"/>
                <w:sz w:val="22"/>
                <w:szCs w:val="22"/>
                <w:lang w:eastAsia="zh-CN"/>
              </w:rPr>
            </w:pPr>
            <w:r w:rsidRPr="00CE4F2C">
              <w:rPr>
                <w:rFonts w:eastAsia="Calibri" w:cs="Calibri"/>
                <w:b/>
                <w:sz w:val="22"/>
                <w:szCs w:val="22"/>
              </w:rPr>
              <w:t>27</w:t>
            </w:r>
            <w:r>
              <w:rPr>
                <w:rFonts w:eastAsia="Calibri" w:cs="Calibri"/>
                <w:b/>
                <w:sz w:val="22"/>
                <w:szCs w:val="22"/>
              </w:rPr>
              <w:t> </w:t>
            </w:r>
            <w:r w:rsidRPr="00CE4F2C">
              <w:rPr>
                <w:rFonts w:eastAsia="Calibri" w:cs="Calibri"/>
                <w:b/>
                <w:sz w:val="22"/>
                <w:szCs w:val="22"/>
              </w:rPr>
              <w:t>508</w:t>
            </w:r>
          </w:p>
        </w:tc>
      </w:tr>
      <w:tr w:rsidR="00CE4F2C" w:rsidRPr="000C156A" w14:paraId="76B23016"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1EE2120C" w14:textId="77777777" w:rsidR="00CE4F2C" w:rsidRPr="000C156A" w:rsidRDefault="00CE4F2C" w:rsidP="00CE4F2C">
            <w:pPr>
              <w:pStyle w:val="Tabletext"/>
              <w:rPr>
                <w:rFonts w:cs="Calibri"/>
                <w:b/>
                <w:bCs/>
                <w:szCs w:val="22"/>
                <w:lang w:val="en-US" w:eastAsia="zh-CN"/>
              </w:rPr>
            </w:pPr>
            <w:r w:rsidRPr="000C156A">
              <w:rPr>
                <w:rFonts w:cs="Calibri" w:hint="eastAsia"/>
                <w:b/>
                <w:bCs/>
                <w:szCs w:val="22"/>
                <w:lang w:val="en-US" w:eastAsia="zh-CN"/>
              </w:rPr>
              <w:t>其他储备金</w:t>
            </w:r>
          </w:p>
        </w:tc>
        <w:tc>
          <w:tcPr>
            <w:tcW w:w="1843" w:type="dxa"/>
            <w:tcBorders>
              <w:top w:val="nil"/>
              <w:left w:val="nil"/>
              <w:bottom w:val="nil"/>
              <w:right w:val="single" w:sz="8" w:space="0" w:color="auto"/>
            </w:tcBorders>
            <w:shd w:val="clear" w:color="auto" w:fill="auto"/>
            <w:hideMark/>
          </w:tcPr>
          <w:p w14:paraId="61DB172C" w14:textId="20CF9194" w:rsidR="00CE4F2C" w:rsidRPr="00CE4F2C" w:rsidRDefault="00CE4F2C" w:rsidP="00CE4F2C">
            <w:pPr>
              <w:overflowPunct/>
              <w:autoSpaceDE/>
              <w:autoSpaceDN/>
              <w:adjustRightInd/>
              <w:spacing w:before="0"/>
              <w:jc w:val="right"/>
              <w:textAlignment w:val="auto"/>
              <w:rPr>
                <w:rFonts w:cs="Calibri"/>
                <w:b/>
                <w:bCs/>
                <w:color w:val="000000"/>
                <w:sz w:val="22"/>
                <w:szCs w:val="22"/>
                <w:lang w:eastAsia="zh-CN"/>
              </w:rPr>
            </w:pPr>
            <w:r w:rsidRPr="00CE4F2C">
              <w:rPr>
                <w:rFonts w:eastAsia="Calibri" w:cs="Calibri"/>
                <w:b/>
                <w:sz w:val="22"/>
                <w:szCs w:val="22"/>
              </w:rPr>
              <w:t>61</w:t>
            </w:r>
            <w:r>
              <w:rPr>
                <w:rFonts w:eastAsia="Calibri" w:cs="Calibri"/>
                <w:b/>
                <w:sz w:val="22"/>
                <w:szCs w:val="22"/>
              </w:rPr>
              <w:t> </w:t>
            </w:r>
            <w:r w:rsidRPr="00CE4F2C">
              <w:rPr>
                <w:rFonts w:eastAsia="Calibri" w:cs="Calibri"/>
                <w:b/>
                <w:sz w:val="22"/>
                <w:szCs w:val="22"/>
              </w:rPr>
              <w:t>225</w:t>
            </w:r>
          </w:p>
        </w:tc>
        <w:tc>
          <w:tcPr>
            <w:tcW w:w="1559" w:type="dxa"/>
            <w:tcBorders>
              <w:top w:val="nil"/>
              <w:left w:val="nil"/>
              <w:bottom w:val="nil"/>
              <w:right w:val="single" w:sz="8" w:space="0" w:color="auto"/>
            </w:tcBorders>
            <w:shd w:val="clear" w:color="auto" w:fill="auto"/>
            <w:hideMark/>
          </w:tcPr>
          <w:p w14:paraId="2D14D165" w14:textId="54309211" w:rsidR="00CE4F2C" w:rsidRPr="00CE4F2C" w:rsidRDefault="00CE4F2C" w:rsidP="00CE4F2C">
            <w:pPr>
              <w:overflowPunct/>
              <w:autoSpaceDE/>
              <w:autoSpaceDN/>
              <w:adjustRightInd/>
              <w:spacing w:before="0"/>
              <w:jc w:val="right"/>
              <w:textAlignment w:val="auto"/>
              <w:rPr>
                <w:rFonts w:cs="Calibri"/>
                <w:b/>
                <w:bCs/>
                <w:color w:val="000000"/>
                <w:sz w:val="22"/>
                <w:szCs w:val="22"/>
                <w:lang w:eastAsia="zh-CN"/>
              </w:rPr>
            </w:pPr>
            <w:r w:rsidRPr="00CE4F2C">
              <w:rPr>
                <w:rFonts w:eastAsia="Calibri" w:cs="Calibri"/>
                <w:b/>
                <w:sz w:val="22"/>
                <w:szCs w:val="22"/>
              </w:rPr>
              <w:t>1</w:t>
            </w:r>
            <w:r>
              <w:rPr>
                <w:rFonts w:eastAsia="Calibri" w:cs="Calibri"/>
                <w:b/>
                <w:sz w:val="22"/>
                <w:szCs w:val="22"/>
              </w:rPr>
              <w:t> </w:t>
            </w:r>
            <w:r w:rsidRPr="00CE4F2C">
              <w:rPr>
                <w:rFonts w:eastAsia="Calibri" w:cs="Calibri"/>
                <w:b/>
                <w:sz w:val="22"/>
                <w:szCs w:val="22"/>
              </w:rPr>
              <w:t>648</w:t>
            </w:r>
          </w:p>
        </w:tc>
        <w:tc>
          <w:tcPr>
            <w:tcW w:w="1276" w:type="dxa"/>
            <w:tcBorders>
              <w:top w:val="nil"/>
              <w:left w:val="nil"/>
              <w:bottom w:val="nil"/>
              <w:right w:val="single" w:sz="8" w:space="0" w:color="auto"/>
            </w:tcBorders>
            <w:shd w:val="clear" w:color="auto" w:fill="auto"/>
            <w:hideMark/>
          </w:tcPr>
          <w:p w14:paraId="12B1E470" w14:textId="1C06C304" w:rsidR="00CE4F2C" w:rsidRPr="00CE4F2C" w:rsidRDefault="00CE4F2C" w:rsidP="00CE4F2C">
            <w:pPr>
              <w:overflowPunct/>
              <w:autoSpaceDE/>
              <w:autoSpaceDN/>
              <w:adjustRightInd/>
              <w:spacing w:before="0"/>
              <w:jc w:val="right"/>
              <w:textAlignment w:val="auto"/>
              <w:rPr>
                <w:rFonts w:cs="Calibri"/>
                <w:b/>
                <w:bCs/>
                <w:color w:val="000000"/>
                <w:sz w:val="22"/>
                <w:szCs w:val="22"/>
                <w:lang w:eastAsia="zh-CN"/>
              </w:rPr>
            </w:pPr>
            <w:r w:rsidRPr="00CE4F2C">
              <w:rPr>
                <w:rFonts w:eastAsia="Calibri" w:cs="Calibri"/>
                <w:b/>
                <w:sz w:val="22"/>
                <w:szCs w:val="22"/>
              </w:rPr>
              <w:t>-1</w:t>
            </w:r>
            <w:r>
              <w:rPr>
                <w:rFonts w:eastAsia="Calibri" w:cs="Calibri"/>
                <w:b/>
                <w:sz w:val="22"/>
                <w:szCs w:val="22"/>
              </w:rPr>
              <w:t> </w:t>
            </w:r>
            <w:r w:rsidRPr="00CE4F2C">
              <w:rPr>
                <w:rFonts w:eastAsia="Calibri" w:cs="Calibri"/>
                <w:b/>
                <w:sz w:val="22"/>
                <w:szCs w:val="22"/>
              </w:rPr>
              <w:t>321</w:t>
            </w:r>
          </w:p>
        </w:tc>
        <w:tc>
          <w:tcPr>
            <w:tcW w:w="1845" w:type="dxa"/>
            <w:tcBorders>
              <w:top w:val="nil"/>
              <w:left w:val="nil"/>
              <w:bottom w:val="nil"/>
              <w:right w:val="single" w:sz="8" w:space="0" w:color="auto"/>
            </w:tcBorders>
            <w:shd w:val="clear" w:color="auto" w:fill="auto"/>
            <w:hideMark/>
          </w:tcPr>
          <w:p w14:paraId="4D9560DF" w14:textId="67AF6F4F" w:rsidR="00CE4F2C" w:rsidRPr="00CE4F2C" w:rsidRDefault="00CE4F2C" w:rsidP="00CE4F2C">
            <w:pPr>
              <w:overflowPunct/>
              <w:autoSpaceDE/>
              <w:autoSpaceDN/>
              <w:adjustRightInd/>
              <w:spacing w:before="0"/>
              <w:jc w:val="right"/>
              <w:textAlignment w:val="auto"/>
              <w:rPr>
                <w:rFonts w:cs="Calibri"/>
                <w:b/>
                <w:bCs/>
                <w:color w:val="000000"/>
                <w:sz w:val="22"/>
                <w:szCs w:val="22"/>
                <w:lang w:eastAsia="zh-CN"/>
              </w:rPr>
            </w:pPr>
            <w:r w:rsidRPr="00CE4F2C">
              <w:rPr>
                <w:rFonts w:eastAsia="Calibri" w:cs="Calibri"/>
                <w:b/>
                <w:sz w:val="22"/>
                <w:szCs w:val="22"/>
              </w:rPr>
              <w:t>61</w:t>
            </w:r>
            <w:r>
              <w:rPr>
                <w:rFonts w:eastAsia="Calibri" w:cs="Calibri"/>
                <w:b/>
                <w:sz w:val="22"/>
                <w:szCs w:val="22"/>
              </w:rPr>
              <w:t> </w:t>
            </w:r>
            <w:r w:rsidRPr="00CE4F2C">
              <w:rPr>
                <w:rFonts w:eastAsia="Calibri" w:cs="Calibri"/>
                <w:b/>
                <w:sz w:val="22"/>
                <w:szCs w:val="22"/>
              </w:rPr>
              <w:t>553</w:t>
            </w:r>
          </w:p>
        </w:tc>
      </w:tr>
      <w:tr w:rsidR="00CE4F2C" w:rsidRPr="000C156A" w14:paraId="59212C7C" w14:textId="77777777" w:rsidTr="003A64C9">
        <w:trPr>
          <w:trHeight w:val="255"/>
        </w:trPr>
        <w:tc>
          <w:tcPr>
            <w:tcW w:w="2977" w:type="dxa"/>
            <w:tcBorders>
              <w:top w:val="nil"/>
              <w:left w:val="single" w:sz="8" w:space="0" w:color="auto"/>
              <w:bottom w:val="nil"/>
              <w:right w:val="single" w:sz="8" w:space="0" w:color="auto"/>
            </w:tcBorders>
            <w:shd w:val="clear" w:color="auto" w:fill="auto"/>
            <w:vAlign w:val="center"/>
            <w:hideMark/>
          </w:tcPr>
          <w:p w14:paraId="2CEBBD78" w14:textId="77777777" w:rsidR="00CE4F2C" w:rsidRPr="000C156A" w:rsidRDefault="00CE4F2C" w:rsidP="00CE4F2C">
            <w:pPr>
              <w:overflowPunct/>
              <w:adjustRightInd/>
              <w:spacing w:before="60" w:after="60"/>
              <w:textAlignment w:val="auto"/>
              <w:rPr>
                <w:rFonts w:cs="Calibri"/>
                <w:color w:val="000000"/>
                <w:sz w:val="22"/>
                <w:szCs w:val="22"/>
                <w:lang w:val="en-US" w:eastAsia="zh-CN"/>
              </w:rPr>
            </w:pPr>
            <w:r w:rsidRPr="000C156A">
              <w:rPr>
                <w:rFonts w:cs="Calibri" w:hint="eastAsia"/>
                <w:color w:val="000000"/>
                <w:sz w:val="22"/>
                <w:szCs w:val="22"/>
                <w:lang w:val="en-US" w:eastAsia="zh-CN"/>
              </w:rPr>
              <w:t>往年节余</w:t>
            </w:r>
          </w:p>
        </w:tc>
        <w:tc>
          <w:tcPr>
            <w:tcW w:w="1843" w:type="dxa"/>
            <w:tcBorders>
              <w:top w:val="nil"/>
              <w:left w:val="nil"/>
              <w:bottom w:val="nil"/>
              <w:right w:val="single" w:sz="8" w:space="0" w:color="auto"/>
            </w:tcBorders>
            <w:shd w:val="clear" w:color="auto" w:fill="auto"/>
            <w:hideMark/>
          </w:tcPr>
          <w:p w14:paraId="6AD079A3" w14:textId="5D40A76A" w:rsidR="00CE4F2C" w:rsidRPr="00CE4F2C" w:rsidRDefault="00CE4F2C" w:rsidP="00CE4F2C">
            <w:pPr>
              <w:overflowPunct/>
              <w:autoSpaceDE/>
              <w:autoSpaceDN/>
              <w:adjustRightInd/>
              <w:spacing w:before="0"/>
              <w:jc w:val="right"/>
              <w:textAlignment w:val="auto"/>
              <w:rPr>
                <w:rFonts w:cs="Calibri"/>
                <w:sz w:val="22"/>
                <w:szCs w:val="22"/>
                <w:lang w:eastAsia="zh-CN"/>
              </w:rPr>
            </w:pPr>
            <w:r w:rsidRPr="00CE4F2C">
              <w:rPr>
                <w:rFonts w:eastAsia="Calibri" w:cs="Calibri"/>
                <w:sz w:val="22"/>
                <w:szCs w:val="22"/>
              </w:rPr>
              <w:t>5</w:t>
            </w:r>
            <w:r>
              <w:rPr>
                <w:rFonts w:eastAsia="Calibri" w:cs="Calibri"/>
                <w:sz w:val="22"/>
                <w:szCs w:val="22"/>
              </w:rPr>
              <w:t> </w:t>
            </w:r>
            <w:r w:rsidRPr="00CE4F2C">
              <w:rPr>
                <w:rFonts w:eastAsia="Calibri" w:cs="Calibri"/>
                <w:sz w:val="22"/>
                <w:szCs w:val="22"/>
              </w:rPr>
              <w:t>023</w:t>
            </w:r>
          </w:p>
        </w:tc>
        <w:tc>
          <w:tcPr>
            <w:tcW w:w="1559" w:type="dxa"/>
            <w:tcBorders>
              <w:top w:val="nil"/>
              <w:left w:val="nil"/>
              <w:bottom w:val="nil"/>
              <w:right w:val="single" w:sz="8" w:space="0" w:color="auto"/>
            </w:tcBorders>
            <w:shd w:val="clear" w:color="auto" w:fill="auto"/>
            <w:hideMark/>
          </w:tcPr>
          <w:p w14:paraId="5AD74246" w14:textId="45AE656D"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3</w:t>
            </w:r>
            <w:r>
              <w:rPr>
                <w:rFonts w:eastAsia="Calibri" w:cs="Calibri"/>
                <w:sz w:val="22"/>
                <w:szCs w:val="22"/>
              </w:rPr>
              <w:t> </w:t>
            </w:r>
            <w:r w:rsidRPr="00CE4F2C">
              <w:rPr>
                <w:rFonts w:eastAsia="Calibri" w:cs="Calibri"/>
                <w:sz w:val="22"/>
                <w:szCs w:val="22"/>
              </w:rPr>
              <w:t>622</w:t>
            </w:r>
          </w:p>
        </w:tc>
        <w:tc>
          <w:tcPr>
            <w:tcW w:w="1276" w:type="dxa"/>
            <w:tcBorders>
              <w:top w:val="nil"/>
              <w:left w:val="nil"/>
              <w:bottom w:val="nil"/>
              <w:right w:val="single" w:sz="8" w:space="0" w:color="auto"/>
            </w:tcBorders>
            <w:shd w:val="clear" w:color="auto" w:fill="auto"/>
            <w:hideMark/>
          </w:tcPr>
          <w:p w14:paraId="0F164C2D" w14:textId="1983ADA2"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-1</w:t>
            </w:r>
            <w:r>
              <w:rPr>
                <w:rFonts w:eastAsia="Calibri" w:cs="Calibri"/>
                <w:sz w:val="22"/>
                <w:szCs w:val="22"/>
              </w:rPr>
              <w:t> </w:t>
            </w:r>
            <w:r w:rsidRPr="00CE4F2C">
              <w:rPr>
                <w:rFonts w:eastAsia="Calibri" w:cs="Calibri"/>
                <w:sz w:val="22"/>
                <w:szCs w:val="22"/>
              </w:rPr>
              <w:t>273</w:t>
            </w:r>
          </w:p>
        </w:tc>
        <w:tc>
          <w:tcPr>
            <w:tcW w:w="1845" w:type="dxa"/>
            <w:tcBorders>
              <w:top w:val="nil"/>
              <w:left w:val="nil"/>
              <w:bottom w:val="nil"/>
              <w:right w:val="single" w:sz="8" w:space="0" w:color="auto"/>
            </w:tcBorders>
            <w:shd w:val="clear" w:color="auto" w:fill="auto"/>
            <w:hideMark/>
          </w:tcPr>
          <w:p w14:paraId="65751E88" w14:textId="46B76F93"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7</w:t>
            </w:r>
            <w:r>
              <w:rPr>
                <w:rFonts w:eastAsia="Calibri" w:cs="Calibri"/>
                <w:sz w:val="22"/>
                <w:szCs w:val="22"/>
              </w:rPr>
              <w:t> </w:t>
            </w:r>
            <w:r w:rsidRPr="00CE4F2C">
              <w:rPr>
                <w:rFonts w:eastAsia="Calibri" w:cs="Calibri"/>
                <w:sz w:val="22"/>
                <w:szCs w:val="22"/>
              </w:rPr>
              <w:t>372</w:t>
            </w:r>
          </w:p>
        </w:tc>
      </w:tr>
      <w:tr w:rsidR="00CE4F2C" w:rsidRPr="000C156A" w14:paraId="3F82E259" w14:textId="77777777" w:rsidTr="003A64C9">
        <w:trPr>
          <w:trHeight w:val="255"/>
        </w:trPr>
        <w:tc>
          <w:tcPr>
            <w:tcW w:w="2977" w:type="dxa"/>
            <w:tcBorders>
              <w:top w:val="nil"/>
              <w:left w:val="single" w:sz="8" w:space="0" w:color="auto"/>
              <w:bottom w:val="nil"/>
              <w:right w:val="single" w:sz="8" w:space="0" w:color="auto"/>
            </w:tcBorders>
            <w:shd w:val="clear" w:color="auto" w:fill="auto"/>
            <w:vAlign w:val="center"/>
            <w:hideMark/>
          </w:tcPr>
          <w:p w14:paraId="68B46C28" w14:textId="77777777" w:rsidR="00CE4F2C" w:rsidRPr="000C156A" w:rsidRDefault="00CE4F2C" w:rsidP="00CE4F2C">
            <w:pPr>
              <w:overflowPunct/>
              <w:adjustRightInd/>
              <w:spacing w:before="60" w:after="60"/>
              <w:textAlignment w:val="auto"/>
              <w:rPr>
                <w:rFonts w:cs="Calibri"/>
                <w:color w:val="000000"/>
                <w:sz w:val="22"/>
                <w:szCs w:val="22"/>
                <w:lang w:val="en-US" w:eastAsia="zh-CN"/>
              </w:rPr>
            </w:pPr>
            <w:r w:rsidRPr="000C156A">
              <w:rPr>
                <w:rFonts w:cs="Calibri" w:hint="eastAsia"/>
                <w:sz w:val="22"/>
                <w:szCs w:val="22"/>
                <w:lang w:val="en-US" w:eastAsia="zh-CN"/>
              </w:rPr>
              <w:t>投资基金</w:t>
            </w:r>
          </w:p>
        </w:tc>
        <w:tc>
          <w:tcPr>
            <w:tcW w:w="1843" w:type="dxa"/>
            <w:tcBorders>
              <w:top w:val="nil"/>
              <w:left w:val="nil"/>
              <w:bottom w:val="nil"/>
              <w:right w:val="single" w:sz="8" w:space="0" w:color="auto"/>
            </w:tcBorders>
            <w:shd w:val="clear" w:color="auto" w:fill="auto"/>
            <w:hideMark/>
          </w:tcPr>
          <w:p w14:paraId="6CA635F0" w14:textId="69ECEB80"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14</w:t>
            </w:r>
            <w:r>
              <w:rPr>
                <w:rFonts w:eastAsia="Calibri" w:cs="Calibri"/>
                <w:sz w:val="22"/>
                <w:szCs w:val="22"/>
              </w:rPr>
              <w:t> </w:t>
            </w:r>
            <w:r w:rsidRPr="00CE4F2C">
              <w:rPr>
                <w:rFonts w:eastAsia="Calibri" w:cs="Calibri"/>
                <w:sz w:val="22"/>
                <w:szCs w:val="22"/>
              </w:rPr>
              <w:t>817</w:t>
            </w:r>
          </w:p>
        </w:tc>
        <w:tc>
          <w:tcPr>
            <w:tcW w:w="1559" w:type="dxa"/>
            <w:tcBorders>
              <w:top w:val="nil"/>
              <w:left w:val="nil"/>
              <w:bottom w:val="nil"/>
              <w:right w:val="single" w:sz="8" w:space="0" w:color="auto"/>
            </w:tcBorders>
            <w:shd w:val="clear" w:color="auto" w:fill="auto"/>
            <w:hideMark/>
          </w:tcPr>
          <w:p w14:paraId="3F70183F" w14:textId="2BE0456F"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982</w:t>
            </w:r>
          </w:p>
        </w:tc>
        <w:tc>
          <w:tcPr>
            <w:tcW w:w="1276" w:type="dxa"/>
            <w:tcBorders>
              <w:top w:val="nil"/>
              <w:left w:val="nil"/>
              <w:bottom w:val="nil"/>
              <w:right w:val="single" w:sz="8" w:space="0" w:color="auto"/>
            </w:tcBorders>
            <w:shd w:val="clear" w:color="auto" w:fill="auto"/>
            <w:hideMark/>
          </w:tcPr>
          <w:p w14:paraId="4A5EFDA1" w14:textId="55D48020"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p>
        </w:tc>
        <w:tc>
          <w:tcPr>
            <w:tcW w:w="1845" w:type="dxa"/>
            <w:tcBorders>
              <w:top w:val="nil"/>
              <w:left w:val="nil"/>
              <w:bottom w:val="nil"/>
              <w:right w:val="single" w:sz="8" w:space="0" w:color="auto"/>
            </w:tcBorders>
            <w:shd w:val="clear" w:color="auto" w:fill="auto"/>
            <w:hideMark/>
          </w:tcPr>
          <w:p w14:paraId="3934F409" w14:textId="250AD141"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15</w:t>
            </w:r>
            <w:r>
              <w:rPr>
                <w:rFonts w:eastAsia="Calibri" w:cs="Calibri"/>
                <w:sz w:val="22"/>
                <w:szCs w:val="22"/>
              </w:rPr>
              <w:t> </w:t>
            </w:r>
            <w:r w:rsidRPr="00CE4F2C">
              <w:rPr>
                <w:rFonts w:eastAsia="Calibri" w:cs="Calibri"/>
                <w:sz w:val="22"/>
                <w:szCs w:val="22"/>
              </w:rPr>
              <w:t>799</w:t>
            </w:r>
          </w:p>
        </w:tc>
      </w:tr>
      <w:tr w:rsidR="00CE4F2C" w:rsidRPr="000C156A" w14:paraId="3AA234EE" w14:textId="77777777" w:rsidTr="003A64C9">
        <w:trPr>
          <w:trHeight w:val="255"/>
        </w:trPr>
        <w:tc>
          <w:tcPr>
            <w:tcW w:w="2977" w:type="dxa"/>
            <w:tcBorders>
              <w:top w:val="nil"/>
              <w:left w:val="single" w:sz="8" w:space="0" w:color="auto"/>
              <w:bottom w:val="nil"/>
              <w:right w:val="single" w:sz="8" w:space="0" w:color="auto"/>
            </w:tcBorders>
            <w:shd w:val="clear" w:color="auto" w:fill="auto"/>
            <w:vAlign w:val="center"/>
            <w:hideMark/>
          </w:tcPr>
          <w:p w14:paraId="1B324B73" w14:textId="77777777" w:rsidR="00CE4F2C" w:rsidRPr="000C156A" w:rsidRDefault="00CE4F2C" w:rsidP="00CE4F2C">
            <w:pPr>
              <w:overflowPunct/>
              <w:adjustRightInd/>
              <w:spacing w:before="60" w:after="60"/>
              <w:textAlignment w:val="auto"/>
              <w:rPr>
                <w:rFonts w:cs="Calibri"/>
                <w:color w:val="000000"/>
                <w:sz w:val="22"/>
                <w:szCs w:val="22"/>
                <w:lang w:val="en-US" w:eastAsia="zh-CN"/>
              </w:rPr>
            </w:pPr>
            <w:r w:rsidRPr="000C156A">
              <w:rPr>
                <w:rFonts w:cs="Calibri" w:hint="eastAsia"/>
                <w:color w:val="000000"/>
                <w:sz w:val="22"/>
                <w:szCs w:val="22"/>
                <w:lang w:val="en-US" w:eastAsia="zh-CN"/>
              </w:rPr>
              <w:t>新办公楼基金</w:t>
            </w:r>
          </w:p>
        </w:tc>
        <w:tc>
          <w:tcPr>
            <w:tcW w:w="1843" w:type="dxa"/>
            <w:tcBorders>
              <w:top w:val="nil"/>
              <w:left w:val="nil"/>
              <w:bottom w:val="nil"/>
              <w:right w:val="single" w:sz="8" w:space="0" w:color="auto"/>
            </w:tcBorders>
            <w:shd w:val="clear" w:color="auto" w:fill="auto"/>
            <w:hideMark/>
          </w:tcPr>
          <w:p w14:paraId="73852974" w14:textId="4D37AB6F"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-9</w:t>
            </w:r>
            <w:r>
              <w:rPr>
                <w:rFonts w:eastAsia="Calibri" w:cs="Calibri"/>
                <w:sz w:val="22"/>
                <w:szCs w:val="22"/>
              </w:rPr>
              <w:t> </w:t>
            </w:r>
            <w:r w:rsidRPr="00CE4F2C">
              <w:rPr>
                <w:rFonts w:eastAsia="Calibri" w:cs="Calibri"/>
                <w:sz w:val="22"/>
                <w:szCs w:val="22"/>
              </w:rPr>
              <w:t>090</w:t>
            </w:r>
          </w:p>
        </w:tc>
        <w:tc>
          <w:tcPr>
            <w:tcW w:w="1559" w:type="dxa"/>
            <w:tcBorders>
              <w:top w:val="nil"/>
              <w:left w:val="nil"/>
              <w:bottom w:val="nil"/>
              <w:right w:val="single" w:sz="8" w:space="0" w:color="auto"/>
            </w:tcBorders>
            <w:shd w:val="clear" w:color="auto" w:fill="auto"/>
            <w:hideMark/>
          </w:tcPr>
          <w:p w14:paraId="56944D90" w14:textId="241FAC31"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-5</w:t>
            </w:r>
            <w:r>
              <w:rPr>
                <w:rFonts w:eastAsia="Calibri" w:cs="Calibri"/>
                <w:sz w:val="22"/>
                <w:szCs w:val="22"/>
              </w:rPr>
              <w:t> </w:t>
            </w:r>
            <w:r w:rsidRPr="00CE4F2C">
              <w:rPr>
                <w:rFonts w:eastAsia="Calibri" w:cs="Calibri"/>
                <w:sz w:val="22"/>
                <w:szCs w:val="22"/>
              </w:rPr>
              <w:t>188</w:t>
            </w:r>
          </w:p>
        </w:tc>
        <w:tc>
          <w:tcPr>
            <w:tcW w:w="1276" w:type="dxa"/>
            <w:tcBorders>
              <w:top w:val="nil"/>
              <w:left w:val="nil"/>
              <w:bottom w:val="nil"/>
              <w:right w:val="single" w:sz="8" w:space="0" w:color="auto"/>
            </w:tcBorders>
            <w:shd w:val="clear" w:color="auto" w:fill="auto"/>
            <w:hideMark/>
          </w:tcPr>
          <w:p w14:paraId="1270620F" w14:textId="46482F3B"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w:t>
            </w:r>
          </w:p>
        </w:tc>
        <w:tc>
          <w:tcPr>
            <w:tcW w:w="1845" w:type="dxa"/>
            <w:tcBorders>
              <w:top w:val="nil"/>
              <w:left w:val="nil"/>
              <w:bottom w:val="nil"/>
              <w:right w:val="single" w:sz="8" w:space="0" w:color="auto"/>
            </w:tcBorders>
            <w:shd w:val="clear" w:color="auto" w:fill="auto"/>
            <w:hideMark/>
          </w:tcPr>
          <w:p w14:paraId="7C6E9DA1" w14:textId="7F067303"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-14</w:t>
            </w:r>
            <w:r>
              <w:rPr>
                <w:rFonts w:eastAsia="Calibri" w:cs="Calibri"/>
                <w:sz w:val="22"/>
                <w:szCs w:val="22"/>
              </w:rPr>
              <w:t> </w:t>
            </w:r>
            <w:r w:rsidRPr="00CE4F2C">
              <w:rPr>
                <w:rFonts w:eastAsia="Calibri" w:cs="Calibri"/>
                <w:sz w:val="22"/>
                <w:szCs w:val="22"/>
              </w:rPr>
              <w:t>278</w:t>
            </w:r>
          </w:p>
        </w:tc>
      </w:tr>
      <w:tr w:rsidR="00CE4F2C" w:rsidRPr="000C156A" w14:paraId="430CC49B"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7BD569A5" w14:textId="77777777" w:rsidR="00CE4F2C" w:rsidRPr="000C156A" w:rsidRDefault="00CE4F2C" w:rsidP="00CE4F2C">
            <w:pPr>
              <w:pStyle w:val="Tabletext"/>
              <w:rPr>
                <w:rFonts w:cs="Calibri"/>
                <w:szCs w:val="22"/>
                <w:lang w:val="en-US" w:eastAsia="zh-CN"/>
              </w:rPr>
            </w:pPr>
            <w:r w:rsidRPr="000C156A">
              <w:rPr>
                <w:rFonts w:cs="Calibri" w:hint="eastAsia"/>
                <w:szCs w:val="22"/>
                <w:lang w:val="en-US" w:eastAsia="zh-CN"/>
              </w:rPr>
              <w:t>新办公楼储备金</w:t>
            </w:r>
          </w:p>
        </w:tc>
        <w:tc>
          <w:tcPr>
            <w:tcW w:w="1843" w:type="dxa"/>
            <w:tcBorders>
              <w:top w:val="nil"/>
              <w:left w:val="nil"/>
              <w:bottom w:val="nil"/>
              <w:right w:val="single" w:sz="8" w:space="0" w:color="auto"/>
            </w:tcBorders>
            <w:shd w:val="clear" w:color="auto" w:fill="auto"/>
            <w:hideMark/>
          </w:tcPr>
          <w:p w14:paraId="4542E151" w14:textId="38FBACE4"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18</w:t>
            </w:r>
            <w:r>
              <w:rPr>
                <w:rFonts w:eastAsia="Calibri" w:cs="Calibri"/>
                <w:sz w:val="22"/>
                <w:szCs w:val="22"/>
              </w:rPr>
              <w:t> </w:t>
            </w:r>
            <w:r w:rsidRPr="00CE4F2C">
              <w:rPr>
                <w:rFonts w:eastAsia="Calibri" w:cs="Calibri"/>
                <w:sz w:val="22"/>
                <w:szCs w:val="22"/>
              </w:rPr>
              <w:t>188</w:t>
            </w:r>
          </w:p>
        </w:tc>
        <w:tc>
          <w:tcPr>
            <w:tcW w:w="1559" w:type="dxa"/>
            <w:tcBorders>
              <w:top w:val="nil"/>
              <w:left w:val="nil"/>
              <w:bottom w:val="nil"/>
              <w:right w:val="single" w:sz="8" w:space="0" w:color="auto"/>
            </w:tcBorders>
            <w:shd w:val="clear" w:color="auto" w:fill="auto"/>
            <w:hideMark/>
          </w:tcPr>
          <w:p w14:paraId="31CABC5D" w14:textId="55B68E4D"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2</w:t>
            </w:r>
            <w:r>
              <w:rPr>
                <w:rFonts w:eastAsia="Calibri" w:cs="Calibri"/>
                <w:sz w:val="22"/>
                <w:szCs w:val="22"/>
              </w:rPr>
              <w:t> </w:t>
            </w:r>
            <w:r w:rsidRPr="00CE4F2C">
              <w:rPr>
                <w:rFonts w:eastAsia="Calibri" w:cs="Calibri"/>
                <w:sz w:val="22"/>
                <w:szCs w:val="22"/>
              </w:rPr>
              <w:t>227</w:t>
            </w:r>
          </w:p>
        </w:tc>
        <w:tc>
          <w:tcPr>
            <w:tcW w:w="1276" w:type="dxa"/>
            <w:tcBorders>
              <w:top w:val="nil"/>
              <w:left w:val="nil"/>
              <w:bottom w:val="nil"/>
              <w:right w:val="single" w:sz="8" w:space="0" w:color="auto"/>
            </w:tcBorders>
            <w:shd w:val="clear" w:color="auto" w:fill="auto"/>
            <w:hideMark/>
          </w:tcPr>
          <w:p w14:paraId="49A910C1" w14:textId="2210A0FC"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w:t>
            </w:r>
          </w:p>
        </w:tc>
        <w:tc>
          <w:tcPr>
            <w:tcW w:w="1845" w:type="dxa"/>
            <w:tcBorders>
              <w:top w:val="nil"/>
              <w:left w:val="nil"/>
              <w:bottom w:val="nil"/>
              <w:right w:val="single" w:sz="8" w:space="0" w:color="auto"/>
            </w:tcBorders>
            <w:shd w:val="clear" w:color="auto" w:fill="auto"/>
            <w:hideMark/>
          </w:tcPr>
          <w:p w14:paraId="75F49533" w14:textId="1766CC6B"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20</w:t>
            </w:r>
            <w:r>
              <w:rPr>
                <w:rFonts w:eastAsia="Calibri" w:cs="Calibri"/>
                <w:sz w:val="22"/>
                <w:szCs w:val="22"/>
              </w:rPr>
              <w:t> </w:t>
            </w:r>
            <w:r w:rsidRPr="00CE4F2C">
              <w:rPr>
                <w:rFonts w:eastAsia="Calibri" w:cs="Calibri"/>
                <w:sz w:val="22"/>
                <w:szCs w:val="22"/>
              </w:rPr>
              <w:t>415</w:t>
            </w:r>
          </w:p>
        </w:tc>
      </w:tr>
      <w:tr w:rsidR="00CE4F2C" w:rsidRPr="000C156A" w14:paraId="20AA0531" w14:textId="77777777" w:rsidTr="003A64C9">
        <w:trPr>
          <w:trHeight w:val="255"/>
        </w:trPr>
        <w:tc>
          <w:tcPr>
            <w:tcW w:w="2977" w:type="dxa"/>
            <w:tcBorders>
              <w:top w:val="nil"/>
              <w:left w:val="single" w:sz="8" w:space="0" w:color="auto"/>
              <w:bottom w:val="nil"/>
              <w:right w:val="single" w:sz="8" w:space="0" w:color="auto"/>
            </w:tcBorders>
            <w:shd w:val="clear" w:color="auto" w:fill="auto"/>
          </w:tcPr>
          <w:p w14:paraId="5BDF4A8B" w14:textId="77777777" w:rsidR="00CE4F2C" w:rsidRPr="000C156A" w:rsidRDefault="00CE4F2C" w:rsidP="00CE4F2C">
            <w:pPr>
              <w:pStyle w:val="Tabletext"/>
              <w:rPr>
                <w:rFonts w:cs="Calibri"/>
                <w:szCs w:val="22"/>
                <w:lang w:val="en-US" w:eastAsia="zh-CN"/>
              </w:rPr>
            </w:pPr>
            <w:r w:rsidRPr="000C156A">
              <w:rPr>
                <w:rFonts w:cs="Calibri"/>
                <w:szCs w:val="22"/>
                <w:lang w:eastAsia="zh-CN"/>
              </w:rPr>
              <w:t>风险管控基金</w:t>
            </w:r>
          </w:p>
        </w:tc>
        <w:tc>
          <w:tcPr>
            <w:tcW w:w="1843" w:type="dxa"/>
            <w:tcBorders>
              <w:top w:val="nil"/>
              <w:left w:val="nil"/>
              <w:bottom w:val="nil"/>
              <w:right w:val="single" w:sz="8" w:space="0" w:color="auto"/>
            </w:tcBorders>
            <w:shd w:val="clear" w:color="auto" w:fill="auto"/>
          </w:tcPr>
          <w:p w14:paraId="203BA757" w14:textId="31A7B5CA"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3</w:t>
            </w:r>
            <w:r>
              <w:rPr>
                <w:rFonts w:eastAsia="Calibri" w:cs="Calibri"/>
                <w:sz w:val="22"/>
                <w:szCs w:val="22"/>
              </w:rPr>
              <w:t> </w:t>
            </w:r>
            <w:r w:rsidRPr="00CE4F2C">
              <w:rPr>
                <w:rFonts w:eastAsia="Calibri" w:cs="Calibri"/>
                <w:sz w:val="22"/>
                <w:szCs w:val="22"/>
              </w:rPr>
              <w:t>430</w:t>
            </w:r>
          </w:p>
        </w:tc>
        <w:tc>
          <w:tcPr>
            <w:tcW w:w="1559" w:type="dxa"/>
            <w:tcBorders>
              <w:top w:val="nil"/>
              <w:left w:val="nil"/>
              <w:bottom w:val="nil"/>
              <w:right w:val="single" w:sz="8" w:space="0" w:color="auto"/>
            </w:tcBorders>
            <w:shd w:val="clear" w:color="auto" w:fill="auto"/>
          </w:tcPr>
          <w:p w14:paraId="2B8F7D36" w14:textId="572383E9"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w:t>
            </w:r>
          </w:p>
        </w:tc>
        <w:tc>
          <w:tcPr>
            <w:tcW w:w="1276" w:type="dxa"/>
            <w:tcBorders>
              <w:top w:val="nil"/>
              <w:left w:val="nil"/>
              <w:bottom w:val="nil"/>
              <w:right w:val="single" w:sz="8" w:space="0" w:color="auto"/>
            </w:tcBorders>
            <w:shd w:val="clear" w:color="auto" w:fill="auto"/>
          </w:tcPr>
          <w:p w14:paraId="3AC35AD5" w14:textId="0888744A"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p>
        </w:tc>
        <w:tc>
          <w:tcPr>
            <w:tcW w:w="1845" w:type="dxa"/>
            <w:tcBorders>
              <w:top w:val="nil"/>
              <w:left w:val="nil"/>
              <w:bottom w:val="nil"/>
              <w:right w:val="single" w:sz="8" w:space="0" w:color="auto"/>
            </w:tcBorders>
            <w:shd w:val="clear" w:color="auto" w:fill="auto"/>
          </w:tcPr>
          <w:p w14:paraId="73806B87" w14:textId="35CABD5C"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3</w:t>
            </w:r>
            <w:r>
              <w:rPr>
                <w:rFonts w:eastAsia="Calibri" w:cs="Calibri"/>
                <w:sz w:val="22"/>
                <w:szCs w:val="22"/>
              </w:rPr>
              <w:t> </w:t>
            </w:r>
            <w:r w:rsidRPr="00CE4F2C">
              <w:rPr>
                <w:rFonts w:eastAsia="Calibri" w:cs="Calibri"/>
                <w:sz w:val="22"/>
                <w:szCs w:val="22"/>
              </w:rPr>
              <w:t>430</w:t>
            </w:r>
          </w:p>
        </w:tc>
      </w:tr>
      <w:tr w:rsidR="00CE4F2C" w:rsidRPr="000C156A" w14:paraId="5F8362CF"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3595F90D" w14:textId="77777777" w:rsidR="00CE4F2C" w:rsidRPr="000C156A" w:rsidRDefault="00CE4F2C" w:rsidP="00CE4F2C">
            <w:pPr>
              <w:pStyle w:val="Tabletext"/>
              <w:rPr>
                <w:rFonts w:cs="Calibri"/>
                <w:szCs w:val="22"/>
                <w:lang w:val="en-US" w:eastAsia="zh-CN"/>
              </w:rPr>
            </w:pPr>
            <w:r w:rsidRPr="000C156A">
              <w:rPr>
                <w:rFonts w:cs="Calibri" w:hint="eastAsia"/>
                <w:szCs w:val="22"/>
                <w:lang w:val="en-US" w:eastAsia="zh-CN"/>
              </w:rPr>
              <w:t>福利基金</w:t>
            </w:r>
          </w:p>
        </w:tc>
        <w:tc>
          <w:tcPr>
            <w:tcW w:w="1843" w:type="dxa"/>
            <w:tcBorders>
              <w:top w:val="nil"/>
              <w:left w:val="nil"/>
              <w:bottom w:val="nil"/>
              <w:right w:val="single" w:sz="8" w:space="0" w:color="auto"/>
            </w:tcBorders>
            <w:shd w:val="clear" w:color="auto" w:fill="auto"/>
            <w:hideMark/>
          </w:tcPr>
          <w:p w14:paraId="55802FCD" w14:textId="53EC5A25"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348</w:t>
            </w:r>
          </w:p>
        </w:tc>
        <w:tc>
          <w:tcPr>
            <w:tcW w:w="1559" w:type="dxa"/>
            <w:tcBorders>
              <w:top w:val="nil"/>
              <w:left w:val="nil"/>
              <w:bottom w:val="nil"/>
              <w:right w:val="single" w:sz="8" w:space="0" w:color="auto"/>
            </w:tcBorders>
            <w:shd w:val="clear" w:color="auto" w:fill="auto"/>
            <w:hideMark/>
          </w:tcPr>
          <w:p w14:paraId="31B6C1A3" w14:textId="34FFAB60"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w:t>
            </w:r>
          </w:p>
        </w:tc>
        <w:tc>
          <w:tcPr>
            <w:tcW w:w="1276" w:type="dxa"/>
            <w:tcBorders>
              <w:top w:val="nil"/>
              <w:left w:val="nil"/>
              <w:bottom w:val="nil"/>
              <w:right w:val="single" w:sz="8" w:space="0" w:color="auto"/>
            </w:tcBorders>
            <w:shd w:val="clear" w:color="auto" w:fill="auto"/>
            <w:hideMark/>
          </w:tcPr>
          <w:p w14:paraId="4B2F4ED9" w14:textId="4F5E50A0"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w:t>
            </w:r>
          </w:p>
        </w:tc>
        <w:tc>
          <w:tcPr>
            <w:tcW w:w="1845" w:type="dxa"/>
            <w:tcBorders>
              <w:top w:val="nil"/>
              <w:left w:val="nil"/>
              <w:bottom w:val="nil"/>
              <w:right w:val="single" w:sz="8" w:space="0" w:color="auto"/>
            </w:tcBorders>
            <w:shd w:val="clear" w:color="auto" w:fill="auto"/>
            <w:hideMark/>
          </w:tcPr>
          <w:p w14:paraId="70F0C35B" w14:textId="107472BE"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348</w:t>
            </w:r>
          </w:p>
        </w:tc>
      </w:tr>
      <w:tr w:rsidR="00CE4F2C" w:rsidRPr="000C156A" w14:paraId="503CFE41"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4E7276A4" w14:textId="77777777" w:rsidR="00CE4F2C" w:rsidRPr="000C156A" w:rsidRDefault="00CE4F2C" w:rsidP="00CE4F2C">
            <w:pPr>
              <w:pStyle w:val="Tabletext"/>
              <w:rPr>
                <w:rFonts w:cs="Calibri"/>
                <w:szCs w:val="22"/>
                <w:lang w:val="en-US" w:eastAsia="zh-CN"/>
              </w:rPr>
            </w:pPr>
            <w:r w:rsidRPr="000C156A">
              <w:rPr>
                <w:rFonts w:cs="Calibri" w:hint="eastAsia"/>
                <w:szCs w:val="22"/>
                <w:lang w:val="en-US" w:eastAsia="zh-CN"/>
              </w:rPr>
              <w:t>百年纪念基金</w:t>
            </w:r>
          </w:p>
        </w:tc>
        <w:tc>
          <w:tcPr>
            <w:tcW w:w="1843" w:type="dxa"/>
            <w:tcBorders>
              <w:top w:val="nil"/>
              <w:left w:val="nil"/>
              <w:bottom w:val="nil"/>
              <w:right w:val="single" w:sz="8" w:space="0" w:color="auto"/>
            </w:tcBorders>
            <w:shd w:val="clear" w:color="auto" w:fill="auto"/>
            <w:hideMark/>
          </w:tcPr>
          <w:p w14:paraId="183E4A72" w14:textId="08AA2D5D"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212</w:t>
            </w:r>
          </w:p>
        </w:tc>
        <w:tc>
          <w:tcPr>
            <w:tcW w:w="1559" w:type="dxa"/>
            <w:tcBorders>
              <w:top w:val="nil"/>
              <w:left w:val="nil"/>
              <w:bottom w:val="nil"/>
              <w:right w:val="single" w:sz="8" w:space="0" w:color="auto"/>
            </w:tcBorders>
            <w:shd w:val="clear" w:color="auto" w:fill="auto"/>
            <w:hideMark/>
          </w:tcPr>
          <w:p w14:paraId="28BABB3A" w14:textId="6BEEE675"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w:t>
            </w:r>
          </w:p>
        </w:tc>
        <w:tc>
          <w:tcPr>
            <w:tcW w:w="1276" w:type="dxa"/>
            <w:tcBorders>
              <w:top w:val="nil"/>
              <w:left w:val="nil"/>
              <w:bottom w:val="nil"/>
              <w:right w:val="single" w:sz="8" w:space="0" w:color="auto"/>
            </w:tcBorders>
            <w:shd w:val="clear" w:color="auto" w:fill="auto"/>
            <w:hideMark/>
          </w:tcPr>
          <w:p w14:paraId="1EAD624F" w14:textId="470C0B2B"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w:t>
            </w:r>
          </w:p>
        </w:tc>
        <w:tc>
          <w:tcPr>
            <w:tcW w:w="1845" w:type="dxa"/>
            <w:tcBorders>
              <w:top w:val="nil"/>
              <w:left w:val="nil"/>
              <w:bottom w:val="nil"/>
              <w:right w:val="single" w:sz="8" w:space="0" w:color="auto"/>
            </w:tcBorders>
            <w:shd w:val="clear" w:color="auto" w:fill="auto"/>
            <w:hideMark/>
          </w:tcPr>
          <w:p w14:paraId="7CA13A0D" w14:textId="2EC82EB2"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212</w:t>
            </w:r>
          </w:p>
        </w:tc>
      </w:tr>
      <w:tr w:rsidR="00CE4F2C" w:rsidRPr="000C156A" w14:paraId="477FCB75"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4EF2F56E" w14:textId="77777777" w:rsidR="00CE4F2C" w:rsidRPr="000C156A" w:rsidRDefault="00CE4F2C" w:rsidP="00CE4F2C">
            <w:pPr>
              <w:pStyle w:val="Tabletext"/>
              <w:rPr>
                <w:rFonts w:cs="Calibri"/>
                <w:szCs w:val="22"/>
                <w:lang w:val="en-US" w:eastAsia="zh-CN"/>
              </w:rPr>
            </w:pPr>
            <w:r w:rsidRPr="000C156A">
              <w:rPr>
                <w:rFonts w:cs="Calibri" w:hint="eastAsia"/>
                <w:szCs w:val="22"/>
                <w:lang w:val="en-US" w:eastAsia="zh-CN"/>
              </w:rPr>
              <w:t>国际电联职员退休和福利基金（</w:t>
            </w:r>
            <w:r w:rsidRPr="000C156A">
              <w:rPr>
                <w:rFonts w:cs="Calibri"/>
                <w:szCs w:val="22"/>
                <w:lang w:val="en-US" w:eastAsia="zh-CN"/>
              </w:rPr>
              <w:t>SS&amp;B</w:t>
            </w:r>
            <w:r w:rsidRPr="000C156A">
              <w:rPr>
                <w:rFonts w:cs="Calibri"/>
                <w:szCs w:val="22"/>
                <w:lang w:val="en-US" w:eastAsia="zh-CN"/>
              </w:rPr>
              <w:t>）</w:t>
            </w:r>
            <w:r w:rsidRPr="000C156A">
              <w:rPr>
                <w:rFonts w:cs="Calibri" w:hint="eastAsia"/>
                <w:szCs w:val="22"/>
                <w:lang w:val="en-US" w:eastAsia="zh-CN"/>
              </w:rPr>
              <w:t>补充基金</w:t>
            </w:r>
          </w:p>
        </w:tc>
        <w:tc>
          <w:tcPr>
            <w:tcW w:w="1843" w:type="dxa"/>
            <w:tcBorders>
              <w:top w:val="nil"/>
              <w:left w:val="nil"/>
              <w:bottom w:val="nil"/>
              <w:right w:val="single" w:sz="8" w:space="0" w:color="auto"/>
            </w:tcBorders>
            <w:shd w:val="clear" w:color="auto" w:fill="auto"/>
            <w:hideMark/>
          </w:tcPr>
          <w:p w14:paraId="59BE536D" w14:textId="511E4102"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6</w:t>
            </w:r>
            <w:r>
              <w:rPr>
                <w:rFonts w:eastAsia="Calibri" w:cs="Calibri"/>
                <w:sz w:val="22"/>
                <w:szCs w:val="22"/>
              </w:rPr>
              <w:t> </w:t>
            </w:r>
            <w:r w:rsidRPr="00CE4F2C">
              <w:rPr>
                <w:rFonts w:eastAsia="Calibri" w:cs="Calibri"/>
                <w:sz w:val="22"/>
                <w:szCs w:val="22"/>
              </w:rPr>
              <w:t>174</w:t>
            </w:r>
          </w:p>
        </w:tc>
        <w:tc>
          <w:tcPr>
            <w:tcW w:w="1559" w:type="dxa"/>
            <w:tcBorders>
              <w:top w:val="nil"/>
              <w:left w:val="nil"/>
              <w:bottom w:val="nil"/>
              <w:right w:val="single" w:sz="8" w:space="0" w:color="auto"/>
            </w:tcBorders>
            <w:shd w:val="clear" w:color="auto" w:fill="auto"/>
            <w:hideMark/>
          </w:tcPr>
          <w:p w14:paraId="75936DF6" w14:textId="3467FB0B"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11</w:t>
            </w:r>
          </w:p>
        </w:tc>
        <w:tc>
          <w:tcPr>
            <w:tcW w:w="1276" w:type="dxa"/>
            <w:tcBorders>
              <w:top w:val="nil"/>
              <w:left w:val="nil"/>
              <w:bottom w:val="nil"/>
              <w:right w:val="single" w:sz="8" w:space="0" w:color="auto"/>
            </w:tcBorders>
            <w:shd w:val="clear" w:color="auto" w:fill="auto"/>
            <w:hideMark/>
          </w:tcPr>
          <w:p w14:paraId="33EE6FC1" w14:textId="14169F41"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w:t>
            </w:r>
          </w:p>
        </w:tc>
        <w:tc>
          <w:tcPr>
            <w:tcW w:w="1845" w:type="dxa"/>
            <w:tcBorders>
              <w:top w:val="nil"/>
              <w:left w:val="nil"/>
              <w:bottom w:val="nil"/>
              <w:right w:val="single" w:sz="8" w:space="0" w:color="auto"/>
            </w:tcBorders>
            <w:shd w:val="clear" w:color="auto" w:fill="auto"/>
            <w:hideMark/>
          </w:tcPr>
          <w:p w14:paraId="5D41FC7A" w14:textId="6887C0A1"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6</w:t>
            </w:r>
            <w:r>
              <w:rPr>
                <w:rFonts w:eastAsia="Calibri" w:cs="Calibri"/>
                <w:sz w:val="22"/>
                <w:szCs w:val="22"/>
              </w:rPr>
              <w:t> </w:t>
            </w:r>
            <w:r w:rsidRPr="00CE4F2C">
              <w:rPr>
                <w:rFonts w:eastAsia="Calibri" w:cs="Calibri"/>
                <w:sz w:val="22"/>
                <w:szCs w:val="22"/>
              </w:rPr>
              <w:t>185</w:t>
            </w:r>
          </w:p>
        </w:tc>
      </w:tr>
      <w:tr w:rsidR="00CE4F2C" w:rsidRPr="000C156A" w14:paraId="08D09663"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0CAD1A01" w14:textId="77777777" w:rsidR="00CE4F2C" w:rsidRPr="000C156A" w:rsidRDefault="00CE4F2C" w:rsidP="00CE4F2C">
            <w:pPr>
              <w:pStyle w:val="Tabletext"/>
              <w:rPr>
                <w:rFonts w:cs="Calibri"/>
                <w:szCs w:val="22"/>
                <w:lang w:val="en-US" w:eastAsia="zh-CN"/>
              </w:rPr>
            </w:pPr>
            <w:r w:rsidRPr="000C156A">
              <w:rPr>
                <w:rFonts w:cs="Calibri"/>
                <w:szCs w:val="22"/>
                <w:lang w:val="en-US" w:eastAsia="fr-FR"/>
              </w:rPr>
              <w:t>SS&amp;B</w:t>
            </w:r>
            <w:r w:rsidRPr="000C156A">
              <w:rPr>
                <w:rFonts w:cs="Calibri" w:hint="eastAsia"/>
                <w:szCs w:val="22"/>
                <w:lang w:val="en-US" w:eastAsia="zh-CN"/>
              </w:rPr>
              <w:t>援助基金</w:t>
            </w:r>
          </w:p>
        </w:tc>
        <w:tc>
          <w:tcPr>
            <w:tcW w:w="1843" w:type="dxa"/>
            <w:tcBorders>
              <w:top w:val="nil"/>
              <w:left w:val="nil"/>
              <w:bottom w:val="nil"/>
              <w:right w:val="single" w:sz="8" w:space="0" w:color="auto"/>
            </w:tcBorders>
            <w:shd w:val="clear" w:color="auto" w:fill="auto"/>
            <w:hideMark/>
          </w:tcPr>
          <w:p w14:paraId="67CB4B50" w14:textId="1A4228A9"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277</w:t>
            </w:r>
          </w:p>
        </w:tc>
        <w:tc>
          <w:tcPr>
            <w:tcW w:w="1559" w:type="dxa"/>
            <w:tcBorders>
              <w:top w:val="nil"/>
              <w:left w:val="nil"/>
              <w:bottom w:val="nil"/>
              <w:right w:val="single" w:sz="8" w:space="0" w:color="auto"/>
            </w:tcBorders>
            <w:shd w:val="clear" w:color="auto" w:fill="auto"/>
            <w:hideMark/>
          </w:tcPr>
          <w:p w14:paraId="7D1529AE" w14:textId="6C69DB04"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-2</w:t>
            </w:r>
          </w:p>
        </w:tc>
        <w:tc>
          <w:tcPr>
            <w:tcW w:w="1276" w:type="dxa"/>
            <w:tcBorders>
              <w:top w:val="nil"/>
              <w:left w:val="nil"/>
              <w:bottom w:val="nil"/>
              <w:right w:val="single" w:sz="8" w:space="0" w:color="auto"/>
            </w:tcBorders>
            <w:shd w:val="clear" w:color="auto" w:fill="auto"/>
            <w:hideMark/>
          </w:tcPr>
          <w:p w14:paraId="2FECEE73" w14:textId="34040F08"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w:t>
            </w:r>
          </w:p>
        </w:tc>
        <w:tc>
          <w:tcPr>
            <w:tcW w:w="1845" w:type="dxa"/>
            <w:tcBorders>
              <w:top w:val="nil"/>
              <w:left w:val="nil"/>
              <w:bottom w:val="nil"/>
              <w:right w:val="single" w:sz="8" w:space="0" w:color="auto"/>
            </w:tcBorders>
            <w:shd w:val="clear" w:color="auto" w:fill="auto"/>
            <w:hideMark/>
          </w:tcPr>
          <w:p w14:paraId="2F847D88" w14:textId="0A65EA0C"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276</w:t>
            </w:r>
          </w:p>
        </w:tc>
      </w:tr>
      <w:tr w:rsidR="00CE4F2C" w:rsidRPr="000C156A" w14:paraId="24682591"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45260E7C" w14:textId="77777777" w:rsidR="00CE4F2C" w:rsidRPr="000C156A" w:rsidRDefault="00CE4F2C" w:rsidP="00CE4F2C">
            <w:pPr>
              <w:pStyle w:val="Tabletext"/>
              <w:rPr>
                <w:rFonts w:cs="Calibri"/>
                <w:szCs w:val="22"/>
                <w:lang w:val="en-US" w:eastAsia="zh-CN"/>
              </w:rPr>
            </w:pPr>
            <w:r w:rsidRPr="000C156A">
              <w:rPr>
                <w:rFonts w:cs="Calibri"/>
                <w:szCs w:val="22"/>
                <w:lang w:val="en-US" w:eastAsia="fr-FR"/>
              </w:rPr>
              <w:t>ASHI</w:t>
            </w:r>
            <w:r w:rsidRPr="000C156A">
              <w:rPr>
                <w:rFonts w:cs="Calibri" w:hint="eastAsia"/>
                <w:szCs w:val="22"/>
                <w:lang w:val="en-US" w:eastAsia="zh-CN"/>
              </w:rPr>
              <w:t>基金</w:t>
            </w:r>
          </w:p>
        </w:tc>
        <w:tc>
          <w:tcPr>
            <w:tcW w:w="1843" w:type="dxa"/>
            <w:tcBorders>
              <w:top w:val="nil"/>
              <w:left w:val="nil"/>
              <w:bottom w:val="nil"/>
              <w:right w:val="single" w:sz="8" w:space="0" w:color="auto"/>
            </w:tcBorders>
            <w:shd w:val="clear" w:color="auto" w:fill="auto"/>
            <w:hideMark/>
          </w:tcPr>
          <w:p w14:paraId="60067F90" w14:textId="042FE9B2"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13</w:t>
            </w:r>
            <w:r>
              <w:rPr>
                <w:rFonts w:eastAsia="Calibri" w:cs="Calibri"/>
                <w:sz w:val="22"/>
                <w:szCs w:val="22"/>
              </w:rPr>
              <w:t> </w:t>
            </w:r>
            <w:r w:rsidRPr="00CE4F2C">
              <w:rPr>
                <w:rFonts w:eastAsia="Calibri" w:cs="Calibri"/>
                <w:sz w:val="22"/>
                <w:szCs w:val="22"/>
              </w:rPr>
              <w:t>000</w:t>
            </w:r>
          </w:p>
        </w:tc>
        <w:tc>
          <w:tcPr>
            <w:tcW w:w="1559" w:type="dxa"/>
            <w:tcBorders>
              <w:top w:val="nil"/>
              <w:left w:val="nil"/>
              <w:bottom w:val="nil"/>
              <w:right w:val="single" w:sz="8" w:space="0" w:color="auto"/>
            </w:tcBorders>
            <w:shd w:val="clear" w:color="auto" w:fill="auto"/>
            <w:hideMark/>
          </w:tcPr>
          <w:p w14:paraId="7458B351" w14:textId="2B446DE8"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w:t>
            </w:r>
          </w:p>
        </w:tc>
        <w:tc>
          <w:tcPr>
            <w:tcW w:w="1276" w:type="dxa"/>
            <w:tcBorders>
              <w:top w:val="nil"/>
              <w:left w:val="nil"/>
              <w:bottom w:val="nil"/>
              <w:right w:val="single" w:sz="8" w:space="0" w:color="auto"/>
            </w:tcBorders>
            <w:shd w:val="clear" w:color="auto" w:fill="auto"/>
            <w:hideMark/>
          </w:tcPr>
          <w:p w14:paraId="09E41BDF" w14:textId="7B3925BC"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p>
        </w:tc>
        <w:tc>
          <w:tcPr>
            <w:tcW w:w="1845" w:type="dxa"/>
            <w:tcBorders>
              <w:top w:val="nil"/>
              <w:left w:val="nil"/>
              <w:bottom w:val="nil"/>
              <w:right w:val="single" w:sz="8" w:space="0" w:color="auto"/>
            </w:tcBorders>
            <w:shd w:val="clear" w:color="auto" w:fill="auto"/>
            <w:hideMark/>
          </w:tcPr>
          <w:p w14:paraId="0F0DEDCA" w14:textId="4E90FB47"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13</w:t>
            </w:r>
            <w:r>
              <w:rPr>
                <w:rFonts w:eastAsia="Calibri" w:cs="Calibri"/>
                <w:sz w:val="22"/>
                <w:szCs w:val="22"/>
              </w:rPr>
              <w:t> </w:t>
            </w:r>
            <w:r w:rsidRPr="00CE4F2C">
              <w:rPr>
                <w:rFonts w:eastAsia="Calibri" w:cs="Calibri"/>
                <w:sz w:val="22"/>
                <w:szCs w:val="22"/>
              </w:rPr>
              <w:t>000</w:t>
            </w:r>
          </w:p>
        </w:tc>
      </w:tr>
      <w:tr w:rsidR="00CE4F2C" w:rsidRPr="000C156A" w14:paraId="521CEF5A"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4A75F495" w14:textId="77777777" w:rsidR="00CE4F2C" w:rsidRPr="000C156A" w:rsidRDefault="00CE4F2C" w:rsidP="00CE4F2C">
            <w:pPr>
              <w:pStyle w:val="Tabletext"/>
              <w:rPr>
                <w:rFonts w:cs="Calibri"/>
                <w:szCs w:val="22"/>
                <w:lang w:val="en-US" w:eastAsia="zh-CN"/>
              </w:rPr>
            </w:pPr>
            <w:r w:rsidRPr="000C156A">
              <w:rPr>
                <w:rFonts w:cs="Calibri" w:hint="eastAsia"/>
                <w:szCs w:val="22"/>
                <w:lang w:val="en-US" w:eastAsia="zh-CN"/>
              </w:rPr>
              <w:t>健康保险基金</w:t>
            </w:r>
          </w:p>
        </w:tc>
        <w:tc>
          <w:tcPr>
            <w:tcW w:w="1843" w:type="dxa"/>
            <w:tcBorders>
              <w:top w:val="nil"/>
              <w:left w:val="nil"/>
              <w:bottom w:val="nil"/>
              <w:right w:val="single" w:sz="8" w:space="0" w:color="auto"/>
            </w:tcBorders>
            <w:shd w:val="clear" w:color="auto" w:fill="auto"/>
            <w:hideMark/>
          </w:tcPr>
          <w:p w14:paraId="2A34C7DB" w14:textId="6E9326AF"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1</w:t>
            </w:r>
            <w:r>
              <w:rPr>
                <w:rFonts w:eastAsia="Calibri" w:cs="Calibri"/>
                <w:sz w:val="22"/>
                <w:szCs w:val="22"/>
              </w:rPr>
              <w:t> </w:t>
            </w:r>
            <w:r w:rsidRPr="00CE4F2C">
              <w:rPr>
                <w:rFonts w:eastAsia="Calibri" w:cs="Calibri"/>
                <w:sz w:val="22"/>
                <w:szCs w:val="22"/>
              </w:rPr>
              <w:t>754</w:t>
            </w:r>
          </w:p>
        </w:tc>
        <w:tc>
          <w:tcPr>
            <w:tcW w:w="1559" w:type="dxa"/>
            <w:tcBorders>
              <w:top w:val="nil"/>
              <w:left w:val="nil"/>
              <w:bottom w:val="nil"/>
              <w:right w:val="single" w:sz="8" w:space="0" w:color="auto"/>
            </w:tcBorders>
            <w:shd w:val="clear" w:color="auto" w:fill="auto"/>
            <w:noWrap/>
            <w:hideMark/>
          </w:tcPr>
          <w:p w14:paraId="45E3DA39" w14:textId="0AC1252E"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w:t>
            </w:r>
          </w:p>
        </w:tc>
        <w:tc>
          <w:tcPr>
            <w:tcW w:w="1276" w:type="dxa"/>
            <w:tcBorders>
              <w:top w:val="nil"/>
              <w:left w:val="nil"/>
              <w:bottom w:val="nil"/>
              <w:right w:val="single" w:sz="8" w:space="0" w:color="auto"/>
            </w:tcBorders>
            <w:shd w:val="clear" w:color="auto" w:fill="auto"/>
            <w:noWrap/>
            <w:hideMark/>
          </w:tcPr>
          <w:p w14:paraId="5137A95A" w14:textId="0048D623"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-186</w:t>
            </w:r>
          </w:p>
        </w:tc>
        <w:tc>
          <w:tcPr>
            <w:tcW w:w="1845" w:type="dxa"/>
            <w:tcBorders>
              <w:top w:val="nil"/>
              <w:left w:val="nil"/>
              <w:bottom w:val="nil"/>
              <w:right w:val="single" w:sz="8" w:space="0" w:color="auto"/>
            </w:tcBorders>
            <w:shd w:val="clear" w:color="auto" w:fill="auto"/>
            <w:hideMark/>
          </w:tcPr>
          <w:p w14:paraId="5F68CA12" w14:textId="168EB077"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1</w:t>
            </w:r>
            <w:r>
              <w:rPr>
                <w:rFonts w:eastAsia="Calibri" w:cs="Calibri"/>
                <w:sz w:val="22"/>
                <w:szCs w:val="22"/>
              </w:rPr>
              <w:t> </w:t>
            </w:r>
            <w:r w:rsidRPr="00CE4F2C">
              <w:rPr>
                <w:rFonts w:eastAsia="Calibri" w:cs="Calibri"/>
                <w:sz w:val="22"/>
                <w:szCs w:val="22"/>
              </w:rPr>
              <w:t>567</w:t>
            </w:r>
          </w:p>
        </w:tc>
      </w:tr>
      <w:tr w:rsidR="00CE4F2C" w:rsidRPr="000C156A" w14:paraId="16C7E1BB"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3B172F3B" w14:textId="77777777" w:rsidR="00CE4F2C" w:rsidRPr="000C156A" w:rsidRDefault="00CE4F2C" w:rsidP="00CE4F2C">
            <w:pPr>
              <w:pStyle w:val="Tabletext"/>
              <w:rPr>
                <w:rFonts w:cs="Calibri"/>
                <w:szCs w:val="22"/>
                <w:lang w:val="en-US" w:eastAsia="zh-CN"/>
              </w:rPr>
            </w:pPr>
            <w:r w:rsidRPr="000C156A">
              <w:rPr>
                <w:rFonts w:cs="Calibri" w:hint="eastAsia"/>
                <w:szCs w:val="22"/>
                <w:lang w:val="en-US" w:eastAsia="zh-CN"/>
              </w:rPr>
              <w:t>预算外分配的储备金</w:t>
            </w:r>
          </w:p>
        </w:tc>
        <w:tc>
          <w:tcPr>
            <w:tcW w:w="1843" w:type="dxa"/>
            <w:tcBorders>
              <w:top w:val="nil"/>
              <w:left w:val="nil"/>
              <w:bottom w:val="nil"/>
              <w:right w:val="single" w:sz="8" w:space="0" w:color="auto"/>
            </w:tcBorders>
            <w:shd w:val="clear" w:color="auto" w:fill="auto"/>
            <w:hideMark/>
          </w:tcPr>
          <w:p w14:paraId="037BB49E" w14:textId="5A50B5F8"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8</w:t>
            </w:r>
            <w:r>
              <w:rPr>
                <w:rFonts w:eastAsia="Calibri" w:cs="Calibri"/>
                <w:sz w:val="22"/>
                <w:szCs w:val="22"/>
              </w:rPr>
              <w:t> </w:t>
            </w:r>
            <w:r w:rsidRPr="00CE4F2C">
              <w:rPr>
                <w:rFonts w:eastAsia="Calibri" w:cs="Calibri"/>
                <w:sz w:val="22"/>
                <w:szCs w:val="22"/>
              </w:rPr>
              <w:t>008</w:t>
            </w:r>
          </w:p>
        </w:tc>
        <w:tc>
          <w:tcPr>
            <w:tcW w:w="1559" w:type="dxa"/>
            <w:tcBorders>
              <w:top w:val="nil"/>
              <w:left w:val="nil"/>
              <w:bottom w:val="nil"/>
              <w:right w:val="single" w:sz="8" w:space="0" w:color="auto"/>
            </w:tcBorders>
            <w:shd w:val="clear" w:color="auto" w:fill="auto"/>
            <w:noWrap/>
            <w:hideMark/>
          </w:tcPr>
          <w:p w14:paraId="3BCCBE22" w14:textId="7DFEBC7F"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p>
        </w:tc>
        <w:tc>
          <w:tcPr>
            <w:tcW w:w="1276" w:type="dxa"/>
            <w:tcBorders>
              <w:top w:val="nil"/>
              <w:left w:val="nil"/>
              <w:bottom w:val="nil"/>
              <w:right w:val="single" w:sz="8" w:space="0" w:color="auto"/>
            </w:tcBorders>
            <w:shd w:val="clear" w:color="auto" w:fill="auto"/>
            <w:noWrap/>
            <w:hideMark/>
          </w:tcPr>
          <w:p w14:paraId="38A6E2B0" w14:textId="77057302"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95</w:t>
            </w:r>
          </w:p>
        </w:tc>
        <w:tc>
          <w:tcPr>
            <w:tcW w:w="1845" w:type="dxa"/>
            <w:tcBorders>
              <w:top w:val="nil"/>
              <w:left w:val="nil"/>
              <w:bottom w:val="nil"/>
              <w:right w:val="single" w:sz="8" w:space="0" w:color="auto"/>
            </w:tcBorders>
            <w:shd w:val="clear" w:color="auto" w:fill="auto"/>
            <w:hideMark/>
          </w:tcPr>
          <w:p w14:paraId="75534696" w14:textId="75287B56"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8</w:t>
            </w:r>
            <w:r>
              <w:rPr>
                <w:rFonts w:eastAsia="Calibri" w:cs="Calibri"/>
                <w:sz w:val="22"/>
                <w:szCs w:val="22"/>
              </w:rPr>
              <w:t> </w:t>
            </w:r>
            <w:r w:rsidRPr="00CE4F2C">
              <w:rPr>
                <w:rFonts w:eastAsia="Calibri" w:cs="Calibri"/>
                <w:sz w:val="22"/>
                <w:szCs w:val="22"/>
              </w:rPr>
              <w:t>103</w:t>
            </w:r>
          </w:p>
        </w:tc>
      </w:tr>
      <w:tr w:rsidR="00CE4F2C" w:rsidRPr="000C156A" w14:paraId="69261913"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0D2B7284" w14:textId="77777777" w:rsidR="00CE4F2C" w:rsidRPr="000C156A" w:rsidRDefault="00CE4F2C" w:rsidP="00CE4F2C">
            <w:pPr>
              <w:pStyle w:val="Tabletext"/>
              <w:rPr>
                <w:rFonts w:cs="Calibri"/>
                <w:szCs w:val="22"/>
                <w:lang w:val="en-US" w:eastAsia="zh-CN"/>
              </w:rPr>
            </w:pPr>
            <w:r w:rsidRPr="000C156A">
              <w:rPr>
                <w:rFonts w:cs="Calibri" w:hint="eastAsia"/>
                <w:szCs w:val="22"/>
                <w:lang w:val="en-US" w:eastAsia="zh-CN"/>
              </w:rPr>
              <w:t>货币兑换转换</w:t>
            </w:r>
          </w:p>
        </w:tc>
        <w:tc>
          <w:tcPr>
            <w:tcW w:w="1843" w:type="dxa"/>
            <w:tcBorders>
              <w:top w:val="nil"/>
              <w:left w:val="nil"/>
              <w:bottom w:val="nil"/>
              <w:right w:val="single" w:sz="8" w:space="0" w:color="auto"/>
            </w:tcBorders>
            <w:shd w:val="clear" w:color="auto" w:fill="auto"/>
            <w:hideMark/>
          </w:tcPr>
          <w:p w14:paraId="56D4F28A" w14:textId="1B5BDEEC"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-916</w:t>
            </w:r>
          </w:p>
        </w:tc>
        <w:tc>
          <w:tcPr>
            <w:tcW w:w="1559" w:type="dxa"/>
            <w:tcBorders>
              <w:top w:val="nil"/>
              <w:left w:val="nil"/>
              <w:bottom w:val="nil"/>
              <w:right w:val="single" w:sz="8" w:space="0" w:color="auto"/>
            </w:tcBorders>
            <w:shd w:val="clear" w:color="auto" w:fill="auto"/>
            <w:noWrap/>
            <w:hideMark/>
          </w:tcPr>
          <w:p w14:paraId="42698800" w14:textId="0F7FB420"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-4</w:t>
            </w:r>
          </w:p>
        </w:tc>
        <w:tc>
          <w:tcPr>
            <w:tcW w:w="1276" w:type="dxa"/>
            <w:tcBorders>
              <w:top w:val="nil"/>
              <w:left w:val="nil"/>
              <w:bottom w:val="nil"/>
              <w:right w:val="single" w:sz="8" w:space="0" w:color="auto"/>
            </w:tcBorders>
            <w:shd w:val="clear" w:color="auto" w:fill="auto"/>
            <w:noWrap/>
            <w:hideMark/>
          </w:tcPr>
          <w:p w14:paraId="6593491B" w14:textId="4BA72900"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44</w:t>
            </w:r>
          </w:p>
        </w:tc>
        <w:tc>
          <w:tcPr>
            <w:tcW w:w="1845" w:type="dxa"/>
            <w:tcBorders>
              <w:top w:val="nil"/>
              <w:left w:val="nil"/>
              <w:bottom w:val="nil"/>
              <w:right w:val="single" w:sz="8" w:space="0" w:color="auto"/>
            </w:tcBorders>
            <w:shd w:val="clear" w:color="auto" w:fill="auto"/>
            <w:hideMark/>
          </w:tcPr>
          <w:p w14:paraId="5E687A3B" w14:textId="3E7AE54D"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-876</w:t>
            </w:r>
          </w:p>
        </w:tc>
      </w:tr>
      <w:tr w:rsidR="00CE4F2C" w:rsidRPr="000C156A" w14:paraId="3726A708"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759CE077" w14:textId="77777777" w:rsidR="00CE4F2C" w:rsidRPr="000C156A" w:rsidRDefault="00CE4F2C" w:rsidP="00CE4F2C">
            <w:pPr>
              <w:pStyle w:val="Tabletext"/>
              <w:rPr>
                <w:rFonts w:cs="Calibri"/>
                <w:b/>
                <w:szCs w:val="22"/>
                <w:lang w:val="en-US" w:eastAsia="zh-CN"/>
              </w:rPr>
            </w:pPr>
            <w:r w:rsidRPr="000C156A">
              <w:rPr>
                <w:rFonts w:cs="Calibri" w:hint="eastAsia"/>
                <w:b/>
                <w:szCs w:val="22"/>
                <w:lang w:val="en-US" w:eastAsia="zh-CN"/>
              </w:rPr>
              <w:t>预算外活动相关基金</w:t>
            </w:r>
          </w:p>
        </w:tc>
        <w:tc>
          <w:tcPr>
            <w:tcW w:w="1843" w:type="dxa"/>
            <w:tcBorders>
              <w:top w:val="nil"/>
              <w:left w:val="nil"/>
              <w:bottom w:val="nil"/>
              <w:right w:val="single" w:sz="8" w:space="0" w:color="auto"/>
            </w:tcBorders>
            <w:shd w:val="clear" w:color="auto" w:fill="auto"/>
            <w:hideMark/>
          </w:tcPr>
          <w:p w14:paraId="1E5C2B05" w14:textId="6C8796EC" w:rsidR="00CE4F2C" w:rsidRPr="00CE4F2C" w:rsidRDefault="00CE4F2C" w:rsidP="00CE4F2C">
            <w:pPr>
              <w:overflowPunct/>
              <w:autoSpaceDE/>
              <w:autoSpaceDN/>
              <w:adjustRightInd/>
              <w:spacing w:before="0"/>
              <w:jc w:val="right"/>
              <w:textAlignment w:val="auto"/>
              <w:rPr>
                <w:rFonts w:cs="Calibri"/>
                <w:b/>
                <w:bCs/>
                <w:sz w:val="22"/>
                <w:szCs w:val="22"/>
                <w:lang w:eastAsia="en-GB"/>
              </w:rPr>
            </w:pPr>
            <w:r w:rsidRPr="00CE4F2C">
              <w:rPr>
                <w:rFonts w:eastAsia="Calibri" w:cs="Calibri"/>
                <w:b/>
                <w:sz w:val="22"/>
                <w:szCs w:val="22"/>
              </w:rPr>
              <w:t>10</w:t>
            </w:r>
            <w:r>
              <w:rPr>
                <w:rFonts w:eastAsia="Calibri" w:cs="Calibri"/>
                <w:b/>
                <w:sz w:val="22"/>
                <w:szCs w:val="22"/>
              </w:rPr>
              <w:t> </w:t>
            </w:r>
            <w:r w:rsidRPr="00CE4F2C">
              <w:rPr>
                <w:rFonts w:eastAsia="Calibri" w:cs="Calibri"/>
                <w:b/>
                <w:sz w:val="22"/>
                <w:szCs w:val="22"/>
              </w:rPr>
              <w:t>383</w:t>
            </w:r>
          </w:p>
        </w:tc>
        <w:tc>
          <w:tcPr>
            <w:tcW w:w="1559" w:type="dxa"/>
            <w:tcBorders>
              <w:top w:val="nil"/>
              <w:left w:val="nil"/>
              <w:bottom w:val="nil"/>
              <w:right w:val="single" w:sz="8" w:space="0" w:color="auto"/>
            </w:tcBorders>
            <w:shd w:val="clear" w:color="auto" w:fill="auto"/>
            <w:hideMark/>
          </w:tcPr>
          <w:p w14:paraId="50EB26F9" w14:textId="611A16A8"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-1</w:t>
            </w:r>
            <w:r>
              <w:rPr>
                <w:rFonts w:eastAsia="Calibri" w:cs="Calibri"/>
                <w:b/>
                <w:sz w:val="22"/>
                <w:szCs w:val="22"/>
              </w:rPr>
              <w:t> </w:t>
            </w:r>
            <w:r w:rsidRPr="00CE4F2C">
              <w:rPr>
                <w:rFonts w:eastAsia="Calibri" w:cs="Calibri"/>
                <w:b/>
                <w:sz w:val="22"/>
                <w:szCs w:val="22"/>
              </w:rPr>
              <w:t>989</w:t>
            </w:r>
          </w:p>
        </w:tc>
        <w:tc>
          <w:tcPr>
            <w:tcW w:w="1276" w:type="dxa"/>
            <w:tcBorders>
              <w:top w:val="nil"/>
              <w:left w:val="nil"/>
              <w:bottom w:val="nil"/>
              <w:right w:val="single" w:sz="8" w:space="0" w:color="auto"/>
            </w:tcBorders>
            <w:shd w:val="clear" w:color="auto" w:fill="auto"/>
            <w:hideMark/>
          </w:tcPr>
          <w:p w14:paraId="6842F539" w14:textId="0368C4B0"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411</w:t>
            </w:r>
          </w:p>
        </w:tc>
        <w:tc>
          <w:tcPr>
            <w:tcW w:w="1845" w:type="dxa"/>
            <w:tcBorders>
              <w:top w:val="nil"/>
              <w:left w:val="nil"/>
              <w:bottom w:val="nil"/>
              <w:right w:val="single" w:sz="8" w:space="0" w:color="auto"/>
            </w:tcBorders>
            <w:shd w:val="clear" w:color="auto" w:fill="auto"/>
            <w:hideMark/>
          </w:tcPr>
          <w:p w14:paraId="6BC67295" w14:textId="0B449B04"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8</w:t>
            </w:r>
            <w:r>
              <w:rPr>
                <w:rFonts w:eastAsia="Calibri" w:cs="Calibri"/>
                <w:b/>
                <w:sz w:val="22"/>
                <w:szCs w:val="22"/>
              </w:rPr>
              <w:t> </w:t>
            </w:r>
            <w:r w:rsidRPr="00CE4F2C">
              <w:rPr>
                <w:rFonts w:eastAsia="Calibri" w:cs="Calibri"/>
                <w:b/>
                <w:sz w:val="22"/>
                <w:szCs w:val="22"/>
              </w:rPr>
              <w:t>805</w:t>
            </w:r>
          </w:p>
        </w:tc>
      </w:tr>
      <w:tr w:rsidR="00CE4F2C" w:rsidRPr="000C156A" w14:paraId="0F7AA867"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60E29CC5" w14:textId="77777777" w:rsidR="00CE4F2C" w:rsidRPr="000C156A" w:rsidRDefault="00CE4F2C" w:rsidP="00CE4F2C">
            <w:pPr>
              <w:pStyle w:val="Tabletext"/>
              <w:rPr>
                <w:rFonts w:cs="Calibri"/>
                <w:bCs/>
                <w:szCs w:val="22"/>
                <w:lang w:val="en-US" w:eastAsia="zh-CN"/>
              </w:rPr>
            </w:pPr>
            <w:r w:rsidRPr="000C156A">
              <w:rPr>
                <w:rFonts w:cs="Calibri" w:hint="eastAsia"/>
                <w:bCs/>
                <w:szCs w:val="22"/>
                <w:lang w:val="en-US" w:eastAsia="zh-CN"/>
              </w:rPr>
              <w:t>电信展览部（</w:t>
            </w:r>
            <w:r w:rsidRPr="000C156A">
              <w:rPr>
                <w:rFonts w:cs="Calibri"/>
                <w:bCs/>
                <w:szCs w:val="22"/>
                <w:lang w:val="en-US" w:eastAsia="zh-CN"/>
              </w:rPr>
              <w:t>TLC</w:t>
            </w:r>
            <w:r w:rsidRPr="000C156A">
              <w:rPr>
                <w:rFonts w:cs="Calibri"/>
                <w:bCs/>
                <w:szCs w:val="22"/>
                <w:lang w:val="en-US" w:eastAsia="zh-CN"/>
              </w:rPr>
              <w:t>）</w:t>
            </w:r>
          </w:p>
        </w:tc>
        <w:tc>
          <w:tcPr>
            <w:tcW w:w="1843" w:type="dxa"/>
            <w:tcBorders>
              <w:top w:val="nil"/>
              <w:left w:val="nil"/>
              <w:bottom w:val="nil"/>
              <w:right w:val="single" w:sz="8" w:space="0" w:color="auto"/>
            </w:tcBorders>
            <w:shd w:val="clear" w:color="auto" w:fill="auto"/>
            <w:hideMark/>
          </w:tcPr>
          <w:p w14:paraId="70A51A9D" w14:textId="0EF2901B"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6</w:t>
            </w:r>
            <w:r>
              <w:rPr>
                <w:rFonts w:eastAsia="Calibri" w:cs="Calibri"/>
                <w:sz w:val="22"/>
                <w:szCs w:val="22"/>
              </w:rPr>
              <w:t> </w:t>
            </w:r>
            <w:r w:rsidRPr="00CE4F2C">
              <w:rPr>
                <w:rFonts w:eastAsia="Calibri" w:cs="Calibri"/>
                <w:sz w:val="22"/>
                <w:szCs w:val="22"/>
              </w:rPr>
              <w:t>616</w:t>
            </w:r>
          </w:p>
        </w:tc>
        <w:tc>
          <w:tcPr>
            <w:tcW w:w="1559" w:type="dxa"/>
            <w:tcBorders>
              <w:top w:val="nil"/>
              <w:left w:val="nil"/>
              <w:bottom w:val="nil"/>
              <w:right w:val="single" w:sz="8" w:space="0" w:color="auto"/>
            </w:tcBorders>
            <w:shd w:val="clear" w:color="auto" w:fill="auto"/>
            <w:hideMark/>
          </w:tcPr>
          <w:p w14:paraId="08FAEC34" w14:textId="3060B1A1"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-2</w:t>
            </w:r>
            <w:r>
              <w:rPr>
                <w:rFonts w:eastAsia="Calibri" w:cs="Calibri"/>
                <w:sz w:val="22"/>
                <w:szCs w:val="22"/>
              </w:rPr>
              <w:t> </w:t>
            </w:r>
            <w:r w:rsidRPr="00CE4F2C">
              <w:rPr>
                <w:rFonts w:eastAsia="Calibri" w:cs="Calibri"/>
                <w:sz w:val="22"/>
                <w:szCs w:val="22"/>
              </w:rPr>
              <w:t>003</w:t>
            </w:r>
          </w:p>
        </w:tc>
        <w:tc>
          <w:tcPr>
            <w:tcW w:w="1276" w:type="dxa"/>
            <w:tcBorders>
              <w:top w:val="nil"/>
              <w:left w:val="nil"/>
              <w:bottom w:val="nil"/>
              <w:right w:val="single" w:sz="8" w:space="0" w:color="auto"/>
            </w:tcBorders>
            <w:shd w:val="clear" w:color="auto" w:fill="auto"/>
            <w:hideMark/>
          </w:tcPr>
          <w:p w14:paraId="1D444169" w14:textId="36A2D032"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-39</w:t>
            </w:r>
          </w:p>
        </w:tc>
        <w:tc>
          <w:tcPr>
            <w:tcW w:w="1845" w:type="dxa"/>
            <w:tcBorders>
              <w:top w:val="nil"/>
              <w:left w:val="nil"/>
              <w:bottom w:val="nil"/>
              <w:right w:val="single" w:sz="8" w:space="0" w:color="auto"/>
            </w:tcBorders>
            <w:shd w:val="clear" w:color="auto" w:fill="auto"/>
            <w:hideMark/>
          </w:tcPr>
          <w:p w14:paraId="5E8E2DA9" w14:textId="5F0EB7C9"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4</w:t>
            </w:r>
            <w:r>
              <w:rPr>
                <w:rFonts w:eastAsia="Calibri" w:cs="Calibri"/>
                <w:sz w:val="22"/>
                <w:szCs w:val="22"/>
              </w:rPr>
              <w:t> </w:t>
            </w:r>
            <w:r w:rsidRPr="00CE4F2C">
              <w:rPr>
                <w:rFonts w:eastAsia="Calibri" w:cs="Calibri"/>
                <w:sz w:val="22"/>
                <w:szCs w:val="22"/>
              </w:rPr>
              <w:t>573</w:t>
            </w:r>
          </w:p>
        </w:tc>
      </w:tr>
      <w:tr w:rsidR="00CE4F2C" w:rsidRPr="000C156A" w14:paraId="09497ABE"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6F9B427E" w14:textId="77777777" w:rsidR="00CE4F2C" w:rsidRPr="000C156A" w:rsidRDefault="00CE4F2C" w:rsidP="00CE4F2C">
            <w:pPr>
              <w:pStyle w:val="Tabletext"/>
              <w:rPr>
                <w:rFonts w:cs="Calibri"/>
                <w:bCs/>
                <w:szCs w:val="22"/>
                <w:lang w:val="en-US" w:eastAsia="zh-CN"/>
              </w:rPr>
            </w:pPr>
            <w:r w:rsidRPr="000C156A">
              <w:rPr>
                <w:rFonts w:cs="Calibri" w:hint="eastAsia"/>
                <w:bCs/>
                <w:szCs w:val="22"/>
                <w:lang w:val="en-US" w:eastAsia="zh-CN"/>
              </w:rPr>
              <w:t>其他</w:t>
            </w:r>
          </w:p>
        </w:tc>
        <w:tc>
          <w:tcPr>
            <w:tcW w:w="1843" w:type="dxa"/>
            <w:tcBorders>
              <w:top w:val="nil"/>
              <w:left w:val="nil"/>
              <w:bottom w:val="nil"/>
              <w:right w:val="single" w:sz="8" w:space="0" w:color="auto"/>
            </w:tcBorders>
            <w:shd w:val="clear" w:color="auto" w:fill="auto"/>
            <w:hideMark/>
          </w:tcPr>
          <w:p w14:paraId="3252DC20" w14:textId="657E96DB" w:rsidR="00CE4F2C" w:rsidRPr="00CE4F2C" w:rsidRDefault="00CE4F2C" w:rsidP="00CE4F2C">
            <w:pPr>
              <w:overflowPunct/>
              <w:autoSpaceDE/>
              <w:autoSpaceDN/>
              <w:adjustRightInd/>
              <w:spacing w:before="0"/>
              <w:jc w:val="right"/>
              <w:textAlignment w:val="auto"/>
              <w:rPr>
                <w:rFonts w:cs="Calibri"/>
                <w:sz w:val="22"/>
                <w:szCs w:val="22"/>
                <w:lang w:eastAsia="en-GB"/>
              </w:rPr>
            </w:pPr>
            <w:r w:rsidRPr="00CE4F2C">
              <w:rPr>
                <w:rFonts w:eastAsia="Calibri" w:cs="Calibri"/>
                <w:sz w:val="22"/>
                <w:szCs w:val="22"/>
              </w:rPr>
              <w:t>3</w:t>
            </w:r>
            <w:r>
              <w:rPr>
                <w:rFonts w:eastAsia="Calibri" w:cs="Calibri"/>
                <w:sz w:val="22"/>
                <w:szCs w:val="22"/>
              </w:rPr>
              <w:t> </w:t>
            </w:r>
            <w:r w:rsidRPr="00CE4F2C">
              <w:rPr>
                <w:rFonts w:eastAsia="Calibri" w:cs="Calibri"/>
                <w:sz w:val="22"/>
                <w:szCs w:val="22"/>
              </w:rPr>
              <w:t>767</w:t>
            </w:r>
          </w:p>
        </w:tc>
        <w:tc>
          <w:tcPr>
            <w:tcW w:w="1559" w:type="dxa"/>
            <w:tcBorders>
              <w:top w:val="nil"/>
              <w:left w:val="nil"/>
              <w:bottom w:val="nil"/>
              <w:right w:val="single" w:sz="8" w:space="0" w:color="auto"/>
            </w:tcBorders>
            <w:shd w:val="clear" w:color="auto" w:fill="auto"/>
            <w:hideMark/>
          </w:tcPr>
          <w:p w14:paraId="2FD3974F" w14:textId="70FFC506"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14</w:t>
            </w:r>
          </w:p>
        </w:tc>
        <w:tc>
          <w:tcPr>
            <w:tcW w:w="1276" w:type="dxa"/>
            <w:tcBorders>
              <w:top w:val="nil"/>
              <w:left w:val="nil"/>
              <w:bottom w:val="nil"/>
              <w:right w:val="single" w:sz="8" w:space="0" w:color="auto"/>
            </w:tcBorders>
            <w:shd w:val="clear" w:color="auto" w:fill="auto"/>
            <w:hideMark/>
          </w:tcPr>
          <w:p w14:paraId="636089D0" w14:textId="07833CDF"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450</w:t>
            </w:r>
          </w:p>
        </w:tc>
        <w:tc>
          <w:tcPr>
            <w:tcW w:w="1845" w:type="dxa"/>
            <w:tcBorders>
              <w:top w:val="nil"/>
              <w:left w:val="nil"/>
              <w:bottom w:val="nil"/>
              <w:right w:val="single" w:sz="8" w:space="0" w:color="auto"/>
            </w:tcBorders>
            <w:shd w:val="clear" w:color="auto" w:fill="auto"/>
            <w:hideMark/>
          </w:tcPr>
          <w:p w14:paraId="0993E1C8" w14:textId="54BAB73F"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4</w:t>
            </w:r>
            <w:r>
              <w:rPr>
                <w:rFonts w:eastAsia="Calibri" w:cs="Calibri"/>
                <w:sz w:val="22"/>
                <w:szCs w:val="22"/>
              </w:rPr>
              <w:t> </w:t>
            </w:r>
            <w:r w:rsidRPr="00CE4F2C">
              <w:rPr>
                <w:rFonts w:eastAsia="Calibri" w:cs="Calibri"/>
                <w:sz w:val="22"/>
                <w:szCs w:val="22"/>
              </w:rPr>
              <w:t>231</w:t>
            </w:r>
          </w:p>
        </w:tc>
      </w:tr>
      <w:tr w:rsidR="00CE4F2C" w:rsidRPr="000C156A" w14:paraId="6C2050DC" w14:textId="77777777" w:rsidTr="003A64C9">
        <w:trPr>
          <w:trHeight w:val="255"/>
        </w:trPr>
        <w:tc>
          <w:tcPr>
            <w:tcW w:w="2977" w:type="dxa"/>
            <w:tcBorders>
              <w:top w:val="nil"/>
              <w:left w:val="single" w:sz="8" w:space="0" w:color="auto"/>
              <w:bottom w:val="nil"/>
              <w:right w:val="single" w:sz="8" w:space="0" w:color="auto"/>
            </w:tcBorders>
            <w:shd w:val="clear" w:color="auto" w:fill="auto"/>
            <w:hideMark/>
          </w:tcPr>
          <w:p w14:paraId="62F690A1" w14:textId="77777777" w:rsidR="00CE4F2C" w:rsidRPr="000C156A" w:rsidRDefault="00CE4F2C" w:rsidP="00CE4F2C">
            <w:pPr>
              <w:pStyle w:val="Tabletext"/>
              <w:rPr>
                <w:rFonts w:cs="Calibri"/>
                <w:bCs/>
                <w:szCs w:val="22"/>
                <w:lang w:val="en-US" w:eastAsia="zh-CN"/>
              </w:rPr>
            </w:pPr>
            <w:r w:rsidRPr="000C156A">
              <w:rPr>
                <w:rFonts w:cs="Calibri"/>
                <w:b/>
                <w:szCs w:val="22"/>
                <w:lang w:val="en-US"/>
              </w:rPr>
              <w:t>ASHI</w:t>
            </w:r>
            <w:r w:rsidRPr="000C156A">
              <w:rPr>
                <w:rFonts w:cs="Calibri" w:hint="eastAsia"/>
                <w:b/>
                <w:szCs w:val="22"/>
                <w:lang w:val="en-US" w:eastAsia="zh-CN"/>
              </w:rPr>
              <w:t>精算亏损</w:t>
            </w:r>
          </w:p>
        </w:tc>
        <w:tc>
          <w:tcPr>
            <w:tcW w:w="1843" w:type="dxa"/>
            <w:tcBorders>
              <w:top w:val="nil"/>
              <w:left w:val="nil"/>
              <w:bottom w:val="nil"/>
              <w:right w:val="single" w:sz="8" w:space="0" w:color="auto"/>
            </w:tcBorders>
            <w:shd w:val="clear" w:color="auto" w:fill="auto"/>
            <w:hideMark/>
          </w:tcPr>
          <w:p w14:paraId="281766E0" w14:textId="2C0BCA0F" w:rsidR="00CE4F2C" w:rsidRPr="00CE4F2C" w:rsidRDefault="00CE4F2C" w:rsidP="00CE4F2C">
            <w:pPr>
              <w:overflowPunct/>
              <w:autoSpaceDE/>
              <w:autoSpaceDN/>
              <w:adjustRightInd/>
              <w:spacing w:before="0"/>
              <w:jc w:val="right"/>
              <w:textAlignment w:val="auto"/>
              <w:rPr>
                <w:rFonts w:cs="Calibri"/>
                <w:b/>
                <w:bCs/>
                <w:sz w:val="22"/>
                <w:szCs w:val="22"/>
                <w:lang w:eastAsia="en-GB"/>
              </w:rPr>
            </w:pPr>
            <w:r w:rsidRPr="00CE4F2C">
              <w:rPr>
                <w:rFonts w:eastAsia="Calibri" w:cs="Calibri"/>
                <w:b/>
                <w:sz w:val="22"/>
                <w:szCs w:val="22"/>
              </w:rPr>
              <w:t>-263</w:t>
            </w:r>
            <w:r>
              <w:rPr>
                <w:rFonts w:eastAsia="Calibri" w:cs="Calibri"/>
                <w:b/>
                <w:sz w:val="22"/>
                <w:szCs w:val="22"/>
              </w:rPr>
              <w:t> </w:t>
            </w:r>
            <w:r w:rsidRPr="00CE4F2C">
              <w:rPr>
                <w:rFonts w:eastAsia="Calibri" w:cs="Calibri"/>
                <w:b/>
                <w:sz w:val="22"/>
                <w:szCs w:val="22"/>
              </w:rPr>
              <w:t>101</w:t>
            </w:r>
          </w:p>
        </w:tc>
        <w:tc>
          <w:tcPr>
            <w:tcW w:w="1559" w:type="dxa"/>
            <w:tcBorders>
              <w:top w:val="nil"/>
              <w:left w:val="nil"/>
              <w:bottom w:val="nil"/>
              <w:right w:val="single" w:sz="8" w:space="0" w:color="auto"/>
            </w:tcBorders>
            <w:shd w:val="clear" w:color="auto" w:fill="auto"/>
            <w:hideMark/>
          </w:tcPr>
          <w:p w14:paraId="24D278EB" w14:textId="7321931A"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sz w:val="22"/>
                <w:szCs w:val="22"/>
              </w:rPr>
              <w:t>-</w:t>
            </w:r>
          </w:p>
        </w:tc>
        <w:tc>
          <w:tcPr>
            <w:tcW w:w="1276" w:type="dxa"/>
            <w:tcBorders>
              <w:top w:val="nil"/>
              <w:left w:val="nil"/>
              <w:bottom w:val="nil"/>
              <w:right w:val="single" w:sz="8" w:space="0" w:color="auto"/>
            </w:tcBorders>
            <w:shd w:val="clear" w:color="auto" w:fill="auto"/>
            <w:hideMark/>
          </w:tcPr>
          <w:p w14:paraId="3975852C" w14:textId="2C1AFE27"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100</w:t>
            </w:r>
            <w:r>
              <w:rPr>
                <w:rFonts w:eastAsia="Calibri" w:cs="Calibri"/>
                <w:b/>
                <w:sz w:val="22"/>
                <w:szCs w:val="22"/>
              </w:rPr>
              <w:t> </w:t>
            </w:r>
            <w:r w:rsidRPr="00CE4F2C">
              <w:rPr>
                <w:rFonts w:eastAsia="Calibri" w:cs="Calibri"/>
                <w:b/>
                <w:sz w:val="22"/>
                <w:szCs w:val="22"/>
              </w:rPr>
              <w:t>966</w:t>
            </w:r>
          </w:p>
        </w:tc>
        <w:tc>
          <w:tcPr>
            <w:tcW w:w="1845" w:type="dxa"/>
            <w:tcBorders>
              <w:top w:val="nil"/>
              <w:left w:val="nil"/>
              <w:bottom w:val="nil"/>
              <w:right w:val="single" w:sz="8" w:space="0" w:color="auto"/>
            </w:tcBorders>
            <w:shd w:val="clear" w:color="auto" w:fill="auto"/>
            <w:hideMark/>
          </w:tcPr>
          <w:p w14:paraId="6C82AC7E" w14:textId="44EA79B4"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-162</w:t>
            </w:r>
            <w:r>
              <w:rPr>
                <w:rFonts w:eastAsia="Calibri" w:cs="Calibri"/>
                <w:b/>
                <w:sz w:val="22"/>
                <w:szCs w:val="22"/>
              </w:rPr>
              <w:t> </w:t>
            </w:r>
            <w:r w:rsidRPr="00CE4F2C">
              <w:rPr>
                <w:rFonts w:eastAsia="Calibri" w:cs="Calibri"/>
                <w:b/>
                <w:sz w:val="22"/>
                <w:szCs w:val="22"/>
              </w:rPr>
              <w:t>135</w:t>
            </w:r>
          </w:p>
        </w:tc>
      </w:tr>
      <w:tr w:rsidR="00CE4F2C" w:rsidRPr="000C156A" w14:paraId="75AAD1FF" w14:textId="77777777" w:rsidTr="003A64C9">
        <w:trPr>
          <w:trHeight w:val="270"/>
        </w:trPr>
        <w:tc>
          <w:tcPr>
            <w:tcW w:w="2977" w:type="dxa"/>
            <w:tcBorders>
              <w:top w:val="nil"/>
              <w:left w:val="single" w:sz="8" w:space="0" w:color="auto"/>
              <w:bottom w:val="nil"/>
              <w:right w:val="single" w:sz="8" w:space="0" w:color="auto"/>
            </w:tcBorders>
            <w:shd w:val="clear" w:color="auto" w:fill="auto"/>
            <w:hideMark/>
          </w:tcPr>
          <w:p w14:paraId="2ECB0820" w14:textId="77777777" w:rsidR="00CE4F2C" w:rsidRPr="000C156A" w:rsidRDefault="00CE4F2C" w:rsidP="00CE4F2C">
            <w:pPr>
              <w:pStyle w:val="Tabletext"/>
              <w:rPr>
                <w:rFonts w:cs="Calibri"/>
                <w:bCs/>
                <w:szCs w:val="22"/>
                <w:lang w:val="en-US" w:eastAsia="zh-CN"/>
              </w:rPr>
            </w:pPr>
            <w:r w:rsidRPr="000C156A">
              <w:rPr>
                <w:rFonts w:cs="Calibri"/>
                <w:b/>
                <w:bCs/>
                <w:szCs w:val="22"/>
                <w:lang w:val="en-US" w:eastAsia="zh-CN"/>
              </w:rPr>
              <w:t>IPSAS</w:t>
            </w:r>
            <w:r w:rsidRPr="000C156A">
              <w:rPr>
                <w:rFonts w:cs="Calibri" w:hint="eastAsia"/>
                <w:b/>
                <w:szCs w:val="22"/>
                <w:lang w:val="en-US" w:eastAsia="zh-CN"/>
              </w:rPr>
              <w:t>累计赤字（统计）</w:t>
            </w:r>
          </w:p>
        </w:tc>
        <w:tc>
          <w:tcPr>
            <w:tcW w:w="1843" w:type="dxa"/>
            <w:tcBorders>
              <w:top w:val="nil"/>
              <w:left w:val="nil"/>
              <w:bottom w:val="nil"/>
              <w:right w:val="single" w:sz="8" w:space="0" w:color="auto"/>
            </w:tcBorders>
            <w:shd w:val="clear" w:color="auto" w:fill="auto"/>
            <w:hideMark/>
          </w:tcPr>
          <w:p w14:paraId="3E03855F" w14:textId="621C1C48"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-209</w:t>
            </w:r>
            <w:r>
              <w:rPr>
                <w:rFonts w:eastAsia="Calibri" w:cs="Calibri"/>
                <w:b/>
                <w:sz w:val="22"/>
                <w:szCs w:val="22"/>
              </w:rPr>
              <w:t> </w:t>
            </w:r>
            <w:r w:rsidRPr="00CE4F2C">
              <w:rPr>
                <w:rFonts w:eastAsia="Calibri" w:cs="Calibri"/>
                <w:b/>
                <w:sz w:val="22"/>
                <w:szCs w:val="22"/>
              </w:rPr>
              <w:t>780</w:t>
            </w:r>
          </w:p>
        </w:tc>
        <w:tc>
          <w:tcPr>
            <w:tcW w:w="1559" w:type="dxa"/>
            <w:tcBorders>
              <w:top w:val="nil"/>
              <w:left w:val="nil"/>
              <w:bottom w:val="nil"/>
              <w:right w:val="single" w:sz="8" w:space="0" w:color="auto"/>
            </w:tcBorders>
            <w:shd w:val="clear" w:color="auto" w:fill="auto"/>
            <w:hideMark/>
          </w:tcPr>
          <w:p w14:paraId="28206DDF" w14:textId="25B88D45" w:rsidR="00CE4F2C" w:rsidRPr="00CE4F2C" w:rsidRDefault="00CE4F2C" w:rsidP="00CE4F2C">
            <w:pPr>
              <w:overflowPunct/>
              <w:autoSpaceDE/>
              <w:autoSpaceDN/>
              <w:adjustRightInd/>
              <w:spacing w:before="0"/>
              <w:jc w:val="right"/>
              <w:textAlignment w:val="auto"/>
              <w:rPr>
                <w:rFonts w:cs="Calibri"/>
                <w:color w:val="000000"/>
                <w:sz w:val="22"/>
                <w:szCs w:val="22"/>
                <w:lang w:eastAsia="en-GB"/>
              </w:rPr>
            </w:pPr>
            <w:r w:rsidRPr="00CE4F2C">
              <w:rPr>
                <w:rFonts w:eastAsia="Calibri" w:cs="Calibri"/>
                <w:sz w:val="22"/>
                <w:szCs w:val="22"/>
              </w:rPr>
              <w:t>-14</w:t>
            </w:r>
            <w:r>
              <w:rPr>
                <w:rFonts w:eastAsia="Calibri" w:cs="Calibri"/>
                <w:sz w:val="22"/>
                <w:szCs w:val="22"/>
              </w:rPr>
              <w:t> </w:t>
            </w:r>
            <w:r w:rsidRPr="00CE4F2C">
              <w:rPr>
                <w:rFonts w:eastAsia="Calibri" w:cs="Calibri"/>
                <w:sz w:val="22"/>
                <w:szCs w:val="22"/>
              </w:rPr>
              <w:t>561</w:t>
            </w:r>
          </w:p>
        </w:tc>
        <w:tc>
          <w:tcPr>
            <w:tcW w:w="1276" w:type="dxa"/>
            <w:tcBorders>
              <w:top w:val="nil"/>
              <w:left w:val="nil"/>
              <w:bottom w:val="nil"/>
              <w:right w:val="single" w:sz="8" w:space="0" w:color="auto"/>
            </w:tcBorders>
            <w:shd w:val="clear" w:color="auto" w:fill="auto"/>
            <w:hideMark/>
          </w:tcPr>
          <w:p w14:paraId="7F23CE1D" w14:textId="37FB6DEB"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w:t>
            </w:r>
          </w:p>
        </w:tc>
        <w:tc>
          <w:tcPr>
            <w:tcW w:w="1845" w:type="dxa"/>
            <w:tcBorders>
              <w:top w:val="nil"/>
              <w:left w:val="nil"/>
              <w:bottom w:val="nil"/>
              <w:right w:val="single" w:sz="8" w:space="0" w:color="auto"/>
            </w:tcBorders>
            <w:shd w:val="clear" w:color="auto" w:fill="auto"/>
            <w:hideMark/>
          </w:tcPr>
          <w:p w14:paraId="1BA72107" w14:textId="734BCB81"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-224</w:t>
            </w:r>
            <w:r>
              <w:rPr>
                <w:rFonts w:eastAsia="Calibri" w:cs="Calibri"/>
                <w:b/>
                <w:sz w:val="22"/>
                <w:szCs w:val="22"/>
              </w:rPr>
              <w:t> </w:t>
            </w:r>
            <w:r w:rsidRPr="00CE4F2C">
              <w:rPr>
                <w:rFonts w:eastAsia="Calibri" w:cs="Calibri"/>
                <w:b/>
                <w:sz w:val="22"/>
                <w:szCs w:val="22"/>
              </w:rPr>
              <w:t>341</w:t>
            </w:r>
          </w:p>
        </w:tc>
      </w:tr>
      <w:tr w:rsidR="00CE4F2C" w:rsidRPr="000C156A" w14:paraId="4212E004" w14:textId="77777777" w:rsidTr="003A64C9">
        <w:trPr>
          <w:trHeight w:val="270"/>
        </w:trPr>
        <w:tc>
          <w:tcPr>
            <w:tcW w:w="2977" w:type="dxa"/>
            <w:tcBorders>
              <w:top w:val="single" w:sz="8" w:space="0" w:color="auto"/>
              <w:left w:val="single" w:sz="8" w:space="0" w:color="auto"/>
              <w:bottom w:val="single" w:sz="8" w:space="0" w:color="auto"/>
              <w:right w:val="single" w:sz="8" w:space="0" w:color="auto"/>
            </w:tcBorders>
            <w:shd w:val="clear" w:color="auto" w:fill="auto"/>
            <w:hideMark/>
          </w:tcPr>
          <w:p w14:paraId="35471647" w14:textId="77777777" w:rsidR="00CE4F2C" w:rsidRPr="000C156A" w:rsidRDefault="00CE4F2C" w:rsidP="00CE4F2C">
            <w:pPr>
              <w:pStyle w:val="Tabletext"/>
              <w:jc w:val="right"/>
              <w:rPr>
                <w:rFonts w:cs="Calibri"/>
                <w:b/>
                <w:bCs/>
                <w:szCs w:val="22"/>
                <w:lang w:val="en-US" w:eastAsia="zh-CN"/>
              </w:rPr>
            </w:pPr>
            <w:r w:rsidRPr="000C156A">
              <w:rPr>
                <w:rFonts w:cs="Calibri" w:hint="eastAsia"/>
                <w:b/>
                <w:bCs/>
                <w:szCs w:val="22"/>
                <w:lang w:val="en-US" w:eastAsia="zh-CN"/>
              </w:rPr>
              <w:t>净资产总计</w:t>
            </w:r>
          </w:p>
        </w:tc>
        <w:tc>
          <w:tcPr>
            <w:tcW w:w="1843" w:type="dxa"/>
            <w:tcBorders>
              <w:top w:val="single" w:sz="8" w:space="0" w:color="auto"/>
              <w:left w:val="nil"/>
              <w:bottom w:val="single" w:sz="8" w:space="0" w:color="auto"/>
              <w:right w:val="single" w:sz="8" w:space="0" w:color="auto"/>
            </w:tcBorders>
            <w:shd w:val="clear" w:color="auto" w:fill="auto"/>
            <w:hideMark/>
          </w:tcPr>
          <w:p w14:paraId="032E7857" w14:textId="314C7341"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-500</w:t>
            </w:r>
            <w:r>
              <w:rPr>
                <w:rFonts w:eastAsia="Calibri" w:cs="Calibri"/>
                <w:b/>
                <w:sz w:val="22"/>
                <w:szCs w:val="22"/>
              </w:rPr>
              <w:t> </w:t>
            </w:r>
            <w:r w:rsidRPr="00CE4F2C">
              <w:rPr>
                <w:rFonts w:eastAsia="Calibri" w:cs="Calibri"/>
                <w:b/>
                <w:sz w:val="22"/>
                <w:szCs w:val="22"/>
              </w:rPr>
              <w:t>570</w:t>
            </w:r>
          </w:p>
        </w:tc>
        <w:tc>
          <w:tcPr>
            <w:tcW w:w="1559" w:type="dxa"/>
            <w:tcBorders>
              <w:top w:val="single" w:sz="8" w:space="0" w:color="auto"/>
              <w:left w:val="nil"/>
              <w:bottom w:val="single" w:sz="8" w:space="0" w:color="auto"/>
              <w:right w:val="single" w:sz="8" w:space="0" w:color="auto"/>
            </w:tcBorders>
            <w:shd w:val="clear" w:color="auto" w:fill="auto"/>
            <w:hideMark/>
          </w:tcPr>
          <w:p w14:paraId="28CB4D37" w14:textId="3D2956A7"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-14</w:t>
            </w:r>
            <w:r>
              <w:rPr>
                <w:rFonts w:eastAsia="Calibri" w:cs="Calibri"/>
                <w:b/>
                <w:sz w:val="22"/>
                <w:szCs w:val="22"/>
              </w:rPr>
              <w:t> </w:t>
            </w:r>
            <w:r w:rsidRPr="00CE4F2C">
              <w:rPr>
                <w:rFonts w:eastAsia="Calibri" w:cs="Calibri"/>
                <w:b/>
                <w:sz w:val="22"/>
                <w:szCs w:val="22"/>
              </w:rPr>
              <w:t>858</w:t>
            </w:r>
          </w:p>
        </w:tc>
        <w:tc>
          <w:tcPr>
            <w:tcW w:w="1276" w:type="dxa"/>
            <w:tcBorders>
              <w:top w:val="single" w:sz="8" w:space="0" w:color="auto"/>
              <w:left w:val="nil"/>
              <w:bottom w:val="single" w:sz="8" w:space="0" w:color="auto"/>
              <w:right w:val="single" w:sz="8" w:space="0" w:color="auto"/>
            </w:tcBorders>
            <w:shd w:val="clear" w:color="auto" w:fill="auto"/>
            <w:hideMark/>
          </w:tcPr>
          <w:p w14:paraId="1A5E05E3" w14:textId="4AC1D6A6"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101</w:t>
            </w:r>
            <w:r>
              <w:rPr>
                <w:rFonts w:eastAsia="Calibri" w:cs="Calibri"/>
                <w:b/>
                <w:sz w:val="22"/>
                <w:szCs w:val="22"/>
              </w:rPr>
              <w:t> </w:t>
            </w:r>
            <w:r w:rsidRPr="00CE4F2C">
              <w:rPr>
                <w:rFonts w:eastAsia="Calibri" w:cs="Calibri"/>
                <w:b/>
                <w:sz w:val="22"/>
                <w:szCs w:val="22"/>
              </w:rPr>
              <w:t>717</w:t>
            </w:r>
          </w:p>
        </w:tc>
        <w:tc>
          <w:tcPr>
            <w:tcW w:w="1845" w:type="dxa"/>
            <w:tcBorders>
              <w:top w:val="single" w:sz="8" w:space="0" w:color="auto"/>
              <w:left w:val="nil"/>
              <w:bottom w:val="single" w:sz="8" w:space="0" w:color="auto"/>
              <w:right w:val="single" w:sz="8" w:space="0" w:color="auto"/>
            </w:tcBorders>
            <w:shd w:val="clear" w:color="auto" w:fill="auto"/>
            <w:hideMark/>
          </w:tcPr>
          <w:p w14:paraId="241483D9" w14:textId="092D2E22" w:rsidR="00CE4F2C" w:rsidRPr="00CE4F2C" w:rsidRDefault="00CE4F2C" w:rsidP="00CE4F2C">
            <w:pPr>
              <w:overflowPunct/>
              <w:autoSpaceDE/>
              <w:autoSpaceDN/>
              <w:adjustRightInd/>
              <w:spacing w:before="0"/>
              <w:jc w:val="right"/>
              <w:textAlignment w:val="auto"/>
              <w:rPr>
                <w:rFonts w:cs="Calibri"/>
                <w:b/>
                <w:bCs/>
                <w:color w:val="000000"/>
                <w:sz w:val="22"/>
                <w:szCs w:val="22"/>
                <w:lang w:eastAsia="en-GB"/>
              </w:rPr>
            </w:pPr>
            <w:r w:rsidRPr="00CE4F2C">
              <w:rPr>
                <w:rFonts w:eastAsia="Calibri" w:cs="Calibri"/>
                <w:b/>
                <w:sz w:val="22"/>
                <w:szCs w:val="22"/>
              </w:rPr>
              <w:t>-413</w:t>
            </w:r>
            <w:r>
              <w:rPr>
                <w:rFonts w:eastAsia="Calibri" w:cs="Calibri"/>
                <w:b/>
                <w:sz w:val="22"/>
                <w:szCs w:val="22"/>
              </w:rPr>
              <w:t> </w:t>
            </w:r>
            <w:r w:rsidRPr="00CE4F2C">
              <w:rPr>
                <w:rFonts w:eastAsia="Calibri" w:cs="Calibri"/>
                <w:b/>
                <w:sz w:val="22"/>
                <w:szCs w:val="22"/>
              </w:rPr>
              <w:t>711</w:t>
            </w:r>
          </w:p>
        </w:tc>
      </w:tr>
    </w:tbl>
    <w:p w14:paraId="6928DE87" w14:textId="77777777" w:rsidR="0085433F" w:rsidRPr="000C156A" w:rsidRDefault="0085433F" w:rsidP="0085433F">
      <w:pPr>
        <w:rPr>
          <w:lang w:eastAsia="zh-CN"/>
        </w:rPr>
      </w:pPr>
    </w:p>
    <w:p w14:paraId="5FEDE284" w14:textId="77777777" w:rsidR="0085433F" w:rsidRPr="000C156A" w:rsidRDefault="0085433F" w:rsidP="0085433F">
      <w:pPr>
        <w:rPr>
          <w:lang w:eastAsia="zh-CN"/>
        </w:rPr>
      </w:pPr>
      <w:r w:rsidRPr="000C156A">
        <w:br w:type="page"/>
      </w:r>
    </w:p>
    <w:p w14:paraId="4417DD5C" w14:textId="3C0AB320" w:rsidR="0085433F" w:rsidRPr="0076544D" w:rsidRDefault="0085433F" w:rsidP="0085433F">
      <w:pPr>
        <w:pStyle w:val="Heading1"/>
        <w:spacing w:after="240"/>
        <w:jc w:val="center"/>
        <w:rPr>
          <w:rFonts w:cs="Microsoft YaHei"/>
          <w:lang w:eastAsia="zh-CN"/>
        </w:rPr>
      </w:pPr>
      <w:bookmarkStart w:id="323" w:name="_Toc329165774"/>
      <w:bookmarkStart w:id="324" w:name="_Toc482894783"/>
      <w:bookmarkStart w:id="325" w:name="_Toc482892539"/>
      <w:bookmarkStart w:id="326" w:name="_Toc511116010"/>
      <w:bookmarkStart w:id="327" w:name="_Toc41905840"/>
      <w:bookmarkStart w:id="328" w:name="_Toc41906888"/>
      <w:bookmarkStart w:id="329" w:name="_Toc41907969"/>
      <w:bookmarkStart w:id="330" w:name="_Toc41908037"/>
      <w:bookmarkStart w:id="331" w:name="_Toc73519214"/>
      <w:bookmarkStart w:id="332" w:name="_Toc110263984"/>
      <w:bookmarkStart w:id="333" w:name="_Toc110264063"/>
      <w:bookmarkStart w:id="334" w:name="_Toc110265683"/>
      <w:bookmarkStart w:id="335" w:name="_Toc110330072"/>
      <w:bookmarkStart w:id="336" w:name="_Toc110330237"/>
      <w:r w:rsidRPr="000C156A">
        <w:rPr>
          <w:rFonts w:cs="Microsoft YaHei" w:hint="eastAsia"/>
          <w:lang w:val="fr-FR" w:eastAsia="zh-CN"/>
        </w:rPr>
        <w:lastRenderedPageBreak/>
        <w:t>四</w:t>
      </w:r>
      <w:r w:rsidRPr="000C156A">
        <w:rPr>
          <w:lang w:eastAsia="zh-CN"/>
        </w:rPr>
        <w:t xml:space="preserve"> – 202</w:t>
      </w:r>
      <w:r w:rsidR="00493002">
        <w:rPr>
          <w:lang w:eastAsia="zh-CN"/>
        </w:rPr>
        <w:t>1</w:t>
      </w:r>
      <w:r w:rsidRPr="000C156A">
        <w:rPr>
          <w:rFonts w:cs="Microsoft YaHei" w:hint="eastAsia"/>
          <w:lang w:val="fr-FR" w:eastAsia="zh-CN"/>
        </w:rPr>
        <w:t>年</w:t>
      </w:r>
      <w:r w:rsidRPr="000C156A">
        <w:rPr>
          <w:lang w:eastAsia="zh-CN"/>
        </w:rPr>
        <w:t>12</w:t>
      </w:r>
      <w:r w:rsidRPr="000C156A">
        <w:rPr>
          <w:rFonts w:cs="Microsoft YaHei" w:hint="eastAsia"/>
          <w:lang w:val="fr-FR" w:eastAsia="zh-CN"/>
        </w:rPr>
        <w:t>月</w:t>
      </w:r>
      <w:r w:rsidRPr="000C156A">
        <w:rPr>
          <w:lang w:eastAsia="zh-CN"/>
        </w:rPr>
        <w:t>31</w:t>
      </w:r>
      <w:r w:rsidRPr="000C156A">
        <w:rPr>
          <w:rFonts w:cs="Microsoft YaHei" w:hint="eastAsia"/>
          <w:lang w:val="fr-FR" w:eastAsia="zh-CN"/>
        </w:rPr>
        <w:t>日结束的周期的现金流</w:t>
      </w:r>
      <w:bookmarkEnd w:id="323"/>
      <w:r w:rsidRPr="000C156A">
        <w:rPr>
          <w:rFonts w:cs="Microsoft YaHei" w:hint="eastAsia"/>
          <w:lang w:val="fr-FR" w:eastAsia="zh-CN"/>
        </w:rPr>
        <w:t>表</w:t>
      </w:r>
      <w:bookmarkEnd w:id="324"/>
      <w:bookmarkEnd w:id="325"/>
      <w:bookmarkEnd w:id="326"/>
      <w:bookmarkEnd w:id="327"/>
      <w:bookmarkEnd w:id="328"/>
      <w:bookmarkEnd w:id="329"/>
      <w:bookmarkEnd w:id="330"/>
      <w:bookmarkEnd w:id="331"/>
      <w:bookmarkEnd w:id="332"/>
      <w:bookmarkEnd w:id="333"/>
      <w:bookmarkEnd w:id="334"/>
      <w:bookmarkEnd w:id="335"/>
      <w:bookmarkEnd w:id="336"/>
    </w:p>
    <w:tbl>
      <w:tblPr>
        <w:tblW w:w="5000" w:type="pct"/>
        <w:tblLook w:val="04A0" w:firstRow="1" w:lastRow="0" w:firstColumn="1" w:lastColumn="0" w:noHBand="0" w:noVBand="1"/>
      </w:tblPr>
      <w:tblGrid>
        <w:gridCol w:w="5773"/>
        <w:gridCol w:w="1928"/>
        <w:gridCol w:w="1928"/>
      </w:tblGrid>
      <w:tr w:rsidR="0085433F" w:rsidRPr="003847AF" w14:paraId="449C31BD" w14:textId="77777777" w:rsidTr="003A64C9">
        <w:trPr>
          <w:tblHeader/>
        </w:trPr>
        <w:tc>
          <w:tcPr>
            <w:tcW w:w="2998" w:type="pct"/>
            <w:tcBorders>
              <w:top w:val="single" w:sz="4" w:space="0" w:color="auto"/>
              <w:left w:val="single" w:sz="4" w:space="0" w:color="auto"/>
              <w:bottom w:val="single" w:sz="4" w:space="0" w:color="auto"/>
              <w:right w:val="nil"/>
            </w:tcBorders>
            <w:shd w:val="clear" w:color="auto" w:fill="auto"/>
            <w:noWrap/>
            <w:vAlign w:val="center"/>
            <w:hideMark/>
          </w:tcPr>
          <w:bookmarkEnd w:id="282"/>
          <w:p w14:paraId="6293F27A" w14:textId="77777777" w:rsidR="0085433F" w:rsidRPr="003847AF" w:rsidRDefault="0085433F" w:rsidP="003A64C9">
            <w:pPr>
              <w:pStyle w:val="Tabletext"/>
              <w:rPr>
                <w:rFonts w:cs="Calibri"/>
                <w:sz w:val="18"/>
                <w:szCs w:val="18"/>
                <w:lang w:val="en-US"/>
              </w:rPr>
            </w:pPr>
            <w:r w:rsidRPr="003847AF">
              <w:rPr>
                <w:rFonts w:cs="Calibri" w:hint="eastAsia"/>
                <w:sz w:val="18"/>
                <w:szCs w:val="18"/>
                <w:lang w:val="en-US"/>
              </w:rPr>
              <w:t>（单位：千瑞郎）</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A2D47" w14:textId="2737BD04" w:rsidR="0085433F" w:rsidRPr="003847AF" w:rsidRDefault="0085433F" w:rsidP="003A64C9">
            <w:pPr>
              <w:pStyle w:val="Tabletext"/>
              <w:jc w:val="right"/>
              <w:rPr>
                <w:rFonts w:cs="Calibri"/>
                <w:b/>
                <w:bCs/>
                <w:sz w:val="18"/>
                <w:szCs w:val="18"/>
                <w:lang w:val="en-US" w:eastAsia="zh-CN"/>
              </w:rPr>
            </w:pPr>
            <w:r w:rsidRPr="003847AF">
              <w:rPr>
                <w:rFonts w:cs="Calibri" w:hint="eastAsia"/>
                <w:b/>
                <w:bCs/>
                <w:sz w:val="18"/>
                <w:szCs w:val="18"/>
                <w:lang w:val="en-US" w:eastAsia="zh-CN"/>
              </w:rPr>
              <w:t>202</w:t>
            </w:r>
            <w:r w:rsidR="003847AF" w:rsidRPr="003847AF">
              <w:rPr>
                <w:rFonts w:cs="Calibri"/>
                <w:b/>
                <w:bCs/>
                <w:sz w:val="18"/>
                <w:szCs w:val="18"/>
                <w:lang w:val="en-US" w:eastAsia="zh-CN"/>
              </w:rPr>
              <w:t>1</w:t>
            </w:r>
            <w:r w:rsidRPr="003847AF">
              <w:rPr>
                <w:rFonts w:cs="Calibri" w:hint="eastAsia"/>
                <w:b/>
                <w:bCs/>
                <w:sz w:val="18"/>
                <w:szCs w:val="18"/>
                <w:lang w:val="en-US" w:eastAsia="zh-CN"/>
              </w:rPr>
              <w:t>年</w:t>
            </w:r>
            <w:r w:rsidRPr="003847AF">
              <w:rPr>
                <w:rFonts w:cs="Calibri" w:hint="eastAsia"/>
                <w:b/>
                <w:bCs/>
                <w:sz w:val="18"/>
                <w:szCs w:val="18"/>
                <w:lang w:val="en-US" w:eastAsia="zh-CN"/>
              </w:rPr>
              <w:t>12</w:t>
            </w:r>
            <w:r w:rsidRPr="003847AF">
              <w:rPr>
                <w:rFonts w:cs="Calibri" w:hint="eastAsia"/>
                <w:b/>
                <w:bCs/>
                <w:sz w:val="18"/>
                <w:szCs w:val="18"/>
                <w:lang w:val="en-US" w:eastAsia="zh-CN"/>
              </w:rPr>
              <w:t>月</w:t>
            </w:r>
            <w:r w:rsidRPr="003847AF">
              <w:rPr>
                <w:rFonts w:cs="Calibri" w:hint="eastAsia"/>
                <w:b/>
                <w:bCs/>
                <w:sz w:val="18"/>
                <w:szCs w:val="18"/>
                <w:lang w:val="en-US" w:eastAsia="zh-CN"/>
              </w:rPr>
              <w:t>31</w:t>
            </w:r>
            <w:r w:rsidRPr="003847AF">
              <w:rPr>
                <w:rFonts w:cs="Calibri" w:hint="eastAsia"/>
                <w:b/>
                <w:bCs/>
                <w:sz w:val="18"/>
                <w:szCs w:val="18"/>
                <w:lang w:val="en-US" w:eastAsia="zh-CN"/>
              </w:rPr>
              <w:t>日</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14:paraId="4737D967" w14:textId="207E44A0" w:rsidR="0085433F" w:rsidRPr="003847AF" w:rsidRDefault="0085433F" w:rsidP="003A64C9">
            <w:pPr>
              <w:pStyle w:val="Tabletext"/>
              <w:jc w:val="right"/>
              <w:rPr>
                <w:rFonts w:cs="Calibri"/>
                <w:b/>
                <w:bCs/>
                <w:sz w:val="18"/>
                <w:szCs w:val="18"/>
                <w:lang w:val="en-US" w:eastAsia="zh-CN"/>
              </w:rPr>
            </w:pPr>
            <w:r w:rsidRPr="003847AF">
              <w:rPr>
                <w:rFonts w:cs="Calibri" w:hint="eastAsia"/>
                <w:b/>
                <w:bCs/>
                <w:sz w:val="18"/>
                <w:szCs w:val="18"/>
                <w:lang w:val="en-US" w:eastAsia="zh-CN"/>
              </w:rPr>
              <w:t>20</w:t>
            </w:r>
            <w:r w:rsidR="003847AF" w:rsidRPr="003847AF">
              <w:rPr>
                <w:rFonts w:cs="Calibri"/>
                <w:b/>
                <w:bCs/>
                <w:sz w:val="18"/>
                <w:szCs w:val="18"/>
                <w:lang w:val="en-US" w:eastAsia="zh-CN"/>
              </w:rPr>
              <w:t>20</w:t>
            </w:r>
            <w:r w:rsidRPr="003847AF">
              <w:rPr>
                <w:rFonts w:cs="Calibri" w:hint="eastAsia"/>
                <w:b/>
                <w:bCs/>
                <w:sz w:val="18"/>
                <w:szCs w:val="18"/>
                <w:lang w:val="en-US" w:eastAsia="zh-CN"/>
              </w:rPr>
              <w:t>年</w:t>
            </w:r>
            <w:r w:rsidRPr="003847AF">
              <w:rPr>
                <w:rFonts w:cs="Calibri" w:hint="eastAsia"/>
                <w:b/>
                <w:bCs/>
                <w:sz w:val="18"/>
                <w:szCs w:val="18"/>
                <w:lang w:val="en-US" w:eastAsia="zh-CN"/>
              </w:rPr>
              <w:t>12</w:t>
            </w:r>
            <w:r w:rsidRPr="003847AF">
              <w:rPr>
                <w:rFonts w:cs="Calibri" w:hint="eastAsia"/>
                <w:b/>
                <w:bCs/>
                <w:sz w:val="18"/>
                <w:szCs w:val="18"/>
                <w:lang w:val="en-US" w:eastAsia="zh-CN"/>
              </w:rPr>
              <w:t>月</w:t>
            </w:r>
            <w:r w:rsidRPr="003847AF">
              <w:rPr>
                <w:rFonts w:cs="Calibri" w:hint="eastAsia"/>
                <w:b/>
                <w:bCs/>
                <w:sz w:val="18"/>
                <w:szCs w:val="18"/>
                <w:lang w:val="en-US" w:eastAsia="zh-CN"/>
              </w:rPr>
              <w:t>31</w:t>
            </w:r>
            <w:r w:rsidRPr="003847AF">
              <w:rPr>
                <w:rFonts w:cs="Calibri" w:hint="eastAsia"/>
                <w:b/>
                <w:bCs/>
                <w:sz w:val="18"/>
                <w:szCs w:val="18"/>
                <w:lang w:val="en-US" w:eastAsia="zh-CN"/>
              </w:rPr>
              <w:t>日</w:t>
            </w:r>
          </w:p>
        </w:tc>
      </w:tr>
      <w:tr w:rsidR="0085433F" w:rsidRPr="003847AF" w14:paraId="48904C85" w14:textId="77777777" w:rsidTr="003A64C9">
        <w:tc>
          <w:tcPr>
            <w:tcW w:w="2998" w:type="pct"/>
            <w:tcBorders>
              <w:top w:val="nil"/>
              <w:left w:val="single" w:sz="4" w:space="0" w:color="auto"/>
              <w:bottom w:val="nil"/>
              <w:right w:val="nil"/>
            </w:tcBorders>
            <w:shd w:val="clear" w:color="auto" w:fill="auto"/>
            <w:hideMark/>
          </w:tcPr>
          <w:p w14:paraId="372CFA06" w14:textId="77777777" w:rsidR="0085433F" w:rsidRPr="003847AF" w:rsidRDefault="0085433F" w:rsidP="003A64C9">
            <w:pPr>
              <w:overflowPunct/>
              <w:adjustRightInd/>
              <w:spacing w:before="0"/>
              <w:textAlignment w:val="auto"/>
              <w:rPr>
                <w:rFonts w:cs="Calibri"/>
                <w:b/>
                <w:bCs/>
                <w:color w:val="000000"/>
                <w:sz w:val="18"/>
                <w:szCs w:val="18"/>
                <w:lang w:val="en-US" w:eastAsia="zh-CN"/>
              </w:rPr>
            </w:pPr>
          </w:p>
        </w:tc>
        <w:tc>
          <w:tcPr>
            <w:tcW w:w="1001" w:type="pct"/>
            <w:tcBorders>
              <w:top w:val="nil"/>
              <w:left w:val="single" w:sz="4" w:space="0" w:color="auto"/>
              <w:bottom w:val="nil"/>
              <w:right w:val="single" w:sz="4" w:space="0" w:color="auto"/>
            </w:tcBorders>
            <w:shd w:val="clear" w:color="auto" w:fill="auto"/>
            <w:noWrap/>
            <w:vAlign w:val="bottom"/>
            <w:hideMark/>
          </w:tcPr>
          <w:p w14:paraId="53809444" w14:textId="77777777" w:rsidR="0085433F" w:rsidRPr="003847AF" w:rsidRDefault="0085433F" w:rsidP="003A64C9">
            <w:pPr>
              <w:overflowPunct/>
              <w:autoSpaceDE/>
              <w:autoSpaceDN/>
              <w:adjustRightInd/>
              <w:spacing w:before="0"/>
              <w:jc w:val="right"/>
              <w:textAlignment w:val="auto"/>
              <w:rPr>
                <w:color w:val="000000"/>
                <w:sz w:val="18"/>
                <w:szCs w:val="18"/>
                <w:lang w:val="en-US" w:eastAsia="zh-CN"/>
              </w:rPr>
            </w:pPr>
          </w:p>
        </w:tc>
        <w:tc>
          <w:tcPr>
            <w:tcW w:w="1001" w:type="pct"/>
            <w:tcBorders>
              <w:top w:val="nil"/>
              <w:left w:val="nil"/>
              <w:bottom w:val="nil"/>
              <w:right w:val="single" w:sz="4" w:space="0" w:color="auto"/>
            </w:tcBorders>
            <w:shd w:val="clear" w:color="auto" w:fill="auto"/>
            <w:noWrap/>
            <w:vAlign w:val="bottom"/>
            <w:hideMark/>
          </w:tcPr>
          <w:p w14:paraId="06C4D79D" w14:textId="77777777" w:rsidR="0085433F" w:rsidRPr="003847AF" w:rsidRDefault="0085433F" w:rsidP="003A64C9">
            <w:pPr>
              <w:spacing w:before="0"/>
              <w:jc w:val="right"/>
              <w:rPr>
                <w:color w:val="000000"/>
                <w:sz w:val="18"/>
                <w:szCs w:val="18"/>
              </w:rPr>
            </w:pPr>
          </w:p>
        </w:tc>
      </w:tr>
      <w:tr w:rsidR="003847AF" w:rsidRPr="003847AF" w14:paraId="0F0CDF5F" w14:textId="77777777" w:rsidTr="003A64C9">
        <w:tc>
          <w:tcPr>
            <w:tcW w:w="2998" w:type="pct"/>
            <w:tcBorders>
              <w:top w:val="nil"/>
              <w:left w:val="single" w:sz="4" w:space="0" w:color="auto"/>
              <w:bottom w:val="nil"/>
              <w:right w:val="nil"/>
            </w:tcBorders>
            <w:shd w:val="clear" w:color="auto" w:fill="auto"/>
            <w:hideMark/>
          </w:tcPr>
          <w:p w14:paraId="62D463C7"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本期盈余（赤字）</w:t>
            </w:r>
          </w:p>
        </w:tc>
        <w:tc>
          <w:tcPr>
            <w:tcW w:w="1001" w:type="pct"/>
            <w:tcBorders>
              <w:top w:val="nil"/>
              <w:left w:val="single" w:sz="4" w:space="0" w:color="auto"/>
              <w:bottom w:val="nil"/>
              <w:right w:val="single" w:sz="4" w:space="0" w:color="auto"/>
            </w:tcBorders>
            <w:shd w:val="clear" w:color="auto" w:fill="auto"/>
            <w:noWrap/>
            <w:vAlign w:val="bottom"/>
            <w:hideMark/>
          </w:tcPr>
          <w:p w14:paraId="0904C4DA" w14:textId="6D9BBA5E" w:rsidR="003847AF" w:rsidRPr="003847AF" w:rsidRDefault="003847AF" w:rsidP="003847AF">
            <w:pPr>
              <w:overflowPunct/>
              <w:autoSpaceDE/>
              <w:autoSpaceDN/>
              <w:adjustRightInd/>
              <w:spacing w:before="0"/>
              <w:jc w:val="right"/>
              <w:textAlignment w:val="auto"/>
              <w:rPr>
                <w:sz w:val="18"/>
                <w:szCs w:val="18"/>
                <w:lang w:val="en-US" w:eastAsia="zh-CN"/>
              </w:rPr>
            </w:pPr>
            <w:r w:rsidRPr="003847AF">
              <w:rPr>
                <w:rFonts w:eastAsia="Calibri" w:cs="Calibri"/>
                <w:sz w:val="18"/>
                <w:szCs w:val="18"/>
              </w:rPr>
              <w:t>-14 858</w:t>
            </w:r>
          </w:p>
        </w:tc>
        <w:tc>
          <w:tcPr>
            <w:tcW w:w="1001" w:type="pct"/>
            <w:tcBorders>
              <w:top w:val="nil"/>
              <w:left w:val="nil"/>
              <w:bottom w:val="nil"/>
              <w:right w:val="single" w:sz="4" w:space="0" w:color="auto"/>
            </w:tcBorders>
            <w:shd w:val="clear" w:color="auto" w:fill="auto"/>
            <w:noWrap/>
            <w:vAlign w:val="bottom"/>
            <w:hideMark/>
          </w:tcPr>
          <w:p w14:paraId="1700A6D4" w14:textId="430681E5" w:rsidR="003847AF" w:rsidRPr="003847AF" w:rsidRDefault="003847AF" w:rsidP="003847AF">
            <w:pPr>
              <w:spacing w:before="0"/>
              <w:jc w:val="right"/>
              <w:rPr>
                <w:sz w:val="18"/>
                <w:szCs w:val="18"/>
              </w:rPr>
            </w:pPr>
            <w:r w:rsidRPr="003847AF">
              <w:rPr>
                <w:rFonts w:eastAsia="Calibri" w:cs="Calibri"/>
                <w:sz w:val="18"/>
                <w:szCs w:val="18"/>
              </w:rPr>
              <w:t>-47 259</w:t>
            </w:r>
          </w:p>
        </w:tc>
      </w:tr>
      <w:tr w:rsidR="003847AF" w:rsidRPr="003847AF" w14:paraId="04F93BF2" w14:textId="77777777" w:rsidTr="003A64C9">
        <w:tc>
          <w:tcPr>
            <w:tcW w:w="2998" w:type="pct"/>
            <w:tcBorders>
              <w:top w:val="nil"/>
              <w:left w:val="single" w:sz="4" w:space="0" w:color="auto"/>
              <w:bottom w:val="nil"/>
              <w:right w:val="nil"/>
            </w:tcBorders>
            <w:shd w:val="clear" w:color="auto" w:fill="auto"/>
            <w:hideMark/>
          </w:tcPr>
          <w:p w14:paraId="7BE1F681" w14:textId="77777777" w:rsidR="003847AF" w:rsidRPr="003847AF" w:rsidRDefault="003847AF" w:rsidP="003847AF">
            <w:pPr>
              <w:pStyle w:val="Tabletext"/>
              <w:spacing w:before="0"/>
              <w:rPr>
                <w:rFonts w:cs="Calibri"/>
                <w:sz w:val="18"/>
                <w:szCs w:val="18"/>
                <w:lang w:val="en-US" w:eastAsia="zh-CN"/>
              </w:rPr>
            </w:pPr>
            <w:r w:rsidRPr="003847AF">
              <w:rPr>
                <w:rFonts w:cs="Calibri" w:hint="eastAsia"/>
                <w:b/>
                <w:bCs/>
                <w:sz w:val="18"/>
                <w:szCs w:val="18"/>
                <w:lang w:val="en-US" w:eastAsia="zh-CN"/>
              </w:rPr>
              <w:t>非货币动态</w:t>
            </w:r>
          </w:p>
        </w:tc>
        <w:tc>
          <w:tcPr>
            <w:tcW w:w="1001" w:type="pct"/>
            <w:tcBorders>
              <w:top w:val="nil"/>
              <w:left w:val="single" w:sz="4" w:space="0" w:color="auto"/>
              <w:bottom w:val="nil"/>
              <w:right w:val="single" w:sz="4" w:space="0" w:color="auto"/>
            </w:tcBorders>
            <w:shd w:val="clear" w:color="auto" w:fill="auto"/>
            <w:noWrap/>
            <w:vAlign w:val="bottom"/>
            <w:hideMark/>
          </w:tcPr>
          <w:p w14:paraId="26BABF81" w14:textId="77777777" w:rsidR="003847AF" w:rsidRPr="003847AF" w:rsidRDefault="003847AF" w:rsidP="003847AF">
            <w:pPr>
              <w:spacing w:before="0"/>
              <w:jc w:val="right"/>
              <w:rPr>
                <w:sz w:val="18"/>
                <w:szCs w:val="18"/>
              </w:rPr>
            </w:pPr>
          </w:p>
        </w:tc>
        <w:tc>
          <w:tcPr>
            <w:tcW w:w="1001" w:type="pct"/>
            <w:tcBorders>
              <w:top w:val="nil"/>
              <w:left w:val="nil"/>
              <w:bottom w:val="nil"/>
              <w:right w:val="single" w:sz="4" w:space="0" w:color="auto"/>
            </w:tcBorders>
            <w:shd w:val="clear" w:color="auto" w:fill="auto"/>
            <w:noWrap/>
            <w:vAlign w:val="bottom"/>
            <w:hideMark/>
          </w:tcPr>
          <w:p w14:paraId="65518F74" w14:textId="77777777" w:rsidR="003847AF" w:rsidRPr="003847AF" w:rsidRDefault="003847AF" w:rsidP="003847AF">
            <w:pPr>
              <w:spacing w:before="0"/>
              <w:jc w:val="right"/>
              <w:rPr>
                <w:sz w:val="18"/>
                <w:szCs w:val="18"/>
              </w:rPr>
            </w:pPr>
          </w:p>
        </w:tc>
      </w:tr>
      <w:tr w:rsidR="003847AF" w:rsidRPr="003847AF" w14:paraId="513C3174" w14:textId="77777777" w:rsidTr="003A64C9">
        <w:tc>
          <w:tcPr>
            <w:tcW w:w="2998" w:type="pct"/>
            <w:tcBorders>
              <w:top w:val="nil"/>
              <w:left w:val="single" w:sz="4" w:space="0" w:color="auto"/>
              <w:bottom w:val="nil"/>
              <w:right w:val="nil"/>
            </w:tcBorders>
            <w:shd w:val="clear" w:color="auto" w:fill="auto"/>
            <w:hideMark/>
          </w:tcPr>
          <w:p w14:paraId="687D6E7B"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折旧</w:t>
            </w:r>
          </w:p>
        </w:tc>
        <w:tc>
          <w:tcPr>
            <w:tcW w:w="1001" w:type="pct"/>
            <w:tcBorders>
              <w:top w:val="nil"/>
              <w:left w:val="single" w:sz="4" w:space="0" w:color="auto"/>
              <w:bottom w:val="nil"/>
              <w:right w:val="single" w:sz="4" w:space="0" w:color="auto"/>
            </w:tcBorders>
            <w:shd w:val="clear" w:color="auto" w:fill="auto"/>
            <w:noWrap/>
            <w:vAlign w:val="bottom"/>
            <w:hideMark/>
          </w:tcPr>
          <w:p w14:paraId="2F044E09" w14:textId="296EFB1F" w:rsidR="003847AF" w:rsidRPr="003847AF" w:rsidRDefault="003847AF" w:rsidP="003847AF">
            <w:pPr>
              <w:spacing w:before="0"/>
              <w:jc w:val="right"/>
              <w:rPr>
                <w:sz w:val="18"/>
                <w:szCs w:val="18"/>
              </w:rPr>
            </w:pPr>
            <w:r w:rsidRPr="003847AF">
              <w:rPr>
                <w:rFonts w:eastAsia="Calibri" w:cs="Calibri"/>
                <w:sz w:val="18"/>
                <w:szCs w:val="18"/>
              </w:rPr>
              <w:t>9 693</w:t>
            </w:r>
          </w:p>
        </w:tc>
        <w:tc>
          <w:tcPr>
            <w:tcW w:w="1001" w:type="pct"/>
            <w:tcBorders>
              <w:top w:val="nil"/>
              <w:left w:val="nil"/>
              <w:bottom w:val="nil"/>
              <w:right w:val="single" w:sz="4" w:space="0" w:color="auto"/>
            </w:tcBorders>
            <w:shd w:val="clear" w:color="auto" w:fill="auto"/>
            <w:noWrap/>
            <w:vAlign w:val="bottom"/>
            <w:hideMark/>
          </w:tcPr>
          <w:p w14:paraId="53327195" w14:textId="42C6CF00" w:rsidR="003847AF" w:rsidRPr="003847AF" w:rsidRDefault="003847AF" w:rsidP="003847AF">
            <w:pPr>
              <w:spacing w:before="0"/>
              <w:jc w:val="right"/>
              <w:rPr>
                <w:sz w:val="18"/>
                <w:szCs w:val="18"/>
              </w:rPr>
            </w:pPr>
            <w:r w:rsidRPr="003847AF">
              <w:rPr>
                <w:rFonts w:eastAsia="Calibri" w:cs="Calibri"/>
                <w:sz w:val="18"/>
                <w:szCs w:val="18"/>
              </w:rPr>
              <w:t>16 598</w:t>
            </w:r>
          </w:p>
        </w:tc>
      </w:tr>
      <w:tr w:rsidR="003847AF" w:rsidRPr="003847AF" w14:paraId="7F6F634D" w14:textId="77777777" w:rsidTr="003A64C9">
        <w:tc>
          <w:tcPr>
            <w:tcW w:w="2998" w:type="pct"/>
            <w:tcBorders>
              <w:top w:val="nil"/>
              <w:left w:val="single" w:sz="4" w:space="0" w:color="auto"/>
              <w:bottom w:val="nil"/>
              <w:right w:val="nil"/>
            </w:tcBorders>
            <w:shd w:val="clear" w:color="auto" w:fill="auto"/>
            <w:hideMark/>
          </w:tcPr>
          <w:p w14:paraId="0D41FE32"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ASHI</w:t>
            </w:r>
            <w:r w:rsidRPr="003847AF">
              <w:rPr>
                <w:rFonts w:cs="Calibri" w:hint="eastAsia"/>
                <w:sz w:val="18"/>
                <w:szCs w:val="18"/>
                <w:lang w:val="en-US" w:eastAsia="zh-CN"/>
              </w:rPr>
              <w:t>准备金</w:t>
            </w:r>
          </w:p>
        </w:tc>
        <w:tc>
          <w:tcPr>
            <w:tcW w:w="1001" w:type="pct"/>
            <w:tcBorders>
              <w:top w:val="nil"/>
              <w:left w:val="single" w:sz="4" w:space="0" w:color="auto"/>
              <w:bottom w:val="nil"/>
              <w:right w:val="single" w:sz="4" w:space="0" w:color="auto"/>
            </w:tcBorders>
            <w:shd w:val="clear" w:color="auto" w:fill="auto"/>
            <w:noWrap/>
            <w:hideMark/>
          </w:tcPr>
          <w:p w14:paraId="37C1697B" w14:textId="7DBCDCFB" w:rsidR="003847AF" w:rsidRPr="003847AF" w:rsidRDefault="003847AF" w:rsidP="003847AF">
            <w:pPr>
              <w:spacing w:before="0"/>
              <w:jc w:val="right"/>
              <w:rPr>
                <w:sz w:val="18"/>
                <w:szCs w:val="18"/>
              </w:rPr>
            </w:pPr>
            <w:r w:rsidRPr="003847AF">
              <w:rPr>
                <w:rFonts w:eastAsia="Calibri" w:cs="Calibri"/>
                <w:sz w:val="18"/>
                <w:szCs w:val="18"/>
              </w:rPr>
              <w:t>17 265</w:t>
            </w:r>
          </w:p>
        </w:tc>
        <w:tc>
          <w:tcPr>
            <w:tcW w:w="1001" w:type="pct"/>
            <w:tcBorders>
              <w:top w:val="nil"/>
              <w:left w:val="nil"/>
              <w:bottom w:val="nil"/>
              <w:right w:val="single" w:sz="4" w:space="0" w:color="auto"/>
            </w:tcBorders>
            <w:shd w:val="clear" w:color="auto" w:fill="auto"/>
            <w:noWrap/>
            <w:hideMark/>
          </w:tcPr>
          <w:p w14:paraId="11F858B2" w14:textId="49AFC1AA" w:rsidR="003847AF" w:rsidRPr="003847AF" w:rsidRDefault="003847AF" w:rsidP="003847AF">
            <w:pPr>
              <w:spacing w:before="0"/>
              <w:jc w:val="right"/>
              <w:rPr>
                <w:sz w:val="18"/>
                <w:szCs w:val="18"/>
              </w:rPr>
            </w:pPr>
            <w:r w:rsidRPr="003847AF">
              <w:rPr>
                <w:rFonts w:eastAsia="Calibri" w:cs="Calibri"/>
                <w:sz w:val="18"/>
                <w:szCs w:val="18"/>
              </w:rPr>
              <w:t>22 789</w:t>
            </w:r>
          </w:p>
        </w:tc>
      </w:tr>
      <w:tr w:rsidR="003847AF" w:rsidRPr="003847AF" w14:paraId="371863D5" w14:textId="77777777" w:rsidTr="003A64C9">
        <w:tc>
          <w:tcPr>
            <w:tcW w:w="2998" w:type="pct"/>
            <w:tcBorders>
              <w:top w:val="nil"/>
              <w:left w:val="single" w:sz="4" w:space="0" w:color="auto"/>
              <w:bottom w:val="nil"/>
              <w:right w:val="nil"/>
            </w:tcBorders>
            <w:shd w:val="clear" w:color="auto" w:fill="auto"/>
            <w:hideMark/>
          </w:tcPr>
          <w:p w14:paraId="6F417B7A" w14:textId="77777777" w:rsidR="003847AF" w:rsidRPr="003847AF" w:rsidRDefault="003847AF" w:rsidP="003847AF">
            <w:pPr>
              <w:pStyle w:val="Tabletext"/>
              <w:spacing w:before="0"/>
              <w:rPr>
                <w:rFonts w:cs="Calibri"/>
                <w:sz w:val="18"/>
                <w:szCs w:val="18"/>
                <w:lang w:val="en-US" w:eastAsia="zh-CN"/>
              </w:rPr>
            </w:pPr>
            <w:r w:rsidRPr="003847AF">
              <w:rPr>
                <w:rFonts w:cs="Calibri"/>
                <w:sz w:val="18"/>
                <w:szCs w:val="18"/>
                <w:lang w:val="en-US" w:eastAsia="zh-CN"/>
              </w:rPr>
              <w:t>归国准备金（</w:t>
            </w:r>
            <w:r w:rsidRPr="003847AF">
              <w:rPr>
                <w:rFonts w:cs="Calibri"/>
                <w:sz w:val="18"/>
                <w:szCs w:val="18"/>
                <w:lang w:val="en-US" w:eastAsia="zh-CN"/>
              </w:rPr>
              <w:t>LT</w:t>
            </w:r>
            <w:r w:rsidRPr="003847AF">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hideMark/>
          </w:tcPr>
          <w:p w14:paraId="3E2AF6EC" w14:textId="4167EB94" w:rsidR="003847AF" w:rsidRPr="003847AF" w:rsidRDefault="003847AF" w:rsidP="003847AF">
            <w:pPr>
              <w:spacing w:before="0"/>
              <w:jc w:val="right"/>
              <w:rPr>
                <w:color w:val="000000"/>
                <w:sz w:val="18"/>
                <w:szCs w:val="18"/>
              </w:rPr>
            </w:pPr>
            <w:r w:rsidRPr="003847AF">
              <w:rPr>
                <w:rFonts w:eastAsia="Calibri" w:cs="Calibri"/>
                <w:sz w:val="18"/>
                <w:szCs w:val="18"/>
              </w:rPr>
              <w:t>1 017</w:t>
            </w:r>
          </w:p>
        </w:tc>
        <w:tc>
          <w:tcPr>
            <w:tcW w:w="1001" w:type="pct"/>
            <w:tcBorders>
              <w:top w:val="nil"/>
              <w:left w:val="nil"/>
              <w:bottom w:val="nil"/>
              <w:right w:val="single" w:sz="4" w:space="0" w:color="auto"/>
            </w:tcBorders>
            <w:shd w:val="clear" w:color="auto" w:fill="auto"/>
            <w:noWrap/>
            <w:hideMark/>
          </w:tcPr>
          <w:p w14:paraId="114FA277" w14:textId="70057CBA" w:rsidR="003847AF" w:rsidRPr="003847AF" w:rsidRDefault="003847AF" w:rsidP="003847AF">
            <w:pPr>
              <w:spacing w:before="0"/>
              <w:jc w:val="right"/>
              <w:rPr>
                <w:color w:val="000000"/>
                <w:sz w:val="18"/>
                <w:szCs w:val="18"/>
              </w:rPr>
            </w:pPr>
            <w:r w:rsidRPr="003847AF">
              <w:rPr>
                <w:rFonts w:eastAsia="Calibri" w:cs="Calibri"/>
                <w:sz w:val="18"/>
                <w:szCs w:val="18"/>
              </w:rPr>
              <w:t>-518</w:t>
            </w:r>
          </w:p>
        </w:tc>
      </w:tr>
      <w:tr w:rsidR="003847AF" w:rsidRPr="003847AF" w14:paraId="77805600" w14:textId="77777777" w:rsidTr="003A64C9">
        <w:tc>
          <w:tcPr>
            <w:tcW w:w="2998" w:type="pct"/>
            <w:tcBorders>
              <w:top w:val="nil"/>
              <w:left w:val="single" w:sz="4" w:space="0" w:color="auto"/>
              <w:bottom w:val="nil"/>
              <w:right w:val="nil"/>
            </w:tcBorders>
            <w:shd w:val="clear" w:color="auto" w:fill="auto"/>
            <w:hideMark/>
          </w:tcPr>
          <w:p w14:paraId="3DBAA97C"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职员福利准备金（</w:t>
            </w:r>
            <w:r w:rsidRPr="003847AF">
              <w:rPr>
                <w:rFonts w:cs="Calibri"/>
                <w:sz w:val="18"/>
                <w:szCs w:val="18"/>
                <w:lang w:val="en-US" w:eastAsia="zh-CN"/>
              </w:rPr>
              <w:t>ST</w:t>
            </w:r>
            <w:r w:rsidRPr="003847AF">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hideMark/>
          </w:tcPr>
          <w:p w14:paraId="3D04E259" w14:textId="0ED27E70" w:rsidR="003847AF" w:rsidRPr="003847AF" w:rsidRDefault="003847AF" w:rsidP="003847AF">
            <w:pPr>
              <w:spacing w:before="0"/>
              <w:jc w:val="right"/>
              <w:rPr>
                <w:color w:val="000000"/>
                <w:sz w:val="18"/>
                <w:szCs w:val="18"/>
              </w:rPr>
            </w:pPr>
            <w:r w:rsidRPr="003847AF">
              <w:rPr>
                <w:rFonts w:eastAsia="Calibri" w:cs="Calibri"/>
                <w:sz w:val="18"/>
                <w:szCs w:val="18"/>
              </w:rPr>
              <w:t>424</w:t>
            </w:r>
          </w:p>
        </w:tc>
        <w:tc>
          <w:tcPr>
            <w:tcW w:w="1001" w:type="pct"/>
            <w:tcBorders>
              <w:top w:val="nil"/>
              <w:left w:val="nil"/>
              <w:bottom w:val="nil"/>
              <w:right w:val="single" w:sz="4" w:space="0" w:color="auto"/>
            </w:tcBorders>
            <w:shd w:val="clear" w:color="auto" w:fill="auto"/>
            <w:noWrap/>
            <w:hideMark/>
          </w:tcPr>
          <w:p w14:paraId="7F6C442C" w14:textId="6009479C" w:rsidR="003847AF" w:rsidRPr="003847AF" w:rsidRDefault="003847AF" w:rsidP="003847AF">
            <w:pPr>
              <w:spacing w:before="0"/>
              <w:jc w:val="right"/>
              <w:rPr>
                <w:color w:val="000000"/>
                <w:sz w:val="18"/>
                <w:szCs w:val="18"/>
              </w:rPr>
            </w:pPr>
            <w:r w:rsidRPr="003847AF">
              <w:rPr>
                <w:rFonts w:eastAsia="Calibri" w:cs="Calibri"/>
                <w:sz w:val="18"/>
                <w:szCs w:val="18"/>
              </w:rPr>
              <w:t>-124</w:t>
            </w:r>
          </w:p>
        </w:tc>
      </w:tr>
      <w:tr w:rsidR="003847AF" w:rsidRPr="003847AF" w14:paraId="45E71185" w14:textId="77777777" w:rsidTr="003A64C9">
        <w:tc>
          <w:tcPr>
            <w:tcW w:w="2998" w:type="pct"/>
            <w:tcBorders>
              <w:top w:val="nil"/>
              <w:left w:val="single" w:sz="4" w:space="0" w:color="auto"/>
              <w:bottom w:val="nil"/>
              <w:right w:val="nil"/>
            </w:tcBorders>
            <w:shd w:val="clear" w:color="auto" w:fill="auto"/>
            <w:hideMark/>
          </w:tcPr>
          <w:p w14:paraId="11702E52"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应计休假准备金（</w:t>
            </w:r>
            <w:r w:rsidRPr="003847AF">
              <w:rPr>
                <w:rFonts w:cs="Calibri"/>
                <w:sz w:val="18"/>
                <w:szCs w:val="18"/>
                <w:lang w:val="en-US" w:eastAsia="zh-CN"/>
              </w:rPr>
              <w:t>LT</w:t>
            </w:r>
            <w:r w:rsidRPr="003847AF">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hideMark/>
          </w:tcPr>
          <w:p w14:paraId="17ADBE0F" w14:textId="1675EC44" w:rsidR="003847AF" w:rsidRPr="003847AF" w:rsidRDefault="003847AF" w:rsidP="003847AF">
            <w:pPr>
              <w:spacing w:before="0"/>
              <w:jc w:val="right"/>
              <w:rPr>
                <w:color w:val="000000"/>
                <w:sz w:val="18"/>
                <w:szCs w:val="18"/>
              </w:rPr>
            </w:pPr>
            <w:r w:rsidRPr="003847AF">
              <w:rPr>
                <w:rFonts w:eastAsia="Calibri" w:cs="Calibri"/>
                <w:sz w:val="18"/>
                <w:szCs w:val="18"/>
              </w:rPr>
              <w:t>220</w:t>
            </w:r>
          </w:p>
        </w:tc>
        <w:tc>
          <w:tcPr>
            <w:tcW w:w="1001" w:type="pct"/>
            <w:tcBorders>
              <w:top w:val="nil"/>
              <w:left w:val="nil"/>
              <w:bottom w:val="nil"/>
              <w:right w:val="single" w:sz="4" w:space="0" w:color="auto"/>
            </w:tcBorders>
            <w:shd w:val="clear" w:color="auto" w:fill="auto"/>
            <w:noWrap/>
            <w:hideMark/>
          </w:tcPr>
          <w:p w14:paraId="7F60F6C0" w14:textId="0F353A0E" w:rsidR="003847AF" w:rsidRPr="003847AF" w:rsidRDefault="003847AF" w:rsidP="003847AF">
            <w:pPr>
              <w:spacing w:before="0"/>
              <w:jc w:val="right"/>
              <w:rPr>
                <w:color w:val="000000"/>
                <w:sz w:val="18"/>
                <w:szCs w:val="18"/>
              </w:rPr>
            </w:pPr>
            <w:r w:rsidRPr="003847AF">
              <w:rPr>
                <w:rFonts w:eastAsia="Calibri" w:cs="Calibri"/>
                <w:sz w:val="18"/>
                <w:szCs w:val="18"/>
              </w:rPr>
              <w:t>2 571</w:t>
            </w:r>
          </w:p>
        </w:tc>
      </w:tr>
      <w:tr w:rsidR="003847AF" w:rsidRPr="003847AF" w14:paraId="2EBD3068" w14:textId="77777777" w:rsidTr="003A64C9">
        <w:tc>
          <w:tcPr>
            <w:tcW w:w="2998" w:type="pct"/>
            <w:tcBorders>
              <w:top w:val="nil"/>
              <w:left w:val="single" w:sz="4" w:space="0" w:color="auto"/>
              <w:bottom w:val="nil"/>
              <w:right w:val="nil"/>
            </w:tcBorders>
            <w:shd w:val="clear" w:color="auto" w:fill="auto"/>
            <w:hideMark/>
          </w:tcPr>
          <w:p w14:paraId="4C97F933" w14:textId="77777777" w:rsidR="003847AF" w:rsidRPr="003847AF" w:rsidRDefault="003847AF" w:rsidP="003847AF">
            <w:pPr>
              <w:pStyle w:val="Tabletext"/>
              <w:spacing w:before="0"/>
              <w:rPr>
                <w:rFonts w:cs="Calibri"/>
                <w:sz w:val="18"/>
                <w:szCs w:val="18"/>
                <w:lang w:val="en-US" w:eastAsia="fr-FR"/>
              </w:rPr>
            </w:pPr>
            <w:r w:rsidRPr="003847AF">
              <w:rPr>
                <w:rFonts w:cs="Calibri" w:hint="eastAsia"/>
                <w:sz w:val="18"/>
                <w:szCs w:val="18"/>
                <w:lang w:val="en-US"/>
              </w:rPr>
              <w:t>其它准备金</w:t>
            </w:r>
          </w:p>
        </w:tc>
        <w:tc>
          <w:tcPr>
            <w:tcW w:w="1001" w:type="pct"/>
            <w:tcBorders>
              <w:top w:val="nil"/>
              <w:left w:val="single" w:sz="4" w:space="0" w:color="auto"/>
              <w:bottom w:val="nil"/>
              <w:right w:val="single" w:sz="4" w:space="0" w:color="auto"/>
            </w:tcBorders>
            <w:shd w:val="clear" w:color="auto" w:fill="auto"/>
            <w:noWrap/>
            <w:hideMark/>
          </w:tcPr>
          <w:p w14:paraId="7D400A37" w14:textId="63776DC5" w:rsidR="003847AF" w:rsidRPr="003847AF" w:rsidRDefault="003847AF" w:rsidP="003847AF">
            <w:pPr>
              <w:spacing w:before="0"/>
              <w:jc w:val="right"/>
              <w:rPr>
                <w:color w:val="000000"/>
                <w:sz w:val="18"/>
                <w:szCs w:val="18"/>
              </w:rPr>
            </w:pPr>
            <w:r w:rsidRPr="003847AF">
              <w:rPr>
                <w:rFonts w:eastAsia="Calibri" w:cs="Calibri"/>
                <w:sz w:val="18"/>
                <w:szCs w:val="18"/>
              </w:rPr>
              <w:t>407</w:t>
            </w:r>
          </w:p>
        </w:tc>
        <w:tc>
          <w:tcPr>
            <w:tcW w:w="1001" w:type="pct"/>
            <w:tcBorders>
              <w:top w:val="nil"/>
              <w:left w:val="nil"/>
              <w:bottom w:val="nil"/>
              <w:right w:val="single" w:sz="4" w:space="0" w:color="auto"/>
            </w:tcBorders>
            <w:shd w:val="clear" w:color="auto" w:fill="auto"/>
            <w:noWrap/>
            <w:hideMark/>
          </w:tcPr>
          <w:p w14:paraId="1CD4E761" w14:textId="5CB889DB" w:rsidR="003847AF" w:rsidRPr="003847AF" w:rsidRDefault="003847AF" w:rsidP="003847AF">
            <w:pPr>
              <w:spacing w:before="0"/>
              <w:jc w:val="right"/>
              <w:rPr>
                <w:color w:val="000000"/>
                <w:sz w:val="18"/>
                <w:szCs w:val="18"/>
              </w:rPr>
            </w:pPr>
            <w:r w:rsidRPr="003847AF">
              <w:rPr>
                <w:rFonts w:eastAsia="Calibri" w:cs="Calibri"/>
                <w:sz w:val="18"/>
                <w:szCs w:val="18"/>
              </w:rPr>
              <w:t>763</w:t>
            </w:r>
          </w:p>
        </w:tc>
      </w:tr>
      <w:tr w:rsidR="003847AF" w:rsidRPr="003847AF" w14:paraId="5EFDF2E7" w14:textId="77777777" w:rsidTr="003A64C9">
        <w:tc>
          <w:tcPr>
            <w:tcW w:w="2998" w:type="pct"/>
            <w:tcBorders>
              <w:top w:val="nil"/>
              <w:left w:val="single" w:sz="4" w:space="0" w:color="auto"/>
              <w:bottom w:val="nil"/>
              <w:right w:val="nil"/>
            </w:tcBorders>
            <w:shd w:val="clear" w:color="auto" w:fill="auto"/>
            <w:hideMark/>
          </w:tcPr>
          <w:p w14:paraId="2AF6DA27"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可疑应收款项准备金</w:t>
            </w:r>
          </w:p>
        </w:tc>
        <w:tc>
          <w:tcPr>
            <w:tcW w:w="1001" w:type="pct"/>
            <w:tcBorders>
              <w:top w:val="nil"/>
              <w:left w:val="single" w:sz="4" w:space="0" w:color="auto"/>
              <w:bottom w:val="nil"/>
              <w:right w:val="single" w:sz="4" w:space="0" w:color="auto"/>
            </w:tcBorders>
            <w:shd w:val="clear" w:color="auto" w:fill="auto"/>
            <w:noWrap/>
            <w:hideMark/>
          </w:tcPr>
          <w:p w14:paraId="5B1BD1DF" w14:textId="2804A258" w:rsidR="003847AF" w:rsidRPr="003847AF" w:rsidRDefault="003847AF" w:rsidP="003847AF">
            <w:pPr>
              <w:spacing w:before="0"/>
              <w:jc w:val="right"/>
              <w:rPr>
                <w:color w:val="000000"/>
                <w:sz w:val="18"/>
                <w:szCs w:val="18"/>
              </w:rPr>
            </w:pPr>
            <w:r w:rsidRPr="003847AF">
              <w:rPr>
                <w:rFonts w:eastAsia="Calibri" w:cs="Calibri"/>
                <w:sz w:val="18"/>
                <w:szCs w:val="18"/>
              </w:rPr>
              <w:t>-1 492</w:t>
            </w:r>
          </w:p>
        </w:tc>
        <w:tc>
          <w:tcPr>
            <w:tcW w:w="1001" w:type="pct"/>
            <w:tcBorders>
              <w:top w:val="nil"/>
              <w:left w:val="nil"/>
              <w:bottom w:val="nil"/>
              <w:right w:val="single" w:sz="4" w:space="0" w:color="auto"/>
            </w:tcBorders>
            <w:shd w:val="clear" w:color="auto" w:fill="auto"/>
            <w:noWrap/>
            <w:hideMark/>
          </w:tcPr>
          <w:p w14:paraId="554F51B2" w14:textId="009242DE" w:rsidR="003847AF" w:rsidRPr="003847AF" w:rsidRDefault="003847AF" w:rsidP="003847AF">
            <w:pPr>
              <w:spacing w:before="0"/>
              <w:jc w:val="right"/>
              <w:rPr>
                <w:color w:val="000000"/>
                <w:sz w:val="18"/>
                <w:szCs w:val="18"/>
              </w:rPr>
            </w:pPr>
            <w:r w:rsidRPr="003847AF">
              <w:rPr>
                <w:rFonts w:eastAsia="Calibri" w:cs="Calibri"/>
                <w:sz w:val="18"/>
                <w:szCs w:val="18"/>
              </w:rPr>
              <w:t>348</w:t>
            </w:r>
          </w:p>
        </w:tc>
      </w:tr>
      <w:tr w:rsidR="003847AF" w:rsidRPr="003847AF" w14:paraId="6E3A470F" w14:textId="77777777" w:rsidTr="003A64C9">
        <w:tc>
          <w:tcPr>
            <w:tcW w:w="2998" w:type="pct"/>
            <w:tcBorders>
              <w:top w:val="nil"/>
              <w:left w:val="single" w:sz="4" w:space="0" w:color="auto"/>
              <w:bottom w:val="nil"/>
              <w:right w:val="nil"/>
            </w:tcBorders>
            <w:shd w:val="clear" w:color="auto" w:fill="auto"/>
            <w:hideMark/>
          </w:tcPr>
          <w:p w14:paraId="4F5C6E92"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库存</w:t>
            </w:r>
            <w:r w:rsidRPr="003847AF">
              <w:rPr>
                <w:rFonts w:cs="Calibri"/>
                <w:sz w:val="18"/>
                <w:szCs w:val="18"/>
                <w:lang w:val="en-US" w:eastAsia="zh-CN"/>
              </w:rPr>
              <w:t>折旧</w:t>
            </w:r>
          </w:p>
        </w:tc>
        <w:tc>
          <w:tcPr>
            <w:tcW w:w="1001" w:type="pct"/>
            <w:tcBorders>
              <w:top w:val="nil"/>
              <w:left w:val="single" w:sz="4" w:space="0" w:color="auto"/>
              <w:bottom w:val="nil"/>
              <w:right w:val="single" w:sz="4" w:space="0" w:color="auto"/>
            </w:tcBorders>
            <w:shd w:val="clear" w:color="auto" w:fill="auto"/>
            <w:noWrap/>
            <w:hideMark/>
          </w:tcPr>
          <w:p w14:paraId="280AAB09" w14:textId="7A8EB700" w:rsidR="003847AF" w:rsidRPr="003847AF" w:rsidRDefault="003847AF" w:rsidP="003847AF">
            <w:pPr>
              <w:spacing w:before="0"/>
              <w:jc w:val="right"/>
              <w:rPr>
                <w:sz w:val="18"/>
                <w:szCs w:val="18"/>
              </w:rPr>
            </w:pPr>
            <w:r w:rsidRPr="003847AF">
              <w:rPr>
                <w:rFonts w:eastAsia="Calibri" w:cs="Calibri"/>
                <w:sz w:val="18"/>
                <w:szCs w:val="18"/>
              </w:rPr>
              <w:t>-129</w:t>
            </w:r>
          </w:p>
        </w:tc>
        <w:tc>
          <w:tcPr>
            <w:tcW w:w="1001" w:type="pct"/>
            <w:tcBorders>
              <w:top w:val="nil"/>
              <w:left w:val="nil"/>
              <w:bottom w:val="nil"/>
              <w:right w:val="single" w:sz="4" w:space="0" w:color="auto"/>
            </w:tcBorders>
            <w:shd w:val="clear" w:color="auto" w:fill="auto"/>
            <w:noWrap/>
            <w:hideMark/>
          </w:tcPr>
          <w:p w14:paraId="3C504380" w14:textId="7B8A7E06" w:rsidR="003847AF" w:rsidRPr="003847AF" w:rsidRDefault="003847AF" w:rsidP="003847AF">
            <w:pPr>
              <w:spacing w:before="0"/>
              <w:jc w:val="right"/>
              <w:rPr>
                <w:sz w:val="18"/>
                <w:szCs w:val="18"/>
              </w:rPr>
            </w:pPr>
            <w:r w:rsidRPr="003847AF">
              <w:rPr>
                <w:rFonts w:eastAsia="Calibri" w:cs="Calibri"/>
                <w:sz w:val="18"/>
                <w:szCs w:val="18"/>
              </w:rPr>
              <w:t>-67</w:t>
            </w:r>
          </w:p>
        </w:tc>
      </w:tr>
      <w:tr w:rsidR="003847AF" w:rsidRPr="003847AF" w14:paraId="51B465F3" w14:textId="77777777" w:rsidTr="003A64C9">
        <w:tc>
          <w:tcPr>
            <w:tcW w:w="2998" w:type="pct"/>
            <w:tcBorders>
              <w:top w:val="nil"/>
              <w:left w:val="single" w:sz="4" w:space="0" w:color="auto"/>
              <w:bottom w:val="nil"/>
              <w:right w:val="nil"/>
            </w:tcBorders>
            <w:shd w:val="clear" w:color="auto" w:fill="auto"/>
            <w:hideMark/>
          </w:tcPr>
          <w:p w14:paraId="4CC5082E" w14:textId="77777777" w:rsidR="003847AF" w:rsidRPr="003847AF" w:rsidRDefault="003847AF" w:rsidP="003847AF">
            <w:pPr>
              <w:pStyle w:val="Tabletext"/>
              <w:spacing w:before="0"/>
              <w:rPr>
                <w:rFonts w:cs="Calibri"/>
                <w:sz w:val="18"/>
                <w:szCs w:val="18"/>
                <w:lang w:val="en-US" w:eastAsia="zh-CN"/>
              </w:rPr>
            </w:pPr>
            <w:r w:rsidRPr="003847AF">
              <w:rPr>
                <w:rFonts w:cs="Calibri"/>
                <w:sz w:val="18"/>
                <w:szCs w:val="18"/>
                <w:lang w:eastAsia="zh-CN"/>
              </w:rPr>
              <w:t>未实现的兑换率</w:t>
            </w:r>
            <w:r w:rsidRPr="003847AF">
              <w:rPr>
                <w:rFonts w:cs="Calibri" w:hint="eastAsia"/>
                <w:sz w:val="18"/>
                <w:szCs w:val="18"/>
                <w:lang w:eastAsia="zh-CN"/>
              </w:rPr>
              <w:t>收益</w:t>
            </w:r>
            <w:r w:rsidRPr="003847AF">
              <w:rPr>
                <w:rFonts w:cs="Calibri" w:hint="eastAsia"/>
                <w:sz w:val="18"/>
                <w:szCs w:val="18"/>
                <w:lang w:eastAsia="zh-CN"/>
              </w:rPr>
              <w:t>/</w:t>
            </w:r>
            <w:r w:rsidRPr="003847AF">
              <w:rPr>
                <w:rFonts w:cs="Calibri" w:hint="eastAsia"/>
                <w:sz w:val="18"/>
                <w:szCs w:val="18"/>
                <w:lang w:val="en-US" w:eastAsia="zh-CN"/>
              </w:rPr>
              <w:t>损耗</w:t>
            </w:r>
          </w:p>
        </w:tc>
        <w:tc>
          <w:tcPr>
            <w:tcW w:w="1001" w:type="pct"/>
            <w:tcBorders>
              <w:top w:val="nil"/>
              <w:left w:val="single" w:sz="4" w:space="0" w:color="auto"/>
              <w:bottom w:val="nil"/>
              <w:right w:val="single" w:sz="4" w:space="0" w:color="auto"/>
            </w:tcBorders>
            <w:shd w:val="clear" w:color="auto" w:fill="auto"/>
            <w:noWrap/>
            <w:hideMark/>
          </w:tcPr>
          <w:p w14:paraId="3DD79EC2" w14:textId="02BEF5B5" w:rsidR="003847AF" w:rsidRPr="003847AF" w:rsidRDefault="003847AF" w:rsidP="003847AF">
            <w:pPr>
              <w:spacing w:before="0"/>
              <w:jc w:val="right"/>
              <w:rPr>
                <w:sz w:val="18"/>
                <w:szCs w:val="18"/>
              </w:rPr>
            </w:pPr>
            <w:r w:rsidRPr="003847AF">
              <w:rPr>
                <w:rFonts w:eastAsia="Calibri" w:cs="Calibri"/>
                <w:sz w:val="18"/>
                <w:szCs w:val="18"/>
              </w:rPr>
              <w:t>-2 533</w:t>
            </w:r>
          </w:p>
        </w:tc>
        <w:tc>
          <w:tcPr>
            <w:tcW w:w="1001" w:type="pct"/>
            <w:tcBorders>
              <w:top w:val="nil"/>
              <w:left w:val="nil"/>
              <w:bottom w:val="nil"/>
              <w:right w:val="single" w:sz="4" w:space="0" w:color="auto"/>
            </w:tcBorders>
            <w:shd w:val="clear" w:color="auto" w:fill="auto"/>
            <w:noWrap/>
            <w:hideMark/>
          </w:tcPr>
          <w:p w14:paraId="13F24E59" w14:textId="501BE831" w:rsidR="003847AF" w:rsidRPr="003847AF" w:rsidRDefault="003847AF" w:rsidP="003847AF">
            <w:pPr>
              <w:spacing w:before="0"/>
              <w:jc w:val="right"/>
              <w:rPr>
                <w:sz w:val="18"/>
                <w:szCs w:val="18"/>
              </w:rPr>
            </w:pPr>
            <w:r w:rsidRPr="003847AF">
              <w:rPr>
                <w:rFonts w:eastAsia="Calibri" w:cs="Calibri"/>
                <w:sz w:val="18"/>
                <w:szCs w:val="18"/>
              </w:rPr>
              <w:t>12 399</w:t>
            </w:r>
          </w:p>
        </w:tc>
      </w:tr>
      <w:tr w:rsidR="003847AF" w:rsidRPr="003847AF" w14:paraId="5007CBF4" w14:textId="77777777" w:rsidTr="003A64C9">
        <w:tc>
          <w:tcPr>
            <w:tcW w:w="2998" w:type="pct"/>
            <w:tcBorders>
              <w:top w:val="nil"/>
              <w:left w:val="single" w:sz="4" w:space="0" w:color="auto"/>
              <w:bottom w:val="nil"/>
              <w:right w:val="nil"/>
            </w:tcBorders>
            <w:shd w:val="clear" w:color="auto" w:fill="auto"/>
            <w:hideMark/>
          </w:tcPr>
          <w:p w14:paraId="10B80F45" w14:textId="77777777" w:rsidR="003847AF" w:rsidRPr="003847AF" w:rsidRDefault="003847AF" w:rsidP="003847AF">
            <w:pPr>
              <w:pStyle w:val="Tabletext"/>
              <w:spacing w:before="0"/>
              <w:rPr>
                <w:rFonts w:cs="Calibri"/>
                <w:sz w:val="18"/>
                <w:szCs w:val="18"/>
                <w:lang w:val="en-US" w:eastAsia="fr-FR"/>
              </w:rPr>
            </w:pPr>
            <w:r w:rsidRPr="003847AF">
              <w:rPr>
                <w:rFonts w:cs="Calibri" w:hint="eastAsia"/>
                <w:sz w:val="18"/>
                <w:szCs w:val="18"/>
                <w:lang w:val="en-US" w:eastAsia="zh-CN"/>
              </w:rPr>
              <w:t>收到</w:t>
            </w:r>
            <w:r w:rsidRPr="003847AF">
              <w:rPr>
                <w:rFonts w:cs="Calibri" w:hint="eastAsia"/>
                <w:sz w:val="18"/>
                <w:szCs w:val="18"/>
                <w:lang w:val="en-US"/>
              </w:rPr>
              <w:t>利息</w:t>
            </w:r>
          </w:p>
        </w:tc>
        <w:tc>
          <w:tcPr>
            <w:tcW w:w="1001" w:type="pct"/>
            <w:tcBorders>
              <w:top w:val="nil"/>
              <w:left w:val="single" w:sz="4" w:space="0" w:color="auto"/>
              <w:bottom w:val="nil"/>
              <w:right w:val="single" w:sz="4" w:space="0" w:color="auto"/>
            </w:tcBorders>
            <w:shd w:val="clear" w:color="auto" w:fill="auto"/>
            <w:noWrap/>
            <w:hideMark/>
          </w:tcPr>
          <w:p w14:paraId="002E8471" w14:textId="4DD5A34B" w:rsidR="003847AF" w:rsidRPr="003847AF" w:rsidRDefault="003847AF" w:rsidP="003847AF">
            <w:pPr>
              <w:spacing w:before="0"/>
              <w:jc w:val="right"/>
              <w:rPr>
                <w:sz w:val="18"/>
                <w:szCs w:val="18"/>
              </w:rPr>
            </w:pPr>
            <w:r w:rsidRPr="003847AF">
              <w:rPr>
                <w:rFonts w:eastAsia="Calibri" w:cs="Calibri"/>
                <w:sz w:val="18"/>
                <w:szCs w:val="18"/>
              </w:rPr>
              <w:t>-241</w:t>
            </w:r>
          </w:p>
        </w:tc>
        <w:tc>
          <w:tcPr>
            <w:tcW w:w="1001" w:type="pct"/>
            <w:tcBorders>
              <w:top w:val="nil"/>
              <w:left w:val="nil"/>
              <w:bottom w:val="nil"/>
              <w:right w:val="single" w:sz="4" w:space="0" w:color="auto"/>
            </w:tcBorders>
            <w:shd w:val="clear" w:color="auto" w:fill="auto"/>
            <w:noWrap/>
            <w:hideMark/>
          </w:tcPr>
          <w:p w14:paraId="139B8346" w14:textId="7AB2E3A0" w:rsidR="003847AF" w:rsidRPr="003847AF" w:rsidRDefault="003847AF" w:rsidP="003847AF">
            <w:pPr>
              <w:spacing w:before="0"/>
              <w:jc w:val="right"/>
              <w:rPr>
                <w:sz w:val="18"/>
                <w:szCs w:val="18"/>
              </w:rPr>
            </w:pPr>
            <w:r w:rsidRPr="003847AF">
              <w:rPr>
                <w:rFonts w:eastAsia="Calibri" w:cs="Calibri"/>
                <w:sz w:val="18"/>
                <w:szCs w:val="18"/>
              </w:rPr>
              <w:t>-400</w:t>
            </w:r>
          </w:p>
        </w:tc>
      </w:tr>
      <w:tr w:rsidR="003847AF" w:rsidRPr="003847AF" w14:paraId="2304F663" w14:textId="77777777" w:rsidTr="003A64C9">
        <w:tc>
          <w:tcPr>
            <w:tcW w:w="2998" w:type="pct"/>
            <w:tcBorders>
              <w:top w:val="nil"/>
              <w:left w:val="single" w:sz="4" w:space="0" w:color="auto"/>
              <w:bottom w:val="nil"/>
              <w:right w:val="nil"/>
            </w:tcBorders>
            <w:shd w:val="clear" w:color="auto" w:fill="auto"/>
            <w:hideMark/>
          </w:tcPr>
          <w:p w14:paraId="56282856" w14:textId="77777777" w:rsidR="003847AF" w:rsidRPr="003847AF" w:rsidRDefault="003847AF" w:rsidP="003847AF">
            <w:pPr>
              <w:overflowPunct/>
              <w:adjustRightInd/>
              <w:spacing w:before="0"/>
              <w:textAlignment w:val="auto"/>
              <w:rPr>
                <w:rFonts w:cs="Calibri"/>
                <w:color w:val="000000"/>
                <w:sz w:val="18"/>
                <w:szCs w:val="18"/>
                <w:lang w:val="en-US" w:eastAsia="zh-CN"/>
              </w:rPr>
            </w:pPr>
            <w:r w:rsidRPr="003847AF">
              <w:rPr>
                <w:rFonts w:cs="Calibri"/>
                <w:color w:val="000000"/>
                <w:sz w:val="18"/>
                <w:szCs w:val="18"/>
                <w:lang w:val="en-US" w:eastAsia="zh-CN"/>
              </w:rPr>
              <w:t> </w:t>
            </w:r>
          </w:p>
        </w:tc>
        <w:tc>
          <w:tcPr>
            <w:tcW w:w="1001" w:type="pct"/>
            <w:tcBorders>
              <w:top w:val="nil"/>
              <w:left w:val="single" w:sz="4" w:space="0" w:color="auto"/>
              <w:bottom w:val="nil"/>
              <w:right w:val="single" w:sz="4" w:space="0" w:color="auto"/>
            </w:tcBorders>
            <w:shd w:val="clear" w:color="auto" w:fill="auto"/>
            <w:noWrap/>
            <w:hideMark/>
          </w:tcPr>
          <w:p w14:paraId="5DA04F58" w14:textId="77777777" w:rsidR="003847AF" w:rsidRPr="003847AF" w:rsidRDefault="003847AF" w:rsidP="003847AF">
            <w:pPr>
              <w:spacing w:before="0"/>
              <w:jc w:val="right"/>
              <w:rPr>
                <w:sz w:val="18"/>
                <w:szCs w:val="18"/>
              </w:rPr>
            </w:pPr>
          </w:p>
        </w:tc>
        <w:tc>
          <w:tcPr>
            <w:tcW w:w="1001" w:type="pct"/>
            <w:tcBorders>
              <w:top w:val="nil"/>
              <w:left w:val="nil"/>
              <w:bottom w:val="nil"/>
              <w:right w:val="single" w:sz="4" w:space="0" w:color="auto"/>
            </w:tcBorders>
            <w:shd w:val="clear" w:color="auto" w:fill="auto"/>
            <w:noWrap/>
            <w:hideMark/>
          </w:tcPr>
          <w:p w14:paraId="6A10D695" w14:textId="77777777" w:rsidR="003847AF" w:rsidRPr="003847AF" w:rsidRDefault="003847AF" w:rsidP="003847AF">
            <w:pPr>
              <w:spacing w:before="0"/>
              <w:jc w:val="right"/>
              <w:rPr>
                <w:sz w:val="18"/>
                <w:szCs w:val="18"/>
              </w:rPr>
            </w:pPr>
          </w:p>
        </w:tc>
      </w:tr>
      <w:tr w:rsidR="003847AF" w:rsidRPr="003847AF" w14:paraId="069EAC76" w14:textId="77777777" w:rsidTr="003A64C9">
        <w:tc>
          <w:tcPr>
            <w:tcW w:w="2998" w:type="pct"/>
            <w:tcBorders>
              <w:top w:val="single" w:sz="4" w:space="0" w:color="auto"/>
              <w:left w:val="single" w:sz="4" w:space="0" w:color="auto"/>
              <w:bottom w:val="single" w:sz="4" w:space="0" w:color="auto"/>
              <w:right w:val="nil"/>
            </w:tcBorders>
            <w:shd w:val="clear" w:color="auto" w:fill="auto"/>
            <w:hideMark/>
          </w:tcPr>
          <w:p w14:paraId="106CE8CB" w14:textId="77777777" w:rsidR="003847AF" w:rsidRPr="003847AF" w:rsidRDefault="003847AF" w:rsidP="003847AF">
            <w:pPr>
              <w:spacing w:before="0" w:after="60"/>
              <w:rPr>
                <w:rFonts w:cs="Calibri"/>
                <w:b/>
                <w:bCs/>
                <w:sz w:val="18"/>
                <w:szCs w:val="18"/>
                <w:lang w:val="en-US" w:eastAsia="zh-CN"/>
              </w:rPr>
            </w:pPr>
            <w:r w:rsidRPr="003847AF">
              <w:rPr>
                <w:rFonts w:cs="Calibri" w:hint="eastAsia"/>
                <w:b/>
                <w:bCs/>
                <w:sz w:val="18"/>
                <w:szCs w:val="18"/>
                <w:lang w:val="en-US" w:eastAsia="zh-CN"/>
              </w:rPr>
              <w:t>非货币流动产生的盈余（赤字）</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14:paraId="3D2B6965" w14:textId="0BDDB8A1" w:rsidR="003847AF" w:rsidRPr="003847AF" w:rsidRDefault="003847AF" w:rsidP="003847AF">
            <w:pPr>
              <w:spacing w:before="0"/>
              <w:jc w:val="right"/>
              <w:rPr>
                <w:b/>
                <w:bCs/>
                <w:sz w:val="18"/>
                <w:szCs w:val="18"/>
              </w:rPr>
            </w:pPr>
            <w:r w:rsidRPr="003847AF">
              <w:rPr>
                <w:rFonts w:eastAsia="Calibri" w:cs="Calibri"/>
                <w:b/>
                <w:sz w:val="18"/>
                <w:szCs w:val="18"/>
              </w:rPr>
              <w:t xml:space="preserve">9 774 </w:t>
            </w:r>
          </w:p>
        </w:tc>
        <w:tc>
          <w:tcPr>
            <w:tcW w:w="1001" w:type="pct"/>
            <w:tcBorders>
              <w:top w:val="single" w:sz="4" w:space="0" w:color="auto"/>
              <w:left w:val="nil"/>
              <w:bottom w:val="single" w:sz="4" w:space="0" w:color="auto"/>
              <w:right w:val="single" w:sz="4" w:space="0" w:color="auto"/>
            </w:tcBorders>
            <w:shd w:val="clear" w:color="auto" w:fill="auto"/>
            <w:hideMark/>
          </w:tcPr>
          <w:p w14:paraId="457723A1" w14:textId="39283086" w:rsidR="003847AF" w:rsidRPr="003847AF" w:rsidRDefault="003847AF" w:rsidP="003847AF">
            <w:pPr>
              <w:spacing w:before="0"/>
              <w:jc w:val="right"/>
              <w:rPr>
                <w:b/>
                <w:bCs/>
                <w:sz w:val="18"/>
                <w:szCs w:val="18"/>
              </w:rPr>
            </w:pPr>
            <w:r w:rsidRPr="003847AF">
              <w:rPr>
                <w:rFonts w:eastAsia="Calibri" w:cs="Calibri"/>
                <w:b/>
                <w:sz w:val="18"/>
                <w:szCs w:val="18"/>
              </w:rPr>
              <w:t xml:space="preserve">7 099 </w:t>
            </w:r>
          </w:p>
        </w:tc>
      </w:tr>
      <w:tr w:rsidR="003847AF" w:rsidRPr="003847AF" w14:paraId="66E5314A" w14:textId="77777777" w:rsidTr="003A64C9">
        <w:tc>
          <w:tcPr>
            <w:tcW w:w="2998" w:type="pct"/>
            <w:tcBorders>
              <w:top w:val="nil"/>
              <w:left w:val="single" w:sz="4" w:space="0" w:color="auto"/>
              <w:bottom w:val="nil"/>
              <w:right w:val="nil"/>
            </w:tcBorders>
            <w:shd w:val="clear" w:color="auto" w:fill="auto"/>
            <w:hideMark/>
          </w:tcPr>
          <w:p w14:paraId="104ADD99" w14:textId="77777777" w:rsidR="003847AF" w:rsidRPr="003847AF" w:rsidRDefault="003847AF" w:rsidP="003847AF">
            <w:pPr>
              <w:pStyle w:val="Tabletext"/>
              <w:spacing w:before="0"/>
              <w:rPr>
                <w:rFonts w:cs="Calibri"/>
                <w:sz w:val="18"/>
                <w:szCs w:val="18"/>
                <w:lang w:val="en-US"/>
              </w:rPr>
            </w:pPr>
            <w:r w:rsidRPr="003847AF">
              <w:rPr>
                <w:rFonts w:cs="Calibri"/>
                <w:sz w:val="18"/>
                <w:szCs w:val="18"/>
                <w:lang w:val="en-US"/>
              </w:rPr>
              <w:t>库存的（增加）减</w:t>
            </w:r>
            <w:r w:rsidRPr="003847AF">
              <w:rPr>
                <w:rFonts w:cs="Calibri" w:hint="eastAsia"/>
                <w:sz w:val="18"/>
                <w:szCs w:val="18"/>
                <w:lang w:val="en-US"/>
              </w:rPr>
              <w:t>少</w:t>
            </w:r>
          </w:p>
        </w:tc>
        <w:tc>
          <w:tcPr>
            <w:tcW w:w="1001" w:type="pct"/>
            <w:tcBorders>
              <w:top w:val="nil"/>
              <w:left w:val="single" w:sz="4" w:space="0" w:color="auto"/>
              <w:bottom w:val="nil"/>
              <w:right w:val="single" w:sz="4" w:space="0" w:color="auto"/>
            </w:tcBorders>
            <w:shd w:val="clear" w:color="auto" w:fill="auto"/>
            <w:noWrap/>
            <w:hideMark/>
          </w:tcPr>
          <w:p w14:paraId="2323E8F0" w14:textId="5525F90B" w:rsidR="003847AF" w:rsidRPr="003847AF" w:rsidRDefault="003847AF" w:rsidP="003847AF">
            <w:pPr>
              <w:spacing w:before="0"/>
              <w:jc w:val="right"/>
              <w:rPr>
                <w:sz w:val="18"/>
                <w:szCs w:val="18"/>
              </w:rPr>
            </w:pPr>
            <w:r w:rsidRPr="003847AF">
              <w:rPr>
                <w:rFonts w:eastAsia="Calibri" w:cs="Calibri"/>
                <w:sz w:val="18"/>
                <w:szCs w:val="18"/>
              </w:rPr>
              <w:t>121</w:t>
            </w:r>
          </w:p>
        </w:tc>
        <w:tc>
          <w:tcPr>
            <w:tcW w:w="1001" w:type="pct"/>
            <w:tcBorders>
              <w:top w:val="nil"/>
              <w:left w:val="nil"/>
              <w:bottom w:val="nil"/>
              <w:right w:val="single" w:sz="4" w:space="0" w:color="auto"/>
            </w:tcBorders>
            <w:shd w:val="clear" w:color="auto" w:fill="auto"/>
            <w:noWrap/>
            <w:hideMark/>
          </w:tcPr>
          <w:p w14:paraId="33ABF510" w14:textId="42ED5086" w:rsidR="003847AF" w:rsidRPr="003847AF" w:rsidRDefault="003847AF" w:rsidP="003847AF">
            <w:pPr>
              <w:spacing w:before="0"/>
              <w:jc w:val="right"/>
              <w:rPr>
                <w:color w:val="000000"/>
                <w:sz w:val="18"/>
                <w:szCs w:val="18"/>
              </w:rPr>
            </w:pPr>
            <w:r w:rsidRPr="003847AF">
              <w:rPr>
                <w:rFonts w:eastAsia="Calibri" w:cs="Calibri"/>
                <w:sz w:val="18"/>
                <w:szCs w:val="18"/>
              </w:rPr>
              <w:t>147</w:t>
            </w:r>
          </w:p>
        </w:tc>
      </w:tr>
      <w:tr w:rsidR="003847AF" w:rsidRPr="003847AF" w14:paraId="2014DCE6" w14:textId="77777777" w:rsidTr="003A64C9">
        <w:tc>
          <w:tcPr>
            <w:tcW w:w="2998" w:type="pct"/>
            <w:tcBorders>
              <w:top w:val="nil"/>
              <w:left w:val="single" w:sz="4" w:space="0" w:color="auto"/>
              <w:bottom w:val="nil"/>
              <w:right w:val="nil"/>
            </w:tcBorders>
            <w:shd w:val="clear" w:color="auto" w:fill="auto"/>
            <w:hideMark/>
          </w:tcPr>
          <w:p w14:paraId="01A0D2DB"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短期可回收款项的（增加）减少</w:t>
            </w:r>
          </w:p>
        </w:tc>
        <w:tc>
          <w:tcPr>
            <w:tcW w:w="1001" w:type="pct"/>
            <w:tcBorders>
              <w:top w:val="nil"/>
              <w:left w:val="single" w:sz="4" w:space="0" w:color="auto"/>
              <w:bottom w:val="nil"/>
              <w:right w:val="single" w:sz="4" w:space="0" w:color="auto"/>
            </w:tcBorders>
            <w:shd w:val="clear" w:color="auto" w:fill="auto"/>
            <w:noWrap/>
            <w:hideMark/>
          </w:tcPr>
          <w:p w14:paraId="11C5CF6A" w14:textId="340FF582" w:rsidR="003847AF" w:rsidRPr="003847AF" w:rsidRDefault="003847AF" w:rsidP="003847AF">
            <w:pPr>
              <w:spacing w:before="0"/>
              <w:jc w:val="right"/>
              <w:rPr>
                <w:color w:val="000000"/>
                <w:sz w:val="18"/>
                <w:szCs w:val="18"/>
              </w:rPr>
            </w:pPr>
            <w:r w:rsidRPr="003847AF">
              <w:rPr>
                <w:rFonts w:eastAsia="Calibri" w:cs="Calibri"/>
                <w:sz w:val="18"/>
                <w:szCs w:val="18"/>
              </w:rPr>
              <w:t>11 359</w:t>
            </w:r>
          </w:p>
        </w:tc>
        <w:tc>
          <w:tcPr>
            <w:tcW w:w="1001" w:type="pct"/>
            <w:tcBorders>
              <w:top w:val="nil"/>
              <w:left w:val="nil"/>
              <w:bottom w:val="nil"/>
              <w:right w:val="single" w:sz="4" w:space="0" w:color="auto"/>
            </w:tcBorders>
            <w:shd w:val="clear" w:color="auto" w:fill="auto"/>
            <w:noWrap/>
            <w:hideMark/>
          </w:tcPr>
          <w:p w14:paraId="6CB2BD4B" w14:textId="352263DE" w:rsidR="003847AF" w:rsidRPr="003847AF" w:rsidRDefault="003847AF" w:rsidP="003847AF">
            <w:pPr>
              <w:spacing w:before="0"/>
              <w:jc w:val="right"/>
              <w:rPr>
                <w:color w:val="000000"/>
                <w:sz w:val="18"/>
                <w:szCs w:val="18"/>
              </w:rPr>
            </w:pPr>
            <w:r w:rsidRPr="003847AF">
              <w:rPr>
                <w:rFonts w:eastAsia="Calibri" w:cs="Calibri"/>
                <w:sz w:val="18"/>
                <w:szCs w:val="18"/>
              </w:rPr>
              <w:t>-3 348</w:t>
            </w:r>
          </w:p>
        </w:tc>
      </w:tr>
      <w:tr w:rsidR="003847AF" w:rsidRPr="003847AF" w14:paraId="7E879C23" w14:textId="77777777" w:rsidTr="003A64C9">
        <w:tc>
          <w:tcPr>
            <w:tcW w:w="2998" w:type="pct"/>
            <w:tcBorders>
              <w:top w:val="nil"/>
              <w:left w:val="single" w:sz="4" w:space="0" w:color="auto"/>
              <w:bottom w:val="nil"/>
              <w:right w:val="nil"/>
            </w:tcBorders>
            <w:shd w:val="clear" w:color="auto" w:fill="auto"/>
            <w:hideMark/>
          </w:tcPr>
          <w:p w14:paraId="5B6B1BF9"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其它短期可回收款项的（增加）减少</w:t>
            </w:r>
          </w:p>
        </w:tc>
        <w:tc>
          <w:tcPr>
            <w:tcW w:w="1001" w:type="pct"/>
            <w:tcBorders>
              <w:top w:val="nil"/>
              <w:left w:val="single" w:sz="4" w:space="0" w:color="auto"/>
              <w:bottom w:val="nil"/>
              <w:right w:val="single" w:sz="4" w:space="0" w:color="auto"/>
            </w:tcBorders>
            <w:shd w:val="clear" w:color="auto" w:fill="auto"/>
            <w:noWrap/>
            <w:hideMark/>
          </w:tcPr>
          <w:p w14:paraId="371D170B" w14:textId="4965C55C" w:rsidR="003847AF" w:rsidRPr="003847AF" w:rsidRDefault="003847AF" w:rsidP="003847AF">
            <w:pPr>
              <w:spacing w:before="0"/>
              <w:jc w:val="right"/>
              <w:rPr>
                <w:color w:val="000000"/>
                <w:sz w:val="18"/>
                <w:szCs w:val="18"/>
              </w:rPr>
            </w:pPr>
            <w:r w:rsidRPr="003847AF">
              <w:rPr>
                <w:rFonts w:eastAsia="Calibri" w:cs="Calibri"/>
                <w:sz w:val="18"/>
                <w:szCs w:val="18"/>
              </w:rPr>
              <w:t>2 321</w:t>
            </w:r>
          </w:p>
        </w:tc>
        <w:tc>
          <w:tcPr>
            <w:tcW w:w="1001" w:type="pct"/>
            <w:tcBorders>
              <w:top w:val="nil"/>
              <w:left w:val="nil"/>
              <w:bottom w:val="nil"/>
              <w:right w:val="single" w:sz="4" w:space="0" w:color="auto"/>
            </w:tcBorders>
            <w:shd w:val="clear" w:color="auto" w:fill="auto"/>
            <w:noWrap/>
            <w:hideMark/>
          </w:tcPr>
          <w:p w14:paraId="7209D6F0" w14:textId="282BEA8C" w:rsidR="003847AF" w:rsidRPr="003847AF" w:rsidRDefault="003847AF" w:rsidP="003847AF">
            <w:pPr>
              <w:spacing w:before="0"/>
              <w:jc w:val="right"/>
              <w:rPr>
                <w:color w:val="000000"/>
                <w:sz w:val="18"/>
                <w:szCs w:val="18"/>
              </w:rPr>
            </w:pPr>
            <w:r w:rsidRPr="003847AF">
              <w:rPr>
                <w:rFonts w:eastAsia="Calibri" w:cs="Calibri"/>
                <w:sz w:val="18"/>
                <w:szCs w:val="18"/>
              </w:rPr>
              <w:t>19 928</w:t>
            </w:r>
          </w:p>
        </w:tc>
      </w:tr>
      <w:tr w:rsidR="003847AF" w:rsidRPr="003847AF" w14:paraId="00BE2870" w14:textId="77777777" w:rsidTr="003A64C9">
        <w:tc>
          <w:tcPr>
            <w:tcW w:w="2998" w:type="pct"/>
            <w:tcBorders>
              <w:top w:val="nil"/>
              <w:left w:val="single" w:sz="4" w:space="0" w:color="auto"/>
              <w:bottom w:val="nil"/>
              <w:right w:val="nil"/>
            </w:tcBorders>
            <w:shd w:val="clear" w:color="auto" w:fill="auto"/>
            <w:hideMark/>
          </w:tcPr>
          <w:p w14:paraId="337DDABC"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供应商的增加（减少）</w:t>
            </w:r>
          </w:p>
        </w:tc>
        <w:tc>
          <w:tcPr>
            <w:tcW w:w="1001" w:type="pct"/>
            <w:tcBorders>
              <w:top w:val="nil"/>
              <w:left w:val="single" w:sz="4" w:space="0" w:color="auto"/>
              <w:bottom w:val="nil"/>
              <w:right w:val="single" w:sz="4" w:space="0" w:color="auto"/>
            </w:tcBorders>
            <w:shd w:val="clear" w:color="auto" w:fill="auto"/>
            <w:noWrap/>
            <w:hideMark/>
          </w:tcPr>
          <w:p w14:paraId="7E3D270C" w14:textId="1F68114F" w:rsidR="003847AF" w:rsidRPr="003847AF" w:rsidRDefault="003847AF" w:rsidP="003847AF">
            <w:pPr>
              <w:spacing w:before="0"/>
              <w:jc w:val="right"/>
              <w:rPr>
                <w:sz w:val="18"/>
                <w:szCs w:val="18"/>
              </w:rPr>
            </w:pPr>
            <w:r w:rsidRPr="003847AF">
              <w:rPr>
                <w:rFonts w:eastAsia="Calibri" w:cs="Calibri"/>
                <w:sz w:val="18"/>
                <w:szCs w:val="18"/>
              </w:rPr>
              <w:t>781</w:t>
            </w:r>
          </w:p>
        </w:tc>
        <w:tc>
          <w:tcPr>
            <w:tcW w:w="1001" w:type="pct"/>
            <w:tcBorders>
              <w:top w:val="nil"/>
              <w:left w:val="nil"/>
              <w:bottom w:val="nil"/>
              <w:right w:val="single" w:sz="4" w:space="0" w:color="auto"/>
            </w:tcBorders>
            <w:shd w:val="clear" w:color="auto" w:fill="auto"/>
            <w:noWrap/>
            <w:hideMark/>
          </w:tcPr>
          <w:p w14:paraId="0B1005E0" w14:textId="034C9A92" w:rsidR="003847AF" w:rsidRPr="003847AF" w:rsidRDefault="003847AF" w:rsidP="003847AF">
            <w:pPr>
              <w:spacing w:before="0"/>
              <w:jc w:val="right"/>
              <w:rPr>
                <w:color w:val="000000"/>
                <w:sz w:val="18"/>
                <w:szCs w:val="18"/>
              </w:rPr>
            </w:pPr>
            <w:r w:rsidRPr="003847AF">
              <w:rPr>
                <w:rFonts w:eastAsia="Calibri" w:cs="Calibri"/>
                <w:sz w:val="18"/>
                <w:szCs w:val="18"/>
              </w:rPr>
              <w:t>-2 493</w:t>
            </w:r>
          </w:p>
        </w:tc>
      </w:tr>
      <w:tr w:rsidR="003847AF" w:rsidRPr="003847AF" w14:paraId="3C18BB56" w14:textId="77777777" w:rsidTr="003A64C9">
        <w:tc>
          <w:tcPr>
            <w:tcW w:w="2998" w:type="pct"/>
            <w:tcBorders>
              <w:top w:val="nil"/>
              <w:left w:val="single" w:sz="4" w:space="0" w:color="auto"/>
              <w:bottom w:val="nil"/>
              <w:right w:val="nil"/>
            </w:tcBorders>
            <w:shd w:val="clear" w:color="auto" w:fill="auto"/>
            <w:hideMark/>
          </w:tcPr>
          <w:p w14:paraId="1A21FDCC"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递延收入的增加（减少）</w:t>
            </w:r>
          </w:p>
        </w:tc>
        <w:tc>
          <w:tcPr>
            <w:tcW w:w="1001" w:type="pct"/>
            <w:tcBorders>
              <w:top w:val="nil"/>
              <w:left w:val="single" w:sz="4" w:space="0" w:color="auto"/>
              <w:bottom w:val="nil"/>
              <w:right w:val="single" w:sz="4" w:space="0" w:color="auto"/>
            </w:tcBorders>
            <w:shd w:val="clear" w:color="auto" w:fill="auto"/>
            <w:noWrap/>
            <w:hideMark/>
          </w:tcPr>
          <w:p w14:paraId="25123BED" w14:textId="7CFC234F" w:rsidR="003847AF" w:rsidRPr="003847AF" w:rsidRDefault="003847AF" w:rsidP="003847AF">
            <w:pPr>
              <w:spacing w:before="0"/>
              <w:jc w:val="right"/>
              <w:rPr>
                <w:sz w:val="18"/>
                <w:szCs w:val="18"/>
              </w:rPr>
            </w:pPr>
            <w:r w:rsidRPr="003847AF">
              <w:rPr>
                <w:rFonts w:eastAsia="Calibri" w:cs="Calibri"/>
                <w:sz w:val="18"/>
                <w:szCs w:val="18"/>
              </w:rPr>
              <w:t>-150</w:t>
            </w:r>
          </w:p>
        </w:tc>
        <w:tc>
          <w:tcPr>
            <w:tcW w:w="1001" w:type="pct"/>
            <w:tcBorders>
              <w:top w:val="nil"/>
              <w:left w:val="nil"/>
              <w:bottom w:val="nil"/>
              <w:right w:val="single" w:sz="4" w:space="0" w:color="auto"/>
            </w:tcBorders>
            <w:shd w:val="clear" w:color="auto" w:fill="auto"/>
            <w:noWrap/>
            <w:hideMark/>
          </w:tcPr>
          <w:p w14:paraId="4791B6A5" w14:textId="25C3ED81" w:rsidR="003847AF" w:rsidRPr="003847AF" w:rsidRDefault="003847AF" w:rsidP="003847AF">
            <w:pPr>
              <w:spacing w:before="0"/>
              <w:jc w:val="right"/>
              <w:rPr>
                <w:color w:val="000000"/>
                <w:sz w:val="18"/>
                <w:szCs w:val="18"/>
              </w:rPr>
            </w:pPr>
            <w:r w:rsidRPr="003847AF">
              <w:rPr>
                <w:rFonts w:eastAsia="Calibri" w:cs="Calibri"/>
                <w:sz w:val="18"/>
                <w:szCs w:val="18"/>
              </w:rPr>
              <w:t>-3 076</w:t>
            </w:r>
          </w:p>
        </w:tc>
      </w:tr>
      <w:tr w:rsidR="003847AF" w:rsidRPr="003847AF" w14:paraId="0BC656A2" w14:textId="77777777" w:rsidTr="003A64C9">
        <w:tc>
          <w:tcPr>
            <w:tcW w:w="2998" w:type="pct"/>
            <w:tcBorders>
              <w:top w:val="nil"/>
              <w:left w:val="single" w:sz="4" w:space="0" w:color="auto"/>
              <w:bottom w:val="nil"/>
              <w:right w:val="nil"/>
            </w:tcBorders>
            <w:shd w:val="clear" w:color="auto" w:fill="auto"/>
            <w:hideMark/>
          </w:tcPr>
          <w:p w14:paraId="1BD796E1"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其它债务的增加（减少）</w:t>
            </w:r>
          </w:p>
        </w:tc>
        <w:tc>
          <w:tcPr>
            <w:tcW w:w="1001" w:type="pct"/>
            <w:tcBorders>
              <w:top w:val="nil"/>
              <w:left w:val="single" w:sz="4" w:space="0" w:color="auto"/>
              <w:bottom w:val="nil"/>
              <w:right w:val="single" w:sz="4" w:space="0" w:color="auto"/>
            </w:tcBorders>
            <w:shd w:val="clear" w:color="auto" w:fill="auto"/>
            <w:noWrap/>
            <w:hideMark/>
          </w:tcPr>
          <w:p w14:paraId="38C3F7E7" w14:textId="0012021A" w:rsidR="003847AF" w:rsidRPr="003847AF" w:rsidRDefault="003847AF" w:rsidP="003847AF">
            <w:pPr>
              <w:spacing w:before="0"/>
              <w:jc w:val="right"/>
              <w:rPr>
                <w:color w:val="000000"/>
                <w:sz w:val="18"/>
                <w:szCs w:val="18"/>
              </w:rPr>
            </w:pPr>
            <w:r w:rsidRPr="003847AF">
              <w:rPr>
                <w:rFonts w:eastAsia="Calibri" w:cs="Calibri"/>
                <w:sz w:val="18"/>
                <w:szCs w:val="18"/>
              </w:rPr>
              <w:t>-149</w:t>
            </w:r>
          </w:p>
        </w:tc>
        <w:tc>
          <w:tcPr>
            <w:tcW w:w="1001" w:type="pct"/>
            <w:tcBorders>
              <w:top w:val="nil"/>
              <w:left w:val="nil"/>
              <w:bottom w:val="nil"/>
              <w:right w:val="single" w:sz="4" w:space="0" w:color="auto"/>
            </w:tcBorders>
            <w:shd w:val="clear" w:color="auto" w:fill="auto"/>
            <w:noWrap/>
            <w:hideMark/>
          </w:tcPr>
          <w:p w14:paraId="510A1B4E" w14:textId="5BD6BD6F" w:rsidR="003847AF" w:rsidRPr="003847AF" w:rsidRDefault="003847AF" w:rsidP="003847AF">
            <w:pPr>
              <w:spacing w:before="0"/>
              <w:jc w:val="right"/>
              <w:rPr>
                <w:color w:val="000000"/>
                <w:sz w:val="18"/>
                <w:szCs w:val="18"/>
              </w:rPr>
            </w:pPr>
            <w:r w:rsidRPr="003847AF">
              <w:rPr>
                <w:rFonts w:eastAsia="Calibri" w:cs="Calibri"/>
                <w:sz w:val="18"/>
                <w:szCs w:val="18"/>
              </w:rPr>
              <w:t>-19 592</w:t>
            </w:r>
          </w:p>
        </w:tc>
      </w:tr>
      <w:tr w:rsidR="003847AF" w:rsidRPr="003847AF" w14:paraId="1DE79CE5" w14:textId="77777777" w:rsidTr="003A64C9">
        <w:tc>
          <w:tcPr>
            <w:tcW w:w="2998" w:type="pct"/>
            <w:tcBorders>
              <w:top w:val="nil"/>
              <w:left w:val="single" w:sz="4" w:space="0" w:color="auto"/>
              <w:bottom w:val="nil"/>
              <w:right w:val="nil"/>
            </w:tcBorders>
            <w:shd w:val="clear" w:color="auto" w:fill="auto"/>
            <w:hideMark/>
          </w:tcPr>
          <w:p w14:paraId="52F6296A"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职员福利准备金的使用（</w:t>
            </w:r>
            <w:r w:rsidRPr="003847AF">
              <w:rPr>
                <w:rFonts w:cs="Calibri"/>
                <w:sz w:val="18"/>
                <w:szCs w:val="18"/>
                <w:lang w:val="en-US" w:eastAsia="zh-CN"/>
              </w:rPr>
              <w:t>ST</w:t>
            </w:r>
            <w:r w:rsidRPr="003847AF">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hideMark/>
          </w:tcPr>
          <w:p w14:paraId="489FB9EC" w14:textId="1FD94C0A" w:rsidR="003847AF" w:rsidRPr="003847AF" w:rsidRDefault="003847AF" w:rsidP="003847AF">
            <w:pPr>
              <w:spacing w:before="0"/>
              <w:jc w:val="right"/>
              <w:rPr>
                <w:color w:val="000000"/>
                <w:sz w:val="18"/>
                <w:szCs w:val="18"/>
              </w:rPr>
            </w:pPr>
            <w:r w:rsidRPr="003847AF">
              <w:rPr>
                <w:rFonts w:eastAsia="Calibri" w:cs="Calibri"/>
                <w:sz w:val="18"/>
                <w:szCs w:val="18"/>
              </w:rPr>
              <w:t>-10</w:t>
            </w:r>
          </w:p>
        </w:tc>
        <w:tc>
          <w:tcPr>
            <w:tcW w:w="1001" w:type="pct"/>
            <w:tcBorders>
              <w:top w:val="nil"/>
              <w:left w:val="nil"/>
              <w:bottom w:val="nil"/>
              <w:right w:val="single" w:sz="4" w:space="0" w:color="auto"/>
            </w:tcBorders>
            <w:shd w:val="clear" w:color="auto" w:fill="auto"/>
            <w:noWrap/>
            <w:hideMark/>
          </w:tcPr>
          <w:p w14:paraId="32AC7A96" w14:textId="2F8F5F4F" w:rsidR="003847AF" w:rsidRPr="003847AF" w:rsidRDefault="003847AF" w:rsidP="003847AF">
            <w:pPr>
              <w:spacing w:before="0"/>
              <w:jc w:val="right"/>
              <w:rPr>
                <w:color w:val="000000"/>
                <w:sz w:val="18"/>
                <w:szCs w:val="18"/>
              </w:rPr>
            </w:pPr>
            <w:r w:rsidRPr="003847AF">
              <w:rPr>
                <w:rFonts w:eastAsia="Calibri" w:cs="Calibri"/>
                <w:sz w:val="18"/>
                <w:szCs w:val="18"/>
              </w:rPr>
              <w:t>-44</w:t>
            </w:r>
          </w:p>
        </w:tc>
      </w:tr>
      <w:tr w:rsidR="003847AF" w:rsidRPr="003847AF" w14:paraId="68554C99" w14:textId="77777777" w:rsidTr="003A64C9">
        <w:tc>
          <w:tcPr>
            <w:tcW w:w="2998" w:type="pct"/>
            <w:tcBorders>
              <w:top w:val="nil"/>
              <w:left w:val="single" w:sz="4" w:space="0" w:color="auto"/>
              <w:bottom w:val="nil"/>
              <w:right w:val="nil"/>
            </w:tcBorders>
            <w:shd w:val="clear" w:color="auto" w:fill="auto"/>
            <w:hideMark/>
          </w:tcPr>
          <w:p w14:paraId="597AACD8"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归国准备金的使用（</w:t>
            </w:r>
            <w:r w:rsidRPr="003847AF">
              <w:rPr>
                <w:rFonts w:cs="Calibri"/>
                <w:sz w:val="18"/>
                <w:szCs w:val="18"/>
                <w:lang w:val="en-US" w:eastAsia="zh-CN"/>
              </w:rPr>
              <w:t>LT</w:t>
            </w:r>
            <w:r w:rsidRPr="003847AF">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hideMark/>
          </w:tcPr>
          <w:p w14:paraId="5245C863" w14:textId="2BB22C0D" w:rsidR="003847AF" w:rsidRPr="003847AF" w:rsidRDefault="003847AF" w:rsidP="003847AF">
            <w:pPr>
              <w:spacing w:before="0"/>
              <w:jc w:val="right"/>
              <w:rPr>
                <w:color w:val="000000"/>
                <w:sz w:val="18"/>
                <w:szCs w:val="18"/>
              </w:rPr>
            </w:pPr>
            <w:r w:rsidRPr="003847AF">
              <w:rPr>
                <w:rFonts w:eastAsia="Calibri" w:cs="Calibri"/>
                <w:sz w:val="18"/>
                <w:szCs w:val="18"/>
              </w:rPr>
              <w:t>-404</w:t>
            </w:r>
          </w:p>
        </w:tc>
        <w:tc>
          <w:tcPr>
            <w:tcW w:w="1001" w:type="pct"/>
            <w:tcBorders>
              <w:top w:val="nil"/>
              <w:left w:val="nil"/>
              <w:bottom w:val="nil"/>
              <w:right w:val="single" w:sz="4" w:space="0" w:color="auto"/>
            </w:tcBorders>
            <w:shd w:val="clear" w:color="auto" w:fill="auto"/>
            <w:noWrap/>
            <w:hideMark/>
          </w:tcPr>
          <w:p w14:paraId="5A2569B6" w14:textId="4EBDD2E6" w:rsidR="003847AF" w:rsidRPr="003847AF" w:rsidRDefault="003847AF" w:rsidP="003847AF">
            <w:pPr>
              <w:spacing w:before="0"/>
              <w:jc w:val="right"/>
              <w:rPr>
                <w:color w:val="000000"/>
                <w:sz w:val="18"/>
                <w:szCs w:val="18"/>
              </w:rPr>
            </w:pPr>
            <w:r w:rsidRPr="003847AF">
              <w:rPr>
                <w:rFonts w:eastAsia="Calibri" w:cs="Calibri"/>
                <w:sz w:val="18"/>
                <w:szCs w:val="18"/>
              </w:rPr>
              <w:t>-265</w:t>
            </w:r>
          </w:p>
        </w:tc>
      </w:tr>
      <w:tr w:rsidR="003847AF" w:rsidRPr="003847AF" w14:paraId="51E5FD5B" w14:textId="77777777" w:rsidTr="003A64C9">
        <w:tc>
          <w:tcPr>
            <w:tcW w:w="2998" w:type="pct"/>
            <w:tcBorders>
              <w:top w:val="nil"/>
              <w:left w:val="single" w:sz="4" w:space="0" w:color="auto"/>
              <w:bottom w:val="nil"/>
              <w:right w:val="nil"/>
            </w:tcBorders>
            <w:shd w:val="clear" w:color="auto" w:fill="auto"/>
            <w:hideMark/>
          </w:tcPr>
          <w:p w14:paraId="2B686F7C"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应计休假准备金的使用（</w:t>
            </w:r>
            <w:r w:rsidRPr="003847AF">
              <w:rPr>
                <w:rFonts w:cs="Calibri"/>
                <w:sz w:val="18"/>
                <w:szCs w:val="18"/>
                <w:lang w:val="en-US" w:eastAsia="zh-CN"/>
              </w:rPr>
              <w:t>LT</w:t>
            </w:r>
            <w:r w:rsidRPr="003847AF">
              <w:rPr>
                <w:rFonts w:cs="Calibri" w:hint="eastAsia"/>
                <w:sz w:val="18"/>
                <w:szCs w:val="18"/>
                <w:lang w:val="en-US" w:eastAsia="zh-CN"/>
              </w:rPr>
              <w:t>）</w:t>
            </w:r>
          </w:p>
        </w:tc>
        <w:tc>
          <w:tcPr>
            <w:tcW w:w="1001" w:type="pct"/>
            <w:tcBorders>
              <w:top w:val="nil"/>
              <w:left w:val="single" w:sz="4" w:space="0" w:color="auto"/>
              <w:bottom w:val="nil"/>
              <w:right w:val="single" w:sz="4" w:space="0" w:color="auto"/>
            </w:tcBorders>
            <w:shd w:val="clear" w:color="auto" w:fill="auto"/>
            <w:noWrap/>
            <w:hideMark/>
          </w:tcPr>
          <w:p w14:paraId="6089C315" w14:textId="26CDBEB6" w:rsidR="003847AF" w:rsidRPr="003847AF" w:rsidRDefault="003847AF" w:rsidP="003847AF">
            <w:pPr>
              <w:spacing w:before="0"/>
              <w:jc w:val="right"/>
              <w:rPr>
                <w:color w:val="000000"/>
                <w:sz w:val="18"/>
                <w:szCs w:val="18"/>
              </w:rPr>
            </w:pPr>
            <w:r w:rsidRPr="003847AF">
              <w:rPr>
                <w:rFonts w:eastAsia="Calibri" w:cs="Calibri"/>
                <w:sz w:val="18"/>
                <w:szCs w:val="18"/>
              </w:rPr>
              <w:t>-536</w:t>
            </w:r>
          </w:p>
        </w:tc>
        <w:tc>
          <w:tcPr>
            <w:tcW w:w="1001" w:type="pct"/>
            <w:tcBorders>
              <w:top w:val="nil"/>
              <w:left w:val="nil"/>
              <w:bottom w:val="nil"/>
              <w:right w:val="single" w:sz="4" w:space="0" w:color="auto"/>
            </w:tcBorders>
            <w:shd w:val="clear" w:color="auto" w:fill="auto"/>
            <w:noWrap/>
            <w:hideMark/>
          </w:tcPr>
          <w:p w14:paraId="200DF112" w14:textId="072173E0" w:rsidR="003847AF" w:rsidRPr="003847AF" w:rsidRDefault="003847AF" w:rsidP="003847AF">
            <w:pPr>
              <w:spacing w:before="0"/>
              <w:jc w:val="right"/>
              <w:rPr>
                <w:color w:val="000000"/>
                <w:sz w:val="18"/>
                <w:szCs w:val="18"/>
              </w:rPr>
            </w:pPr>
            <w:r w:rsidRPr="003847AF">
              <w:rPr>
                <w:rFonts w:eastAsia="Calibri" w:cs="Calibri"/>
                <w:sz w:val="18"/>
                <w:szCs w:val="18"/>
              </w:rPr>
              <w:t>-597</w:t>
            </w:r>
          </w:p>
        </w:tc>
      </w:tr>
      <w:tr w:rsidR="003847AF" w:rsidRPr="003847AF" w14:paraId="570D49C1" w14:textId="77777777" w:rsidTr="003A64C9">
        <w:tc>
          <w:tcPr>
            <w:tcW w:w="2998" w:type="pct"/>
            <w:tcBorders>
              <w:top w:val="nil"/>
              <w:left w:val="single" w:sz="4" w:space="0" w:color="auto"/>
              <w:bottom w:val="nil"/>
              <w:right w:val="nil"/>
            </w:tcBorders>
            <w:shd w:val="clear" w:color="auto" w:fill="auto"/>
            <w:hideMark/>
          </w:tcPr>
          <w:p w14:paraId="7F356046"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增加（减少）</w:t>
            </w:r>
            <w:r w:rsidRPr="003847AF">
              <w:rPr>
                <w:rFonts w:cs="Calibri"/>
                <w:sz w:val="18"/>
                <w:szCs w:val="18"/>
                <w:lang w:val="en-US" w:eastAsia="zh-CN"/>
              </w:rPr>
              <w:t xml:space="preserve"> – </w:t>
            </w:r>
            <w:r w:rsidRPr="003847AF">
              <w:rPr>
                <w:rFonts w:cs="Calibri" w:hint="eastAsia"/>
                <w:sz w:val="18"/>
                <w:szCs w:val="18"/>
                <w:lang w:val="en-US" w:eastAsia="zh-CN"/>
              </w:rPr>
              <w:t>其它准备金</w:t>
            </w:r>
          </w:p>
        </w:tc>
        <w:tc>
          <w:tcPr>
            <w:tcW w:w="1001" w:type="pct"/>
            <w:tcBorders>
              <w:top w:val="nil"/>
              <w:left w:val="single" w:sz="4" w:space="0" w:color="auto"/>
              <w:bottom w:val="nil"/>
              <w:right w:val="single" w:sz="4" w:space="0" w:color="auto"/>
            </w:tcBorders>
            <w:shd w:val="clear" w:color="auto" w:fill="auto"/>
            <w:noWrap/>
            <w:hideMark/>
          </w:tcPr>
          <w:p w14:paraId="3DBB63ED" w14:textId="73216623" w:rsidR="003847AF" w:rsidRPr="003847AF" w:rsidRDefault="003847AF" w:rsidP="003847AF">
            <w:pPr>
              <w:spacing w:before="0"/>
              <w:jc w:val="right"/>
              <w:rPr>
                <w:color w:val="000000"/>
                <w:sz w:val="18"/>
                <w:szCs w:val="18"/>
              </w:rPr>
            </w:pPr>
            <w:r w:rsidRPr="003847AF">
              <w:rPr>
                <w:rFonts w:eastAsia="Calibri" w:cs="Calibri"/>
                <w:sz w:val="18"/>
                <w:szCs w:val="18"/>
              </w:rPr>
              <w:t>-141</w:t>
            </w:r>
          </w:p>
        </w:tc>
        <w:tc>
          <w:tcPr>
            <w:tcW w:w="1001" w:type="pct"/>
            <w:tcBorders>
              <w:top w:val="nil"/>
              <w:left w:val="nil"/>
              <w:bottom w:val="nil"/>
              <w:right w:val="single" w:sz="4" w:space="0" w:color="auto"/>
            </w:tcBorders>
            <w:shd w:val="clear" w:color="auto" w:fill="auto"/>
            <w:noWrap/>
            <w:hideMark/>
          </w:tcPr>
          <w:p w14:paraId="58F556BC" w14:textId="4D3568FF" w:rsidR="003847AF" w:rsidRPr="003847AF" w:rsidRDefault="003847AF" w:rsidP="003847AF">
            <w:pPr>
              <w:spacing w:before="0"/>
              <w:jc w:val="right"/>
              <w:rPr>
                <w:color w:val="000000"/>
                <w:sz w:val="18"/>
                <w:szCs w:val="18"/>
              </w:rPr>
            </w:pPr>
            <w:r w:rsidRPr="003847AF">
              <w:rPr>
                <w:rFonts w:eastAsia="Calibri" w:cs="Calibri"/>
                <w:sz w:val="18"/>
                <w:szCs w:val="18"/>
              </w:rPr>
              <w:t>-386</w:t>
            </w:r>
          </w:p>
        </w:tc>
      </w:tr>
      <w:tr w:rsidR="003847AF" w:rsidRPr="003847AF" w14:paraId="57921CF2" w14:textId="77777777" w:rsidTr="003A64C9">
        <w:tc>
          <w:tcPr>
            <w:tcW w:w="2998" w:type="pct"/>
            <w:tcBorders>
              <w:top w:val="nil"/>
              <w:left w:val="single" w:sz="4" w:space="0" w:color="auto"/>
              <w:bottom w:val="nil"/>
              <w:right w:val="nil"/>
            </w:tcBorders>
            <w:shd w:val="clear" w:color="auto" w:fill="auto"/>
            <w:hideMark/>
          </w:tcPr>
          <w:p w14:paraId="33D35AB0"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第三方资金的增加（减少）</w:t>
            </w:r>
          </w:p>
        </w:tc>
        <w:tc>
          <w:tcPr>
            <w:tcW w:w="1001" w:type="pct"/>
            <w:tcBorders>
              <w:top w:val="nil"/>
              <w:left w:val="single" w:sz="4" w:space="0" w:color="auto"/>
              <w:bottom w:val="nil"/>
              <w:right w:val="single" w:sz="4" w:space="0" w:color="auto"/>
            </w:tcBorders>
            <w:shd w:val="clear" w:color="auto" w:fill="auto"/>
            <w:noWrap/>
            <w:hideMark/>
          </w:tcPr>
          <w:p w14:paraId="4E4AE927" w14:textId="7DF8668E" w:rsidR="003847AF" w:rsidRPr="003847AF" w:rsidRDefault="003847AF" w:rsidP="003847AF">
            <w:pPr>
              <w:spacing w:before="0"/>
              <w:jc w:val="right"/>
              <w:rPr>
                <w:sz w:val="18"/>
                <w:szCs w:val="18"/>
              </w:rPr>
            </w:pPr>
            <w:r w:rsidRPr="003847AF">
              <w:rPr>
                <w:rFonts w:eastAsia="Calibri" w:cs="Calibri"/>
                <w:sz w:val="18"/>
                <w:szCs w:val="18"/>
              </w:rPr>
              <w:t>7 237</w:t>
            </w:r>
          </w:p>
        </w:tc>
        <w:tc>
          <w:tcPr>
            <w:tcW w:w="1001" w:type="pct"/>
            <w:tcBorders>
              <w:top w:val="nil"/>
              <w:left w:val="nil"/>
              <w:bottom w:val="nil"/>
              <w:right w:val="single" w:sz="4" w:space="0" w:color="auto"/>
            </w:tcBorders>
            <w:shd w:val="clear" w:color="auto" w:fill="auto"/>
            <w:noWrap/>
            <w:hideMark/>
          </w:tcPr>
          <w:p w14:paraId="2ADF677E" w14:textId="71B8A120" w:rsidR="003847AF" w:rsidRPr="003847AF" w:rsidRDefault="003847AF" w:rsidP="003847AF">
            <w:pPr>
              <w:spacing w:before="0"/>
              <w:jc w:val="right"/>
              <w:rPr>
                <w:color w:val="000000"/>
                <w:sz w:val="18"/>
                <w:szCs w:val="18"/>
              </w:rPr>
            </w:pPr>
            <w:r w:rsidRPr="003847AF">
              <w:rPr>
                <w:rFonts w:eastAsia="Calibri" w:cs="Calibri"/>
                <w:sz w:val="18"/>
                <w:szCs w:val="18"/>
              </w:rPr>
              <w:t>4 458</w:t>
            </w:r>
          </w:p>
        </w:tc>
      </w:tr>
      <w:tr w:rsidR="003847AF" w:rsidRPr="003847AF" w14:paraId="6F427945" w14:textId="77777777" w:rsidTr="003A64C9">
        <w:tc>
          <w:tcPr>
            <w:tcW w:w="2998" w:type="pct"/>
            <w:tcBorders>
              <w:top w:val="nil"/>
              <w:left w:val="single" w:sz="4" w:space="0" w:color="auto"/>
              <w:bottom w:val="nil"/>
              <w:right w:val="nil"/>
            </w:tcBorders>
            <w:shd w:val="clear" w:color="auto" w:fill="auto"/>
            <w:hideMark/>
          </w:tcPr>
          <w:p w14:paraId="1B6D5765" w14:textId="77777777" w:rsidR="003847AF" w:rsidRPr="003847AF" w:rsidRDefault="003847AF" w:rsidP="003847AF">
            <w:pPr>
              <w:pStyle w:val="Tabletext"/>
              <w:spacing w:before="0"/>
              <w:rPr>
                <w:rFonts w:cs="Calibri"/>
                <w:sz w:val="18"/>
                <w:szCs w:val="18"/>
                <w:lang w:val="en-US"/>
              </w:rPr>
            </w:pPr>
            <w:r w:rsidRPr="003847AF">
              <w:rPr>
                <w:rFonts w:cs="Calibri" w:hint="eastAsia"/>
                <w:sz w:val="18"/>
                <w:szCs w:val="18"/>
                <w:lang w:val="en-US"/>
              </w:rPr>
              <w:t>自有资金的变化</w:t>
            </w:r>
          </w:p>
        </w:tc>
        <w:tc>
          <w:tcPr>
            <w:tcW w:w="1001" w:type="pct"/>
            <w:tcBorders>
              <w:top w:val="nil"/>
              <w:left w:val="single" w:sz="4" w:space="0" w:color="auto"/>
              <w:bottom w:val="nil"/>
              <w:right w:val="single" w:sz="4" w:space="0" w:color="auto"/>
            </w:tcBorders>
            <w:shd w:val="clear" w:color="auto" w:fill="auto"/>
            <w:noWrap/>
            <w:hideMark/>
          </w:tcPr>
          <w:p w14:paraId="4CBE6B3F" w14:textId="07A97E26" w:rsidR="003847AF" w:rsidRPr="003847AF" w:rsidRDefault="003847AF" w:rsidP="003847AF">
            <w:pPr>
              <w:spacing w:before="0"/>
              <w:jc w:val="right"/>
              <w:rPr>
                <w:sz w:val="18"/>
                <w:szCs w:val="18"/>
              </w:rPr>
            </w:pPr>
            <w:r w:rsidRPr="003847AF">
              <w:rPr>
                <w:rFonts w:eastAsia="Calibri" w:cs="Calibri"/>
                <w:sz w:val="18"/>
                <w:szCs w:val="18"/>
              </w:rPr>
              <w:t>751</w:t>
            </w:r>
          </w:p>
        </w:tc>
        <w:tc>
          <w:tcPr>
            <w:tcW w:w="1001" w:type="pct"/>
            <w:tcBorders>
              <w:top w:val="nil"/>
              <w:left w:val="nil"/>
              <w:bottom w:val="nil"/>
              <w:right w:val="single" w:sz="4" w:space="0" w:color="auto"/>
            </w:tcBorders>
            <w:shd w:val="clear" w:color="auto" w:fill="auto"/>
            <w:noWrap/>
            <w:hideMark/>
          </w:tcPr>
          <w:p w14:paraId="40253A83" w14:textId="4B3CEE7C" w:rsidR="003847AF" w:rsidRPr="003847AF" w:rsidRDefault="003847AF" w:rsidP="003847AF">
            <w:pPr>
              <w:spacing w:before="0"/>
              <w:jc w:val="right"/>
              <w:rPr>
                <w:color w:val="000000"/>
                <w:sz w:val="18"/>
                <w:szCs w:val="18"/>
              </w:rPr>
            </w:pPr>
            <w:r w:rsidRPr="003847AF">
              <w:rPr>
                <w:rFonts w:eastAsia="Calibri" w:cs="Calibri"/>
                <w:sz w:val="18"/>
                <w:szCs w:val="18"/>
              </w:rPr>
              <w:t>-15 877</w:t>
            </w:r>
          </w:p>
        </w:tc>
      </w:tr>
      <w:tr w:rsidR="003847AF" w:rsidRPr="003847AF" w14:paraId="68952322" w14:textId="77777777" w:rsidTr="003A64C9">
        <w:tc>
          <w:tcPr>
            <w:tcW w:w="2998" w:type="pct"/>
            <w:tcBorders>
              <w:top w:val="nil"/>
              <w:left w:val="single" w:sz="4" w:space="0" w:color="auto"/>
              <w:bottom w:val="nil"/>
              <w:right w:val="nil"/>
            </w:tcBorders>
            <w:shd w:val="clear" w:color="auto" w:fill="auto"/>
            <w:noWrap/>
            <w:vAlign w:val="bottom"/>
            <w:hideMark/>
          </w:tcPr>
          <w:p w14:paraId="6433496B" w14:textId="77777777" w:rsidR="003847AF" w:rsidRPr="003847AF" w:rsidRDefault="003847AF" w:rsidP="003847AF">
            <w:pPr>
              <w:overflowPunct/>
              <w:adjustRightInd/>
              <w:spacing w:before="0"/>
              <w:textAlignment w:val="auto"/>
              <w:rPr>
                <w:rFonts w:cs="Calibri"/>
                <w:color w:val="000000"/>
                <w:sz w:val="18"/>
                <w:szCs w:val="18"/>
                <w:lang w:val="en-US" w:eastAsia="zh-CN"/>
              </w:rPr>
            </w:pPr>
            <w:r w:rsidRPr="003847AF">
              <w:rPr>
                <w:rFonts w:cs="Calibri"/>
                <w:color w:val="000000"/>
                <w:sz w:val="18"/>
                <w:szCs w:val="18"/>
                <w:lang w:val="en-US" w:eastAsia="zh-CN"/>
              </w:rPr>
              <w:t> </w:t>
            </w:r>
          </w:p>
        </w:tc>
        <w:tc>
          <w:tcPr>
            <w:tcW w:w="1001" w:type="pct"/>
            <w:tcBorders>
              <w:top w:val="nil"/>
              <w:left w:val="single" w:sz="4" w:space="0" w:color="auto"/>
              <w:bottom w:val="nil"/>
              <w:right w:val="single" w:sz="4" w:space="0" w:color="auto"/>
            </w:tcBorders>
            <w:shd w:val="clear" w:color="auto" w:fill="auto"/>
            <w:noWrap/>
            <w:hideMark/>
          </w:tcPr>
          <w:p w14:paraId="1E9489BB" w14:textId="77777777" w:rsidR="003847AF" w:rsidRPr="003847AF" w:rsidRDefault="003847AF" w:rsidP="003847AF">
            <w:pPr>
              <w:spacing w:before="0"/>
              <w:jc w:val="right"/>
              <w:rPr>
                <w:sz w:val="18"/>
                <w:szCs w:val="18"/>
              </w:rPr>
            </w:pPr>
          </w:p>
        </w:tc>
        <w:tc>
          <w:tcPr>
            <w:tcW w:w="1001" w:type="pct"/>
            <w:tcBorders>
              <w:top w:val="nil"/>
              <w:left w:val="nil"/>
              <w:bottom w:val="nil"/>
              <w:right w:val="single" w:sz="4" w:space="0" w:color="auto"/>
            </w:tcBorders>
            <w:shd w:val="clear" w:color="auto" w:fill="auto"/>
            <w:noWrap/>
            <w:hideMark/>
          </w:tcPr>
          <w:p w14:paraId="43748813" w14:textId="77777777" w:rsidR="003847AF" w:rsidRPr="003847AF" w:rsidRDefault="003847AF" w:rsidP="003847AF">
            <w:pPr>
              <w:spacing w:before="0"/>
              <w:jc w:val="right"/>
              <w:rPr>
                <w:color w:val="000000"/>
                <w:sz w:val="18"/>
                <w:szCs w:val="18"/>
              </w:rPr>
            </w:pPr>
          </w:p>
        </w:tc>
      </w:tr>
      <w:tr w:rsidR="003847AF" w:rsidRPr="003847AF" w14:paraId="6CEFCF24" w14:textId="77777777" w:rsidTr="003A64C9">
        <w:tc>
          <w:tcPr>
            <w:tcW w:w="2998" w:type="pct"/>
            <w:tcBorders>
              <w:top w:val="single" w:sz="4" w:space="0" w:color="auto"/>
              <w:left w:val="single" w:sz="4" w:space="0" w:color="auto"/>
              <w:bottom w:val="single" w:sz="4" w:space="0" w:color="auto"/>
              <w:right w:val="nil"/>
            </w:tcBorders>
            <w:shd w:val="clear" w:color="auto" w:fill="auto"/>
            <w:hideMark/>
          </w:tcPr>
          <w:p w14:paraId="3C71AE36" w14:textId="77777777" w:rsidR="003847AF" w:rsidRPr="003847AF" w:rsidRDefault="003847AF" w:rsidP="003847AF">
            <w:pPr>
              <w:overflowPunct/>
              <w:adjustRightInd/>
              <w:spacing w:before="0" w:after="60"/>
              <w:textAlignment w:val="auto"/>
              <w:rPr>
                <w:rFonts w:cs="Calibri"/>
                <w:b/>
                <w:bCs/>
                <w:color w:val="000000"/>
                <w:sz w:val="18"/>
                <w:szCs w:val="18"/>
                <w:lang w:val="en-US" w:eastAsia="zh-CN"/>
              </w:rPr>
            </w:pPr>
            <w:r w:rsidRPr="003847AF">
              <w:rPr>
                <w:rFonts w:cs="Calibri" w:hint="eastAsia"/>
                <w:b/>
                <w:bCs/>
                <w:sz w:val="18"/>
                <w:szCs w:val="18"/>
                <w:lang w:val="en-US"/>
              </w:rPr>
              <w:t>营运活动的现金流</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14:paraId="703525CE" w14:textId="427D32FD" w:rsidR="003847AF" w:rsidRPr="003847AF" w:rsidRDefault="003847AF" w:rsidP="003847AF">
            <w:pPr>
              <w:spacing w:before="0"/>
              <w:jc w:val="right"/>
              <w:rPr>
                <w:b/>
                <w:bCs/>
                <w:sz w:val="18"/>
                <w:szCs w:val="18"/>
              </w:rPr>
            </w:pPr>
            <w:r w:rsidRPr="003847AF">
              <w:rPr>
                <w:rFonts w:eastAsia="Calibri" w:cs="Calibri"/>
                <w:b/>
                <w:sz w:val="18"/>
                <w:szCs w:val="18"/>
              </w:rPr>
              <w:t xml:space="preserve">21 180 </w:t>
            </w:r>
          </w:p>
        </w:tc>
        <w:tc>
          <w:tcPr>
            <w:tcW w:w="1001" w:type="pct"/>
            <w:tcBorders>
              <w:top w:val="single" w:sz="4" w:space="0" w:color="auto"/>
              <w:left w:val="nil"/>
              <w:bottom w:val="single" w:sz="4" w:space="0" w:color="auto"/>
              <w:right w:val="single" w:sz="4" w:space="0" w:color="auto"/>
            </w:tcBorders>
            <w:shd w:val="clear" w:color="auto" w:fill="auto"/>
            <w:hideMark/>
          </w:tcPr>
          <w:p w14:paraId="41F84805" w14:textId="74640032" w:rsidR="003847AF" w:rsidRPr="003847AF" w:rsidRDefault="003847AF" w:rsidP="003847AF">
            <w:pPr>
              <w:spacing w:before="0"/>
              <w:jc w:val="right"/>
              <w:rPr>
                <w:b/>
                <w:bCs/>
                <w:color w:val="000000"/>
                <w:sz w:val="18"/>
                <w:szCs w:val="18"/>
              </w:rPr>
            </w:pPr>
            <w:r w:rsidRPr="003847AF">
              <w:rPr>
                <w:rFonts w:eastAsia="Calibri" w:cs="Calibri"/>
                <w:b/>
                <w:sz w:val="18"/>
                <w:szCs w:val="18"/>
              </w:rPr>
              <w:t xml:space="preserve">-21 146 </w:t>
            </w:r>
          </w:p>
        </w:tc>
      </w:tr>
      <w:tr w:rsidR="003847AF" w:rsidRPr="003847AF" w14:paraId="55A0430E" w14:textId="77777777" w:rsidTr="003A64C9">
        <w:tc>
          <w:tcPr>
            <w:tcW w:w="2998" w:type="pct"/>
            <w:tcBorders>
              <w:top w:val="nil"/>
              <w:left w:val="single" w:sz="4" w:space="0" w:color="auto"/>
              <w:bottom w:val="nil"/>
              <w:right w:val="nil"/>
            </w:tcBorders>
            <w:shd w:val="clear" w:color="auto" w:fill="auto"/>
            <w:hideMark/>
          </w:tcPr>
          <w:p w14:paraId="46EA846D" w14:textId="77777777" w:rsidR="003847AF" w:rsidRPr="003847AF" w:rsidRDefault="003847AF" w:rsidP="003847AF">
            <w:pPr>
              <w:overflowPunct/>
              <w:adjustRightInd/>
              <w:spacing w:before="0"/>
              <w:textAlignment w:val="auto"/>
              <w:rPr>
                <w:rFonts w:cs="Calibri"/>
                <w:color w:val="000000"/>
                <w:sz w:val="18"/>
                <w:szCs w:val="18"/>
                <w:lang w:val="en-US" w:eastAsia="zh-CN"/>
              </w:rPr>
            </w:pPr>
            <w:r w:rsidRPr="003847AF">
              <w:rPr>
                <w:rFonts w:cs="Calibri"/>
                <w:color w:val="000000"/>
                <w:sz w:val="18"/>
                <w:szCs w:val="18"/>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14:paraId="2DE71640" w14:textId="77777777" w:rsidR="003847AF" w:rsidRPr="003847AF" w:rsidRDefault="003847AF" w:rsidP="003847AF">
            <w:pPr>
              <w:spacing w:before="0"/>
              <w:jc w:val="right"/>
              <w:rPr>
                <w:sz w:val="18"/>
                <w:szCs w:val="18"/>
              </w:rPr>
            </w:pPr>
          </w:p>
        </w:tc>
        <w:tc>
          <w:tcPr>
            <w:tcW w:w="1001" w:type="pct"/>
            <w:tcBorders>
              <w:top w:val="nil"/>
              <w:left w:val="nil"/>
              <w:bottom w:val="nil"/>
              <w:right w:val="single" w:sz="4" w:space="0" w:color="auto"/>
            </w:tcBorders>
            <w:shd w:val="clear" w:color="auto" w:fill="auto"/>
            <w:noWrap/>
            <w:vAlign w:val="bottom"/>
            <w:hideMark/>
          </w:tcPr>
          <w:p w14:paraId="154D6820" w14:textId="77777777" w:rsidR="003847AF" w:rsidRPr="003847AF" w:rsidRDefault="003847AF" w:rsidP="003847AF">
            <w:pPr>
              <w:spacing w:before="0"/>
              <w:jc w:val="right"/>
              <w:rPr>
                <w:color w:val="000000"/>
                <w:sz w:val="18"/>
                <w:szCs w:val="18"/>
              </w:rPr>
            </w:pPr>
          </w:p>
        </w:tc>
      </w:tr>
      <w:tr w:rsidR="003847AF" w:rsidRPr="003847AF" w14:paraId="7F1C7162" w14:textId="77777777" w:rsidTr="003A64C9">
        <w:tc>
          <w:tcPr>
            <w:tcW w:w="2998" w:type="pct"/>
            <w:tcBorders>
              <w:top w:val="nil"/>
              <w:left w:val="single" w:sz="4" w:space="0" w:color="auto"/>
              <w:bottom w:val="nil"/>
              <w:right w:val="nil"/>
            </w:tcBorders>
            <w:shd w:val="clear" w:color="auto" w:fill="auto"/>
            <w:hideMark/>
          </w:tcPr>
          <w:p w14:paraId="0039491B" w14:textId="77777777" w:rsidR="003847AF" w:rsidRPr="003847AF" w:rsidRDefault="003847AF" w:rsidP="003847AF">
            <w:pPr>
              <w:overflowPunct/>
              <w:adjustRightInd/>
              <w:spacing w:before="0" w:after="60"/>
              <w:textAlignment w:val="auto"/>
              <w:rPr>
                <w:rFonts w:cs="Calibri"/>
                <w:b/>
                <w:bCs/>
                <w:color w:val="000000"/>
                <w:sz w:val="18"/>
                <w:szCs w:val="18"/>
                <w:lang w:val="en-US" w:eastAsia="zh-CN"/>
              </w:rPr>
            </w:pPr>
            <w:r w:rsidRPr="003847AF">
              <w:rPr>
                <w:rFonts w:cs="Calibri" w:hint="eastAsia"/>
                <w:b/>
                <w:bCs/>
                <w:sz w:val="18"/>
                <w:szCs w:val="18"/>
                <w:lang w:val="en-US" w:eastAsia="zh-CN"/>
              </w:rPr>
              <w:t>投资活动的现金流净值</w:t>
            </w:r>
          </w:p>
        </w:tc>
        <w:tc>
          <w:tcPr>
            <w:tcW w:w="1001" w:type="pct"/>
            <w:tcBorders>
              <w:top w:val="nil"/>
              <w:left w:val="single" w:sz="4" w:space="0" w:color="auto"/>
              <w:bottom w:val="nil"/>
              <w:right w:val="single" w:sz="4" w:space="0" w:color="auto"/>
            </w:tcBorders>
            <w:shd w:val="clear" w:color="auto" w:fill="auto"/>
            <w:noWrap/>
            <w:vAlign w:val="bottom"/>
            <w:hideMark/>
          </w:tcPr>
          <w:p w14:paraId="30B63C31" w14:textId="77777777" w:rsidR="003847AF" w:rsidRPr="003847AF" w:rsidRDefault="003847AF" w:rsidP="003847AF">
            <w:pPr>
              <w:spacing w:before="0"/>
              <w:jc w:val="right"/>
              <w:rPr>
                <w:sz w:val="18"/>
                <w:szCs w:val="18"/>
                <w:lang w:eastAsia="zh-CN"/>
              </w:rPr>
            </w:pPr>
          </w:p>
        </w:tc>
        <w:tc>
          <w:tcPr>
            <w:tcW w:w="1001" w:type="pct"/>
            <w:tcBorders>
              <w:top w:val="nil"/>
              <w:left w:val="nil"/>
              <w:bottom w:val="nil"/>
              <w:right w:val="single" w:sz="4" w:space="0" w:color="auto"/>
            </w:tcBorders>
            <w:shd w:val="clear" w:color="auto" w:fill="auto"/>
            <w:noWrap/>
            <w:vAlign w:val="bottom"/>
            <w:hideMark/>
          </w:tcPr>
          <w:p w14:paraId="5A300429" w14:textId="77777777" w:rsidR="003847AF" w:rsidRPr="003847AF" w:rsidRDefault="003847AF" w:rsidP="003847AF">
            <w:pPr>
              <w:spacing w:before="0"/>
              <w:jc w:val="right"/>
              <w:rPr>
                <w:color w:val="000000"/>
                <w:sz w:val="18"/>
                <w:szCs w:val="18"/>
                <w:lang w:eastAsia="zh-CN"/>
              </w:rPr>
            </w:pPr>
          </w:p>
        </w:tc>
      </w:tr>
      <w:tr w:rsidR="003847AF" w:rsidRPr="003847AF" w14:paraId="36E8850B" w14:textId="77777777" w:rsidTr="003A64C9">
        <w:tc>
          <w:tcPr>
            <w:tcW w:w="2998" w:type="pct"/>
            <w:tcBorders>
              <w:top w:val="nil"/>
              <w:left w:val="single" w:sz="4" w:space="0" w:color="auto"/>
              <w:bottom w:val="nil"/>
              <w:right w:val="nil"/>
            </w:tcBorders>
            <w:shd w:val="clear" w:color="auto" w:fill="auto"/>
            <w:hideMark/>
          </w:tcPr>
          <w:p w14:paraId="0136AA4D" w14:textId="77777777" w:rsidR="003847AF" w:rsidRPr="003847AF" w:rsidRDefault="003847AF" w:rsidP="003847AF">
            <w:pPr>
              <w:pStyle w:val="Tabletext"/>
              <w:spacing w:before="0"/>
              <w:rPr>
                <w:rFonts w:cs="Calibri"/>
                <w:sz w:val="18"/>
                <w:szCs w:val="18"/>
                <w:lang w:val="en-US"/>
              </w:rPr>
            </w:pPr>
            <w:r w:rsidRPr="003847AF">
              <w:rPr>
                <w:rFonts w:cs="Calibri" w:hint="eastAsia"/>
                <w:sz w:val="18"/>
                <w:szCs w:val="18"/>
                <w:lang w:val="en-US"/>
              </w:rPr>
              <w:t>（增加）</w:t>
            </w:r>
            <w:r w:rsidRPr="003847AF">
              <w:rPr>
                <w:rFonts w:cs="Calibri" w:hint="eastAsia"/>
                <w:sz w:val="18"/>
                <w:szCs w:val="18"/>
                <w:lang w:val="en-US"/>
              </w:rPr>
              <w:t>/</w:t>
            </w:r>
            <w:r w:rsidRPr="003847AF">
              <w:rPr>
                <w:rFonts w:cs="Calibri" w:hint="eastAsia"/>
                <w:sz w:val="18"/>
                <w:szCs w:val="18"/>
                <w:lang w:val="en-US"/>
              </w:rPr>
              <w:t>减少</w:t>
            </w:r>
            <w:r w:rsidRPr="003847AF">
              <w:rPr>
                <w:rFonts w:cs="Calibri"/>
                <w:sz w:val="18"/>
                <w:szCs w:val="18"/>
                <w:lang w:val="en-US"/>
              </w:rPr>
              <w:t xml:space="preserve"> –</w:t>
            </w:r>
            <w:r w:rsidRPr="003847AF">
              <w:rPr>
                <w:rFonts w:cs="Calibri" w:hint="eastAsia"/>
                <w:sz w:val="18"/>
                <w:szCs w:val="18"/>
                <w:lang w:val="en-US" w:eastAsia="zh-CN"/>
              </w:rPr>
              <w:t xml:space="preserve"> </w:t>
            </w:r>
            <w:r w:rsidRPr="003847AF">
              <w:rPr>
                <w:rFonts w:cs="Calibri" w:hint="eastAsia"/>
                <w:sz w:val="18"/>
                <w:szCs w:val="18"/>
                <w:lang w:val="en-US"/>
              </w:rPr>
              <w:t>投资</w:t>
            </w:r>
          </w:p>
        </w:tc>
        <w:tc>
          <w:tcPr>
            <w:tcW w:w="1001" w:type="pct"/>
            <w:tcBorders>
              <w:top w:val="nil"/>
              <w:left w:val="single" w:sz="4" w:space="0" w:color="auto"/>
              <w:bottom w:val="nil"/>
              <w:right w:val="single" w:sz="4" w:space="0" w:color="auto"/>
            </w:tcBorders>
            <w:shd w:val="clear" w:color="auto" w:fill="auto"/>
            <w:noWrap/>
            <w:vAlign w:val="bottom"/>
            <w:hideMark/>
          </w:tcPr>
          <w:p w14:paraId="292FFC74" w14:textId="428C4564" w:rsidR="003847AF" w:rsidRPr="003847AF" w:rsidRDefault="003847AF" w:rsidP="003847AF">
            <w:pPr>
              <w:spacing w:before="0"/>
              <w:jc w:val="right"/>
              <w:rPr>
                <w:sz w:val="18"/>
                <w:szCs w:val="18"/>
              </w:rPr>
            </w:pPr>
            <w:r w:rsidRPr="003847AF">
              <w:rPr>
                <w:rFonts w:eastAsia="Calibri" w:cs="Calibri"/>
                <w:sz w:val="18"/>
                <w:szCs w:val="18"/>
              </w:rPr>
              <w:t>483</w:t>
            </w:r>
          </w:p>
        </w:tc>
        <w:tc>
          <w:tcPr>
            <w:tcW w:w="1001" w:type="pct"/>
            <w:tcBorders>
              <w:top w:val="nil"/>
              <w:left w:val="nil"/>
              <w:bottom w:val="nil"/>
              <w:right w:val="single" w:sz="4" w:space="0" w:color="auto"/>
            </w:tcBorders>
            <w:shd w:val="clear" w:color="auto" w:fill="auto"/>
            <w:noWrap/>
            <w:vAlign w:val="bottom"/>
            <w:hideMark/>
          </w:tcPr>
          <w:p w14:paraId="30F4B5A0" w14:textId="334EA7B0" w:rsidR="003847AF" w:rsidRPr="003847AF" w:rsidRDefault="003847AF" w:rsidP="003847AF">
            <w:pPr>
              <w:spacing w:before="0"/>
              <w:jc w:val="right"/>
              <w:rPr>
                <w:sz w:val="18"/>
                <w:szCs w:val="18"/>
              </w:rPr>
            </w:pPr>
            <w:r w:rsidRPr="003847AF">
              <w:rPr>
                <w:rFonts w:eastAsia="Calibri" w:cs="Calibri"/>
                <w:sz w:val="18"/>
                <w:szCs w:val="18"/>
              </w:rPr>
              <w:t>-62 188</w:t>
            </w:r>
          </w:p>
        </w:tc>
      </w:tr>
      <w:tr w:rsidR="003847AF" w:rsidRPr="003847AF" w14:paraId="12DF527F" w14:textId="77777777" w:rsidTr="003A64C9">
        <w:tc>
          <w:tcPr>
            <w:tcW w:w="2998" w:type="pct"/>
            <w:tcBorders>
              <w:top w:val="nil"/>
              <w:left w:val="single" w:sz="4" w:space="0" w:color="auto"/>
              <w:bottom w:val="nil"/>
              <w:right w:val="nil"/>
            </w:tcBorders>
            <w:shd w:val="clear" w:color="auto" w:fill="auto"/>
            <w:hideMark/>
          </w:tcPr>
          <w:p w14:paraId="1144C4E3" w14:textId="77777777" w:rsidR="003847AF" w:rsidRPr="003847AF" w:rsidRDefault="003847AF" w:rsidP="003847AF">
            <w:pPr>
              <w:pStyle w:val="Tabletext"/>
              <w:spacing w:before="0"/>
              <w:rPr>
                <w:rFonts w:cs="Calibri"/>
                <w:sz w:val="18"/>
                <w:szCs w:val="18"/>
                <w:lang w:val="en-US"/>
              </w:rPr>
            </w:pPr>
            <w:r w:rsidRPr="003847AF">
              <w:rPr>
                <w:rFonts w:cs="Calibri" w:hint="eastAsia"/>
                <w:sz w:val="18"/>
                <w:szCs w:val="18"/>
                <w:lang w:val="en-US"/>
              </w:rPr>
              <w:t>短期投资利息</w:t>
            </w:r>
          </w:p>
        </w:tc>
        <w:tc>
          <w:tcPr>
            <w:tcW w:w="1001" w:type="pct"/>
            <w:tcBorders>
              <w:top w:val="nil"/>
              <w:left w:val="single" w:sz="4" w:space="0" w:color="auto"/>
              <w:bottom w:val="nil"/>
              <w:right w:val="single" w:sz="4" w:space="0" w:color="auto"/>
            </w:tcBorders>
            <w:shd w:val="clear" w:color="auto" w:fill="auto"/>
            <w:noWrap/>
            <w:hideMark/>
          </w:tcPr>
          <w:p w14:paraId="1641F802" w14:textId="3F125B71" w:rsidR="003847AF" w:rsidRPr="003847AF" w:rsidRDefault="003847AF" w:rsidP="003847AF">
            <w:pPr>
              <w:spacing w:before="0"/>
              <w:jc w:val="right"/>
              <w:rPr>
                <w:sz w:val="18"/>
                <w:szCs w:val="18"/>
              </w:rPr>
            </w:pPr>
            <w:r w:rsidRPr="003847AF">
              <w:rPr>
                <w:rFonts w:eastAsia="Calibri" w:cs="Calibri"/>
                <w:sz w:val="18"/>
                <w:szCs w:val="18"/>
              </w:rPr>
              <w:t>241</w:t>
            </w:r>
          </w:p>
        </w:tc>
        <w:tc>
          <w:tcPr>
            <w:tcW w:w="1001" w:type="pct"/>
            <w:tcBorders>
              <w:top w:val="nil"/>
              <w:left w:val="nil"/>
              <w:bottom w:val="nil"/>
              <w:right w:val="single" w:sz="4" w:space="0" w:color="auto"/>
            </w:tcBorders>
            <w:shd w:val="clear" w:color="auto" w:fill="auto"/>
            <w:noWrap/>
            <w:hideMark/>
          </w:tcPr>
          <w:p w14:paraId="7BD41966" w14:textId="55B6D51D" w:rsidR="003847AF" w:rsidRPr="003847AF" w:rsidRDefault="003847AF" w:rsidP="003847AF">
            <w:pPr>
              <w:spacing w:before="0"/>
              <w:jc w:val="right"/>
              <w:rPr>
                <w:sz w:val="18"/>
                <w:szCs w:val="18"/>
              </w:rPr>
            </w:pPr>
            <w:r w:rsidRPr="003847AF">
              <w:rPr>
                <w:rFonts w:eastAsia="Calibri" w:cs="Calibri"/>
                <w:sz w:val="18"/>
                <w:szCs w:val="18"/>
              </w:rPr>
              <w:t>400</w:t>
            </w:r>
          </w:p>
        </w:tc>
      </w:tr>
      <w:tr w:rsidR="003847AF" w:rsidRPr="003847AF" w14:paraId="76D15C0D" w14:textId="77777777" w:rsidTr="003A64C9">
        <w:tc>
          <w:tcPr>
            <w:tcW w:w="2998" w:type="pct"/>
            <w:tcBorders>
              <w:top w:val="nil"/>
              <w:left w:val="single" w:sz="4" w:space="0" w:color="auto"/>
              <w:bottom w:val="nil"/>
              <w:right w:val="nil"/>
            </w:tcBorders>
            <w:shd w:val="clear" w:color="auto" w:fill="auto"/>
            <w:hideMark/>
          </w:tcPr>
          <w:p w14:paraId="1C6C901B" w14:textId="77777777" w:rsidR="003847AF" w:rsidRPr="003847AF" w:rsidRDefault="003847AF" w:rsidP="003847AF">
            <w:pPr>
              <w:overflowPunct/>
              <w:adjustRightInd/>
              <w:spacing w:before="0" w:after="60"/>
              <w:textAlignment w:val="auto"/>
              <w:rPr>
                <w:rFonts w:cs="Calibri"/>
                <w:color w:val="000000"/>
                <w:sz w:val="18"/>
                <w:szCs w:val="18"/>
                <w:lang w:val="en-US" w:eastAsia="zh-CN"/>
              </w:rPr>
            </w:pPr>
            <w:r w:rsidRPr="003847AF">
              <w:rPr>
                <w:rFonts w:cs="Calibri" w:hint="eastAsia"/>
                <w:sz w:val="18"/>
                <w:szCs w:val="18"/>
                <w:lang w:val="en-US" w:eastAsia="zh-CN"/>
              </w:rPr>
              <w:t>物业、机器和设备的（购置）</w:t>
            </w:r>
            <w:r w:rsidRPr="003847AF">
              <w:rPr>
                <w:rFonts w:cs="Calibri" w:hint="eastAsia"/>
                <w:sz w:val="18"/>
                <w:szCs w:val="18"/>
                <w:lang w:val="en-US" w:eastAsia="zh-CN"/>
              </w:rPr>
              <w:t>/</w:t>
            </w:r>
            <w:r w:rsidRPr="003847AF">
              <w:rPr>
                <w:rFonts w:cs="Calibri" w:hint="eastAsia"/>
                <w:sz w:val="18"/>
                <w:szCs w:val="18"/>
                <w:lang w:val="en-US" w:eastAsia="zh-CN"/>
              </w:rPr>
              <w:t>销售</w:t>
            </w:r>
          </w:p>
        </w:tc>
        <w:tc>
          <w:tcPr>
            <w:tcW w:w="1001" w:type="pct"/>
            <w:tcBorders>
              <w:top w:val="nil"/>
              <w:left w:val="single" w:sz="4" w:space="0" w:color="auto"/>
              <w:bottom w:val="nil"/>
              <w:right w:val="single" w:sz="4" w:space="0" w:color="auto"/>
            </w:tcBorders>
            <w:shd w:val="clear" w:color="auto" w:fill="auto"/>
            <w:noWrap/>
            <w:hideMark/>
          </w:tcPr>
          <w:p w14:paraId="0BE1179B" w14:textId="3E00970F" w:rsidR="003847AF" w:rsidRPr="003847AF" w:rsidRDefault="003847AF" w:rsidP="003847AF">
            <w:pPr>
              <w:spacing w:before="0"/>
              <w:jc w:val="right"/>
              <w:rPr>
                <w:sz w:val="18"/>
                <w:szCs w:val="18"/>
              </w:rPr>
            </w:pPr>
            <w:r w:rsidRPr="003847AF">
              <w:rPr>
                <w:rFonts w:eastAsia="Calibri" w:cs="Calibri"/>
                <w:sz w:val="18"/>
                <w:szCs w:val="18"/>
              </w:rPr>
              <w:t>-2 213</w:t>
            </w:r>
          </w:p>
        </w:tc>
        <w:tc>
          <w:tcPr>
            <w:tcW w:w="1001" w:type="pct"/>
            <w:tcBorders>
              <w:top w:val="nil"/>
              <w:left w:val="nil"/>
              <w:bottom w:val="nil"/>
              <w:right w:val="single" w:sz="4" w:space="0" w:color="auto"/>
            </w:tcBorders>
            <w:shd w:val="clear" w:color="auto" w:fill="auto"/>
            <w:noWrap/>
            <w:hideMark/>
          </w:tcPr>
          <w:p w14:paraId="555346D6" w14:textId="5CAF6982" w:rsidR="003847AF" w:rsidRPr="003847AF" w:rsidRDefault="003847AF" w:rsidP="003847AF">
            <w:pPr>
              <w:spacing w:before="0"/>
              <w:jc w:val="right"/>
              <w:rPr>
                <w:sz w:val="18"/>
                <w:szCs w:val="18"/>
              </w:rPr>
            </w:pPr>
            <w:r w:rsidRPr="003847AF">
              <w:rPr>
                <w:rFonts w:eastAsia="Calibri" w:cs="Calibri"/>
                <w:sz w:val="18"/>
                <w:szCs w:val="18"/>
              </w:rPr>
              <w:t>-798</w:t>
            </w:r>
          </w:p>
        </w:tc>
      </w:tr>
      <w:tr w:rsidR="003847AF" w:rsidRPr="003847AF" w14:paraId="1A6B916A" w14:textId="77777777" w:rsidTr="003A64C9">
        <w:tc>
          <w:tcPr>
            <w:tcW w:w="2998" w:type="pct"/>
            <w:tcBorders>
              <w:top w:val="nil"/>
              <w:left w:val="single" w:sz="4" w:space="0" w:color="auto"/>
              <w:bottom w:val="nil"/>
              <w:right w:val="nil"/>
            </w:tcBorders>
            <w:shd w:val="clear" w:color="auto" w:fill="auto"/>
            <w:hideMark/>
          </w:tcPr>
          <w:p w14:paraId="58C55688" w14:textId="59BBD865" w:rsidR="003847AF" w:rsidRPr="003847AF" w:rsidRDefault="003847AF" w:rsidP="003847AF">
            <w:pPr>
              <w:overflowPunct/>
              <w:adjustRightInd/>
              <w:spacing w:before="0" w:after="60"/>
              <w:textAlignment w:val="auto"/>
              <w:rPr>
                <w:rFonts w:cs="Calibri"/>
                <w:color w:val="000000"/>
                <w:sz w:val="18"/>
                <w:szCs w:val="18"/>
                <w:lang w:val="en-US" w:eastAsia="zh-CN"/>
              </w:rPr>
            </w:pPr>
            <w:r w:rsidRPr="003847AF">
              <w:rPr>
                <w:rFonts w:cs="Calibri" w:hint="eastAsia"/>
                <w:sz w:val="18"/>
                <w:szCs w:val="18"/>
                <w:lang w:val="en-US" w:eastAsia="zh-CN"/>
              </w:rPr>
              <w:t>无形资产的（购置）</w:t>
            </w:r>
            <w:r w:rsidRPr="003847AF">
              <w:rPr>
                <w:rFonts w:cs="Calibri" w:hint="eastAsia"/>
                <w:sz w:val="18"/>
                <w:szCs w:val="18"/>
                <w:lang w:val="en-US" w:eastAsia="zh-CN"/>
              </w:rPr>
              <w:t>/</w:t>
            </w:r>
            <w:r w:rsidRPr="003847AF">
              <w:rPr>
                <w:rFonts w:cs="Calibri" w:hint="eastAsia"/>
                <w:sz w:val="18"/>
                <w:szCs w:val="18"/>
                <w:lang w:val="en-US" w:eastAsia="zh-CN"/>
              </w:rPr>
              <w:t>销售</w:t>
            </w:r>
          </w:p>
        </w:tc>
        <w:tc>
          <w:tcPr>
            <w:tcW w:w="1001" w:type="pct"/>
            <w:tcBorders>
              <w:top w:val="nil"/>
              <w:left w:val="single" w:sz="4" w:space="0" w:color="auto"/>
              <w:bottom w:val="nil"/>
              <w:right w:val="single" w:sz="4" w:space="0" w:color="auto"/>
            </w:tcBorders>
            <w:shd w:val="clear" w:color="auto" w:fill="auto"/>
            <w:noWrap/>
            <w:hideMark/>
          </w:tcPr>
          <w:p w14:paraId="25958A55" w14:textId="5FB06F96" w:rsidR="003847AF" w:rsidRPr="003847AF" w:rsidRDefault="003847AF" w:rsidP="003847AF">
            <w:pPr>
              <w:spacing w:before="0"/>
              <w:jc w:val="right"/>
              <w:rPr>
                <w:sz w:val="18"/>
                <w:szCs w:val="18"/>
              </w:rPr>
            </w:pPr>
            <w:r w:rsidRPr="003847AF">
              <w:rPr>
                <w:rFonts w:eastAsia="Calibri" w:cs="Calibri"/>
                <w:sz w:val="18"/>
                <w:szCs w:val="18"/>
              </w:rPr>
              <w:t>-460</w:t>
            </w:r>
          </w:p>
        </w:tc>
        <w:tc>
          <w:tcPr>
            <w:tcW w:w="1001" w:type="pct"/>
            <w:tcBorders>
              <w:top w:val="nil"/>
              <w:left w:val="nil"/>
              <w:bottom w:val="nil"/>
              <w:right w:val="single" w:sz="4" w:space="0" w:color="auto"/>
            </w:tcBorders>
            <w:shd w:val="clear" w:color="auto" w:fill="auto"/>
            <w:noWrap/>
            <w:hideMark/>
          </w:tcPr>
          <w:p w14:paraId="74E89A12" w14:textId="6E538656" w:rsidR="003847AF" w:rsidRPr="003847AF" w:rsidRDefault="003847AF" w:rsidP="003847AF">
            <w:pPr>
              <w:spacing w:before="0"/>
              <w:jc w:val="right"/>
              <w:rPr>
                <w:sz w:val="18"/>
                <w:szCs w:val="18"/>
              </w:rPr>
            </w:pPr>
            <w:r w:rsidRPr="003847AF">
              <w:rPr>
                <w:rFonts w:eastAsia="Calibri" w:cs="Calibri"/>
                <w:sz w:val="18"/>
                <w:szCs w:val="18"/>
              </w:rPr>
              <w:t>-722</w:t>
            </w:r>
          </w:p>
        </w:tc>
      </w:tr>
      <w:tr w:rsidR="003847AF" w:rsidRPr="003847AF" w14:paraId="1D7182D2" w14:textId="77777777" w:rsidTr="003A64C9">
        <w:tc>
          <w:tcPr>
            <w:tcW w:w="2998" w:type="pct"/>
            <w:tcBorders>
              <w:top w:val="nil"/>
              <w:left w:val="single" w:sz="4" w:space="0" w:color="auto"/>
              <w:bottom w:val="nil"/>
              <w:right w:val="nil"/>
            </w:tcBorders>
            <w:shd w:val="clear" w:color="auto" w:fill="auto"/>
            <w:hideMark/>
          </w:tcPr>
          <w:p w14:paraId="2BB64023" w14:textId="37768AE9" w:rsidR="003847AF" w:rsidRPr="003847AF" w:rsidRDefault="003847AF" w:rsidP="003847AF">
            <w:pPr>
              <w:overflowPunct/>
              <w:adjustRightInd/>
              <w:spacing w:before="0" w:after="60"/>
              <w:textAlignment w:val="auto"/>
              <w:rPr>
                <w:rFonts w:cs="Calibri"/>
                <w:color w:val="000000"/>
                <w:sz w:val="18"/>
                <w:szCs w:val="18"/>
                <w:lang w:val="en-US" w:eastAsia="zh-CN"/>
              </w:rPr>
            </w:pPr>
            <w:r w:rsidRPr="003847AF">
              <w:rPr>
                <w:rFonts w:cs="Calibri" w:hint="eastAsia"/>
                <w:color w:val="000000"/>
                <w:sz w:val="18"/>
                <w:szCs w:val="18"/>
                <w:lang w:val="en-US" w:eastAsia="zh-CN"/>
              </w:rPr>
              <w:t>在建</w:t>
            </w:r>
            <w:r w:rsidRPr="003847AF">
              <w:rPr>
                <w:rFonts w:cs="Calibri"/>
                <w:color w:val="000000"/>
                <w:sz w:val="18"/>
                <w:szCs w:val="18"/>
                <w:lang w:val="en-US" w:eastAsia="zh-CN"/>
              </w:rPr>
              <w:t>资产的</w:t>
            </w:r>
            <w:r w:rsidRPr="003847AF">
              <w:rPr>
                <w:rFonts w:cs="Calibri" w:hint="eastAsia"/>
                <w:color w:val="000000"/>
                <w:sz w:val="18"/>
                <w:szCs w:val="18"/>
                <w:lang w:val="en-US" w:eastAsia="zh-CN"/>
              </w:rPr>
              <w:t>（采购）</w:t>
            </w:r>
            <w:r w:rsidRPr="003847AF">
              <w:rPr>
                <w:rFonts w:cs="Calibri"/>
                <w:color w:val="000000"/>
                <w:sz w:val="18"/>
                <w:szCs w:val="18"/>
                <w:lang w:val="en-US" w:eastAsia="zh-CN"/>
              </w:rPr>
              <w:t>/</w:t>
            </w:r>
            <w:r w:rsidRPr="003847AF">
              <w:rPr>
                <w:rFonts w:cs="Calibri"/>
                <w:color w:val="000000"/>
                <w:sz w:val="18"/>
                <w:szCs w:val="18"/>
                <w:lang w:val="en-US" w:eastAsia="zh-CN"/>
              </w:rPr>
              <w:t>销售</w:t>
            </w:r>
          </w:p>
        </w:tc>
        <w:tc>
          <w:tcPr>
            <w:tcW w:w="1001" w:type="pct"/>
            <w:tcBorders>
              <w:top w:val="nil"/>
              <w:left w:val="single" w:sz="4" w:space="0" w:color="auto"/>
              <w:bottom w:val="nil"/>
              <w:right w:val="single" w:sz="4" w:space="0" w:color="auto"/>
            </w:tcBorders>
            <w:shd w:val="clear" w:color="auto" w:fill="auto"/>
            <w:noWrap/>
            <w:hideMark/>
          </w:tcPr>
          <w:p w14:paraId="09C75423" w14:textId="759A3CC6" w:rsidR="003847AF" w:rsidRPr="003847AF" w:rsidRDefault="003847AF" w:rsidP="003847AF">
            <w:pPr>
              <w:spacing w:before="0"/>
              <w:jc w:val="right"/>
              <w:rPr>
                <w:sz w:val="18"/>
                <w:szCs w:val="18"/>
              </w:rPr>
            </w:pPr>
            <w:r w:rsidRPr="003847AF">
              <w:rPr>
                <w:rFonts w:eastAsia="Calibri" w:cs="Calibri"/>
                <w:sz w:val="18"/>
                <w:szCs w:val="18"/>
              </w:rPr>
              <w:t>-4 289</w:t>
            </w:r>
          </w:p>
        </w:tc>
        <w:tc>
          <w:tcPr>
            <w:tcW w:w="1001" w:type="pct"/>
            <w:tcBorders>
              <w:top w:val="nil"/>
              <w:left w:val="nil"/>
              <w:bottom w:val="nil"/>
              <w:right w:val="single" w:sz="4" w:space="0" w:color="auto"/>
            </w:tcBorders>
            <w:shd w:val="clear" w:color="auto" w:fill="auto"/>
            <w:noWrap/>
            <w:hideMark/>
          </w:tcPr>
          <w:p w14:paraId="3EF378E3" w14:textId="46D309DC" w:rsidR="003847AF" w:rsidRPr="003847AF" w:rsidRDefault="003847AF" w:rsidP="003847AF">
            <w:pPr>
              <w:spacing w:before="0"/>
              <w:jc w:val="right"/>
              <w:rPr>
                <w:sz w:val="18"/>
                <w:szCs w:val="18"/>
              </w:rPr>
            </w:pPr>
            <w:r w:rsidRPr="003847AF">
              <w:rPr>
                <w:rFonts w:eastAsia="Calibri" w:cs="Calibri"/>
                <w:sz w:val="18"/>
                <w:szCs w:val="18"/>
              </w:rPr>
              <w:t>-4 252</w:t>
            </w:r>
          </w:p>
        </w:tc>
      </w:tr>
      <w:tr w:rsidR="003847AF" w:rsidRPr="003847AF" w14:paraId="643BC513" w14:textId="77777777" w:rsidTr="003A64C9">
        <w:tc>
          <w:tcPr>
            <w:tcW w:w="2998" w:type="pct"/>
            <w:tcBorders>
              <w:top w:val="single" w:sz="4" w:space="0" w:color="auto"/>
              <w:left w:val="single" w:sz="4" w:space="0" w:color="auto"/>
              <w:bottom w:val="single" w:sz="4" w:space="0" w:color="auto"/>
              <w:right w:val="nil"/>
            </w:tcBorders>
            <w:shd w:val="clear" w:color="auto" w:fill="auto"/>
            <w:hideMark/>
          </w:tcPr>
          <w:p w14:paraId="26B46A6A" w14:textId="77777777" w:rsidR="003847AF" w:rsidRPr="003847AF" w:rsidRDefault="003847AF" w:rsidP="003847AF">
            <w:pPr>
              <w:overflowPunct/>
              <w:adjustRightInd/>
              <w:spacing w:before="0" w:after="60"/>
              <w:textAlignment w:val="auto"/>
              <w:rPr>
                <w:rFonts w:cs="Calibri"/>
                <w:b/>
                <w:bCs/>
                <w:color w:val="000000"/>
                <w:sz w:val="18"/>
                <w:szCs w:val="18"/>
                <w:lang w:val="en-US" w:eastAsia="zh-CN"/>
              </w:rPr>
            </w:pPr>
            <w:r w:rsidRPr="003847AF">
              <w:rPr>
                <w:rFonts w:cs="Calibri" w:hint="eastAsia"/>
                <w:b/>
                <w:bCs/>
                <w:sz w:val="18"/>
                <w:szCs w:val="18"/>
                <w:lang w:val="en-US" w:eastAsia="zh-CN"/>
              </w:rPr>
              <w:t>投资活动产生的现金流净值</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14:paraId="726319DB" w14:textId="65F5C1FD" w:rsidR="003847AF" w:rsidRPr="003847AF" w:rsidRDefault="003847AF" w:rsidP="003847AF">
            <w:pPr>
              <w:spacing w:before="0"/>
              <w:jc w:val="right"/>
              <w:rPr>
                <w:b/>
                <w:bCs/>
                <w:sz w:val="18"/>
                <w:szCs w:val="18"/>
              </w:rPr>
            </w:pPr>
            <w:r w:rsidRPr="003847AF">
              <w:rPr>
                <w:rFonts w:eastAsia="Calibri" w:cs="Calibri"/>
                <w:b/>
                <w:sz w:val="18"/>
                <w:szCs w:val="18"/>
              </w:rPr>
              <w:t xml:space="preserve">-6 238 </w:t>
            </w:r>
          </w:p>
        </w:tc>
        <w:tc>
          <w:tcPr>
            <w:tcW w:w="1001" w:type="pct"/>
            <w:tcBorders>
              <w:top w:val="single" w:sz="4" w:space="0" w:color="auto"/>
              <w:left w:val="nil"/>
              <w:bottom w:val="single" w:sz="4" w:space="0" w:color="auto"/>
              <w:right w:val="single" w:sz="4" w:space="0" w:color="auto"/>
            </w:tcBorders>
            <w:shd w:val="clear" w:color="auto" w:fill="auto"/>
            <w:hideMark/>
          </w:tcPr>
          <w:p w14:paraId="5EE3CCFC" w14:textId="02DB4D78" w:rsidR="003847AF" w:rsidRPr="003847AF" w:rsidRDefault="003847AF" w:rsidP="003847AF">
            <w:pPr>
              <w:spacing w:before="0"/>
              <w:jc w:val="right"/>
              <w:rPr>
                <w:b/>
                <w:bCs/>
                <w:color w:val="000000"/>
                <w:sz w:val="18"/>
                <w:szCs w:val="18"/>
              </w:rPr>
            </w:pPr>
            <w:r w:rsidRPr="003847AF">
              <w:rPr>
                <w:rFonts w:eastAsia="Calibri" w:cs="Calibri"/>
                <w:b/>
                <w:sz w:val="18"/>
                <w:szCs w:val="18"/>
              </w:rPr>
              <w:t xml:space="preserve">-67 560 </w:t>
            </w:r>
          </w:p>
        </w:tc>
      </w:tr>
      <w:tr w:rsidR="003847AF" w:rsidRPr="003847AF" w14:paraId="2C90BB16" w14:textId="77777777" w:rsidTr="003A64C9">
        <w:tc>
          <w:tcPr>
            <w:tcW w:w="2998" w:type="pct"/>
            <w:tcBorders>
              <w:top w:val="nil"/>
              <w:left w:val="single" w:sz="4" w:space="0" w:color="auto"/>
              <w:bottom w:val="nil"/>
              <w:right w:val="nil"/>
            </w:tcBorders>
            <w:shd w:val="clear" w:color="auto" w:fill="auto"/>
            <w:hideMark/>
          </w:tcPr>
          <w:p w14:paraId="64044876" w14:textId="77777777" w:rsidR="003847AF" w:rsidRPr="003847AF" w:rsidRDefault="003847AF" w:rsidP="003847AF">
            <w:pPr>
              <w:overflowPunct/>
              <w:adjustRightInd/>
              <w:spacing w:before="0"/>
              <w:textAlignment w:val="auto"/>
              <w:rPr>
                <w:rFonts w:cs="Calibri"/>
                <w:color w:val="000000"/>
                <w:sz w:val="18"/>
                <w:szCs w:val="18"/>
                <w:lang w:val="en-US" w:eastAsia="zh-CN"/>
              </w:rPr>
            </w:pPr>
            <w:r w:rsidRPr="003847AF">
              <w:rPr>
                <w:rFonts w:cs="Calibri"/>
                <w:color w:val="000000"/>
                <w:sz w:val="18"/>
                <w:szCs w:val="18"/>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14:paraId="135CB98D" w14:textId="77777777" w:rsidR="003847AF" w:rsidRPr="003847AF" w:rsidRDefault="003847AF" w:rsidP="003847AF">
            <w:pPr>
              <w:spacing w:before="0"/>
              <w:jc w:val="right"/>
              <w:rPr>
                <w:sz w:val="18"/>
                <w:szCs w:val="18"/>
              </w:rPr>
            </w:pPr>
          </w:p>
        </w:tc>
        <w:tc>
          <w:tcPr>
            <w:tcW w:w="1001" w:type="pct"/>
            <w:tcBorders>
              <w:top w:val="nil"/>
              <w:left w:val="nil"/>
              <w:bottom w:val="nil"/>
              <w:right w:val="single" w:sz="4" w:space="0" w:color="auto"/>
            </w:tcBorders>
            <w:shd w:val="clear" w:color="auto" w:fill="auto"/>
            <w:noWrap/>
            <w:vAlign w:val="bottom"/>
            <w:hideMark/>
          </w:tcPr>
          <w:p w14:paraId="6747122A" w14:textId="77777777" w:rsidR="003847AF" w:rsidRPr="003847AF" w:rsidRDefault="003847AF" w:rsidP="003847AF">
            <w:pPr>
              <w:spacing w:before="0"/>
              <w:jc w:val="right"/>
              <w:rPr>
                <w:color w:val="000000"/>
                <w:sz w:val="18"/>
                <w:szCs w:val="18"/>
              </w:rPr>
            </w:pPr>
          </w:p>
        </w:tc>
      </w:tr>
      <w:tr w:rsidR="003847AF" w:rsidRPr="003847AF" w14:paraId="250CEC26" w14:textId="77777777" w:rsidTr="003A64C9">
        <w:tc>
          <w:tcPr>
            <w:tcW w:w="2998" w:type="pct"/>
            <w:tcBorders>
              <w:top w:val="nil"/>
              <w:left w:val="single" w:sz="4" w:space="0" w:color="auto"/>
              <w:bottom w:val="nil"/>
              <w:right w:val="nil"/>
            </w:tcBorders>
            <w:shd w:val="clear" w:color="auto" w:fill="auto"/>
            <w:hideMark/>
          </w:tcPr>
          <w:p w14:paraId="47660F10" w14:textId="77777777" w:rsidR="003847AF" w:rsidRPr="003847AF" w:rsidRDefault="003847AF" w:rsidP="003847AF">
            <w:pPr>
              <w:pStyle w:val="Tabletext"/>
              <w:spacing w:before="0"/>
              <w:rPr>
                <w:rFonts w:cs="Calibri"/>
                <w:sz w:val="18"/>
                <w:szCs w:val="18"/>
                <w:lang w:val="en-US" w:eastAsia="zh-CN"/>
              </w:rPr>
            </w:pPr>
            <w:r w:rsidRPr="003847AF">
              <w:rPr>
                <w:rFonts w:cs="Calibri" w:hint="eastAsia"/>
                <w:b/>
                <w:bCs/>
                <w:sz w:val="18"/>
                <w:szCs w:val="18"/>
                <w:lang w:val="en-US" w:eastAsia="zh-CN"/>
              </w:rPr>
              <w:t>财务活动产生的现金流</w:t>
            </w:r>
          </w:p>
        </w:tc>
        <w:tc>
          <w:tcPr>
            <w:tcW w:w="1001" w:type="pct"/>
            <w:tcBorders>
              <w:top w:val="nil"/>
              <w:left w:val="single" w:sz="4" w:space="0" w:color="auto"/>
              <w:bottom w:val="nil"/>
              <w:right w:val="single" w:sz="4" w:space="0" w:color="auto"/>
            </w:tcBorders>
            <w:shd w:val="clear" w:color="auto" w:fill="auto"/>
            <w:noWrap/>
            <w:vAlign w:val="bottom"/>
            <w:hideMark/>
          </w:tcPr>
          <w:p w14:paraId="315CAB03" w14:textId="77777777" w:rsidR="003847AF" w:rsidRPr="003847AF" w:rsidRDefault="003847AF" w:rsidP="003847AF">
            <w:pPr>
              <w:spacing w:before="0"/>
              <w:jc w:val="right"/>
              <w:rPr>
                <w:sz w:val="18"/>
                <w:szCs w:val="18"/>
                <w:lang w:eastAsia="zh-CN"/>
              </w:rPr>
            </w:pPr>
          </w:p>
        </w:tc>
        <w:tc>
          <w:tcPr>
            <w:tcW w:w="1001" w:type="pct"/>
            <w:tcBorders>
              <w:top w:val="nil"/>
              <w:left w:val="nil"/>
              <w:bottom w:val="nil"/>
              <w:right w:val="single" w:sz="4" w:space="0" w:color="auto"/>
            </w:tcBorders>
            <w:shd w:val="clear" w:color="auto" w:fill="auto"/>
            <w:noWrap/>
            <w:vAlign w:val="bottom"/>
            <w:hideMark/>
          </w:tcPr>
          <w:p w14:paraId="4B194F88" w14:textId="77777777" w:rsidR="003847AF" w:rsidRPr="003847AF" w:rsidRDefault="003847AF" w:rsidP="003847AF">
            <w:pPr>
              <w:spacing w:before="0"/>
              <w:jc w:val="right"/>
              <w:rPr>
                <w:color w:val="000000"/>
                <w:sz w:val="18"/>
                <w:szCs w:val="18"/>
                <w:lang w:eastAsia="zh-CN"/>
              </w:rPr>
            </w:pPr>
          </w:p>
        </w:tc>
      </w:tr>
      <w:tr w:rsidR="003847AF" w:rsidRPr="003847AF" w14:paraId="29897AAC" w14:textId="77777777" w:rsidTr="003A64C9">
        <w:tc>
          <w:tcPr>
            <w:tcW w:w="2998" w:type="pct"/>
            <w:tcBorders>
              <w:top w:val="nil"/>
              <w:left w:val="single" w:sz="4" w:space="0" w:color="auto"/>
              <w:bottom w:val="nil"/>
              <w:right w:val="nil"/>
            </w:tcBorders>
            <w:shd w:val="clear" w:color="auto" w:fill="auto"/>
            <w:hideMark/>
          </w:tcPr>
          <w:p w14:paraId="7BCC3C2D" w14:textId="77777777" w:rsidR="003847AF" w:rsidRPr="003847AF" w:rsidRDefault="003847AF" w:rsidP="003847AF">
            <w:pPr>
              <w:pStyle w:val="Tabletext"/>
              <w:spacing w:before="0"/>
              <w:rPr>
                <w:rFonts w:cs="Calibri"/>
                <w:sz w:val="18"/>
                <w:szCs w:val="18"/>
                <w:lang w:val="en-US" w:eastAsia="zh-CN"/>
              </w:rPr>
            </w:pPr>
            <w:r w:rsidRPr="003847AF">
              <w:rPr>
                <w:rFonts w:cs="Calibri" w:hint="eastAsia"/>
                <w:sz w:val="18"/>
                <w:szCs w:val="18"/>
                <w:lang w:val="en-US" w:eastAsia="zh-CN"/>
              </w:rPr>
              <w:t>FIPOI</w:t>
            </w:r>
            <w:r w:rsidRPr="003847AF">
              <w:rPr>
                <w:rFonts w:cs="Calibri" w:hint="eastAsia"/>
                <w:sz w:val="18"/>
                <w:szCs w:val="18"/>
                <w:lang w:val="en-US" w:eastAsia="zh-CN"/>
              </w:rPr>
              <w:t>贷款投资（增加）</w:t>
            </w:r>
            <w:r w:rsidRPr="003847AF">
              <w:rPr>
                <w:rFonts w:cs="Calibri" w:hint="eastAsia"/>
                <w:sz w:val="18"/>
                <w:szCs w:val="18"/>
                <w:lang w:val="en-US" w:eastAsia="zh-CN"/>
              </w:rPr>
              <w:t>/</w:t>
            </w:r>
            <w:r w:rsidRPr="003847AF">
              <w:rPr>
                <w:rFonts w:cs="Calibri" w:hint="eastAsia"/>
                <w:sz w:val="18"/>
                <w:szCs w:val="18"/>
                <w:lang w:val="en-US" w:eastAsia="zh-CN"/>
              </w:rPr>
              <w:t>减少</w:t>
            </w:r>
          </w:p>
        </w:tc>
        <w:tc>
          <w:tcPr>
            <w:tcW w:w="1001" w:type="pct"/>
            <w:tcBorders>
              <w:top w:val="nil"/>
              <w:left w:val="single" w:sz="4" w:space="0" w:color="auto"/>
              <w:bottom w:val="nil"/>
              <w:right w:val="single" w:sz="4" w:space="0" w:color="auto"/>
            </w:tcBorders>
            <w:shd w:val="clear" w:color="auto" w:fill="auto"/>
            <w:noWrap/>
            <w:vAlign w:val="bottom"/>
            <w:hideMark/>
          </w:tcPr>
          <w:p w14:paraId="652D8A66" w14:textId="1A96BEF8" w:rsidR="003847AF" w:rsidRPr="003847AF" w:rsidRDefault="003847AF" w:rsidP="003847AF">
            <w:pPr>
              <w:spacing w:before="0"/>
              <w:jc w:val="right"/>
              <w:rPr>
                <w:sz w:val="18"/>
                <w:szCs w:val="18"/>
              </w:rPr>
            </w:pPr>
            <w:r w:rsidRPr="003847AF">
              <w:rPr>
                <w:rFonts w:eastAsia="Calibri" w:cs="Calibri"/>
                <w:sz w:val="18"/>
                <w:szCs w:val="18"/>
              </w:rPr>
              <w:t>6 272</w:t>
            </w:r>
          </w:p>
        </w:tc>
        <w:tc>
          <w:tcPr>
            <w:tcW w:w="1001" w:type="pct"/>
            <w:tcBorders>
              <w:top w:val="nil"/>
              <w:left w:val="nil"/>
              <w:bottom w:val="nil"/>
              <w:right w:val="single" w:sz="4" w:space="0" w:color="auto"/>
            </w:tcBorders>
            <w:shd w:val="clear" w:color="auto" w:fill="auto"/>
            <w:noWrap/>
            <w:vAlign w:val="bottom"/>
            <w:hideMark/>
          </w:tcPr>
          <w:p w14:paraId="1F23553B" w14:textId="50A09ED9" w:rsidR="003847AF" w:rsidRPr="003847AF" w:rsidRDefault="003847AF" w:rsidP="003847AF">
            <w:pPr>
              <w:spacing w:before="0"/>
              <w:jc w:val="right"/>
              <w:rPr>
                <w:sz w:val="18"/>
                <w:szCs w:val="18"/>
              </w:rPr>
            </w:pPr>
            <w:r w:rsidRPr="003847AF">
              <w:rPr>
                <w:rFonts w:eastAsia="Calibri" w:cs="Calibri"/>
                <w:sz w:val="18"/>
                <w:szCs w:val="18"/>
              </w:rPr>
              <w:t>2 161</w:t>
            </w:r>
          </w:p>
        </w:tc>
      </w:tr>
      <w:tr w:rsidR="003847AF" w:rsidRPr="003847AF" w14:paraId="3755E29D" w14:textId="77777777" w:rsidTr="003A64C9">
        <w:tc>
          <w:tcPr>
            <w:tcW w:w="2998" w:type="pct"/>
            <w:tcBorders>
              <w:top w:val="single" w:sz="4" w:space="0" w:color="auto"/>
              <w:left w:val="single" w:sz="4" w:space="0" w:color="auto"/>
              <w:bottom w:val="single" w:sz="4" w:space="0" w:color="auto"/>
              <w:right w:val="nil"/>
            </w:tcBorders>
            <w:shd w:val="clear" w:color="auto" w:fill="auto"/>
            <w:hideMark/>
          </w:tcPr>
          <w:p w14:paraId="1A33E1D8" w14:textId="77777777" w:rsidR="003847AF" w:rsidRPr="003847AF" w:rsidRDefault="003847AF" w:rsidP="003847AF">
            <w:pPr>
              <w:overflowPunct/>
              <w:adjustRightInd/>
              <w:spacing w:before="0" w:after="60"/>
              <w:textAlignment w:val="auto"/>
              <w:rPr>
                <w:rFonts w:cs="Calibri"/>
                <w:b/>
                <w:bCs/>
                <w:color w:val="000000"/>
                <w:sz w:val="18"/>
                <w:szCs w:val="18"/>
                <w:lang w:val="en-US" w:eastAsia="zh-CN"/>
              </w:rPr>
            </w:pPr>
            <w:r w:rsidRPr="003847AF">
              <w:rPr>
                <w:rFonts w:cs="Calibri" w:hint="eastAsia"/>
                <w:b/>
                <w:bCs/>
                <w:sz w:val="18"/>
                <w:szCs w:val="18"/>
                <w:lang w:val="en-US" w:eastAsia="zh-CN"/>
              </w:rPr>
              <w:t>财务活动产生的现金流</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14:paraId="536BC846" w14:textId="7B240E7B" w:rsidR="003847AF" w:rsidRPr="003847AF" w:rsidRDefault="003847AF" w:rsidP="003847AF">
            <w:pPr>
              <w:spacing w:before="0"/>
              <w:jc w:val="right"/>
              <w:rPr>
                <w:b/>
                <w:bCs/>
                <w:sz w:val="18"/>
                <w:szCs w:val="18"/>
              </w:rPr>
            </w:pPr>
            <w:r w:rsidRPr="003847AF">
              <w:rPr>
                <w:rFonts w:eastAsia="Calibri" w:cs="Calibri"/>
                <w:b/>
                <w:sz w:val="18"/>
                <w:szCs w:val="18"/>
              </w:rPr>
              <w:t xml:space="preserve">6 272 </w:t>
            </w:r>
          </w:p>
        </w:tc>
        <w:tc>
          <w:tcPr>
            <w:tcW w:w="1001" w:type="pct"/>
            <w:tcBorders>
              <w:top w:val="single" w:sz="4" w:space="0" w:color="auto"/>
              <w:left w:val="nil"/>
              <w:bottom w:val="single" w:sz="4" w:space="0" w:color="auto"/>
              <w:right w:val="single" w:sz="4" w:space="0" w:color="auto"/>
            </w:tcBorders>
            <w:shd w:val="clear" w:color="auto" w:fill="auto"/>
            <w:hideMark/>
          </w:tcPr>
          <w:p w14:paraId="68EF1718" w14:textId="5F1FCF62" w:rsidR="003847AF" w:rsidRPr="003847AF" w:rsidRDefault="003847AF" w:rsidP="003847AF">
            <w:pPr>
              <w:spacing w:before="0"/>
              <w:jc w:val="right"/>
              <w:rPr>
                <w:b/>
                <w:bCs/>
                <w:color w:val="000000"/>
                <w:sz w:val="18"/>
                <w:szCs w:val="18"/>
              </w:rPr>
            </w:pPr>
            <w:r w:rsidRPr="003847AF">
              <w:rPr>
                <w:rFonts w:eastAsia="Calibri" w:cs="Calibri"/>
                <w:b/>
                <w:sz w:val="18"/>
                <w:szCs w:val="18"/>
              </w:rPr>
              <w:t xml:space="preserve">2 161 </w:t>
            </w:r>
          </w:p>
        </w:tc>
      </w:tr>
      <w:tr w:rsidR="003847AF" w:rsidRPr="003847AF" w14:paraId="7B07CFDF" w14:textId="77777777" w:rsidTr="003A64C9">
        <w:tc>
          <w:tcPr>
            <w:tcW w:w="2998" w:type="pct"/>
            <w:tcBorders>
              <w:top w:val="nil"/>
              <w:left w:val="single" w:sz="4" w:space="0" w:color="auto"/>
              <w:bottom w:val="nil"/>
              <w:right w:val="nil"/>
            </w:tcBorders>
            <w:shd w:val="clear" w:color="auto" w:fill="auto"/>
            <w:hideMark/>
          </w:tcPr>
          <w:p w14:paraId="74E37447" w14:textId="77777777" w:rsidR="003847AF" w:rsidRPr="003847AF" w:rsidRDefault="003847AF" w:rsidP="003847AF">
            <w:pPr>
              <w:overflowPunct/>
              <w:adjustRightInd/>
              <w:spacing w:before="0"/>
              <w:textAlignment w:val="auto"/>
              <w:rPr>
                <w:rFonts w:cs="Calibri"/>
                <w:b/>
                <w:bCs/>
                <w:color w:val="000000"/>
                <w:sz w:val="18"/>
                <w:szCs w:val="18"/>
                <w:lang w:val="en-US" w:eastAsia="zh-CN"/>
              </w:rPr>
            </w:pPr>
            <w:r w:rsidRPr="003847AF">
              <w:rPr>
                <w:rFonts w:cs="Calibri"/>
                <w:b/>
                <w:bCs/>
                <w:color w:val="000000"/>
                <w:sz w:val="18"/>
                <w:szCs w:val="18"/>
                <w:lang w:val="en-US" w:eastAsia="zh-CN"/>
              </w:rPr>
              <w:t> </w:t>
            </w:r>
          </w:p>
        </w:tc>
        <w:tc>
          <w:tcPr>
            <w:tcW w:w="1001" w:type="pct"/>
            <w:tcBorders>
              <w:top w:val="nil"/>
              <w:left w:val="single" w:sz="4" w:space="0" w:color="auto"/>
              <w:bottom w:val="nil"/>
              <w:right w:val="single" w:sz="4" w:space="0" w:color="auto"/>
            </w:tcBorders>
            <w:shd w:val="clear" w:color="auto" w:fill="auto"/>
            <w:noWrap/>
            <w:hideMark/>
          </w:tcPr>
          <w:p w14:paraId="54F0C06D" w14:textId="77777777" w:rsidR="003847AF" w:rsidRPr="003847AF" w:rsidRDefault="003847AF" w:rsidP="003847AF">
            <w:pPr>
              <w:spacing w:before="0"/>
              <w:jc w:val="right"/>
              <w:rPr>
                <w:sz w:val="18"/>
                <w:szCs w:val="18"/>
              </w:rPr>
            </w:pPr>
          </w:p>
        </w:tc>
        <w:tc>
          <w:tcPr>
            <w:tcW w:w="1001" w:type="pct"/>
            <w:tcBorders>
              <w:top w:val="nil"/>
              <w:left w:val="nil"/>
              <w:bottom w:val="nil"/>
              <w:right w:val="single" w:sz="4" w:space="0" w:color="auto"/>
            </w:tcBorders>
            <w:shd w:val="clear" w:color="auto" w:fill="auto"/>
            <w:noWrap/>
            <w:hideMark/>
          </w:tcPr>
          <w:p w14:paraId="33130085" w14:textId="77777777" w:rsidR="003847AF" w:rsidRPr="003847AF" w:rsidRDefault="003847AF" w:rsidP="003847AF">
            <w:pPr>
              <w:spacing w:before="0"/>
              <w:jc w:val="right"/>
              <w:rPr>
                <w:color w:val="000000"/>
                <w:sz w:val="18"/>
                <w:szCs w:val="18"/>
              </w:rPr>
            </w:pPr>
          </w:p>
        </w:tc>
      </w:tr>
      <w:tr w:rsidR="003847AF" w:rsidRPr="003847AF" w14:paraId="2536C020" w14:textId="77777777" w:rsidTr="003A64C9">
        <w:tc>
          <w:tcPr>
            <w:tcW w:w="2998" w:type="pct"/>
            <w:tcBorders>
              <w:top w:val="single" w:sz="4" w:space="0" w:color="auto"/>
              <w:left w:val="single" w:sz="4" w:space="0" w:color="auto"/>
              <w:bottom w:val="single" w:sz="4" w:space="0" w:color="auto"/>
              <w:right w:val="nil"/>
            </w:tcBorders>
            <w:shd w:val="clear" w:color="auto" w:fill="auto"/>
            <w:hideMark/>
          </w:tcPr>
          <w:p w14:paraId="75BE8AE1" w14:textId="77777777" w:rsidR="003847AF" w:rsidRPr="003847AF" w:rsidRDefault="003847AF" w:rsidP="003847AF">
            <w:pPr>
              <w:overflowPunct/>
              <w:adjustRightInd/>
              <w:spacing w:before="0" w:after="60"/>
              <w:textAlignment w:val="auto"/>
              <w:rPr>
                <w:rFonts w:cs="Calibri"/>
                <w:b/>
                <w:bCs/>
                <w:color w:val="000000"/>
                <w:sz w:val="18"/>
                <w:szCs w:val="18"/>
                <w:lang w:val="en-US" w:eastAsia="zh-CN"/>
              </w:rPr>
            </w:pPr>
            <w:r w:rsidRPr="003847AF">
              <w:rPr>
                <w:rFonts w:cs="Calibri" w:hint="eastAsia"/>
                <w:b/>
                <w:bCs/>
                <w:sz w:val="18"/>
                <w:szCs w:val="18"/>
                <w:lang w:val="en-US" w:eastAsia="zh-CN"/>
              </w:rPr>
              <w:t>以现金和现金等价物计算的净增长</w:t>
            </w:r>
            <w:r w:rsidRPr="003847AF">
              <w:rPr>
                <w:rFonts w:cs="Calibri" w:hint="eastAsia"/>
                <w:b/>
                <w:bCs/>
                <w:sz w:val="18"/>
                <w:szCs w:val="18"/>
                <w:lang w:val="en-US" w:eastAsia="zh-CN"/>
              </w:rPr>
              <w:t>/</w:t>
            </w:r>
            <w:r w:rsidRPr="003847AF">
              <w:rPr>
                <w:rFonts w:cs="Calibri" w:hint="eastAsia"/>
                <w:b/>
                <w:bCs/>
                <w:sz w:val="18"/>
                <w:szCs w:val="18"/>
                <w:lang w:val="en-US" w:eastAsia="zh-CN"/>
              </w:rPr>
              <w:t>（减少）</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14:paraId="29E2D718" w14:textId="29F00DD1" w:rsidR="003847AF" w:rsidRPr="003847AF" w:rsidRDefault="003847AF" w:rsidP="003847AF">
            <w:pPr>
              <w:spacing w:before="0"/>
              <w:jc w:val="right"/>
              <w:rPr>
                <w:b/>
                <w:bCs/>
                <w:sz w:val="18"/>
                <w:szCs w:val="18"/>
              </w:rPr>
            </w:pPr>
            <w:r w:rsidRPr="003847AF">
              <w:rPr>
                <w:rFonts w:eastAsia="Calibri" w:cs="Calibri"/>
                <w:b/>
                <w:sz w:val="18"/>
                <w:szCs w:val="18"/>
              </w:rPr>
              <w:t xml:space="preserve">30 987 </w:t>
            </w:r>
          </w:p>
        </w:tc>
        <w:tc>
          <w:tcPr>
            <w:tcW w:w="1001" w:type="pct"/>
            <w:tcBorders>
              <w:top w:val="single" w:sz="4" w:space="0" w:color="auto"/>
              <w:left w:val="nil"/>
              <w:bottom w:val="single" w:sz="4" w:space="0" w:color="auto"/>
              <w:right w:val="single" w:sz="4" w:space="0" w:color="auto"/>
            </w:tcBorders>
            <w:shd w:val="clear" w:color="auto" w:fill="auto"/>
            <w:hideMark/>
          </w:tcPr>
          <w:p w14:paraId="7E628935" w14:textId="5EBA1244" w:rsidR="003847AF" w:rsidRPr="003847AF" w:rsidRDefault="003847AF" w:rsidP="003847AF">
            <w:pPr>
              <w:spacing w:before="0"/>
              <w:jc w:val="right"/>
              <w:rPr>
                <w:b/>
                <w:bCs/>
                <w:color w:val="000000"/>
                <w:sz w:val="18"/>
                <w:szCs w:val="18"/>
              </w:rPr>
            </w:pPr>
            <w:r w:rsidRPr="003847AF">
              <w:rPr>
                <w:rFonts w:eastAsia="Calibri" w:cs="Calibri"/>
                <w:b/>
                <w:sz w:val="18"/>
                <w:szCs w:val="18"/>
              </w:rPr>
              <w:t xml:space="preserve">-79 446 </w:t>
            </w:r>
          </w:p>
        </w:tc>
      </w:tr>
      <w:tr w:rsidR="003847AF" w:rsidRPr="003847AF" w14:paraId="5D94DDE4" w14:textId="77777777" w:rsidTr="003A64C9">
        <w:tc>
          <w:tcPr>
            <w:tcW w:w="2998" w:type="pct"/>
            <w:tcBorders>
              <w:top w:val="nil"/>
              <w:left w:val="single" w:sz="4" w:space="0" w:color="auto"/>
              <w:bottom w:val="nil"/>
              <w:right w:val="nil"/>
            </w:tcBorders>
            <w:shd w:val="clear" w:color="auto" w:fill="auto"/>
            <w:noWrap/>
            <w:vAlign w:val="bottom"/>
            <w:hideMark/>
          </w:tcPr>
          <w:p w14:paraId="4075477E" w14:textId="77777777" w:rsidR="003847AF" w:rsidRPr="003847AF" w:rsidRDefault="003847AF" w:rsidP="003847AF">
            <w:pPr>
              <w:overflowPunct/>
              <w:adjustRightInd/>
              <w:spacing w:before="0" w:after="60"/>
              <w:textAlignment w:val="auto"/>
              <w:rPr>
                <w:rFonts w:cs="Calibri"/>
                <w:color w:val="000000"/>
                <w:sz w:val="18"/>
                <w:szCs w:val="18"/>
                <w:lang w:val="en-US" w:eastAsia="zh-CN"/>
              </w:rPr>
            </w:pPr>
            <w:r w:rsidRPr="003847AF">
              <w:rPr>
                <w:rFonts w:cs="Calibri"/>
                <w:color w:val="000000"/>
                <w:sz w:val="18"/>
                <w:szCs w:val="18"/>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14:paraId="6E448BA1" w14:textId="77777777" w:rsidR="003847AF" w:rsidRPr="003847AF" w:rsidRDefault="003847AF" w:rsidP="003847AF">
            <w:pPr>
              <w:spacing w:before="0"/>
              <w:jc w:val="right"/>
              <w:rPr>
                <w:sz w:val="18"/>
                <w:szCs w:val="18"/>
              </w:rPr>
            </w:pPr>
          </w:p>
        </w:tc>
        <w:tc>
          <w:tcPr>
            <w:tcW w:w="1001" w:type="pct"/>
            <w:tcBorders>
              <w:top w:val="nil"/>
              <w:left w:val="nil"/>
              <w:bottom w:val="nil"/>
              <w:right w:val="single" w:sz="4" w:space="0" w:color="auto"/>
            </w:tcBorders>
            <w:shd w:val="clear" w:color="auto" w:fill="auto"/>
            <w:noWrap/>
            <w:vAlign w:val="bottom"/>
            <w:hideMark/>
          </w:tcPr>
          <w:p w14:paraId="56AD9E0B" w14:textId="77777777" w:rsidR="003847AF" w:rsidRPr="003847AF" w:rsidRDefault="003847AF" w:rsidP="003847AF">
            <w:pPr>
              <w:spacing w:before="0"/>
              <w:jc w:val="right"/>
              <w:rPr>
                <w:color w:val="000000"/>
                <w:sz w:val="18"/>
                <w:szCs w:val="18"/>
              </w:rPr>
            </w:pPr>
          </w:p>
        </w:tc>
      </w:tr>
      <w:tr w:rsidR="003847AF" w:rsidRPr="003847AF" w14:paraId="6683DF4B" w14:textId="77777777" w:rsidTr="003A64C9">
        <w:tc>
          <w:tcPr>
            <w:tcW w:w="2998" w:type="pct"/>
            <w:tcBorders>
              <w:top w:val="nil"/>
              <w:left w:val="single" w:sz="4" w:space="0" w:color="auto"/>
              <w:bottom w:val="nil"/>
              <w:right w:val="nil"/>
            </w:tcBorders>
            <w:shd w:val="clear" w:color="auto" w:fill="auto"/>
            <w:hideMark/>
          </w:tcPr>
          <w:p w14:paraId="33116220" w14:textId="77777777" w:rsidR="003847AF" w:rsidRPr="003847AF" w:rsidRDefault="003847AF" w:rsidP="003847AF">
            <w:pPr>
              <w:overflowPunct/>
              <w:adjustRightInd/>
              <w:spacing w:before="0" w:after="60"/>
              <w:textAlignment w:val="auto"/>
              <w:rPr>
                <w:rFonts w:cs="Calibri"/>
                <w:b/>
                <w:bCs/>
                <w:color w:val="000000"/>
                <w:sz w:val="18"/>
                <w:szCs w:val="18"/>
                <w:lang w:val="en-US" w:eastAsia="zh-CN"/>
              </w:rPr>
            </w:pPr>
            <w:r w:rsidRPr="003847AF">
              <w:rPr>
                <w:rFonts w:cs="Calibri" w:hint="eastAsia"/>
                <w:b/>
                <w:bCs/>
                <w:sz w:val="18"/>
                <w:szCs w:val="18"/>
                <w:lang w:val="en-US" w:eastAsia="zh-CN"/>
              </w:rPr>
              <w:t>期初现金和现金等价物</w:t>
            </w:r>
          </w:p>
        </w:tc>
        <w:tc>
          <w:tcPr>
            <w:tcW w:w="1001" w:type="pct"/>
            <w:tcBorders>
              <w:top w:val="nil"/>
              <w:left w:val="single" w:sz="4" w:space="0" w:color="auto"/>
              <w:bottom w:val="nil"/>
              <w:right w:val="single" w:sz="4" w:space="0" w:color="auto"/>
            </w:tcBorders>
            <w:shd w:val="clear" w:color="auto" w:fill="auto"/>
            <w:noWrap/>
            <w:vAlign w:val="bottom"/>
            <w:hideMark/>
          </w:tcPr>
          <w:p w14:paraId="3CEE277D" w14:textId="0F5DBC22" w:rsidR="003847AF" w:rsidRPr="003847AF" w:rsidRDefault="003847AF" w:rsidP="003847AF">
            <w:pPr>
              <w:spacing w:before="0"/>
              <w:jc w:val="right"/>
              <w:rPr>
                <w:b/>
                <w:bCs/>
                <w:sz w:val="18"/>
                <w:szCs w:val="18"/>
              </w:rPr>
            </w:pPr>
            <w:r w:rsidRPr="003847AF">
              <w:rPr>
                <w:rFonts w:eastAsia="Calibri" w:cs="Calibri"/>
                <w:b/>
                <w:sz w:val="18"/>
                <w:szCs w:val="18"/>
              </w:rPr>
              <w:t>99 406</w:t>
            </w:r>
          </w:p>
        </w:tc>
        <w:tc>
          <w:tcPr>
            <w:tcW w:w="1001" w:type="pct"/>
            <w:tcBorders>
              <w:top w:val="nil"/>
              <w:left w:val="nil"/>
              <w:bottom w:val="nil"/>
              <w:right w:val="single" w:sz="4" w:space="0" w:color="auto"/>
            </w:tcBorders>
            <w:shd w:val="clear" w:color="auto" w:fill="auto"/>
            <w:noWrap/>
            <w:vAlign w:val="bottom"/>
            <w:hideMark/>
          </w:tcPr>
          <w:p w14:paraId="176DB34A" w14:textId="1BB44281" w:rsidR="003847AF" w:rsidRPr="003847AF" w:rsidRDefault="003847AF" w:rsidP="003847AF">
            <w:pPr>
              <w:spacing w:before="0"/>
              <w:jc w:val="right"/>
              <w:rPr>
                <w:b/>
                <w:bCs/>
                <w:sz w:val="18"/>
                <w:szCs w:val="18"/>
              </w:rPr>
            </w:pPr>
            <w:r w:rsidRPr="003847AF">
              <w:rPr>
                <w:rFonts w:eastAsia="Calibri" w:cs="Calibri"/>
                <w:b/>
                <w:sz w:val="18"/>
                <w:szCs w:val="18"/>
              </w:rPr>
              <w:t>178 852</w:t>
            </w:r>
          </w:p>
        </w:tc>
      </w:tr>
      <w:tr w:rsidR="00CD6586" w:rsidRPr="003847AF" w14:paraId="7DE6AC1F" w14:textId="77777777" w:rsidTr="003A64C9">
        <w:tc>
          <w:tcPr>
            <w:tcW w:w="2998" w:type="pct"/>
            <w:tcBorders>
              <w:top w:val="nil"/>
              <w:left w:val="single" w:sz="4" w:space="0" w:color="auto"/>
              <w:bottom w:val="nil"/>
              <w:right w:val="nil"/>
            </w:tcBorders>
            <w:shd w:val="clear" w:color="auto" w:fill="auto"/>
          </w:tcPr>
          <w:p w14:paraId="5ED7B47E" w14:textId="77777777" w:rsidR="00CD6586" w:rsidRPr="003847AF" w:rsidRDefault="00CD6586" w:rsidP="003847AF">
            <w:pPr>
              <w:overflowPunct/>
              <w:adjustRightInd/>
              <w:spacing w:before="0" w:after="60"/>
              <w:textAlignment w:val="auto"/>
              <w:rPr>
                <w:rFonts w:cs="Calibri"/>
                <w:b/>
                <w:bCs/>
                <w:sz w:val="18"/>
                <w:szCs w:val="18"/>
                <w:lang w:val="en-US" w:eastAsia="zh-CN"/>
              </w:rPr>
            </w:pPr>
          </w:p>
        </w:tc>
        <w:tc>
          <w:tcPr>
            <w:tcW w:w="1001" w:type="pct"/>
            <w:tcBorders>
              <w:top w:val="nil"/>
              <w:left w:val="single" w:sz="4" w:space="0" w:color="auto"/>
              <w:bottom w:val="nil"/>
              <w:right w:val="single" w:sz="4" w:space="0" w:color="auto"/>
            </w:tcBorders>
            <w:shd w:val="clear" w:color="auto" w:fill="auto"/>
            <w:noWrap/>
            <w:vAlign w:val="bottom"/>
          </w:tcPr>
          <w:p w14:paraId="14343B0A" w14:textId="77777777" w:rsidR="00CD6586" w:rsidRPr="003847AF" w:rsidRDefault="00CD6586" w:rsidP="003847AF">
            <w:pPr>
              <w:spacing w:before="0"/>
              <w:jc w:val="right"/>
              <w:rPr>
                <w:rFonts w:eastAsia="Calibri" w:cs="Calibri"/>
                <w:b/>
                <w:sz w:val="18"/>
                <w:szCs w:val="18"/>
              </w:rPr>
            </w:pPr>
          </w:p>
        </w:tc>
        <w:tc>
          <w:tcPr>
            <w:tcW w:w="1001" w:type="pct"/>
            <w:tcBorders>
              <w:top w:val="nil"/>
              <w:left w:val="nil"/>
              <w:bottom w:val="nil"/>
              <w:right w:val="single" w:sz="4" w:space="0" w:color="auto"/>
            </w:tcBorders>
            <w:shd w:val="clear" w:color="auto" w:fill="auto"/>
            <w:noWrap/>
            <w:vAlign w:val="bottom"/>
          </w:tcPr>
          <w:p w14:paraId="32C9AC60" w14:textId="77777777" w:rsidR="00CD6586" w:rsidRPr="003847AF" w:rsidRDefault="00CD6586" w:rsidP="003847AF">
            <w:pPr>
              <w:spacing w:before="0"/>
              <w:jc w:val="right"/>
              <w:rPr>
                <w:rFonts w:eastAsia="Calibri" w:cs="Calibri"/>
                <w:b/>
                <w:sz w:val="18"/>
                <w:szCs w:val="18"/>
              </w:rPr>
            </w:pPr>
          </w:p>
        </w:tc>
      </w:tr>
      <w:tr w:rsidR="003847AF" w:rsidRPr="003847AF" w14:paraId="258D9950" w14:textId="77777777" w:rsidTr="003A64C9">
        <w:tc>
          <w:tcPr>
            <w:tcW w:w="2998" w:type="pct"/>
            <w:tcBorders>
              <w:top w:val="nil"/>
              <w:left w:val="single" w:sz="4" w:space="0" w:color="auto"/>
              <w:bottom w:val="single" w:sz="4" w:space="0" w:color="auto"/>
              <w:right w:val="nil"/>
            </w:tcBorders>
            <w:shd w:val="clear" w:color="auto" w:fill="auto"/>
            <w:hideMark/>
          </w:tcPr>
          <w:p w14:paraId="6C1A3009" w14:textId="77777777" w:rsidR="003847AF" w:rsidRPr="003847AF" w:rsidRDefault="003847AF" w:rsidP="003847AF">
            <w:pPr>
              <w:overflowPunct/>
              <w:adjustRightInd/>
              <w:spacing w:before="0" w:after="60"/>
              <w:textAlignment w:val="auto"/>
              <w:rPr>
                <w:rFonts w:cs="Calibri"/>
                <w:b/>
                <w:bCs/>
                <w:color w:val="000000"/>
                <w:sz w:val="18"/>
                <w:szCs w:val="18"/>
                <w:lang w:val="en-US" w:eastAsia="zh-CN"/>
              </w:rPr>
            </w:pPr>
            <w:r w:rsidRPr="003847AF">
              <w:rPr>
                <w:rFonts w:cs="Calibri" w:hint="eastAsia"/>
                <w:b/>
                <w:bCs/>
                <w:sz w:val="18"/>
                <w:szCs w:val="18"/>
                <w:lang w:val="en-US" w:eastAsia="zh-CN"/>
              </w:rPr>
              <w:t>期末现金和现金等价物</w:t>
            </w:r>
          </w:p>
        </w:tc>
        <w:tc>
          <w:tcPr>
            <w:tcW w:w="1001" w:type="pct"/>
            <w:tcBorders>
              <w:top w:val="nil"/>
              <w:left w:val="single" w:sz="4" w:space="0" w:color="auto"/>
              <w:bottom w:val="single" w:sz="4" w:space="0" w:color="auto"/>
              <w:right w:val="single" w:sz="4" w:space="0" w:color="auto"/>
            </w:tcBorders>
            <w:shd w:val="clear" w:color="auto" w:fill="auto"/>
            <w:noWrap/>
            <w:vAlign w:val="bottom"/>
            <w:hideMark/>
          </w:tcPr>
          <w:p w14:paraId="43B1C9C6" w14:textId="49E99862" w:rsidR="003847AF" w:rsidRPr="003847AF" w:rsidRDefault="003847AF" w:rsidP="003847AF">
            <w:pPr>
              <w:spacing w:before="0"/>
              <w:jc w:val="right"/>
              <w:rPr>
                <w:b/>
                <w:bCs/>
                <w:sz w:val="18"/>
                <w:szCs w:val="18"/>
              </w:rPr>
            </w:pPr>
            <w:r w:rsidRPr="003847AF">
              <w:rPr>
                <w:rFonts w:eastAsia="Calibri" w:cs="Calibri"/>
                <w:b/>
                <w:sz w:val="18"/>
                <w:szCs w:val="18"/>
              </w:rPr>
              <w:t>130 392</w:t>
            </w:r>
          </w:p>
        </w:tc>
        <w:tc>
          <w:tcPr>
            <w:tcW w:w="1001" w:type="pct"/>
            <w:tcBorders>
              <w:top w:val="nil"/>
              <w:left w:val="nil"/>
              <w:bottom w:val="single" w:sz="4" w:space="0" w:color="auto"/>
              <w:right w:val="single" w:sz="4" w:space="0" w:color="auto"/>
            </w:tcBorders>
            <w:shd w:val="clear" w:color="auto" w:fill="auto"/>
            <w:noWrap/>
            <w:vAlign w:val="bottom"/>
            <w:hideMark/>
          </w:tcPr>
          <w:p w14:paraId="16967830" w14:textId="6D9C7A2C" w:rsidR="003847AF" w:rsidRPr="003847AF" w:rsidRDefault="003847AF" w:rsidP="003847AF">
            <w:pPr>
              <w:spacing w:before="0"/>
              <w:jc w:val="right"/>
              <w:rPr>
                <w:b/>
                <w:bCs/>
                <w:sz w:val="18"/>
                <w:szCs w:val="18"/>
              </w:rPr>
            </w:pPr>
            <w:r w:rsidRPr="003847AF">
              <w:rPr>
                <w:rFonts w:eastAsia="Calibri" w:cs="Calibri"/>
                <w:b/>
                <w:sz w:val="18"/>
                <w:szCs w:val="18"/>
              </w:rPr>
              <w:t>99 406</w:t>
            </w:r>
          </w:p>
        </w:tc>
      </w:tr>
    </w:tbl>
    <w:p w14:paraId="443F5DAA" w14:textId="260EFFDB" w:rsidR="0085433F" w:rsidRPr="000C156A" w:rsidRDefault="0085433F" w:rsidP="0085433F">
      <w:pPr>
        <w:pStyle w:val="Heading1"/>
        <w:spacing w:after="240"/>
        <w:jc w:val="center"/>
        <w:rPr>
          <w:lang w:eastAsia="zh-CN"/>
        </w:rPr>
      </w:pPr>
      <w:bookmarkStart w:id="337" w:name="_Toc329165773"/>
      <w:bookmarkStart w:id="338" w:name="_Toc482894784"/>
      <w:bookmarkStart w:id="339" w:name="_Toc482892540"/>
      <w:bookmarkStart w:id="340" w:name="_Toc511116011"/>
      <w:bookmarkStart w:id="341" w:name="_Toc41905841"/>
      <w:bookmarkStart w:id="342" w:name="_Toc41906889"/>
      <w:bookmarkStart w:id="343" w:name="_Toc41907970"/>
      <w:bookmarkStart w:id="344" w:name="_Toc41908038"/>
      <w:bookmarkStart w:id="345" w:name="_Toc73519215"/>
      <w:bookmarkStart w:id="346" w:name="_Toc110263985"/>
      <w:bookmarkStart w:id="347" w:name="_Toc110264064"/>
      <w:bookmarkStart w:id="348" w:name="_Toc110265684"/>
      <w:bookmarkStart w:id="349" w:name="_Toc110330073"/>
      <w:bookmarkStart w:id="350" w:name="_Toc110330238"/>
      <w:r w:rsidRPr="000C156A">
        <w:rPr>
          <w:rFonts w:cs="Microsoft YaHei" w:hint="eastAsia"/>
          <w:lang w:val="fr-FR" w:eastAsia="zh-CN"/>
        </w:rPr>
        <w:lastRenderedPageBreak/>
        <w:t>五</w:t>
      </w:r>
      <w:r w:rsidRPr="000C156A">
        <w:rPr>
          <w:lang w:eastAsia="zh-CN"/>
        </w:rPr>
        <w:t xml:space="preserve"> – 202</w:t>
      </w:r>
      <w:r w:rsidR="00493002">
        <w:rPr>
          <w:lang w:eastAsia="zh-CN"/>
        </w:rPr>
        <w:t>1</w:t>
      </w:r>
      <w:r w:rsidRPr="000C156A">
        <w:rPr>
          <w:rFonts w:cs="Microsoft YaHei" w:hint="eastAsia"/>
          <w:lang w:val="fr-FR" w:eastAsia="zh-CN"/>
        </w:rPr>
        <w:t>年财务期预算金额与实际发生金额的对比</w:t>
      </w:r>
      <w:bookmarkEnd w:id="337"/>
      <w:r w:rsidRPr="000C156A">
        <w:rPr>
          <w:rFonts w:cs="Microsoft YaHei" w:hint="eastAsia"/>
          <w:lang w:val="fr-FR" w:eastAsia="zh-CN"/>
        </w:rPr>
        <w:t>表</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4DF92729" w14:textId="287A42A3" w:rsidR="0085433F" w:rsidRDefault="0085433F" w:rsidP="0085433F">
      <w:pPr>
        <w:spacing w:after="240"/>
        <w:jc w:val="center"/>
        <w:rPr>
          <w:b/>
          <w:bCs/>
          <w:sz w:val="20"/>
          <w:lang w:val="en-US"/>
        </w:rPr>
      </w:pPr>
      <w:r w:rsidRPr="000C156A">
        <w:rPr>
          <w:rFonts w:hint="eastAsia"/>
          <w:b/>
          <w:bCs/>
          <w:sz w:val="20"/>
          <w:lang w:val="en-US"/>
        </w:rPr>
        <w:t>（单位：千瑞郎）</w:t>
      </w:r>
    </w:p>
    <w:tbl>
      <w:tblPr>
        <w:tblW w:w="5368" w:type="pct"/>
        <w:tblInd w:w="-431" w:type="dxa"/>
        <w:tblLayout w:type="fixed"/>
        <w:tblLook w:val="04A0" w:firstRow="1" w:lastRow="0" w:firstColumn="1" w:lastColumn="0" w:noHBand="0" w:noVBand="1"/>
      </w:tblPr>
      <w:tblGrid>
        <w:gridCol w:w="2782"/>
        <w:gridCol w:w="1116"/>
        <w:gridCol w:w="1119"/>
        <w:gridCol w:w="1119"/>
        <w:gridCol w:w="1129"/>
        <w:gridCol w:w="1400"/>
        <w:gridCol w:w="1673"/>
      </w:tblGrid>
      <w:tr w:rsidR="0085433F" w:rsidRPr="000C156A" w14:paraId="274CA476" w14:textId="77777777" w:rsidTr="003A64C9">
        <w:trPr>
          <w:trHeight w:val="255"/>
        </w:trPr>
        <w:tc>
          <w:tcPr>
            <w:tcW w:w="13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603904" w14:textId="77777777" w:rsidR="0085433F" w:rsidRPr="000C156A" w:rsidRDefault="0085433F" w:rsidP="003A64C9">
            <w:pPr>
              <w:overflowPunct/>
              <w:adjustRightInd/>
              <w:spacing w:before="0"/>
              <w:jc w:val="center"/>
              <w:textAlignment w:val="auto"/>
              <w:rPr>
                <w:rFonts w:ascii="Arial" w:hAnsi="Arial" w:cs="Arial"/>
                <w:b/>
                <w:bCs/>
                <w:color w:val="000000"/>
                <w:sz w:val="18"/>
                <w:szCs w:val="18"/>
                <w:lang w:val="en-US" w:eastAsia="zh-CN"/>
              </w:rPr>
            </w:pPr>
            <w:r w:rsidRPr="000C156A">
              <w:rPr>
                <w:rFonts w:hint="eastAsia"/>
                <w:b/>
                <w:bCs/>
                <w:sz w:val="18"/>
                <w:szCs w:val="18"/>
                <w:lang w:val="en-US"/>
              </w:rPr>
              <w:t>收入</w:t>
            </w:r>
          </w:p>
        </w:tc>
        <w:tc>
          <w:tcPr>
            <w:tcW w:w="21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8784897" w14:textId="77777777" w:rsidR="0085433F" w:rsidRPr="000C156A" w:rsidRDefault="0085433F" w:rsidP="003A64C9">
            <w:pPr>
              <w:overflowPunct/>
              <w:adjustRightInd/>
              <w:spacing w:before="0"/>
              <w:jc w:val="center"/>
              <w:textAlignment w:val="auto"/>
              <w:rPr>
                <w:rFonts w:ascii="Arial" w:hAnsi="Arial" w:cs="Arial"/>
                <w:b/>
                <w:bCs/>
                <w:color w:val="000000"/>
                <w:sz w:val="18"/>
                <w:szCs w:val="18"/>
                <w:lang w:val="en-US" w:eastAsia="zh-CN"/>
              </w:rPr>
            </w:pPr>
            <w:r w:rsidRPr="000C156A">
              <w:rPr>
                <w:rFonts w:hint="eastAsia"/>
                <w:b/>
                <w:bCs/>
                <w:sz w:val="18"/>
                <w:szCs w:val="18"/>
                <w:lang w:val="en-US"/>
              </w:rPr>
              <w:t>预算</w:t>
            </w:r>
            <w:r w:rsidRPr="000C156A">
              <w:rPr>
                <w:rFonts w:hint="eastAsia"/>
                <w:b/>
                <w:bCs/>
                <w:sz w:val="18"/>
                <w:szCs w:val="18"/>
                <w:lang w:val="en-US" w:eastAsia="zh-CN"/>
              </w:rPr>
              <w:t>金</w:t>
            </w:r>
            <w:r w:rsidRPr="000C156A">
              <w:rPr>
                <w:rFonts w:hint="eastAsia"/>
                <w:b/>
                <w:bCs/>
                <w:sz w:val="18"/>
                <w:szCs w:val="18"/>
                <w:lang w:val="en-US"/>
              </w:rPr>
              <w:t>额</w:t>
            </w:r>
          </w:p>
        </w:tc>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857F2F" w14:textId="77777777" w:rsidR="0085433F" w:rsidRPr="000C156A" w:rsidRDefault="0085433F" w:rsidP="003A64C9">
            <w:pPr>
              <w:pStyle w:val="Tablehead"/>
              <w:spacing w:before="40" w:after="40"/>
              <w:rPr>
                <w:sz w:val="18"/>
                <w:szCs w:val="18"/>
                <w:lang w:val="en-US" w:eastAsia="zh-CN"/>
              </w:rPr>
            </w:pPr>
            <w:r w:rsidRPr="000C156A">
              <w:rPr>
                <w:rFonts w:hint="eastAsia"/>
                <w:sz w:val="18"/>
                <w:szCs w:val="18"/>
                <w:lang w:val="en-US"/>
              </w:rPr>
              <w:t>可比的</w:t>
            </w:r>
            <w:r w:rsidRPr="000C156A">
              <w:rPr>
                <w:sz w:val="18"/>
                <w:szCs w:val="18"/>
                <w:lang w:val="en-US" w:eastAsia="zh-CN"/>
              </w:rPr>
              <w:br/>
            </w:r>
            <w:r w:rsidRPr="000C156A">
              <w:rPr>
                <w:rFonts w:hint="eastAsia"/>
                <w:sz w:val="18"/>
                <w:szCs w:val="18"/>
                <w:lang w:val="en-US" w:eastAsia="zh-CN"/>
              </w:rPr>
              <w:t>实际金额</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6CD5A2" w14:textId="77777777" w:rsidR="0085433F" w:rsidRPr="000C156A" w:rsidRDefault="0085433F" w:rsidP="003A64C9">
            <w:pPr>
              <w:pStyle w:val="Tablehead"/>
              <w:spacing w:before="40" w:after="40"/>
              <w:rPr>
                <w:sz w:val="18"/>
                <w:szCs w:val="18"/>
                <w:lang w:val="en-US" w:eastAsia="zh-CN"/>
              </w:rPr>
            </w:pPr>
            <w:r w:rsidRPr="000C156A">
              <w:rPr>
                <w:rFonts w:hint="eastAsia"/>
                <w:sz w:val="18"/>
                <w:szCs w:val="18"/>
                <w:lang w:val="en-US" w:eastAsia="zh-CN"/>
              </w:rPr>
              <w:t>最终预算和</w:t>
            </w:r>
            <w:r w:rsidRPr="000C156A">
              <w:rPr>
                <w:sz w:val="18"/>
                <w:szCs w:val="18"/>
                <w:lang w:val="en-US" w:eastAsia="zh-CN"/>
              </w:rPr>
              <w:br/>
            </w:r>
            <w:r w:rsidRPr="000C156A">
              <w:rPr>
                <w:rFonts w:hint="eastAsia"/>
                <w:sz w:val="18"/>
                <w:szCs w:val="18"/>
                <w:lang w:val="en-US" w:eastAsia="zh-CN"/>
              </w:rPr>
              <w:t>实际金额</w:t>
            </w:r>
            <w:r w:rsidRPr="000C156A">
              <w:rPr>
                <w:sz w:val="18"/>
                <w:szCs w:val="18"/>
                <w:lang w:val="en-US" w:eastAsia="zh-CN"/>
              </w:rPr>
              <w:br/>
            </w:r>
            <w:r w:rsidRPr="000C156A">
              <w:rPr>
                <w:rFonts w:hint="eastAsia"/>
                <w:sz w:val="18"/>
                <w:szCs w:val="18"/>
                <w:lang w:val="en-US" w:eastAsia="zh-CN"/>
              </w:rPr>
              <w:t>之间的差异</w:t>
            </w:r>
          </w:p>
        </w:tc>
      </w:tr>
      <w:tr w:rsidR="0085433F" w:rsidRPr="000C156A" w14:paraId="607F2EEE" w14:textId="77777777" w:rsidTr="003A64C9">
        <w:trPr>
          <w:trHeight w:val="630"/>
        </w:trPr>
        <w:tc>
          <w:tcPr>
            <w:tcW w:w="1346" w:type="pct"/>
            <w:vMerge/>
            <w:tcBorders>
              <w:top w:val="single" w:sz="4" w:space="0" w:color="auto"/>
              <w:left w:val="single" w:sz="4" w:space="0" w:color="auto"/>
              <w:bottom w:val="single" w:sz="4" w:space="0" w:color="000000"/>
              <w:right w:val="single" w:sz="4" w:space="0" w:color="auto"/>
            </w:tcBorders>
            <w:vAlign w:val="center"/>
            <w:hideMark/>
          </w:tcPr>
          <w:p w14:paraId="424DF8F7" w14:textId="77777777" w:rsidR="0085433F" w:rsidRPr="000C156A" w:rsidRDefault="0085433F" w:rsidP="003A64C9">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14:paraId="4454FB1D" w14:textId="77777777" w:rsidR="0085433F" w:rsidRPr="000C156A" w:rsidRDefault="0085433F" w:rsidP="003A64C9">
            <w:pPr>
              <w:pStyle w:val="Tablehead"/>
              <w:spacing w:before="40" w:after="40"/>
              <w:rPr>
                <w:sz w:val="18"/>
                <w:szCs w:val="18"/>
                <w:lang w:val="en-US" w:eastAsia="zh-CN"/>
              </w:rPr>
            </w:pPr>
            <w:r w:rsidRPr="000C156A">
              <w:rPr>
                <w:rFonts w:hint="eastAsia"/>
                <w:sz w:val="18"/>
                <w:szCs w:val="18"/>
                <w:lang w:val="en-US" w:eastAsia="zh-CN"/>
              </w:rPr>
              <w:t>初始预算</w:t>
            </w:r>
          </w:p>
        </w:tc>
        <w:tc>
          <w:tcPr>
            <w:tcW w:w="541" w:type="pct"/>
            <w:tcBorders>
              <w:top w:val="nil"/>
              <w:left w:val="nil"/>
              <w:bottom w:val="single" w:sz="4" w:space="0" w:color="auto"/>
              <w:right w:val="nil"/>
            </w:tcBorders>
            <w:shd w:val="clear" w:color="auto" w:fill="auto"/>
            <w:hideMark/>
          </w:tcPr>
          <w:p w14:paraId="0B326A25" w14:textId="77777777" w:rsidR="0085433F" w:rsidRPr="000C156A" w:rsidRDefault="0085433F" w:rsidP="003A64C9">
            <w:pPr>
              <w:pStyle w:val="Tablehead"/>
              <w:spacing w:after="40"/>
              <w:rPr>
                <w:sz w:val="18"/>
                <w:szCs w:val="18"/>
                <w:lang w:val="en-US" w:eastAsia="zh-CN"/>
              </w:rPr>
            </w:pPr>
            <w:r w:rsidRPr="000C156A">
              <w:rPr>
                <w:rFonts w:hint="eastAsia"/>
                <w:sz w:val="18"/>
                <w:szCs w:val="18"/>
                <w:lang w:val="en-US"/>
              </w:rPr>
              <w:t>推迟</w:t>
            </w:r>
            <w:r w:rsidRPr="000C156A">
              <w:rPr>
                <w:sz w:val="18"/>
                <w:szCs w:val="18"/>
                <w:lang w:val="en-US"/>
              </w:rPr>
              <w:t>的</w:t>
            </w:r>
            <w:r w:rsidRPr="000C156A">
              <w:rPr>
                <w:sz w:val="18"/>
                <w:szCs w:val="18"/>
                <w:lang w:val="en-US"/>
              </w:rPr>
              <w:br/>
            </w:r>
            <w:r w:rsidRPr="000C156A">
              <w:rPr>
                <w:sz w:val="18"/>
                <w:szCs w:val="18"/>
                <w:lang w:val="en-US"/>
              </w:rPr>
              <w:t>活动</w:t>
            </w:r>
          </w:p>
        </w:tc>
        <w:tc>
          <w:tcPr>
            <w:tcW w:w="541" w:type="pct"/>
            <w:tcBorders>
              <w:top w:val="nil"/>
              <w:left w:val="single" w:sz="4" w:space="0" w:color="auto"/>
              <w:bottom w:val="single" w:sz="4" w:space="0" w:color="auto"/>
              <w:right w:val="single" w:sz="4" w:space="0" w:color="auto"/>
            </w:tcBorders>
            <w:shd w:val="clear" w:color="auto" w:fill="auto"/>
            <w:vAlign w:val="center"/>
            <w:hideMark/>
          </w:tcPr>
          <w:p w14:paraId="281EC26B" w14:textId="77777777" w:rsidR="0085433F" w:rsidRPr="000C156A" w:rsidRDefault="0085433F" w:rsidP="003A64C9">
            <w:pPr>
              <w:pStyle w:val="Tablehead"/>
              <w:spacing w:before="40" w:after="40"/>
              <w:rPr>
                <w:sz w:val="18"/>
                <w:szCs w:val="18"/>
                <w:lang w:val="en-US" w:eastAsia="fr-FR"/>
              </w:rPr>
            </w:pPr>
            <w:r w:rsidRPr="000C156A">
              <w:rPr>
                <w:rFonts w:hint="eastAsia"/>
                <w:sz w:val="18"/>
                <w:szCs w:val="18"/>
                <w:lang w:val="en-US"/>
              </w:rPr>
              <w:t>预算内</w:t>
            </w:r>
            <w:r w:rsidRPr="000C156A">
              <w:rPr>
                <w:sz w:val="18"/>
                <w:szCs w:val="18"/>
                <w:lang w:val="en-US"/>
              </w:rPr>
              <w:br/>
            </w:r>
            <w:r w:rsidRPr="000C156A">
              <w:rPr>
                <w:rFonts w:hint="eastAsia"/>
                <w:sz w:val="18"/>
                <w:szCs w:val="18"/>
                <w:lang w:val="en-US"/>
              </w:rPr>
              <w:t>转账</w:t>
            </w:r>
          </w:p>
        </w:tc>
        <w:tc>
          <w:tcPr>
            <w:tcW w:w="546" w:type="pct"/>
            <w:tcBorders>
              <w:top w:val="nil"/>
              <w:left w:val="nil"/>
              <w:bottom w:val="single" w:sz="4" w:space="0" w:color="auto"/>
              <w:right w:val="single" w:sz="4" w:space="0" w:color="auto"/>
            </w:tcBorders>
            <w:shd w:val="clear" w:color="auto" w:fill="auto"/>
            <w:vAlign w:val="center"/>
            <w:hideMark/>
          </w:tcPr>
          <w:p w14:paraId="3F154675" w14:textId="77777777" w:rsidR="0085433F" w:rsidRPr="000C156A" w:rsidRDefault="0085433F" w:rsidP="003A64C9">
            <w:pPr>
              <w:pStyle w:val="Tablehead"/>
              <w:spacing w:before="40" w:after="40"/>
              <w:rPr>
                <w:sz w:val="18"/>
                <w:szCs w:val="18"/>
                <w:lang w:val="en-US" w:eastAsia="fr-FR"/>
              </w:rPr>
            </w:pPr>
            <w:r w:rsidRPr="000C156A">
              <w:rPr>
                <w:rFonts w:hint="eastAsia"/>
                <w:sz w:val="18"/>
                <w:szCs w:val="18"/>
                <w:lang w:val="en-US" w:eastAsia="fr-FR"/>
              </w:rPr>
              <w:t>最终预算</w:t>
            </w:r>
          </w:p>
        </w:tc>
        <w:tc>
          <w:tcPr>
            <w:tcW w:w="677" w:type="pct"/>
            <w:vMerge/>
            <w:tcBorders>
              <w:top w:val="single" w:sz="4" w:space="0" w:color="auto"/>
              <w:left w:val="single" w:sz="4" w:space="0" w:color="auto"/>
              <w:bottom w:val="single" w:sz="4" w:space="0" w:color="000000"/>
              <w:right w:val="single" w:sz="4" w:space="0" w:color="auto"/>
            </w:tcBorders>
            <w:vAlign w:val="center"/>
            <w:hideMark/>
          </w:tcPr>
          <w:p w14:paraId="2E3CCA33" w14:textId="77777777" w:rsidR="0085433F" w:rsidRPr="000C156A" w:rsidRDefault="0085433F" w:rsidP="003A64C9">
            <w:pPr>
              <w:overflowPunct/>
              <w:adjustRightInd/>
              <w:spacing w:before="0"/>
              <w:textAlignment w:val="auto"/>
              <w:rPr>
                <w:rFonts w:ascii="Arial" w:hAnsi="Arial" w:cs="Arial"/>
                <w:b/>
                <w:bCs/>
                <w:color w:val="000000"/>
                <w:sz w:val="18"/>
                <w:szCs w:val="18"/>
                <w:lang w:val="en-US" w:eastAsia="zh-CN"/>
              </w:rPr>
            </w:pPr>
          </w:p>
        </w:tc>
        <w:tc>
          <w:tcPr>
            <w:tcW w:w="809" w:type="pct"/>
            <w:vMerge/>
            <w:tcBorders>
              <w:top w:val="single" w:sz="4" w:space="0" w:color="auto"/>
              <w:left w:val="single" w:sz="4" w:space="0" w:color="auto"/>
              <w:bottom w:val="single" w:sz="4" w:space="0" w:color="000000"/>
              <w:right w:val="single" w:sz="4" w:space="0" w:color="auto"/>
            </w:tcBorders>
            <w:vAlign w:val="center"/>
            <w:hideMark/>
          </w:tcPr>
          <w:p w14:paraId="6D25DC3E" w14:textId="77777777" w:rsidR="0085433F" w:rsidRPr="000C156A" w:rsidRDefault="0085433F" w:rsidP="003A64C9">
            <w:pPr>
              <w:overflowPunct/>
              <w:adjustRightInd/>
              <w:spacing w:before="0"/>
              <w:textAlignment w:val="auto"/>
              <w:rPr>
                <w:rFonts w:ascii="Arial" w:hAnsi="Arial" w:cs="Arial"/>
                <w:b/>
                <w:bCs/>
                <w:color w:val="000000"/>
                <w:sz w:val="18"/>
                <w:szCs w:val="18"/>
                <w:lang w:val="en-US" w:eastAsia="zh-CN"/>
              </w:rPr>
            </w:pPr>
          </w:p>
        </w:tc>
      </w:tr>
      <w:tr w:rsidR="0085433F" w:rsidRPr="000C156A" w14:paraId="66357159" w14:textId="77777777" w:rsidTr="00493002">
        <w:trPr>
          <w:trHeight w:val="435"/>
        </w:trPr>
        <w:tc>
          <w:tcPr>
            <w:tcW w:w="1346" w:type="pct"/>
            <w:vMerge/>
            <w:tcBorders>
              <w:top w:val="single" w:sz="4" w:space="0" w:color="auto"/>
              <w:left w:val="single" w:sz="4" w:space="0" w:color="auto"/>
              <w:bottom w:val="single" w:sz="4" w:space="0" w:color="000000"/>
              <w:right w:val="single" w:sz="4" w:space="0" w:color="auto"/>
            </w:tcBorders>
            <w:vAlign w:val="center"/>
            <w:hideMark/>
          </w:tcPr>
          <w:p w14:paraId="0A385CC5" w14:textId="77777777" w:rsidR="0085433F" w:rsidRPr="000C156A" w:rsidRDefault="0085433F" w:rsidP="003A64C9">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14:paraId="2F4BB228" w14:textId="1A5584B6" w:rsidR="0085433F" w:rsidRPr="000C156A" w:rsidRDefault="0085433F" w:rsidP="003A64C9">
            <w:pPr>
              <w:pStyle w:val="Tablehead"/>
              <w:spacing w:before="40" w:after="40"/>
              <w:rPr>
                <w:sz w:val="18"/>
                <w:szCs w:val="18"/>
                <w:lang w:val="en-US" w:eastAsia="zh-CN"/>
              </w:rPr>
            </w:pPr>
            <w:r w:rsidRPr="000C156A">
              <w:rPr>
                <w:sz w:val="18"/>
                <w:szCs w:val="18"/>
                <w:lang w:val="en-US" w:eastAsia="fr-FR"/>
              </w:rPr>
              <w:t>202</w:t>
            </w:r>
            <w:r w:rsidR="00C1600E">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14:paraId="05FE720A" w14:textId="32491CA0" w:rsidR="0085433F" w:rsidRPr="000C156A" w:rsidRDefault="0085433F" w:rsidP="003A64C9">
            <w:pPr>
              <w:pStyle w:val="Tablehead"/>
              <w:spacing w:before="40" w:after="40"/>
              <w:rPr>
                <w:sz w:val="18"/>
                <w:szCs w:val="18"/>
                <w:lang w:val="en-US" w:eastAsia="zh-CN"/>
              </w:rPr>
            </w:pPr>
            <w:r w:rsidRPr="000C156A">
              <w:rPr>
                <w:sz w:val="18"/>
                <w:szCs w:val="18"/>
                <w:lang w:val="en-US" w:eastAsia="fr-FR"/>
              </w:rPr>
              <w:t>202</w:t>
            </w:r>
            <w:r w:rsidR="00C1600E">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14:paraId="0D69A461" w14:textId="476A9EBD" w:rsidR="0085433F" w:rsidRPr="000C156A" w:rsidRDefault="0085433F" w:rsidP="003A64C9">
            <w:pPr>
              <w:pStyle w:val="Tablehead"/>
              <w:spacing w:before="40" w:after="40"/>
              <w:rPr>
                <w:sz w:val="18"/>
                <w:szCs w:val="18"/>
                <w:lang w:val="en-US" w:eastAsia="zh-CN"/>
              </w:rPr>
            </w:pPr>
            <w:r w:rsidRPr="000C156A">
              <w:rPr>
                <w:sz w:val="18"/>
                <w:szCs w:val="18"/>
                <w:lang w:val="en-US" w:eastAsia="fr-FR"/>
              </w:rPr>
              <w:t>202</w:t>
            </w:r>
            <w:r w:rsidR="00C1600E">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6" w:type="pct"/>
            <w:tcBorders>
              <w:top w:val="nil"/>
              <w:left w:val="nil"/>
              <w:bottom w:val="single" w:sz="4" w:space="0" w:color="auto"/>
              <w:right w:val="single" w:sz="4" w:space="0" w:color="auto"/>
            </w:tcBorders>
            <w:shd w:val="clear" w:color="auto" w:fill="auto"/>
            <w:noWrap/>
            <w:vAlign w:val="center"/>
            <w:hideMark/>
          </w:tcPr>
          <w:p w14:paraId="28D3E04D" w14:textId="426BD97D" w:rsidR="0085433F" w:rsidRPr="000C156A" w:rsidRDefault="0085433F" w:rsidP="003A64C9">
            <w:pPr>
              <w:pStyle w:val="Tablehead"/>
              <w:spacing w:before="40" w:after="40"/>
              <w:rPr>
                <w:sz w:val="18"/>
                <w:szCs w:val="18"/>
                <w:lang w:val="en-US" w:eastAsia="zh-CN"/>
              </w:rPr>
            </w:pPr>
            <w:r w:rsidRPr="000C156A">
              <w:rPr>
                <w:sz w:val="18"/>
                <w:szCs w:val="18"/>
                <w:lang w:val="en-US" w:eastAsia="fr-FR"/>
              </w:rPr>
              <w:t>202</w:t>
            </w:r>
            <w:r w:rsidR="00C1600E">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14:paraId="6350B340" w14:textId="53508242" w:rsidR="0085433F" w:rsidRPr="000C156A" w:rsidRDefault="0085433F" w:rsidP="003A64C9">
            <w:pPr>
              <w:pStyle w:val="Tablehead"/>
              <w:spacing w:before="40" w:after="40"/>
              <w:rPr>
                <w:sz w:val="18"/>
                <w:szCs w:val="18"/>
                <w:lang w:val="en-US" w:eastAsia="zh-CN"/>
              </w:rPr>
            </w:pPr>
            <w:r w:rsidRPr="000C156A">
              <w:rPr>
                <w:sz w:val="18"/>
                <w:szCs w:val="18"/>
                <w:lang w:val="en-US" w:eastAsia="fr-FR"/>
              </w:rPr>
              <w:t>202</w:t>
            </w:r>
            <w:r w:rsidR="00C1600E">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14:paraId="29F990D1" w14:textId="29794C70" w:rsidR="0085433F" w:rsidRPr="000C156A" w:rsidRDefault="0085433F" w:rsidP="003A64C9">
            <w:pPr>
              <w:pStyle w:val="Tablehead"/>
              <w:spacing w:before="40" w:after="40"/>
              <w:rPr>
                <w:sz w:val="18"/>
                <w:szCs w:val="18"/>
                <w:lang w:val="en-US" w:eastAsia="zh-CN"/>
              </w:rPr>
            </w:pPr>
            <w:r w:rsidRPr="000C156A">
              <w:rPr>
                <w:sz w:val="18"/>
                <w:szCs w:val="18"/>
                <w:lang w:val="en-US" w:eastAsia="fr-FR"/>
              </w:rPr>
              <w:t>202</w:t>
            </w:r>
            <w:r w:rsidR="00C1600E">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r>
      <w:tr w:rsidR="0085433F" w:rsidRPr="000C156A" w14:paraId="5ECE34CA" w14:textId="77777777" w:rsidTr="00493002">
        <w:trPr>
          <w:trHeight w:val="255"/>
        </w:trPr>
        <w:tc>
          <w:tcPr>
            <w:tcW w:w="1346" w:type="pct"/>
            <w:tcBorders>
              <w:top w:val="nil"/>
              <w:left w:val="single" w:sz="4" w:space="0" w:color="auto"/>
              <w:bottom w:val="nil"/>
              <w:right w:val="nil"/>
            </w:tcBorders>
            <w:shd w:val="clear" w:color="auto" w:fill="auto"/>
            <w:hideMark/>
          </w:tcPr>
          <w:p w14:paraId="2B4A51DA" w14:textId="77777777" w:rsidR="0085433F" w:rsidRPr="0055321D" w:rsidRDefault="0085433F" w:rsidP="003A64C9">
            <w:pPr>
              <w:pStyle w:val="Tabletext"/>
              <w:spacing w:before="20" w:after="20"/>
              <w:rPr>
                <w:rFonts w:ascii="SimSun" w:hAnsi="SimSun"/>
                <w:sz w:val="18"/>
                <w:szCs w:val="18"/>
                <w:lang w:val="en-US" w:eastAsia="zh-CN"/>
              </w:rPr>
            </w:pPr>
            <w:r w:rsidRPr="0055321D">
              <w:rPr>
                <w:rFonts w:ascii="SimSun" w:hAnsi="SimSun" w:hint="eastAsia"/>
                <w:sz w:val="18"/>
                <w:szCs w:val="18"/>
                <w:lang w:val="en-US" w:eastAsia="zh-CN"/>
              </w:rPr>
              <w:t>分摊会费</w:t>
            </w:r>
          </w:p>
        </w:tc>
        <w:tc>
          <w:tcPr>
            <w:tcW w:w="540" w:type="pct"/>
            <w:tcBorders>
              <w:top w:val="nil"/>
              <w:left w:val="single" w:sz="4" w:space="0" w:color="auto"/>
              <w:bottom w:val="nil"/>
              <w:right w:val="single" w:sz="4" w:space="0" w:color="auto"/>
            </w:tcBorders>
            <w:shd w:val="clear" w:color="auto" w:fill="auto"/>
            <w:noWrap/>
            <w:vAlign w:val="bottom"/>
            <w:hideMark/>
          </w:tcPr>
          <w:p w14:paraId="5D32EEF6"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125 552</w:t>
            </w:r>
          </w:p>
        </w:tc>
        <w:tc>
          <w:tcPr>
            <w:tcW w:w="541" w:type="pct"/>
            <w:tcBorders>
              <w:top w:val="nil"/>
              <w:left w:val="nil"/>
              <w:bottom w:val="nil"/>
              <w:right w:val="single" w:sz="4" w:space="0" w:color="auto"/>
            </w:tcBorders>
            <w:shd w:val="clear" w:color="auto" w:fill="auto"/>
            <w:noWrap/>
            <w:vAlign w:val="bottom"/>
            <w:hideMark/>
          </w:tcPr>
          <w:p w14:paraId="06063A3F"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37F5456D"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57752576"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125 552</w:t>
            </w:r>
          </w:p>
        </w:tc>
        <w:tc>
          <w:tcPr>
            <w:tcW w:w="677" w:type="pct"/>
            <w:tcBorders>
              <w:top w:val="nil"/>
              <w:left w:val="nil"/>
              <w:bottom w:val="nil"/>
              <w:right w:val="single" w:sz="4" w:space="0" w:color="auto"/>
            </w:tcBorders>
            <w:shd w:val="clear" w:color="auto" w:fill="auto"/>
            <w:noWrap/>
            <w:vAlign w:val="bottom"/>
            <w:hideMark/>
          </w:tcPr>
          <w:p w14:paraId="442B08EB" w14:textId="5E392A26"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 xml:space="preserve">125 </w:t>
            </w:r>
            <w:r w:rsidR="00C1600E">
              <w:rPr>
                <w:rFonts w:cs="Arial"/>
                <w:b/>
                <w:bCs/>
                <w:color w:val="000000"/>
                <w:sz w:val="18"/>
                <w:szCs w:val="18"/>
                <w:lang w:val="en-US" w:eastAsia="zh-CN"/>
              </w:rPr>
              <w:t>611</w:t>
            </w:r>
          </w:p>
        </w:tc>
        <w:tc>
          <w:tcPr>
            <w:tcW w:w="809" w:type="pct"/>
            <w:tcBorders>
              <w:top w:val="nil"/>
              <w:left w:val="nil"/>
              <w:bottom w:val="nil"/>
              <w:right w:val="single" w:sz="4" w:space="0" w:color="auto"/>
            </w:tcBorders>
            <w:shd w:val="clear" w:color="auto" w:fill="auto"/>
            <w:noWrap/>
            <w:vAlign w:val="bottom"/>
            <w:hideMark/>
          </w:tcPr>
          <w:p w14:paraId="4201EC2C" w14:textId="1E933C39" w:rsidR="0085433F" w:rsidRPr="000C156A" w:rsidRDefault="00C1600E" w:rsidP="003A64C9">
            <w:pPr>
              <w:overflowPunct/>
              <w:autoSpaceDE/>
              <w:autoSpaceDN/>
              <w:adjustRightInd/>
              <w:spacing w:before="0"/>
              <w:jc w:val="right"/>
              <w:textAlignment w:val="auto"/>
              <w:rPr>
                <w:rFonts w:cs="Arial"/>
                <w:b/>
                <w:bCs/>
                <w:color w:val="000000"/>
                <w:sz w:val="18"/>
                <w:szCs w:val="18"/>
                <w:lang w:val="en-US" w:eastAsia="zh-CN"/>
              </w:rPr>
            </w:pPr>
            <w:r>
              <w:rPr>
                <w:rFonts w:cs="Arial"/>
                <w:b/>
                <w:bCs/>
                <w:color w:val="000000"/>
                <w:sz w:val="18"/>
                <w:szCs w:val="18"/>
                <w:lang w:val="en-US" w:eastAsia="zh-CN"/>
              </w:rPr>
              <w:t>59</w:t>
            </w:r>
          </w:p>
        </w:tc>
      </w:tr>
      <w:tr w:rsidR="0085433F" w:rsidRPr="000C156A" w14:paraId="597A1952" w14:textId="77777777" w:rsidTr="00493002">
        <w:trPr>
          <w:trHeight w:val="255"/>
        </w:trPr>
        <w:tc>
          <w:tcPr>
            <w:tcW w:w="1346" w:type="pct"/>
            <w:tcBorders>
              <w:top w:val="nil"/>
              <w:left w:val="single" w:sz="4" w:space="0" w:color="auto"/>
              <w:bottom w:val="nil"/>
              <w:right w:val="nil"/>
            </w:tcBorders>
            <w:shd w:val="clear" w:color="auto" w:fill="auto"/>
            <w:vAlign w:val="bottom"/>
            <w:hideMark/>
          </w:tcPr>
          <w:p w14:paraId="27CC1D4C" w14:textId="77777777" w:rsidR="0085433F" w:rsidRPr="0055321D" w:rsidRDefault="0085433F" w:rsidP="003A64C9">
            <w:pPr>
              <w:pStyle w:val="Tabletext"/>
              <w:spacing w:before="20" w:after="20"/>
              <w:rPr>
                <w:rFonts w:ascii="SimSun" w:hAnsi="SimSun"/>
                <w:sz w:val="18"/>
                <w:szCs w:val="18"/>
                <w:lang w:val="en-US" w:eastAsia="zh-CN"/>
              </w:rPr>
            </w:pPr>
            <w:r w:rsidRPr="0055321D">
              <w:rPr>
                <w:rFonts w:ascii="SimSun" w:hAnsi="SimSun"/>
                <w:sz w:val="18"/>
                <w:szCs w:val="18"/>
                <w:lang w:val="en-US" w:eastAsia="zh-CN"/>
              </w:rPr>
              <w:t>成本回</w:t>
            </w:r>
            <w:r w:rsidRPr="0055321D">
              <w:rPr>
                <w:rFonts w:ascii="SimSun" w:hAnsi="SimSun" w:hint="eastAsia"/>
                <w:sz w:val="18"/>
                <w:szCs w:val="18"/>
                <w:lang w:val="en-US" w:eastAsia="zh-CN"/>
              </w:rPr>
              <w:t>收</w:t>
            </w:r>
          </w:p>
        </w:tc>
        <w:tc>
          <w:tcPr>
            <w:tcW w:w="540" w:type="pct"/>
            <w:tcBorders>
              <w:top w:val="nil"/>
              <w:left w:val="single" w:sz="4" w:space="0" w:color="auto"/>
              <w:bottom w:val="nil"/>
              <w:right w:val="single" w:sz="4" w:space="0" w:color="auto"/>
            </w:tcBorders>
            <w:shd w:val="clear" w:color="auto" w:fill="auto"/>
            <w:noWrap/>
            <w:vAlign w:val="bottom"/>
            <w:hideMark/>
          </w:tcPr>
          <w:p w14:paraId="5C8CC65F"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37 875</w:t>
            </w:r>
          </w:p>
        </w:tc>
        <w:tc>
          <w:tcPr>
            <w:tcW w:w="541" w:type="pct"/>
            <w:tcBorders>
              <w:top w:val="nil"/>
              <w:left w:val="nil"/>
              <w:bottom w:val="nil"/>
              <w:right w:val="single" w:sz="4" w:space="0" w:color="auto"/>
            </w:tcBorders>
            <w:shd w:val="clear" w:color="auto" w:fill="auto"/>
            <w:noWrap/>
            <w:vAlign w:val="bottom"/>
            <w:hideMark/>
          </w:tcPr>
          <w:p w14:paraId="1FA31B95"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4F65DA47"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1173A3A6"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37 875</w:t>
            </w:r>
          </w:p>
        </w:tc>
        <w:tc>
          <w:tcPr>
            <w:tcW w:w="677" w:type="pct"/>
            <w:tcBorders>
              <w:top w:val="nil"/>
              <w:left w:val="nil"/>
              <w:bottom w:val="nil"/>
              <w:right w:val="single" w:sz="4" w:space="0" w:color="auto"/>
            </w:tcBorders>
            <w:shd w:val="clear" w:color="auto" w:fill="auto"/>
            <w:noWrap/>
            <w:vAlign w:val="bottom"/>
            <w:hideMark/>
          </w:tcPr>
          <w:p w14:paraId="1C59C038" w14:textId="74146E1E"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 xml:space="preserve">31 </w:t>
            </w:r>
            <w:r w:rsidR="00C1600E">
              <w:rPr>
                <w:rFonts w:cs="Arial"/>
                <w:b/>
                <w:bCs/>
                <w:color w:val="000000"/>
                <w:sz w:val="18"/>
                <w:szCs w:val="18"/>
                <w:lang w:val="en-US" w:eastAsia="zh-CN"/>
              </w:rPr>
              <w:t>696</w:t>
            </w:r>
          </w:p>
        </w:tc>
        <w:tc>
          <w:tcPr>
            <w:tcW w:w="809" w:type="pct"/>
            <w:tcBorders>
              <w:top w:val="nil"/>
              <w:left w:val="nil"/>
              <w:bottom w:val="nil"/>
              <w:right w:val="single" w:sz="4" w:space="0" w:color="auto"/>
            </w:tcBorders>
            <w:shd w:val="clear" w:color="auto" w:fill="auto"/>
            <w:noWrap/>
            <w:vAlign w:val="bottom"/>
            <w:hideMark/>
          </w:tcPr>
          <w:p w14:paraId="3A2FDE90" w14:textId="054FC642"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 xml:space="preserve">-6 </w:t>
            </w:r>
            <w:r w:rsidR="00C1600E">
              <w:rPr>
                <w:rFonts w:cs="Arial"/>
                <w:b/>
                <w:bCs/>
                <w:color w:val="000000"/>
                <w:sz w:val="18"/>
                <w:szCs w:val="18"/>
                <w:lang w:val="en-US" w:eastAsia="zh-CN"/>
              </w:rPr>
              <w:t>179</w:t>
            </w:r>
          </w:p>
        </w:tc>
      </w:tr>
      <w:tr w:rsidR="0085433F" w:rsidRPr="000C156A" w14:paraId="007108BF" w14:textId="77777777" w:rsidTr="00493002">
        <w:trPr>
          <w:trHeight w:val="255"/>
        </w:trPr>
        <w:tc>
          <w:tcPr>
            <w:tcW w:w="1346" w:type="pct"/>
            <w:tcBorders>
              <w:top w:val="nil"/>
              <w:left w:val="single" w:sz="4" w:space="0" w:color="auto"/>
              <w:bottom w:val="nil"/>
              <w:right w:val="nil"/>
            </w:tcBorders>
            <w:shd w:val="clear" w:color="auto" w:fill="auto"/>
            <w:vAlign w:val="bottom"/>
            <w:hideMark/>
          </w:tcPr>
          <w:p w14:paraId="3C2A44EB" w14:textId="77777777" w:rsidR="0085433F" w:rsidRPr="0055321D" w:rsidRDefault="0085433F" w:rsidP="003A64C9">
            <w:pPr>
              <w:pStyle w:val="Tabletext"/>
              <w:spacing w:before="20" w:after="20"/>
              <w:rPr>
                <w:rFonts w:ascii="SimSun" w:hAnsi="SimSun"/>
                <w:sz w:val="18"/>
                <w:szCs w:val="18"/>
                <w:lang w:val="en-US" w:eastAsia="zh-CN"/>
              </w:rPr>
            </w:pPr>
            <w:r w:rsidRPr="0055321D">
              <w:rPr>
                <w:rFonts w:ascii="SimSun" w:hAnsi="SimSun" w:hint="eastAsia"/>
                <w:sz w:val="18"/>
                <w:szCs w:val="18"/>
                <w:lang w:val="en-US" w:eastAsia="zh-CN"/>
              </w:rPr>
              <w:t>利息</w:t>
            </w:r>
          </w:p>
        </w:tc>
        <w:tc>
          <w:tcPr>
            <w:tcW w:w="540" w:type="pct"/>
            <w:tcBorders>
              <w:top w:val="nil"/>
              <w:left w:val="single" w:sz="4" w:space="0" w:color="auto"/>
              <w:bottom w:val="nil"/>
              <w:right w:val="single" w:sz="4" w:space="0" w:color="auto"/>
            </w:tcBorders>
            <w:shd w:val="clear" w:color="auto" w:fill="auto"/>
            <w:noWrap/>
            <w:vAlign w:val="bottom"/>
            <w:hideMark/>
          </w:tcPr>
          <w:p w14:paraId="3CA2B4F4"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300</w:t>
            </w:r>
          </w:p>
        </w:tc>
        <w:tc>
          <w:tcPr>
            <w:tcW w:w="541" w:type="pct"/>
            <w:tcBorders>
              <w:top w:val="nil"/>
              <w:left w:val="nil"/>
              <w:bottom w:val="nil"/>
              <w:right w:val="single" w:sz="4" w:space="0" w:color="auto"/>
            </w:tcBorders>
            <w:shd w:val="clear" w:color="auto" w:fill="auto"/>
            <w:noWrap/>
            <w:vAlign w:val="bottom"/>
            <w:hideMark/>
          </w:tcPr>
          <w:p w14:paraId="4904B65A"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54D47FFF"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773F49A7"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300</w:t>
            </w:r>
          </w:p>
        </w:tc>
        <w:tc>
          <w:tcPr>
            <w:tcW w:w="677" w:type="pct"/>
            <w:tcBorders>
              <w:top w:val="nil"/>
              <w:left w:val="nil"/>
              <w:bottom w:val="nil"/>
              <w:right w:val="single" w:sz="4" w:space="0" w:color="auto"/>
            </w:tcBorders>
            <w:shd w:val="clear" w:color="auto" w:fill="auto"/>
            <w:noWrap/>
            <w:vAlign w:val="bottom"/>
            <w:hideMark/>
          </w:tcPr>
          <w:p w14:paraId="51F97AB6" w14:textId="27ACFB36"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w:t>
            </w:r>
            <w:r w:rsidR="00C1600E">
              <w:rPr>
                <w:rFonts w:cs="Arial"/>
                <w:b/>
                <w:bCs/>
                <w:color w:val="000000"/>
                <w:sz w:val="18"/>
                <w:szCs w:val="18"/>
                <w:lang w:val="en-US" w:eastAsia="zh-CN"/>
              </w:rPr>
              <w:t>66</w:t>
            </w:r>
          </w:p>
        </w:tc>
        <w:tc>
          <w:tcPr>
            <w:tcW w:w="809" w:type="pct"/>
            <w:tcBorders>
              <w:top w:val="nil"/>
              <w:left w:val="nil"/>
              <w:bottom w:val="nil"/>
              <w:right w:val="single" w:sz="4" w:space="0" w:color="auto"/>
            </w:tcBorders>
            <w:shd w:val="clear" w:color="auto" w:fill="auto"/>
            <w:noWrap/>
            <w:vAlign w:val="bottom"/>
            <w:hideMark/>
          </w:tcPr>
          <w:p w14:paraId="6AE57972" w14:textId="150648B2"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w:t>
            </w:r>
            <w:r w:rsidR="00C1600E">
              <w:rPr>
                <w:rFonts w:cs="Arial"/>
                <w:b/>
                <w:bCs/>
                <w:color w:val="000000"/>
                <w:sz w:val="18"/>
                <w:szCs w:val="18"/>
                <w:lang w:val="en-US" w:eastAsia="zh-CN"/>
              </w:rPr>
              <w:t>34</w:t>
            </w:r>
          </w:p>
        </w:tc>
      </w:tr>
      <w:tr w:rsidR="0085433F" w:rsidRPr="000C156A" w14:paraId="0AB43498" w14:textId="77777777" w:rsidTr="00493002">
        <w:trPr>
          <w:trHeight w:val="255"/>
        </w:trPr>
        <w:tc>
          <w:tcPr>
            <w:tcW w:w="1346" w:type="pct"/>
            <w:tcBorders>
              <w:top w:val="nil"/>
              <w:left w:val="single" w:sz="4" w:space="0" w:color="auto"/>
              <w:bottom w:val="nil"/>
              <w:right w:val="nil"/>
            </w:tcBorders>
            <w:shd w:val="clear" w:color="auto" w:fill="auto"/>
            <w:vAlign w:val="bottom"/>
            <w:hideMark/>
          </w:tcPr>
          <w:p w14:paraId="0B694475" w14:textId="77777777" w:rsidR="0085433F" w:rsidRPr="0055321D" w:rsidRDefault="0085433F" w:rsidP="003A64C9">
            <w:pPr>
              <w:pStyle w:val="Tabletext"/>
              <w:spacing w:before="20" w:after="20"/>
              <w:rPr>
                <w:rFonts w:ascii="SimSun" w:hAnsi="SimSun"/>
                <w:sz w:val="18"/>
                <w:szCs w:val="18"/>
                <w:lang w:val="en-US" w:eastAsia="zh-CN"/>
              </w:rPr>
            </w:pPr>
            <w:r w:rsidRPr="0055321D">
              <w:rPr>
                <w:rFonts w:ascii="SimSun" w:hAnsi="SimSun" w:hint="eastAsia"/>
                <w:sz w:val="18"/>
                <w:szCs w:val="18"/>
                <w:lang w:val="en-US" w:eastAsia="zh-CN"/>
              </w:rPr>
              <w:t>其它收入</w:t>
            </w:r>
          </w:p>
        </w:tc>
        <w:tc>
          <w:tcPr>
            <w:tcW w:w="540" w:type="pct"/>
            <w:tcBorders>
              <w:top w:val="nil"/>
              <w:left w:val="single" w:sz="4" w:space="0" w:color="auto"/>
              <w:bottom w:val="nil"/>
              <w:right w:val="single" w:sz="4" w:space="0" w:color="auto"/>
            </w:tcBorders>
            <w:shd w:val="clear" w:color="auto" w:fill="auto"/>
            <w:noWrap/>
            <w:vAlign w:val="bottom"/>
            <w:hideMark/>
          </w:tcPr>
          <w:p w14:paraId="6073F167" w14:textId="77777777" w:rsidR="0085433F" w:rsidRPr="000C156A" w:rsidRDefault="0085433F" w:rsidP="003A64C9">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100</w:t>
            </w:r>
          </w:p>
        </w:tc>
        <w:tc>
          <w:tcPr>
            <w:tcW w:w="541" w:type="pct"/>
            <w:tcBorders>
              <w:top w:val="nil"/>
              <w:left w:val="nil"/>
              <w:bottom w:val="nil"/>
              <w:right w:val="single" w:sz="4" w:space="0" w:color="auto"/>
            </w:tcBorders>
            <w:shd w:val="clear" w:color="auto" w:fill="auto"/>
            <w:noWrap/>
            <w:vAlign w:val="bottom"/>
            <w:hideMark/>
          </w:tcPr>
          <w:p w14:paraId="5B00EAE6"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4D40600E"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39B1E582" w14:textId="77777777" w:rsidR="0085433F" w:rsidRPr="000C156A" w:rsidRDefault="0085433F" w:rsidP="003A64C9">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100</w:t>
            </w:r>
          </w:p>
        </w:tc>
        <w:tc>
          <w:tcPr>
            <w:tcW w:w="677" w:type="pct"/>
            <w:tcBorders>
              <w:top w:val="nil"/>
              <w:left w:val="nil"/>
              <w:bottom w:val="nil"/>
              <w:right w:val="single" w:sz="4" w:space="0" w:color="auto"/>
            </w:tcBorders>
            <w:shd w:val="clear" w:color="auto" w:fill="auto"/>
            <w:noWrap/>
            <w:vAlign w:val="bottom"/>
            <w:hideMark/>
          </w:tcPr>
          <w:p w14:paraId="78BE7FB2" w14:textId="72200230" w:rsidR="0085433F" w:rsidRPr="000C156A" w:rsidRDefault="0085433F" w:rsidP="003A64C9">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w:t>
            </w:r>
            <w:r w:rsidR="00C1600E">
              <w:rPr>
                <w:rFonts w:cs="Arial"/>
                <w:b/>
                <w:bCs/>
                <w:sz w:val="18"/>
                <w:szCs w:val="18"/>
                <w:lang w:val="en-US" w:eastAsia="zh-CN"/>
              </w:rPr>
              <w:t>2 704</w:t>
            </w:r>
          </w:p>
        </w:tc>
        <w:tc>
          <w:tcPr>
            <w:tcW w:w="809" w:type="pct"/>
            <w:tcBorders>
              <w:top w:val="nil"/>
              <w:left w:val="nil"/>
              <w:bottom w:val="nil"/>
              <w:right w:val="single" w:sz="4" w:space="0" w:color="auto"/>
            </w:tcBorders>
            <w:shd w:val="clear" w:color="auto" w:fill="auto"/>
            <w:noWrap/>
            <w:vAlign w:val="bottom"/>
            <w:hideMark/>
          </w:tcPr>
          <w:p w14:paraId="3F35B6D7" w14:textId="6671EEF8" w:rsidR="0085433F" w:rsidRPr="000C156A" w:rsidRDefault="0085433F" w:rsidP="003A64C9">
            <w:pPr>
              <w:overflowPunct/>
              <w:autoSpaceDE/>
              <w:autoSpaceDN/>
              <w:adjustRightInd/>
              <w:spacing w:before="0"/>
              <w:jc w:val="right"/>
              <w:textAlignment w:val="auto"/>
              <w:rPr>
                <w:rFonts w:cs="Arial"/>
                <w:b/>
                <w:bCs/>
                <w:sz w:val="18"/>
                <w:szCs w:val="18"/>
                <w:lang w:val="en-US" w:eastAsia="zh-CN"/>
              </w:rPr>
            </w:pPr>
            <w:r w:rsidRPr="000C156A">
              <w:rPr>
                <w:rFonts w:cs="Arial"/>
                <w:b/>
                <w:bCs/>
                <w:sz w:val="18"/>
                <w:szCs w:val="18"/>
                <w:lang w:val="en-US" w:eastAsia="zh-CN"/>
              </w:rPr>
              <w:t>-</w:t>
            </w:r>
            <w:r w:rsidR="00C1600E">
              <w:rPr>
                <w:rFonts w:cs="Arial"/>
                <w:b/>
                <w:bCs/>
                <w:sz w:val="18"/>
                <w:szCs w:val="18"/>
                <w:lang w:val="en-US" w:eastAsia="zh-CN"/>
              </w:rPr>
              <w:t>2 804</w:t>
            </w:r>
          </w:p>
        </w:tc>
      </w:tr>
      <w:tr w:rsidR="0085433F" w:rsidRPr="000C156A" w14:paraId="2200C207" w14:textId="77777777" w:rsidTr="00493002">
        <w:trPr>
          <w:trHeight w:val="255"/>
        </w:trPr>
        <w:tc>
          <w:tcPr>
            <w:tcW w:w="1346" w:type="pct"/>
            <w:tcBorders>
              <w:top w:val="nil"/>
              <w:left w:val="single" w:sz="4" w:space="0" w:color="auto"/>
              <w:bottom w:val="nil"/>
              <w:right w:val="nil"/>
            </w:tcBorders>
            <w:shd w:val="clear" w:color="auto" w:fill="auto"/>
            <w:vAlign w:val="bottom"/>
          </w:tcPr>
          <w:p w14:paraId="3E526091" w14:textId="77777777" w:rsidR="0085433F" w:rsidRPr="0055321D" w:rsidRDefault="0085433F" w:rsidP="003A64C9">
            <w:pPr>
              <w:pStyle w:val="Tabletext"/>
              <w:spacing w:before="20" w:after="20"/>
              <w:rPr>
                <w:rFonts w:ascii="SimSun" w:hAnsi="SimSun"/>
                <w:sz w:val="18"/>
                <w:szCs w:val="18"/>
                <w:lang w:val="en-US" w:eastAsia="zh-CN"/>
              </w:rPr>
            </w:pPr>
            <w:r w:rsidRPr="0055321D">
              <w:rPr>
                <w:rFonts w:ascii="SimSun" w:hAnsi="SimSun"/>
                <w:sz w:val="18"/>
                <w:szCs w:val="18"/>
                <w:lang w:val="en-US" w:eastAsia="zh-CN"/>
              </w:rPr>
              <w:t>推迟的活</w:t>
            </w:r>
            <w:r w:rsidRPr="0055321D">
              <w:rPr>
                <w:rFonts w:ascii="SimSun" w:hAnsi="SimSun" w:hint="eastAsia"/>
                <w:sz w:val="18"/>
                <w:szCs w:val="18"/>
                <w:lang w:val="en-US" w:eastAsia="zh-CN"/>
              </w:rPr>
              <w:t>动</w:t>
            </w:r>
          </w:p>
        </w:tc>
        <w:tc>
          <w:tcPr>
            <w:tcW w:w="540" w:type="pct"/>
            <w:tcBorders>
              <w:top w:val="nil"/>
              <w:left w:val="single" w:sz="4" w:space="0" w:color="auto"/>
              <w:bottom w:val="nil"/>
              <w:right w:val="single" w:sz="4" w:space="0" w:color="auto"/>
            </w:tcBorders>
            <w:shd w:val="clear" w:color="auto" w:fill="auto"/>
            <w:noWrap/>
          </w:tcPr>
          <w:p w14:paraId="794F8119"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tcPr>
          <w:p w14:paraId="7A18A7E5" w14:textId="7E5E8C2B" w:rsidR="0085433F" w:rsidRPr="00C1600E" w:rsidRDefault="0085433F" w:rsidP="003A64C9">
            <w:pPr>
              <w:overflowPunct/>
              <w:autoSpaceDE/>
              <w:autoSpaceDN/>
              <w:adjustRightInd/>
              <w:spacing w:before="0"/>
              <w:jc w:val="right"/>
              <w:textAlignment w:val="auto"/>
              <w:rPr>
                <w:rFonts w:cs="Arial"/>
                <w:color w:val="000000"/>
                <w:sz w:val="18"/>
                <w:szCs w:val="18"/>
                <w:lang w:val="en-US" w:eastAsia="zh-CN"/>
              </w:rPr>
            </w:pPr>
            <w:r w:rsidRPr="00C1600E">
              <w:rPr>
                <w:rFonts w:cs="Arial"/>
                <w:color w:val="000000"/>
                <w:sz w:val="18"/>
                <w:szCs w:val="18"/>
                <w:lang w:val="en-US" w:eastAsia="zh-CN"/>
              </w:rPr>
              <w:t>-1</w:t>
            </w:r>
            <w:r w:rsidR="00C1600E" w:rsidRPr="00C1600E">
              <w:rPr>
                <w:rFonts w:cs="Arial"/>
                <w:color w:val="000000"/>
                <w:sz w:val="18"/>
                <w:szCs w:val="18"/>
                <w:lang w:val="en-US" w:eastAsia="zh-CN"/>
              </w:rPr>
              <w:t xml:space="preserve"> 640</w:t>
            </w:r>
          </w:p>
        </w:tc>
        <w:tc>
          <w:tcPr>
            <w:tcW w:w="541" w:type="pct"/>
            <w:tcBorders>
              <w:top w:val="nil"/>
              <w:left w:val="nil"/>
              <w:bottom w:val="nil"/>
              <w:right w:val="single" w:sz="4" w:space="0" w:color="auto"/>
            </w:tcBorders>
            <w:shd w:val="clear" w:color="auto" w:fill="auto"/>
            <w:noWrap/>
          </w:tcPr>
          <w:p w14:paraId="1EEDFA4C"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nil"/>
              <w:left w:val="nil"/>
              <w:bottom w:val="nil"/>
              <w:right w:val="single" w:sz="4" w:space="0" w:color="auto"/>
            </w:tcBorders>
            <w:shd w:val="clear" w:color="auto" w:fill="auto"/>
            <w:noWrap/>
          </w:tcPr>
          <w:p w14:paraId="2AA80410" w14:textId="79CAF3E3"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 xml:space="preserve">-1 </w:t>
            </w:r>
            <w:r w:rsidR="00C1600E">
              <w:rPr>
                <w:rFonts w:cs="Arial"/>
                <w:b/>
                <w:bCs/>
                <w:color w:val="000000"/>
                <w:sz w:val="18"/>
                <w:szCs w:val="18"/>
                <w:lang w:val="en-US" w:eastAsia="zh-CN"/>
              </w:rPr>
              <w:t>640</w:t>
            </w:r>
          </w:p>
        </w:tc>
        <w:tc>
          <w:tcPr>
            <w:tcW w:w="677" w:type="pct"/>
            <w:tcBorders>
              <w:top w:val="nil"/>
              <w:left w:val="nil"/>
              <w:bottom w:val="nil"/>
              <w:right w:val="single" w:sz="4" w:space="0" w:color="auto"/>
            </w:tcBorders>
            <w:shd w:val="clear" w:color="auto" w:fill="auto"/>
            <w:noWrap/>
          </w:tcPr>
          <w:p w14:paraId="0AB0941C" w14:textId="0C45D119"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 xml:space="preserve">-1 </w:t>
            </w:r>
            <w:r w:rsidR="00C1600E">
              <w:rPr>
                <w:rFonts w:cs="Arial"/>
                <w:b/>
                <w:bCs/>
                <w:color w:val="000000"/>
                <w:sz w:val="18"/>
                <w:szCs w:val="18"/>
                <w:lang w:val="en-US" w:eastAsia="zh-CN"/>
              </w:rPr>
              <w:t>640</w:t>
            </w:r>
          </w:p>
        </w:tc>
        <w:tc>
          <w:tcPr>
            <w:tcW w:w="809" w:type="pct"/>
            <w:tcBorders>
              <w:top w:val="nil"/>
              <w:left w:val="nil"/>
              <w:bottom w:val="nil"/>
              <w:right w:val="single" w:sz="4" w:space="0" w:color="auto"/>
            </w:tcBorders>
            <w:shd w:val="clear" w:color="auto" w:fill="auto"/>
            <w:noWrap/>
          </w:tcPr>
          <w:p w14:paraId="332EB5C9"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r>
      <w:tr w:rsidR="0085433F" w:rsidRPr="000C156A" w14:paraId="18484752" w14:textId="77777777" w:rsidTr="00493002">
        <w:trPr>
          <w:trHeight w:val="255"/>
        </w:trPr>
        <w:tc>
          <w:tcPr>
            <w:tcW w:w="1346" w:type="pct"/>
            <w:tcBorders>
              <w:top w:val="nil"/>
              <w:left w:val="single" w:sz="4" w:space="0" w:color="auto"/>
              <w:bottom w:val="nil"/>
              <w:right w:val="nil"/>
            </w:tcBorders>
            <w:shd w:val="clear" w:color="auto" w:fill="auto"/>
            <w:vAlign w:val="bottom"/>
            <w:hideMark/>
          </w:tcPr>
          <w:p w14:paraId="12205080" w14:textId="77777777" w:rsidR="0085433F" w:rsidRPr="0055321D" w:rsidRDefault="0085433F" w:rsidP="003A64C9">
            <w:pPr>
              <w:pStyle w:val="Tabletext"/>
              <w:spacing w:before="20" w:after="20"/>
              <w:rPr>
                <w:rFonts w:ascii="SimSun" w:hAnsi="SimSun"/>
                <w:sz w:val="18"/>
                <w:szCs w:val="18"/>
                <w:lang w:val="en-US"/>
              </w:rPr>
            </w:pPr>
            <w:r w:rsidRPr="0055321D">
              <w:rPr>
                <w:rFonts w:ascii="SimSun" w:hAnsi="SimSun" w:hint="eastAsia"/>
                <w:sz w:val="18"/>
                <w:szCs w:val="18"/>
                <w:lang w:val="en-US" w:eastAsia="zh-CN"/>
              </w:rPr>
              <w:t>储备金账户</w:t>
            </w:r>
            <w:r w:rsidRPr="0055321D">
              <w:rPr>
                <w:rFonts w:ascii="SimSun" w:hAnsi="SimSun" w:hint="eastAsia"/>
                <w:sz w:val="18"/>
                <w:szCs w:val="18"/>
                <w:lang w:val="en-US"/>
              </w:rPr>
              <w:t>提款</w:t>
            </w:r>
          </w:p>
        </w:tc>
        <w:tc>
          <w:tcPr>
            <w:tcW w:w="540" w:type="pct"/>
            <w:tcBorders>
              <w:top w:val="nil"/>
              <w:left w:val="single" w:sz="4" w:space="0" w:color="auto"/>
              <w:bottom w:val="nil"/>
              <w:right w:val="single" w:sz="4" w:space="0" w:color="auto"/>
            </w:tcBorders>
            <w:shd w:val="clear" w:color="auto" w:fill="auto"/>
            <w:noWrap/>
            <w:hideMark/>
          </w:tcPr>
          <w:p w14:paraId="7CBCFCB0"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7936E2FF" w14:textId="1072C92E" w:rsidR="0085433F" w:rsidRPr="00C1600E" w:rsidRDefault="00C1600E" w:rsidP="003A64C9">
            <w:pPr>
              <w:overflowPunct/>
              <w:autoSpaceDE/>
              <w:autoSpaceDN/>
              <w:adjustRightInd/>
              <w:spacing w:before="0"/>
              <w:jc w:val="right"/>
              <w:textAlignment w:val="auto"/>
              <w:rPr>
                <w:rFonts w:cs="Arial"/>
                <w:color w:val="000000"/>
                <w:sz w:val="18"/>
                <w:szCs w:val="18"/>
                <w:lang w:val="en-US" w:eastAsia="zh-CN"/>
              </w:rPr>
            </w:pPr>
            <w:r w:rsidRPr="00C1600E">
              <w:rPr>
                <w:rFonts w:cs="Arial"/>
                <w:color w:val="000000"/>
                <w:sz w:val="18"/>
                <w:szCs w:val="18"/>
                <w:lang w:val="en-US" w:eastAsia="zh-CN"/>
              </w:rPr>
              <w:t>59</w:t>
            </w:r>
          </w:p>
        </w:tc>
        <w:tc>
          <w:tcPr>
            <w:tcW w:w="541" w:type="pct"/>
            <w:tcBorders>
              <w:top w:val="nil"/>
              <w:left w:val="nil"/>
              <w:bottom w:val="nil"/>
              <w:right w:val="single" w:sz="4" w:space="0" w:color="auto"/>
            </w:tcBorders>
            <w:shd w:val="clear" w:color="auto" w:fill="auto"/>
            <w:noWrap/>
            <w:hideMark/>
          </w:tcPr>
          <w:p w14:paraId="49AF429A"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639AF26C" w14:textId="0A8BEE49" w:rsidR="0085433F" w:rsidRPr="000C156A" w:rsidRDefault="00C1600E" w:rsidP="003A64C9">
            <w:pPr>
              <w:overflowPunct/>
              <w:autoSpaceDE/>
              <w:autoSpaceDN/>
              <w:adjustRightInd/>
              <w:spacing w:before="0"/>
              <w:jc w:val="right"/>
              <w:textAlignment w:val="auto"/>
              <w:rPr>
                <w:rFonts w:cs="Arial"/>
                <w:b/>
                <w:bCs/>
                <w:color w:val="000000"/>
                <w:sz w:val="18"/>
                <w:szCs w:val="18"/>
                <w:lang w:val="en-US" w:eastAsia="zh-CN"/>
              </w:rPr>
            </w:pPr>
            <w:r>
              <w:rPr>
                <w:rFonts w:cs="Arial"/>
                <w:b/>
                <w:bCs/>
                <w:color w:val="000000"/>
                <w:sz w:val="18"/>
                <w:szCs w:val="18"/>
                <w:lang w:val="en-US" w:eastAsia="zh-CN"/>
              </w:rPr>
              <w:t>59</w:t>
            </w:r>
          </w:p>
        </w:tc>
        <w:tc>
          <w:tcPr>
            <w:tcW w:w="677" w:type="pct"/>
            <w:tcBorders>
              <w:top w:val="nil"/>
              <w:left w:val="nil"/>
              <w:bottom w:val="nil"/>
              <w:right w:val="single" w:sz="4" w:space="0" w:color="auto"/>
            </w:tcBorders>
            <w:shd w:val="clear" w:color="auto" w:fill="auto"/>
            <w:noWrap/>
            <w:hideMark/>
          </w:tcPr>
          <w:p w14:paraId="4A530954" w14:textId="1B238320" w:rsidR="0085433F" w:rsidRPr="000C156A" w:rsidRDefault="00C1600E" w:rsidP="003A64C9">
            <w:pPr>
              <w:overflowPunct/>
              <w:autoSpaceDE/>
              <w:autoSpaceDN/>
              <w:adjustRightInd/>
              <w:spacing w:before="0"/>
              <w:jc w:val="right"/>
              <w:textAlignment w:val="auto"/>
              <w:rPr>
                <w:rFonts w:cs="Arial"/>
                <w:b/>
                <w:bCs/>
                <w:color w:val="000000"/>
                <w:sz w:val="18"/>
                <w:szCs w:val="18"/>
                <w:lang w:val="en-US" w:eastAsia="zh-CN"/>
              </w:rPr>
            </w:pPr>
            <w:r>
              <w:rPr>
                <w:rFonts w:cs="Arial"/>
                <w:b/>
                <w:bCs/>
                <w:color w:val="000000"/>
                <w:sz w:val="18"/>
                <w:szCs w:val="18"/>
                <w:lang w:val="en-US" w:eastAsia="zh-CN"/>
              </w:rPr>
              <w:t>59</w:t>
            </w:r>
          </w:p>
        </w:tc>
        <w:tc>
          <w:tcPr>
            <w:tcW w:w="809" w:type="pct"/>
            <w:tcBorders>
              <w:top w:val="nil"/>
              <w:left w:val="nil"/>
              <w:bottom w:val="nil"/>
              <w:right w:val="single" w:sz="4" w:space="0" w:color="auto"/>
            </w:tcBorders>
            <w:shd w:val="clear" w:color="auto" w:fill="auto"/>
            <w:noWrap/>
            <w:hideMark/>
          </w:tcPr>
          <w:p w14:paraId="6E99AB29"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r>
      <w:tr w:rsidR="0085433F" w:rsidRPr="000C156A" w14:paraId="0E5DA34E" w14:textId="77777777" w:rsidTr="00493002">
        <w:trPr>
          <w:trHeight w:val="255"/>
        </w:trPr>
        <w:tc>
          <w:tcPr>
            <w:tcW w:w="1346" w:type="pct"/>
            <w:tcBorders>
              <w:top w:val="nil"/>
              <w:left w:val="single" w:sz="4" w:space="0" w:color="auto"/>
              <w:bottom w:val="nil"/>
              <w:right w:val="nil"/>
            </w:tcBorders>
            <w:shd w:val="clear" w:color="auto" w:fill="auto"/>
            <w:hideMark/>
          </w:tcPr>
          <w:p w14:paraId="27E4DF58" w14:textId="77777777" w:rsidR="0085433F" w:rsidRPr="000C156A" w:rsidRDefault="0085433F" w:rsidP="003A64C9">
            <w:pPr>
              <w:pStyle w:val="Tabletext"/>
              <w:spacing w:before="20" w:after="20"/>
              <w:rPr>
                <w:sz w:val="18"/>
                <w:szCs w:val="18"/>
                <w:lang w:val="en-US"/>
              </w:rPr>
            </w:pPr>
            <w:r w:rsidRPr="000C156A">
              <w:rPr>
                <w:rFonts w:cs="Arial" w:hint="eastAsia"/>
                <w:color w:val="000000"/>
                <w:sz w:val="18"/>
                <w:szCs w:val="18"/>
                <w:lang w:val="en-US" w:eastAsia="zh-CN"/>
              </w:rPr>
              <w:t>预算执行结余</w:t>
            </w:r>
          </w:p>
        </w:tc>
        <w:tc>
          <w:tcPr>
            <w:tcW w:w="540" w:type="pct"/>
            <w:tcBorders>
              <w:top w:val="nil"/>
              <w:left w:val="single" w:sz="4" w:space="0" w:color="auto"/>
              <w:bottom w:val="nil"/>
              <w:right w:val="single" w:sz="4" w:space="0" w:color="auto"/>
            </w:tcBorders>
            <w:shd w:val="clear" w:color="auto" w:fill="auto"/>
            <w:noWrap/>
            <w:hideMark/>
          </w:tcPr>
          <w:p w14:paraId="1259028C" w14:textId="53D876BB" w:rsidR="0085433F" w:rsidRPr="000C156A" w:rsidRDefault="00C1600E" w:rsidP="003A64C9">
            <w:pPr>
              <w:overflowPunct/>
              <w:autoSpaceDE/>
              <w:autoSpaceDN/>
              <w:adjustRightInd/>
              <w:spacing w:before="0"/>
              <w:jc w:val="right"/>
              <w:textAlignment w:val="auto"/>
              <w:rPr>
                <w:rFonts w:cs="Arial"/>
                <w:b/>
                <w:bCs/>
                <w:color w:val="000000"/>
                <w:sz w:val="18"/>
                <w:szCs w:val="18"/>
                <w:lang w:val="en-US" w:eastAsia="zh-CN"/>
              </w:rPr>
            </w:pPr>
            <w:r>
              <w:rPr>
                <w:rFonts w:cs="Arial"/>
                <w:b/>
                <w:bCs/>
                <w:color w:val="000000"/>
                <w:sz w:val="18"/>
                <w:szCs w:val="18"/>
                <w:lang w:val="en-US" w:eastAsia="zh-CN"/>
              </w:rPr>
              <w:t>708</w:t>
            </w:r>
          </w:p>
        </w:tc>
        <w:tc>
          <w:tcPr>
            <w:tcW w:w="541" w:type="pct"/>
            <w:tcBorders>
              <w:top w:val="nil"/>
              <w:left w:val="nil"/>
              <w:bottom w:val="single" w:sz="4" w:space="0" w:color="auto"/>
              <w:right w:val="single" w:sz="4" w:space="0" w:color="auto"/>
            </w:tcBorders>
            <w:shd w:val="clear" w:color="auto" w:fill="auto"/>
            <w:noWrap/>
            <w:hideMark/>
          </w:tcPr>
          <w:p w14:paraId="7BC36496"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single" w:sz="4" w:space="0" w:color="auto"/>
              <w:right w:val="single" w:sz="4" w:space="0" w:color="auto"/>
            </w:tcBorders>
            <w:shd w:val="clear" w:color="auto" w:fill="auto"/>
            <w:noWrap/>
            <w:hideMark/>
          </w:tcPr>
          <w:p w14:paraId="11F6C362"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42B247DD" w14:textId="6B35D2B9" w:rsidR="0085433F" w:rsidRPr="000C156A" w:rsidRDefault="00C1600E" w:rsidP="003A64C9">
            <w:pPr>
              <w:overflowPunct/>
              <w:autoSpaceDE/>
              <w:autoSpaceDN/>
              <w:adjustRightInd/>
              <w:spacing w:before="0"/>
              <w:jc w:val="right"/>
              <w:textAlignment w:val="auto"/>
              <w:rPr>
                <w:rFonts w:cs="Arial"/>
                <w:b/>
                <w:bCs/>
                <w:color w:val="000000"/>
                <w:sz w:val="18"/>
                <w:szCs w:val="18"/>
                <w:lang w:val="en-US" w:eastAsia="zh-CN"/>
              </w:rPr>
            </w:pPr>
            <w:r>
              <w:rPr>
                <w:rFonts w:cs="Arial"/>
                <w:b/>
                <w:bCs/>
                <w:color w:val="000000"/>
                <w:sz w:val="18"/>
                <w:szCs w:val="18"/>
                <w:lang w:val="en-US" w:eastAsia="zh-CN"/>
              </w:rPr>
              <w:t>780</w:t>
            </w:r>
          </w:p>
        </w:tc>
        <w:tc>
          <w:tcPr>
            <w:tcW w:w="677" w:type="pct"/>
            <w:tcBorders>
              <w:top w:val="nil"/>
              <w:left w:val="nil"/>
              <w:bottom w:val="single" w:sz="4" w:space="0" w:color="auto"/>
              <w:right w:val="single" w:sz="4" w:space="0" w:color="auto"/>
            </w:tcBorders>
            <w:shd w:val="clear" w:color="auto" w:fill="auto"/>
            <w:noWrap/>
            <w:hideMark/>
          </w:tcPr>
          <w:p w14:paraId="4C7BCB24"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r w:rsidRPr="000C156A">
              <w:rPr>
                <w:rFonts w:cs="Arial"/>
                <w:color w:val="000000"/>
                <w:sz w:val="18"/>
                <w:szCs w:val="18"/>
                <w:lang w:val="en-US" w:eastAsia="zh-CN"/>
              </w:rPr>
              <w:t>-</w:t>
            </w:r>
          </w:p>
        </w:tc>
        <w:tc>
          <w:tcPr>
            <w:tcW w:w="809" w:type="pct"/>
            <w:tcBorders>
              <w:top w:val="nil"/>
              <w:left w:val="nil"/>
              <w:bottom w:val="nil"/>
              <w:right w:val="single" w:sz="4" w:space="0" w:color="auto"/>
            </w:tcBorders>
            <w:shd w:val="clear" w:color="auto" w:fill="auto"/>
            <w:noWrap/>
            <w:hideMark/>
          </w:tcPr>
          <w:p w14:paraId="442D0676" w14:textId="11ABBC2F"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r w:rsidR="00C1600E">
              <w:rPr>
                <w:rFonts w:cs="Arial"/>
                <w:b/>
                <w:bCs/>
                <w:color w:val="000000"/>
                <w:sz w:val="18"/>
                <w:szCs w:val="18"/>
                <w:lang w:val="en-US" w:eastAsia="zh-CN"/>
              </w:rPr>
              <w:t>708</w:t>
            </w:r>
          </w:p>
        </w:tc>
      </w:tr>
      <w:tr w:rsidR="0085433F" w:rsidRPr="000C156A" w14:paraId="5313E69E" w14:textId="77777777" w:rsidTr="00493002">
        <w:trPr>
          <w:trHeight w:val="255"/>
        </w:trPr>
        <w:tc>
          <w:tcPr>
            <w:tcW w:w="1346" w:type="pct"/>
            <w:tcBorders>
              <w:top w:val="single" w:sz="4" w:space="0" w:color="auto"/>
              <w:left w:val="single" w:sz="4" w:space="0" w:color="auto"/>
              <w:bottom w:val="single" w:sz="4" w:space="0" w:color="auto"/>
              <w:right w:val="single" w:sz="4" w:space="0" w:color="auto"/>
            </w:tcBorders>
            <w:shd w:val="clear" w:color="auto" w:fill="auto"/>
            <w:noWrap/>
            <w:hideMark/>
          </w:tcPr>
          <w:p w14:paraId="394E90EC" w14:textId="77777777" w:rsidR="0085433F" w:rsidRPr="000C156A" w:rsidRDefault="0085433F" w:rsidP="003A64C9">
            <w:pPr>
              <w:pStyle w:val="Tabletext"/>
              <w:spacing w:before="20" w:after="20"/>
              <w:rPr>
                <w:sz w:val="18"/>
                <w:szCs w:val="18"/>
                <w:lang w:val="en-US" w:eastAsia="fr-FR"/>
              </w:rPr>
            </w:pPr>
            <w:r w:rsidRPr="000C156A">
              <w:rPr>
                <w:rFonts w:hint="eastAsia"/>
                <w:b/>
                <w:sz w:val="18"/>
                <w:szCs w:val="18"/>
                <w:lang w:val="en-US"/>
              </w:rPr>
              <w:t>收入</w:t>
            </w:r>
            <w:r w:rsidRPr="000C156A">
              <w:rPr>
                <w:rFonts w:hint="eastAsia"/>
                <w:b/>
                <w:sz w:val="18"/>
                <w:szCs w:val="18"/>
                <w:lang w:val="en-US" w:eastAsia="zh-CN"/>
              </w:rPr>
              <w:t>合计</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14:paraId="161A804F" w14:textId="3948CF8F" w:rsidR="0085433F" w:rsidRPr="000C156A" w:rsidRDefault="00C1600E" w:rsidP="003A64C9">
            <w:pPr>
              <w:overflowPunct/>
              <w:autoSpaceDE/>
              <w:autoSpaceDN/>
              <w:adjustRightInd/>
              <w:spacing w:before="0"/>
              <w:jc w:val="right"/>
              <w:textAlignment w:val="auto"/>
              <w:rPr>
                <w:rFonts w:cs="Arial"/>
                <w:b/>
                <w:bCs/>
                <w:color w:val="000000"/>
                <w:sz w:val="18"/>
                <w:szCs w:val="18"/>
                <w:lang w:val="en-US" w:eastAsia="zh-CN"/>
              </w:rPr>
            </w:pPr>
            <w:r>
              <w:rPr>
                <w:rFonts w:cs="Arial"/>
                <w:b/>
                <w:bCs/>
                <w:color w:val="000000"/>
                <w:sz w:val="18"/>
                <w:szCs w:val="18"/>
                <w:lang w:val="en-US" w:eastAsia="zh-CN"/>
              </w:rPr>
              <w:t>164 535</w:t>
            </w:r>
          </w:p>
        </w:tc>
        <w:tc>
          <w:tcPr>
            <w:tcW w:w="541" w:type="pct"/>
            <w:tcBorders>
              <w:top w:val="nil"/>
              <w:left w:val="nil"/>
              <w:bottom w:val="single" w:sz="4" w:space="0" w:color="auto"/>
              <w:right w:val="single" w:sz="4" w:space="0" w:color="auto"/>
            </w:tcBorders>
            <w:shd w:val="clear" w:color="auto" w:fill="auto"/>
            <w:noWrap/>
            <w:vAlign w:val="bottom"/>
            <w:hideMark/>
          </w:tcPr>
          <w:p w14:paraId="11B9109F" w14:textId="09F17B1B"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 xml:space="preserve">-1 </w:t>
            </w:r>
            <w:r w:rsidR="00C1600E">
              <w:rPr>
                <w:rFonts w:cs="Arial"/>
                <w:b/>
                <w:bCs/>
                <w:color w:val="000000"/>
                <w:sz w:val="18"/>
                <w:szCs w:val="18"/>
                <w:lang w:val="en-US" w:eastAsia="zh-CN"/>
              </w:rPr>
              <w:t>582</w:t>
            </w:r>
          </w:p>
        </w:tc>
        <w:tc>
          <w:tcPr>
            <w:tcW w:w="541" w:type="pct"/>
            <w:tcBorders>
              <w:top w:val="nil"/>
              <w:left w:val="nil"/>
              <w:bottom w:val="single" w:sz="4" w:space="0" w:color="auto"/>
              <w:right w:val="single" w:sz="4" w:space="0" w:color="auto"/>
            </w:tcBorders>
            <w:shd w:val="clear" w:color="auto" w:fill="auto"/>
            <w:noWrap/>
            <w:vAlign w:val="bottom"/>
            <w:hideMark/>
          </w:tcPr>
          <w:p w14:paraId="03BF66E7"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60DB55CD" w14:textId="71E2FCB1"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16</w:t>
            </w:r>
            <w:r w:rsidR="00C1600E">
              <w:rPr>
                <w:rFonts w:cs="Arial"/>
                <w:b/>
                <w:bCs/>
                <w:color w:val="000000"/>
                <w:sz w:val="18"/>
                <w:szCs w:val="18"/>
                <w:lang w:val="en-US" w:eastAsia="zh-CN"/>
              </w:rPr>
              <w:t>2 954</w:t>
            </w:r>
          </w:p>
        </w:tc>
        <w:tc>
          <w:tcPr>
            <w:tcW w:w="677" w:type="pct"/>
            <w:tcBorders>
              <w:top w:val="nil"/>
              <w:left w:val="nil"/>
              <w:bottom w:val="single" w:sz="4" w:space="0" w:color="auto"/>
              <w:right w:val="single" w:sz="4" w:space="0" w:color="auto"/>
            </w:tcBorders>
            <w:shd w:val="clear" w:color="auto" w:fill="auto"/>
            <w:noWrap/>
            <w:vAlign w:val="bottom"/>
            <w:hideMark/>
          </w:tcPr>
          <w:p w14:paraId="597787EA" w14:textId="303C545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 xml:space="preserve">153 </w:t>
            </w:r>
            <w:r w:rsidR="00C1600E">
              <w:rPr>
                <w:rFonts w:cs="Arial"/>
                <w:b/>
                <w:bCs/>
                <w:color w:val="000000"/>
                <w:sz w:val="18"/>
                <w:szCs w:val="18"/>
                <w:lang w:val="en-US" w:eastAsia="zh-CN"/>
              </w:rPr>
              <w:t>187</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59A6122B" w14:textId="4B0F0819"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r w:rsidR="00C1600E">
              <w:rPr>
                <w:rFonts w:cs="Arial"/>
                <w:b/>
                <w:bCs/>
                <w:color w:val="000000"/>
                <w:sz w:val="18"/>
                <w:szCs w:val="18"/>
                <w:lang w:val="en-US" w:eastAsia="zh-CN"/>
              </w:rPr>
              <w:t>9 766</w:t>
            </w:r>
          </w:p>
        </w:tc>
      </w:tr>
      <w:tr w:rsidR="0085433F" w:rsidRPr="000C156A" w14:paraId="272BF4B2" w14:textId="77777777" w:rsidTr="003A64C9">
        <w:trPr>
          <w:trHeight w:val="255"/>
        </w:trPr>
        <w:tc>
          <w:tcPr>
            <w:tcW w:w="1346" w:type="pct"/>
            <w:vMerge w:val="restart"/>
            <w:tcBorders>
              <w:top w:val="nil"/>
              <w:left w:val="single" w:sz="4" w:space="0" w:color="auto"/>
              <w:bottom w:val="single" w:sz="4" w:space="0" w:color="000000"/>
              <w:right w:val="single" w:sz="4" w:space="0" w:color="auto"/>
            </w:tcBorders>
            <w:shd w:val="clear" w:color="auto" w:fill="auto"/>
            <w:vAlign w:val="center"/>
            <w:hideMark/>
          </w:tcPr>
          <w:p w14:paraId="3D8323ED" w14:textId="77777777" w:rsidR="0085433F" w:rsidRPr="000C156A" w:rsidRDefault="0085433F" w:rsidP="003A64C9">
            <w:pPr>
              <w:pStyle w:val="Tablehead"/>
              <w:spacing w:before="40" w:after="40"/>
              <w:rPr>
                <w:sz w:val="18"/>
                <w:szCs w:val="18"/>
                <w:lang w:val="en-US"/>
              </w:rPr>
            </w:pPr>
            <w:r w:rsidRPr="000C156A">
              <w:rPr>
                <w:rFonts w:hint="eastAsia"/>
                <w:sz w:val="18"/>
                <w:szCs w:val="18"/>
                <w:lang w:val="en-US"/>
              </w:rPr>
              <w:t>费用</w:t>
            </w:r>
          </w:p>
        </w:tc>
        <w:tc>
          <w:tcPr>
            <w:tcW w:w="2168"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B05FD7B" w14:textId="77777777" w:rsidR="0085433F" w:rsidRPr="000C156A" w:rsidRDefault="0085433F" w:rsidP="003A64C9">
            <w:pPr>
              <w:overflowPunct/>
              <w:adjustRightInd/>
              <w:spacing w:before="0"/>
              <w:jc w:val="center"/>
              <w:textAlignment w:val="auto"/>
              <w:rPr>
                <w:rFonts w:ascii="Arial" w:hAnsi="Arial" w:cs="Arial"/>
                <w:b/>
                <w:bCs/>
                <w:color w:val="000000"/>
                <w:sz w:val="18"/>
                <w:szCs w:val="18"/>
                <w:lang w:val="en-US" w:eastAsia="zh-CN"/>
              </w:rPr>
            </w:pPr>
            <w:r w:rsidRPr="000C156A">
              <w:rPr>
                <w:rFonts w:hint="eastAsia"/>
                <w:b/>
                <w:bCs/>
                <w:sz w:val="18"/>
                <w:szCs w:val="18"/>
                <w:lang w:val="en-US"/>
              </w:rPr>
              <w:t>预算</w:t>
            </w:r>
            <w:r w:rsidRPr="000C156A">
              <w:rPr>
                <w:rFonts w:hint="eastAsia"/>
                <w:b/>
                <w:bCs/>
                <w:sz w:val="18"/>
                <w:szCs w:val="18"/>
                <w:lang w:val="en-US" w:eastAsia="zh-CN"/>
              </w:rPr>
              <w:t>金</w:t>
            </w:r>
            <w:r w:rsidRPr="000C156A">
              <w:rPr>
                <w:rFonts w:hint="eastAsia"/>
                <w:b/>
                <w:bCs/>
                <w:sz w:val="18"/>
                <w:szCs w:val="18"/>
                <w:lang w:val="en-US"/>
              </w:rPr>
              <w:t>额</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14:paraId="5FDA5556" w14:textId="77777777" w:rsidR="0085433F" w:rsidRPr="000C156A" w:rsidRDefault="0085433F" w:rsidP="003A64C9">
            <w:pPr>
              <w:pStyle w:val="Tablehead"/>
              <w:spacing w:before="40" w:after="40"/>
              <w:rPr>
                <w:sz w:val="18"/>
                <w:szCs w:val="18"/>
                <w:lang w:val="en-US" w:eastAsia="zh-CN"/>
              </w:rPr>
            </w:pPr>
            <w:r w:rsidRPr="000C156A">
              <w:rPr>
                <w:rFonts w:hint="eastAsia"/>
                <w:sz w:val="18"/>
                <w:szCs w:val="18"/>
                <w:lang w:val="en-US"/>
              </w:rPr>
              <w:t>可比的</w:t>
            </w:r>
            <w:r w:rsidRPr="000C156A">
              <w:rPr>
                <w:sz w:val="18"/>
                <w:szCs w:val="18"/>
                <w:lang w:val="en-US"/>
              </w:rPr>
              <w:br/>
            </w:r>
            <w:r w:rsidRPr="000C156A">
              <w:rPr>
                <w:rFonts w:hint="eastAsia"/>
                <w:sz w:val="18"/>
                <w:szCs w:val="18"/>
                <w:lang w:val="en-US" w:eastAsia="zh-CN"/>
              </w:rPr>
              <w:t>实际金额</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14:paraId="5608B59C" w14:textId="77777777" w:rsidR="0085433F" w:rsidRPr="000C156A" w:rsidRDefault="0085433F" w:rsidP="003A64C9">
            <w:pPr>
              <w:pStyle w:val="Tablehead"/>
              <w:spacing w:before="40" w:after="40"/>
              <w:rPr>
                <w:sz w:val="18"/>
                <w:szCs w:val="18"/>
                <w:lang w:val="en-US" w:eastAsia="zh-CN"/>
              </w:rPr>
            </w:pPr>
            <w:r w:rsidRPr="000C156A">
              <w:rPr>
                <w:rFonts w:hint="eastAsia"/>
                <w:sz w:val="18"/>
                <w:szCs w:val="18"/>
                <w:lang w:val="en-US" w:eastAsia="zh-CN"/>
              </w:rPr>
              <w:t>最终预算和</w:t>
            </w:r>
            <w:r w:rsidRPr="000C156A">
              <w:rPr>
                <w:sz w:val="18"/>
                <w:szCs w:val="18"/>
                <w:lang w:val="en-US" w:eastAsia="zh-CN"/>
              </w:rPr>
              <w:br/>
            </w:r>
            <w:r w:rsidRPr="000C156A">
              <w:rPr>
                <w:rFonts w:hint="eastAsia"/>
                <w:sz w:val="18"/>
                <w:szCs w:val="18"/>
                <w:lang w:val="en-US" w:eastAsia="zh-CN"/>
              </w:rPr>
              <w:t>实际金额</w:t>
            </w:r>
            <w:r w:rsidRPr="000C156A">
              <w:rPr>
                <w:sz w:val="18"/>
                <w:szCs w:val="18"/>
                <w:lang w:val="en-US" w:eastAsia="zh-CN"/>
              </w:rPr>
              <w:br/>
            </w:r>
            <w:r w:rsidRPr="000C156A">
              <w:rPr>
                <w:rFonts w:hint="eastAsia"/>
                <w:sz w:val="18"/>
                <w:szCs w:val="18"/>
                <w:lang w:val="en-US" w:eastAsia="zh-CN"/>
              </w:rPr>
              <w:t>之间的差异</w:t>
            </w:r>
          </w:p>
        </w:tc>
      </w:tr>
      <w:tr w:rsidR="0085433F" w:rsidRPr="000C156A" w14:paraId="3FB63419" w14:textId="77777777" w:rsidTr="00493002">
        <w:trPr>
          <w:trHeight w:val="630"/>
        </w:trPr>
        <w:tc>
          <w:tcPr>
            <w:tcW w:w="1346" w:type="pct"/>
            <w:vMerge/>
            <w:tcBorders>
              <w:top w:val="nil"/>
              <w:left w:val="single" w:sz="4" w:space="0" w:color="auto"/>
              <w:bottom w:val="single" w:sz="4" w:space="0" w:color="000000"/>
              <w:right w:val="single" w:sz="4" w:space="0" w:color="auto"/>
            </w:tcBorders>
            <w:vAlign w:val="center"/>
            <w:hideMark/>
          </w:tcPr>
          <w:p w14:paraId="5C570E07" w14:textId="77777777" w:rsidR="0085433F" w:rsidRPr="000C156A" w:rsidRDefault="0085433F" w:rsidP="003A64C9">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14:paraId="12C219AF" w14:textId="77777777" w:rsidR="0085433F" w:rsidRPr="000C156A" w:rsidRDefault="0085433F" w:rsidP="003A64C9">
            <w:pPr>
              <w:pStyle w:val="Tablehead"/>
              <w:spacing w:before="40" w:after="40"/>
              <w:rPr>
                <w:sz w:val="18"/>
                <w:szCs w:val="18"/>
                <w:lang w:val="en-US" w:eastAsia="zh-CN"/>
              </w:rPr>
            </w:pPr>
            <w:r w:rsidRPr="000C156A">
              <w:rPr>
                <w:rFonts w:hint="eastAsia"/>
                <w:sz w:val="18"/>
                <w:szCs w:val="18"/>
                <w:lang w:val="en-US" w:eastAsia="zh-CN"/>
              </w:rPr>
              <w:t>初始预算</w:t>
            </w:r>
          </w:p>
        </w:tc>
        <w:tc>
          <w:tcPr>
            <w:tcW w:w="541" w:type="pct"/>
            <w:tcBorders>
              <w:top w:val="nil"/>
              <w:left w:val="nil"/>
              <w:bottom w:val="single" w:sz="4" w:space="0" w:color="auto"/>
              <w:right w:val="single" w:sz="4" w:space="0" w:color="auto"/>
            </w:tcBorders>
            <w:shd w:val="clear" w:color="auto" w:fill="auto"/>
            <w:hideMark/>
          </w:tcPr>
          <w:p w14:paraId="3B5FFAB5" w14:textId="77777777" w:rsidR="0085433F" w:rsidRPr="000C156A" w:rsidRDefault="0085433F" w:rsidP="003A64C9">
            <w:pPr>
              <w:pStyle w:val="Tablehead"/>
              <w:spacing w:after="40"/>
              <w:rPr>
                <w:sz w:val="18"/>
                <w:szCs w:val="18"/>
                <w:lang w:val="en-US" w:eastAsia="zh-CN"/>
              </w:rPr>
            </w:pPr>
            <w:r w:rsidRPr="000C156A">
              <w:rPr>
                <w:rFonts w:hint="eastAsia"/>
                <w:sz w:val="18"/>
                <w:szCs w:val="18"/>
                <w:lang w:val="en-US"/>
              </w:rPr>
              <w:t>推迟</w:t>
            </w:r>
            <w:r w:rsidRPr="000C156A">
              <w:rPr>
                <w:sz w:val="18"/>
                <w:szCs w:val="18"/>
                <w:lang w:val="en-US"/>
              </w:rPr>
              <w:t>的</w:t>
            </w:r>
            <w:r w:rsidRPr="000C156A">
              <w:rPr>
                <w:sz w:val="18"/>
                <w:szCs w:val="18"/>
                <w:lang w:val="en-US"/>
              </w:rPr>
              <w:br/>
            </w:r>
            <w:r w:rsidRPr="000C156A">
              <w:rPr>
                <w:sz w:val="18"/>
                <w:szCs w:val="18"/>
                <w:lang w:val="en-US"/>
              </w:rPr>
              <w:t>活动</w:t>
            </w:r>
          </w:p>
        </w:tc>
        <w:tc>
          <w:tcPr>
            <w:tcW w:w="541" w:type="pct"/>
            <w:tcBorders>
              <w:top w:val="nil"/>
              <w:left w:val="nil"/>
              <w:bottom w:val="single" w:sz="4" w:space="0" w:color="auto"/>
              <w:right w:val="nil"/>
            </w:tcBorders>
            <w:shd w:val="clear" w:color="auto" w:fill="auto"/>
            <w:vAlign w:val="center"/>
            <w:hideMark/>
          </w:tcPr>
          <w:p w14:paraId="6C21CB11" w14:textId="77777777" w:rsidR="0085433F" w:rsidRPr="000C156A" w:rsidRDefault="0085433F" w:rsidP="003A64C9">
            <w:pPr>
              <w:pStyle w:val="Tablehead"/>
              <w:spacing w:before="40" w:after="40"/>
              <w:rPr>
                <w:sz w:val="18"/>
                <w:szCs w:val="18"/>
                <w:lang w:val="en-US" w:eastAsia="fr-FR"/>
              </w:rPr>
            </w:pPr>
            <w:r w:rsidRPr="000C156A">
              <w:rPr>
                <w:rFonts w:hint="eastAsia"/>
                <w:sz w:val="18"/>
                <w:szCs w:val="18"/>
                <w:lang w:val="en-US"/>
              </w:rPr>
              <w:t>预算内</w:t>
            </w:r>
            <w:r w:rsidRPr="000C156A">
              <w:rPr>
                <w:sz w:val="18"/>
                <w:szCs w:val="18"/>
                <w:lang w:val="en-US"/>
              </w:rPr>
              <w:br/>
            </w:r>
            <w:r w:rsidRPr="000C156A">
              <w:rPr>
                <w:rFonts w:hint="eastAsia"/>
                <w:sz w:val="18"/>
                <w:szCs w:val="18"/>
                <w:lang w:val="en-US"/>
              </w:rPr>
              <w:t>转账</w:t>
            </w:r>
          </w:p>
        </w:tc>
        <w:tc>
          <w:tcPr>
            <w:tcW w:w="546" w:type="pct"/>
            <w:tcBorders>
              <w:top w:val="nil"/>
              <w:left w:val="single" w:sz="4" w:space="0" w:color="auto"/>
              <w:bottom w:val="single" w:sz="4" w:space="0" w:color="auto"/>
              <w:right w:val="single" w:sz="4" w:space="0" w:color="auto"/>
            </w:tcBorders>
            <w:shd w:val="clear" w:color="auto" w:fill="auto"/>
            <w:vAlign w:val="center"/>
            <w:hideMark/>
          </w:tcPr>
          <w:p w14:paraId="677838CB" w14:textId="77777777" w:rsidR="0085433F" w:rsidRPr="000C156A" w:rsidRDefault="0085433F" w:rsidP="003A64C9">
            <w:pPr>
              <w:pStyle w:val="Tablehead"/>
              <w:spacing w:before="40" w:after="40"/>
              <w:rPr>
                <w:sz w:val="18"/>
                <w:szCs w:val="18"/>
                <w:lang w:val="en-US" w:eastAsia="fr-FR"/>
              </w:rPr>
            </w:pPr>
            <w:r w:rsidRPr="000C156A">
              <w:rPr>
                <w:rFonts w:hint="eastAsia"/>
                <w:sz w:val="18"/>
                <w:szCs w:val="18"/>
                <w:lang w:val="en-US" w:eastAsia="fr-FR"/>
              </w:rPr>
              <w:t>最终预算</w:t>
            </w:r>
          </w:p>
        </w:tc>
        <w:tc>
          <w:tcPr>
            <w:tcW w:w="677" w:type="pct"/>
            <w:vMerge/>
            <w:tcBorders>
              <w:top w:val="nil"/>
              <w:left w:val="single" w:sz="4" w:space="0" w:color="auto"/>
              <w:bottom w:val="single" w:sz="4" w:space="0" w:color="000000"/>
              <w:right w:val="single" w:sz="4" w:space="0" w:color="auto"/>
            </w:tcBorders>
            <w:vAlign w:val="center"/>
            <w:hideMark/>
          </w:tcPr>
          <w:p w14:paraId="0A27BA10" w14:textId="77777777" w:rsidR="0085433F" w:rsidRPr="000C156A" w:rsidRDefault="0085433F" w:rsidP="003A64C9">
            <w:pPr>
              <w:overflowPunct/>
              <w:adjustRightInd/>
              <w:spacing w:before="0"/>
              <w:textAlignment w:val="auto"/>
              <w:rPr>
                <w:rFonts w:ascii="Arial" w:hAnsi="Arial" w:cs="Arial"/>
                <w:b/>
                <w:bCs/>
                <w:color w:val="000000"/>
                <w:sz w:val="18"/>
                <w:szCs w:val="18"/>
                <w:lang w:val="en-US" w:eastAsia="zh-CN"/>
              </w:rPr>
            </w:pPr>
          </w:p>
        </w:tc>
        <w:tc>
          <w:tcPr>
            <w:tcW w:w="809" w:type="pct"/>
            <w:vMerge/>
            <w:tcBorders>
              <w:top w:val="nil"/>
              <w:left w:val="single" w:sz="4" w:space="0" w:color="auto"/>
              <w:bottom w:val="single" w:sz="4" w:space="0" w:color="000000"/>
              <w:right w:val="single" w:sz="4" w:space="0" w:color="auto"/>
            </w:tcBorders>
            <w:vAlign w:val="center"/>
            <w:hideMark/>
          </w:tcPr>
          <w:p w14:paraId="3119A405" w14:textId="77777777" w:rsidR="0085433F" w:rsidRPr="000C156A" w:rsidRDefault="0085433F" w:rsidP="003A64C9">
            <w:pPr>
              <w:overflowPunct/>
              <w:adjustRightInd/>
              <w:spacing w:before="0"/>
              <w:textAlignment w:val="auto"/>
              <w:rPr>
                <w:rFonts w:ascii="Arial" w:hAnsi="Arial" w:cs="Arial"/>
                <w:b/>
                <w:bCs/>
                <w:color w:val="000000"/>
                <w:sz w:val="18"/>
                <w:szCs w:val="18"/>
                <w:lang w:val="en-US" w:eastAsia="zh-CN"/>
              </w:rPr>
            </w:pPr>
          </w:p>
        </w:tc>
      </w:tr>
      <w:tr w:rsidR="00C1600E" w:rsidRPr="000C156A" w14:paraId="1CC06DB2" w14:textId="77777777" w:rsidTr="00493002">
        <w:trPr>
          <w:trHeight w:val="255"/>
        </w:trPr>
        <w:tc>
          <w:tcPr>
            <w:tcW w:w="1346" w:type="pct"/>
            <w:vMerge/>
            <w:tcBorders>
              <w:top w:val="nil"/>
              <w:left w:val="single" w:sz="4" w:space="0" w:color="auto"/>
              <w:bottom w:val="single" w:sz="4" w:space="0" w:color="000000"/>
              <w:right w:val="single" w:sz="4" w:space="0" w:color="auto"/>
            </w:tcBorders>
            <w:vAlign w:val="center"/>
            <w:hideMark/>
          </w:tcPr>
          <w:p w14:paraId="4BF98C95" w14:textId="77777777" w:rsidR="00C1600E" w:rsidRPr="000C156A" w:rsidRDefault="00C1600E" w:rsidP="00C1600E">
            <w:pPr>
              <w:overflowPunct/>
              <w:adjustRightInd/>
              <w:spacing w:before="0"/>
              <w:textAlignment w:val="auto"/>
              <w:rPr>
                <w:rFonts w:ascii="Arial" w:hAnsi="Arial" w:cs="Arial"/>
                <w:b/>
                <w:bCs/>
                <w:color w:val="000000"/>
                <w:sz w:val="18"/>
                <w:szCs w:val="18"/>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14:paraId="3F930061" w14:textId="1742988B" w:rsidR="00C1600E" w:rsidRPr="000C156A" w:rsidRDefault="00C1600E" w:rsidP="00C1600E">
            <w:pPr>
              <w:pStyle w:val="Tablehead"/>
              <w:spacing w:before="40" w:after="40"/>
              <w:rPr>
                <w:sz w:val="18"/>
                <w:szCs w:val="18"/>
                <w:lang w:val="en-US" w:eastAsia="zh-CN"/>
              </w:rPr>
            </w:pPr>
            <w:r w:rsidRPr="000C156A">
              <w:rPr>
                <w:sz w:val="18"/>
                <w:szCs w:val="18"/>
                <w:lang w:val="en-US" w:eastAsia="fr-FR"/>
              </w:rPr>
              <w:t>202</w:t>
            </w:r>
            <w:r>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14:paraId="05825153" w14:textId="49FC1650" w:rsidR="00C1600E" w:rsidRPr="000C156A" w:rsidRDefault="00C1600E" w:rsidP="00C1600E">
            <w:pPr>
              <w:pStyle w:val="Tablehead"/>
              <w:spacing w:before="40" w:after="40"/>
              <w:rPr>
                <w:sz w:val="18"/>
                <w:szCs w:val="18"/>
                <w:lang w:val="en-US" w:eastAsia="zh-CN"/>
              </w:rPr>
            </w:pPr>
            <w:r w:rsidRPr="000C156A">
              <w:rPr>
                <w:sz w:val="18"/>
                <w:szCs w:val="18"/>
                <w:lang w:val="en-US" w:eastAsia="fr-FR"/>
              </w:rPr>
              <w:t>202</w:t>
            </w:r>
            <w:r>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14:paraId="73768696" w14:textId="40B9ECDD" w:rsidR="00C1600E" w:rsidRPr="000C156A" w:rsidRDefault="00C1600E" w:rsidP="00C1600E">
            <w:pPr>
              <w:pStyle w:val="Tablehead"/>
              <w:spacing w:before="40" w:after="40"/>
              <w:rPr>
                <w:sz w:val="18"/>
                <w:szCs w:val="18"/>
                <w:lang w:val="en-US" w:eastAsia="zh-CN"/>
              </w:rPr>
            </w:pPr>
            <w:r w:rsidRPr="000C156A">
              <w:rPr>
                <w:sz w:val="18"/>
                <w:szCs w:val="18"/>
                <w:lang w:val="en-US" w:eastAsia="fr-FR"/>
              </w:rPr>
              <w:t>202</w:t>
            </w:r>
            <w:r>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546" w:type="pct"/>
            <w:tcBorders>
              <w:top w:val="nil"/>
              <w:left w:val="nil"/>
              <w:bottom w:val="single" w:sz="4" w:space="0" w:color="auto"/>
              <w:right w:val="single" w:sz="4" w:space="0" w:color="auto"/>
            </w:tcBorders>
            <w:shd w:val="clear" w:color="auto" w:fill="auto"/>
            <w:noWrap/>
            <w:vAlign w:val="center"/>
            <w:hideMark/>
          </w:tcPr>
          <w:p w14:paraId="2516137E" w14:textId="791B26A7" w:rsidR="00C1600E" w:rsidRPr="000C156A" w:rsidRDefault="00C1600E" w:rsidP="00C1600E">
            <w:pPr>
              <w:pStyle w:val="Tablehead"/>
              <w:spacing w:before="40" w:after="40"/>
              <w:rPr>
                <w:sz w:val="18"/>
                <w:szCs w:val="18"/>
                <w:lang w:val="en-US" w:eastAsia="zh-CN"/>
              </w:rPr>
            </w:pPr>
            <w:r w:rsidRPr="000C156A">
              <w:rPr>
                <w:sz w:val="18"/>
                <w:szCs w:val="18"/>
                <w:lang w:val="en-US" w:eastAsia="fr-FR"/>
              </w:rPr>
              <w:t>202</w:t>
            </w:r>
            <w:r>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14:paraId="5AF68AEF" w14:textId="17724A13" w:rsidR="00C1600E" w:rsidRPr="000C156A" w:rsidRDefault="00C1600E" w:rsidP="00C1600E">
            <w:pPr>
              <w:pStyle w:val="Tablehead"/>
              <w:spacing w:before="40" w:after="40"/>
              <w:rPr>
                <w:sz w:val="18"/>
                <w:szCs w:val="18"/>
                <w:lang w:val="en-US" w:eastAsia="zh-CN"/>
              </w:rPr>
            </w:pPr>
            <w:r w:rsidRPr="000C156A">
              <w:rPr>
                <w:sz w:val="18"/>
                <w:szCs w:val="18"/>
                <w:lang w:val="en-US" w:eastAsia="fr-FR"/>
              </w:rPr>
              <w:t>202</w:t>
            </w:r>
            <w:r>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14:paraId="3F3CDB93" w14:textId="3D5A773F" w:rsidR="00C1600E" w:rsidRPr="000C156A" w:rsidRDefault="00C1600E" w:rsidP="00C1600E">
            <w:pPr>
              <w:pStyle w:val="Tablehead"/>
              <w:spacing w:before="40" w:after="40"/>
              <w:rPr>
                <w:sz w:val="18"/>
                <w:szCs w:val="18"/>
                <w:lang w:val="en-US" w:eastAsia="zh-CN"/>
              </w:rPr>
            </w:pPr>
            <w:r w:rsidRPr="000C156A">
              <w:rPr>
                <w:sz w:val="18"/>
                <w:szCs w:val="18"/>
                <w:lang w:val="en-US" w:eastAsia="fr-FR"/>
              </w:rPr>
              <w:t>202</w:t>
            </w:r>
            <w:r>
              <w:rPr>
                <w:sz w:val="18"/>
                <w:szCs w:val="18"/>
                <w:lang w:val="en-US" w:eastAsia="fr-FR"/>
              </w:rPr>
              <w:t>1</w:t>
            </w:r>
            <w:r w:rsidRPr="000C156A">
              <w:rPr>
                <w:rFonts w:hint="eastAsia"/>
                <w:sz w:val="18"/>
                <w:szCs w:val="18"/>
                <w:lang w:val="en-US" w:eastAsia="zh-CN"/>
              </w:rPr>
              <w:t>年</w:t>
            </w:r>
            <w:r w:rsidRPr="000C156A">
              <w:rPr>
                <w:sz w:val="18"/>
                <w:szCs w:val="18"/>
                <w:lang w:val="en-US" w:eastAsia="zh-CN"/>
              </w:rPr>
              <w:br/>
            </w:r>
            <w:r w:rsidRPr="000C156A">
              <w:rPr>
                <w:rFonts w:hint="eastAsia"/>
                <w:sz w:val="18"/>
                <w:szCs w:val="18"/>
                <w:lang w:val="en-US" w:eastAsia="zh-CN"/>
              </w:rPr>
              <w:t>12</w:t>
            </w:r>
            <w:r w:rsidRPr="000C156A">
              <w:rPr>
                <w:rFonts w:hint="eastAsia"/>
                <w:sz w:val="18"/>
                <w:szCs w:val="18"/>
                <w:lang w:val="en-US" w:eastAsia="zh-CN"/>
              </w:rPr>
              <w:t>月</w:t>
            </w:r>
            <w:r w:rsidRPr="000C156A">
              <w:rPr>
                <w:rFonts w:hint="eastAsia"/>
                <w:sz w:val="18"/>
                <w:szCs w:val="18"/>
                <w:lang w:val="en-US" w:eastAsia="zh-CN"/>
              </w:rPr>
              <w:t>31</w:t>
            </w:r>
            <w:r w:rsidRPr="000C156A">
              <w:rPr>
                <w:rFonts w:hint="eastAsia"/>
                <w:sz w:val="18"/>
                <w:szCs w:val="18"/>
                <w:lang w:val="en-US" w:eastAsia="zh-CN"/>
              </w:rPr>
              <w:t>日</w:t>
            </w:r>
          </w:p>
        </w:tc>
      </w:tr>
      <w:tr w:rsidR="00C1600E" w:rsidRPr="000C156A" w14:paraId="2CFD264B" w14:textId="77777777" w:rsidTr="00C1600E">
        <w:trPr>
          <w:trHeight w:val="255"/>
        </w:trPr>
        <w:tc>
          <w:tcPr>
            <w:tcW w:w="1346" w:type="pct"/>
            <w:tcBorders>
              <w:top w:val="nil"/>
              <w:left w:val="single" w:sz="4" w:space="0" w:color="auto"/>
              <w:bottom w:val="nil"/>
              <w:right w:val="nil"/>
            </w:tcBorders>
            <w:shd w:val="clear" w:color="auto" w:fill="auto"/>
            <w:vAlign w:val="bottom"/>
            <w:hideMark/>
          </w:tcPr>
          <w:p w14:paraId="1D3D1098" w14:textId="77777777" w:rsidR="00C1600E" w:rsidRPr="000C156A" w:rsidRDefault="00C1600E" w:rsidP="00C1600E">
            <w:pPr>
              <w:pStyle w:val="Tabletext"/>
              <w:spacing w:before="20" w:after="20"/>
              <w:rPr>
                <w:rFonts w:ascii="STKaiti" w:eastAsia="STKaiti" w:hAnsi="STKaiti"/>
                <w:sz w:val="18"/>
                <w:szCs w:val="18"/>
                <w:lang w:val="en-US" w:eastAsia="zh-CN"/>
              </w:rPr>
            </w:pPr>
            <w:r w:rsidRPr="000C156A">
              <w:rPr>
                <w:rFonts w:ascii="STKaiti" w:eastAsia="STKaiti" w:hAnsi="STKaiti"/>
                <w:sz w:val="18"/>
                <w:szCs w:val="18"/>
                <w:lang w:val="en-US" w:eastAsia="zh-CN"/>
              </w:rPr>
              <w:t>总秘书</w:t>
            </w:r>
            <w:r w:rsidRPr="000C156A">
              <w:rPr>
                <w:rFonts w:ascii="STKaiti" w:eastAsia="STKaiti" w:hAnsi="STKaiti" w:hint="eastAsia"/>
                <w:sz w:val="18"/>
                <w:szCs w:val="18"/>
                <w:lang w:val="en-US" w:eastAsia="zh-CN"/>
              </w:rPr>
              <w:t>处</w:t>
            </w:r>
          </w:p>
        </w:tc>
        <w:tc>
          <w:tcPr>
            <w:tcW w:w="540" w:type="pct"/>
            <w:tcBorders>
              <w:top w:val="nil"/>
              <w:left w:val="single" w:sz="4" w:space="0" w:color="auto"/>
              <w:bottom w:val="nil"/>
              <w:right w:val="single" w:sz="4" w:space="0" w:color="auto"/>
            </w:tcBorders>
            <w:shd w:val="clear" w:color="auto" w:fill="auto"/>
            <w:noWrap/>
            <w:vAlign w:val="bottom"/>
            <w:hideMark/>
          </w:tcPr>
          <w:p w14:paraId="4AB26345" w14:textId="64A264BE"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91 92</w:t>
            </w:r>
            <w:r>
              <w:rPr>
                <w:rFonts w:cs="Arial"/>
                <w:i/>
                <w:iCs/>
                <w:color w:val="000000"/>
                <w:sz w:val="18"/>
                <w:szCs w:val="18"/>
                <w:lang w:val="en-US" w:eastAsia="zh-CN"/>
              </w:rPr>
              <w:t>4</w:t>
            </w:r>
          </w:p>
        </w:tc>
        <w:tc>
          <w:tcPr>
            <w:tcW w:w="541" w:type="pct"/>
            <w:tcBorders>
              <w:top w:val="nil"/>
              <w:left w:val="nil"/>
              <w:bottom w:val="nil"/>
              <w:right w:val="single" w:sz="4" w:space="0" w:color="auto"/>
            </w:tcBorders>
            <w:shd w:val="clear" w:color="auto" w:fill="auto"/>
            <w:noWrap/>
            <w:vAlign w:val="bottom"/>
            <w:hideMark/>
          </w:tcPr>
          <w:p w14:paraId="389735EB" w14:textId="77777777"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1BFC48C6" w14:textId="77777777"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38808396" w14:textId="11D6C9D8"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91 92</w:t>
            </w:r>
            <w:r>
              <w:rPr>
                <w:rFonts w:cs="Arial"/>
                <w:i/>
                <w:iCs/>
                <w:color w:val="000000"/>
                <w:sz w:val="18"/>
                <w:szCs w:val="18"/>
                <w:lang w:val="en-US" w:eastAsia="zh-CN"/>
              </w:rPr>
              <w:t>4</w:t>
            </w:r>
          </w:p>
        </w:tc>
        <w:tc>
          <w:tcPr>
            <w:tcW w:w="677" w:type="pct"/>
            <w:tcBorders>
              <w:top w:val="nil"/>
              <w:left w:val="nil"/>
              <w:bottom w:val="nil"/>
              <w:right w:val="nil"/>
            </w:tcBorders>
            <w:shd w:val="clear" w:color="auto" w:fill="auto"/>
            <w:noWrap/>
            <w:vAlign w:val="bottom"/>
          </w:tcPr>
          <w:p w14:paraId="3544D90D" w14:textId="339F4A50"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82 390</w:t>
            </w:r>
          </w:p>
        </w:tc>
        <w:tc>
          <w:tcPr>
            <w:tcW w:w="809" w:type="pct"/>
            <w:tcBorders>
              <w:top w:val="nil"/>
              <w:left w:val="single" w:sz="4" w:space="0" w:color="auto"/>
              <w:bottom w:val="nil"/>
              <w:right w:val="single" w:sz="4" w:space="0" w:color="auto"/>
            </w:tcBorders>
            <w:shd w:val="clear" w:color="auto" w:fill="auto"/>
            <w:noWrap/>
            <w:vAlign w:val="bottom"/>
          </w:tcPr>
          <w:p w14:paraId="2D478D1C" w14:textId="2A15E243"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9 534</w:t>
            </w:r>
          </w:p>
        </w:tc>
      </w:tr>
      <w:tr w:rsidR="00C1600E" w:rsidRPr="000C156A" w14:paraId="41D0AA5A" w14:textId="77777777" w:rsidTr="00C1600E">
        <w:trPr>
          <w:trHeight w:val="255"/>
        </w:trPr>
        <w:tc>
          <w:tcPr>
            <w:tcW w:w="1346" w:type="pct"/>
            <w:tcBorders>
              <w:top w:val="nil"/>
              <w:left w:val="single" w:sz="4" w:space="0" w:color="auto"/>
              <w:bottom w:val="nil"/>
              <w:right w:val="nil"/>
            </w:tcBorders>
            <w:shd w:val="clear" w:color="auto" w:fill="auto"/>
            <w:vAlign w:val="bottom"/>
            <w:hideMark/>
          </w:tcPr>
          <w:p w14:paraId="06B2CACA" w14:textId="77777777" w:rsidR="00C1600E" w:rsidRPr="000C156A" w:rsidRDefault="00C1600E" w:rsidP="00C1600E">
            <w:pPr>
              <w:pStyle w:val="Tabletext"/>
              <w:spacing w:before="20" w:after="20"/>
              <w:rPr>
                <w:rFonts w:ascii="STKaiti" w:eastAsia="STKaiti" w:hAnsi="STKaiti"/>
                <w:sz w:val="18"/>
                <w:szCs w:val="18"/>
                <w:lang w:val="en-US" w:eastAsia="zh-CN"/>
              </w:rPr>
            </w:pPr>
            <w:r w:rsidRPr="000C156A">
              <w:rPr>
                <w:rFonts w:ascii="STKaiti" w:eastAsia="STKaiti" w:hAnsi="STKaiti" w:hint="eastAsia"/>
                <w:sz w:val="18"/>
                <w:szCs w:val="18"/>
                <w:lang w:val="en-US" w:eastAsia="zh-CN"/>
              </w:rPr>
              <w:t>无线电通信部门</w:t>
            </w:r>
          </w:p>
        </w:tc>
        <w:tc>
          <w:tcPr>
            <w:tcW w:w="540" w:type="pct"/>
            <w:tcBorders>
              <w:top w:val="nil"/>
              <w:left w:val="single" w:sz="4" w:space="0" w:color="auto"/>
              <w:bottom w:val="nil"/>
              <w:right w:val="single" w:sz="4" w:space="0" w:color="auto"/>
            </w:tcBorders>
            <w:shd w:val="clear" w:color="auto" w:fill="auto"/>
            <w:noWrap/>
            <w:hideMark/>
          </w:tcPr>
          <w:p w14:paraId="141A5C0F" w14:textId="3D972074"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 xml:space="preserve">29 </w:t>
            </w:r>
            <w:r>
              <w:rPr>
                <w:rFonts w:cs="Arial"/>
                <w:i/>
                <w:iCs/>
                <w:color w:val="000000"/>
                <w:sz w:val="18"/>
                <w:szCs w:val="18"/>
                <w:lang w:val="en-US" w:eastAsia="zh-CN"/>
              </w:rPr>
              <w:t>696</w:t>
            </w:r>
          </w:p>
        </w:tc>
        <w:tc>
          <w:tcPr>
            <w:tcW w:w="541" w:type="pct"/>
            <w:tcBorders>
              <w:top w:val="nil"/>
              <w:left w:val="nil"/>
              <w:bottom w:val="nil"/>
              <w:right w:val="single" w:sz="4" w:space="0" w:color="auto"/>
            </w:tcBorders>
            <w:shd w:val="clear" w:color="auto" w:fill="auto"/>
            <w:noWrap/>
            <w:hideMark/>
          </w:tcPr>
          <w:p w14:paraId="524A7986" w14:textId="77777777"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0E24EDDD" w14:textId="77777777"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39C5E524" w14:textId="3661309D"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 xml:space="preserve">29 </w:t>
            </w:r>
            <w:r>
              <w:rPr>
                <w:rFonts w:cs="Arial"/>
                <w:i/>
                <w:iCs/>
                <w:color w:val="000000"/>
                <w:sz w:val="18"/>
                <w:szCs w:val="18"/>
                <w:lang w:val="en-US" w:eastAsia="zh-CN"/>
              </w:rPr>
              <w:t>696</w:t>
            </w:r>
          </w:p>
        </w:tc>
        <w:tc>
          <w:tcPr>
            <w:tcW w:w="677" w:type="pct"/>
            <w:tcBorders>
              <w:top w:val="nil"/>
              <w:left w:val="nil"/>
              <w:bottom w:val="nil"/>
              <w:right w:val="nil"/>
            </w:tcBorders>
            <w:shd w:val="clear" w:color="auto" w:fill="auto"/>
            <w:noWrap/>
          </w:tcPr>
          <w:p w14:paraId="77F47635" w14:textId="29AE4F4B"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27 479</w:t>
            </w:r>
          </w:p>
        </w:tc>
        <w:tc>
          <w:tcPr>
            <w:tcW w:w="809" w:type="pct"/>
            <w:tcBorders>
              <w:top w:val="nil"/>
              <w:left w:val="single" w:sz="4" w:space="0" w:color="auto"/>
              <w:bottom w:val="nil"/>
              <w:right w:val="single" w:sz="4" w:space="0" w:color="auto"/>
            </w:tcBorders>
            <w:shd w:val="clear" w:color="auto" w:fill="auto"/>
            <w:noWrap/>
          </w:tcPr>
          <w:p w14:paraId="7867D12D" w14:textId="5561E4D8"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2 217</w:t>
            </w:r>
          </w:p>
        </w:tc>
      </w:tr>
      <w:tr w:rsidR="00C1600E" w:rsidRPr="000C156A" w14:paraId="76B94D70" w14:textId="77777777" w:rsidTr="00C1600E">
        <w:trPr>
          <w:trHeight w:val="255"/>
        </w:trPr>
        <w:tc>
          <w:tcPr>
            <w:tcW w:w="1346" w:type="pct"/>
            <w:tcBorders>
              <w:top w:val="nil"/>
              <w:left w:val="single" w:sz="4" w:space="0" w:color="auto"/>
              <w:bottom w:val="nil"/>
              <w:right w:val="nil"/>
            </w:tcBorders>
            <w:shd w:val="clear" w:color="auto" w:fill="auto"/>
            <w:vAlign w:val="bottom"/>
            <w:hideMark/>
          </w:tcPr>
          <w:p w14:paraId="7D241409" w14:textId="77777777" w:rsidR="00C1600E" w:rsidRPr="000C156A" w:rsidRDefault="00C1600E" w:rsidP="00C1600E">
            <w:pPr>
              <w:pStyle w:val="Tabletext"/>
              <w:spacing w:before="20" w:after="20"/>
              <w:rPr>
                <w:rFonts w:ascii="STKaiti" w:eastAsia="STKaiti" w:hAnsi="STKaiti"/>
                <w:sz w:val="18"/>
                <w:szCs w:val="18"/>
                <w:lang w:val="en-US" w:eastAsia="zh-CN"/>
              </w:rPr>
            </w:pPr>
            <w:r w:rsidRPr="000C156A">
              <w:rPr>
                <w:rFonts w:ascii="STKaiti" w:eastAsia="STKaiti" w:hAnsi="STKaiti" w:hint="eastAsia"/>
                <w:sz w:val="18"/>
                <w:szCs w:val="18"/>
                <w:lang w:val="en-US" w:eastAsia="zh-CN"/>
              </w:rPr>
              <w:t>电信标准化部门</w:t>
            </w:r>
          </w:p>
        </w:tc>
        <w:tc>
          <w:tcPr>
            <w:tcW w:w="540" w:type="pct"/>
            <w:tcBorders>
              <w:top w:val="nil"/>
              <w:left w:val="single" w:sz="4" w:space="0" w:color="auto"/>
              <w:bottom w:val="nil"/>
              <w:right w:val="single" w:sz="4" w:space="0" w:color="auto"/>
            </w:tcBorders>
            <w:shd w:val="clear" w:color="auto" w:fill="auto"/>
            <w:noWrap/>
            <w:hideMark/>
          </w:tcPr>
          <w:p w14:paraId="6C219933" w14:textId="62D46066"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w:t>
            </w:r>
            <w:r>
              <w:rPr>
                <w:rFonts w:cs="Arial"/>
                <w:i/>
                <w:iCs/>
                <w:color w:val="000000"/>
                <w:sz w:val="18"/>
                <w:szCs w:val="18"/>
                <w:lang w:val="en-US" w:eastAsia="zh-CN"/>
              </w:rPr>
              <w:t>3 354</w:t>
            </w:r>
          </w:p>
        </w:tc>
        <w:tc>
          <w:tcPr>
            <w:tcW w:w="541" w:type="pct"/>
            <w:tcBorders>
              <w:top w:val="nil"/>
              <w:left w:val="nil"/>
              <w:bottom w:val="nil"/>
              <w:right w:val="single" w:sz="4" w:space="0" w:color="auto"/>
            </w:tcBorders>
            <w:shd w:val="clear" w:color="auto" w:fill="auto"/>
            <w:noWrap/>
            <w:hideMark/>
          </w:tcPr>
          <w:p w14:paraId="5FFF2426" w14:textId="77777777"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5A1AB1ED" w14:textId="77777777"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4D28AF0F" w14:textId="1DA0D2DD"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1</w:t>
            </w:r>
            <w:r>
              <w:rPr>
                <w:rFonts w:cs="Arial"/>
                <w:i/>
                <w:iCs/>
                <w:color w:val="000000"/>
                <w:sz w:val="18"/>
                <w:szCs w:val="18"/>
                <w:lang w:val="en-US" w:eastAsia="zh-CN"/>
              </w:rPr>
              <w:t>3 354</w:t>
            </w:r>
          </w:p>
        </w:tc>
        <w:tc>
          <w:tcPr>
            <w:tcW w:w="677" w:type="pct"/>
            <w:tcBorders>
              <w:top w:val="nil"/>
              <w:left w:val="nil"/>
              <w:bottom w:val="nil"/>
              <w:right w:val="nil"/>
            </w:tcBorders>
            <w:shd w:val="clear" w:color="auto" w:fill="auto"/>
            <w:noWrap/>
          </w:tcPr>
          <w:p w14:paraId="2CD0A3BF" w14:textId="0A32678F"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12 447</w:t>
            </w:r>
          </w:p>
        </w:tc>
        <w:tc>
          <w:tcPr>
            <w:tcW w:w="809" w:type="pct"/>
            <w:tcBorders>
              <w:top w:val="nil"/>
              <w:left w:val="single" w:sz="4" w:space="0" w:color="auto"/>
              <w:bottom w:val="nil"/>
              <w:right w:val="single" w:sz="4" w:space="0" w:color="auto"/>
            </w:tcBorders>
            <w:shd w:val="clear" w:color="auto" w:fill="auto"/>
            <w:noWrap/>
          </w:tcPr>
          <w:p w14:paraId="5B26B34C" w14:textId="6E3A6A65" w:rsidR="00C1600E"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907</w:t>
            </w:r>
          </w:p>
        </w:tc>
      </w:tr>
      <w:tr w:rsidR="0085433F" w:rsidRPr="000C156A" w14:paraId="050010CD" w14:textId="77777777" w:rsidTr="00C1600E">
        <w:trPr>
          <w:trHeight w:val="240"/>
        </w:trPr>
        <w:tc>
          <w:tcPr>
            <w:tcW w:w="1346" w:type="pct"/>
            <w:tcBorders>
              <w:top w:val="nil"/>
              <w:left w:val="single" w:sz="4" w:space="0" w:color="auto"/>
              <w:bottom w:val="nil"/>
              <w:right w:val="nil"/>
            </w:tcBorders>
            <w:shd w:val="clear" w:color="auto" w:fill="auto"/>
            <w:vAlign w:val="bottom"/>
            <w:hideMark/>
          </w:tcPr>
          <w:p w14:paraId="3DDCB1EE" w14:textId="77777777" w:rsidR="0085433F" w:rsidRPr="000C156A" w:rsidRDefault="0085433F" w:rsidP="003A64C9">
            <w:pPr>
              <w:pStyle w:val="Tabletext"/>
              <w:spacing w:before="20" w:after="20"/>
              <w:rPr>
                <w:rFonts w:ascii="STKaiti" w:eastAsia="STKaiti" w:hAnsi="STKaiti"/>
                <w:sz w:val="18"/>
                <w:szCs w:val="18"/>
                <w:lang w:val="en-US"/>
              </w:rPr>
            </w:pPr>
            <w:r w:rsidRPr="000C156A">
              <w:rPr>
                <w:rFonts w:ascii="STKaiti" w:eastAsia="STKaiti" w:hAnsi="STKaiti" w:hint="eastAsia"/>
                <w:sz w:val="18"/>
                <w:szCs w:val="18"/>
                <w:lang w:val="en-US" w:eastAsia="zh-CN"/>
              </w:rPr>
              <w:t>电信</w:t>
            </w:r>
            <w:r w:rsidRPr="000C156A">
              <w:rPr>
                <w:rFonts w:ascii="STKaiti" w:eastAsia="STKaiti" w:hAnsi="STKaiti" w:hint="eastAsia"/>
                <w:sz w:val="18"/>
                <w:szCs w:val="18"/>
                <w:lang w:val="en-US"/>
              </w:rPr>
              <w:t>发展部门</w:t>
            </w:r>
          </w:p>
        </w:tc>
        <w:tc>
          <w:tcPr>
            <w:tcW w:w="540" w:type="pct"/>
            <w:tcBorders>
              <w:top w:val="nil"/>
              <w:left w:val="single" w:sz="4" w:space="0" w:color="auto"/>
              <w:bottom w:val="nil"/>
              <w:right w:val="single" w:sz="4" w:space="0" w:color="auto"/>
            </w:tcBorders>
            <w:shd w:val="clear" w:color="auto" w:fill="auto"/>
            <w:noWrap/>
            <w:hideMark/>
          </w:tcPr>
          <w:p w14:paraId="56A2D532" w14:textId="795E8531"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29 561</w:t>
            </w:r>
          </w:p>
        </w:tc>
        <w:tc>
          <w:tcPr>
            <w:tcW w:w="541" w:type="pct"/>
            <w:tcBorders>
              <w:top w:val="nil"/>
              <w:left w:val="nil"/>
              <w:bottom w:val="nil"/>
              <w:right w:val="single" w:sz="4" w:space="0" w:color="auto"/>
            </w:tcBorders>
            <w:shd w:val="clear" w:color="auto" w:fill="auto"/>
            <w:noWrap/>
            <w:hideMark/>
          </w:tcPr>
          <w:p w14:paraId="3FD9C1EB" w14:textId="2E7060F0" w:rsidR="0085433F" w:rsidRPr="000C156A" w:rsidRDefault="00C1600E" w:rsidP="00C1600E">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59</w:t>
            </w:r>
          </w:p>
        </w:tc>
        <w:tc>
          <w:tcPr>
            <w:tcW w:w="541" w:type="pct"/>
            <w:tcBorders>
              <w:top w:val="nil"/>
              <w:left w:val="nil"/>
              <w:bottom w:val="nil"/>
              <w:right w:val="single" w:sz="4" w:space="0" w:color="auto"/>
            </w:tcBorders>
            <w:shd w:val="clear" w:color="auto" w:fill="auto"/>
            <w:noWrap/>
            <w:hideMark/>
          </w:tcPr>
          <w:p w14:paraId="1FF13DA6"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04D6C4A7" w14:textId="59CB0920"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29 620</w:t>
            </w:r>
          </w:p>
        </w:tc>
        <w:tc>
          <w:tcPr>
            <w:tcW w:w="677" w:type="pct"/>
            <w:tcBorders>
              <w:top w:val="nil"/>
              <w:left w:val="nil"/>
              <w:bottom w:val="nil"/>
              <w:right w:val="nil"/>
            </w:tcBorders>
            <w:shd w:val="clear" w:color="auto" w:fill="auto"/>
            <w:noWrap/>
          </w:tcPr>
          <w:p w14:paraId="3E42E8C0" w14:textId="79EB6D29"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27 206</w:t>
            </w:r>
          </w:p>
        </w:tc>
        <w:tc>
          <w:tcPr>
            <w:tcW w:w="809" w:type="pct"/>
            <w:tcBorders>
              <w:top w:val="nil"/>
              <w:left w:val="single" w:sz="4" w:space="0" w:color="auto"/>
              <w:bottom w:val="nil"/>
              <w:right w:val="single" w:sz="4" w:space="0" w:color="auto"/>
            </w:tcBorders>
            <w:shd w:val="clear" w:color="auto" w:fill="auto"/>
            <w:noWrap/>
          </w:tcPr>
          <w:p w14:paraId="27E7DC6D" w14:textId="7BC391B6"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2 414</w:t>
            </w:r>
          </w:p>
        </w:tc>
      </w:tr>
      <w:tr w:rsidR="0085433F" w:rsidRPr="000C156A" w14:paraId="0911518E" w14:textId="77777777" w:rsidTr="003A64C9">
        <w:trPr>
          <w:trHeight w:val="240"/>
        </w:trPr>
        <w:tc>
          <w:tcPr>
            <w:tcW w:w="1346" w:type="pct"/>
            <w:tcBorders>
              <w:top w:val="nil"/>
              <w:left w:val="single" w:sz="4" w:space="0" w:color="auto"/>
              <w:bottom w:val="nil"/>
              <w:right w:val="nil"/>
            </w:tcBorders>
            <w:shd w:val="clear" w:color="auto" w:fill="auto"/>
            <w:vAlign w:val="bottom"/>
            <w:hideMark/>
          </w:tcPr>
          <w:p w14:paraId="6E913BB9" w14:textId="77777777" w:rsidR="0085433F" w:rsidRPr="0055321D" w:rsidRDefault="0085433F" w:rsidP="003A64C9">
            <w:pPr>
              <w:pStyle w:val="Tabletext"/>
              <w:spacing w:before="20" w:after="20"/>
              <w:rPr>
                <w:rFonts w:asciiTheme="minorEastAsia" w:eastAsiaTheme="minorEastAsia" w:hAnsiTheme="minorEastAsia" w:cs="Calibri"/>
                <w:color w:val="FF0000"/>
                <w:sz w:val="18"/>
                <w:szCs w:val="18"/>
                <w:lang w:val="en-US" w:eastAsia="zh-CN"/>
              </w:rPr>
            </w:pPr>
            <w:r w:rsidRPr="0055321D">
              <w:rPr>
                <w:rFonts w:asciiTheme="minorEastAsia" w:eastAsiaTheme="minorEastAsia" w:hAnsiTheme="minorEastAsia"/>
                <w:sz w:val="18"/>
                <w:szCs w:val="18"/>
                <w:lang w:val="en-US"/>
              </w:rPr>
              <w:t>推迟的活</w:t>
            </w:r>
            <w:r w:rsidRPr="0055321D">
              <w:rPr>
                <w:rFonts w:asciiTheme="minorEastAsia" w:eastAsiaTheme="minorEastAsia" w:hAnsiTheme="minorEastAsia" w:hint="eastAsia"/>
                <w:sz w:val="18"/>
                <w:szCs w:val="18"/>
                <w:lang w:val="en-US"/>
              </w:rPr>
              <w:t>动</w:t>
            </w:r>
          </w:p>
        </w:tc>
        <w:tc>
          <w:tcPr>
            <w:tcW w:w="540" w:type="pct"/>
            <w:tcBorders>
              <w:top w:val="nil"/>
              <w:left w:val="single" w:sz="4" w:space="0" w:color="auto"/>
              <w:bottom w:val="nil"/>
              <w:right w:val="single" w:sz="4" w:space="0" w:color="auto"/>
            </w:tcBorders>
            <w:shd w:val="clear" w:color="auto" w:fill="auto"/>
            <w:noWrap/>
            <w:hideMark/>
          </w:tcPr>
          <w:p w14:paraId="54AD0B56"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0D98C813" w14:textId="66A1FBEC"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-1 640</w:t>
            </w:r>
          </w:p>
        </w:tc>
        <w:tc>
          <w:tcPr>
            <w:tcW w:w="541" w:type="pct"/>
            <w:tcBorders>
              <w:top w:val="nil"/>
              <w:left w:val="nil"/>
              <w:bottom w:val="nil"/>
              <w:right w:val="single" w:sz="4" w:space="0" w:color="auto"/>
            </w:tcBorders>
            <w:shd w:val="clear" w:color="auto" w:fill="auto"/>
            <w:noWrap/>
            <w:hideMark/>
          </w:tcPr>
          <w:p w14:paraId="39402E9C"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6E48E8DE" w14:textId="324CEB70"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w:t>
            </w:r>
            <w:r w:rsidR="00C1600E">
              <w:rPr>
                <w:rFonts w:cs="Arial"/>
                <w:i/>
                <w:iCs/>
                <w:color w:val="000000"/>
                <w:sz w:val="18"/>
                <w:szCs w:val="18"/>
                <w:lang w:val="en-US" w:eastAsia="zh-CN"/>
              </w:rPr>
              <w:t>1 640</w:t>
            </w:r>
          </w:p>
        </w:tc>
        <w:tc>
          <w:tcPr>
            <w:tcW w:w="677" w:type="pct"/>
            <w:tcBorders>
              <w:top w:val="nil"/>
              <w:left w:val="nil"/>
              <w:bottom w:val="nil"/>
              <w:right w:val="nil"/>
            </w:tcBorders>
            <w:shd w:val="clear" w:color="auto" w:fill="auto"/>
            <w:noWrap/>
            <w:hideMark/>
          </w:tcPr>
          <w:p w14:paraId="7E1A7073"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p>
        </w:tc>
        <w:tc>
          <w:tcPr>
            <w:tcW w:w="809" w:type="pct"/>
            <w:tcBorders>
              <w:top w:val="nil"/>
              <w:left w:val="single" w:sz="4" w:space="0" w:color="auto"/>
              <w:bottom w:val="nil"/>
              <w:right w:val="single" w:sz="4" w:space="0" w:color="auto"/>
            </w:tcBorders>
            <w:shd w:val="clear" w:color="auto" w:fill="auto"/>
            <w:noWrap/>
            <w:hideMark/>
          </w:tcPr>
          <w:p w14:paraId="5758E9E1"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p>
        </w:tc>
      </w:tr>
      <w:tr w:rsidR="0085433F" w:rsidRPr="000C156A" w14:paraId="186861B4" w14:textId="77777777" w:rsidTr="003A64C9">
        <w:trPr>
          <w:trHeight w:val="240"/>
        </w:trPr>
        <w:tc>
          <w:tcPr>
            <w:tcW w:w="1346" w:type="pct"/>
            <w:tcBorders>
              <w:top w:val="nil"/>
              <w:left w:val="single" w:sz="4" w:space="0" w:color="auto"/>
              <w:bottom w:val="nil"/>
              <w:right w:val="nil"/>
            </w:tcBorders>
            <w:shd w:val="clear" w:color="auto" w:fill="auto"/>
            <w:vAlign w:val="bottom"/>
          </w:tcPr>
          <w:p w14:paraId="78726EE1" w14:textId="3BDA8E59" w:rsidR="0085433F" w:rsidRPr="000C156A" w:rsidRDefault="0055321D" w:rsidP="003A64C9">
            <w:pPr>
              <w:pStyle w:val="Tabletext"/>
              <w:spacing w:before="20" w:after="20"/>
              <w:rPr>
                <w:rFonts w:ascii="STKaiti" w:eastAsia="STKaiti" w:hAnsi="STKaiti"/>
                <w:sz w:val="18"/>
                <w:szCs w:val="18"/>
                <w:lang w:val="en-US" w:eastAsia="zh-CN"/>
              </w:rPr>
            </w:pPr>
            <w:r w:rsidRPr="0055321D">
              <w:rPr>
                <w:rFonts w:ascii="SimSun" w:hAnsi="SimSun" w:hint="eastAsia"/>
                <w:sz w:val="18"/>
                <w:szCs w:val="18"/>
                <w:lang w:val="en-US" w:eastAsia="zh-CN"/>
              </w:rPr>
              <w:t>储备金账户</w:t>
            </w:r>
            <w:r w:rsidRPr="0055321D">
              <w:rPr>
                <w:rFonts w:ascii="SimSun" w:hAnsi="SimSun" w:hint="eastAsia"/>
                <w:sz w:val="18"/>
                <w:szCs w:val="18"/>
                <w:lang w:val="en-US"/>
              </w:rPr>
              <w:t>提款</w:t>
            </w:r>
          </w:p>
        </w:tc>
        <w:tc>
          <w:tcPr>
            <w:tcW w:w="540" w:type="pct"/>
            <w:tcBorders>
              <w:top w:val="nil"/>
              <w:left w:val="single" w:sz="4" w:space="0" w:color="auto"/>
              <w:bottom w:val="nil"/>
              <w:right w:val="single" w:sz="4" w:space="0" w:color="auto"/>
            </w:tcBorders>
            <w:shd w:val="clear" w:color="auto" w:fill="auto"/>
            <w:noWrap/>
          </w:tcPr>
          <w:p w14:paraId="591493B7"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tcPr>
          <w:p w14:paraId="0573B591"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p>
        </w:tc>
        <w:tc>
          <w:tcPr>
            <w:tcW w:w="541" w:type="pct"/>
            <w:tcBorders>
              <w:top w:val="nil"/>
              <w:left w:val="nil"/>
              <w:bottom w:val="nil"/>
              <w:right w:val="single" w:sz="4" w:space="0" w:color="auto"/>
            </w:tcBorders>
            <w:shd w:val="clear" w:color="auto" w:fill="auto"/>
            <w:noWrap/>
          </w:tcPr>
          <w:p w14:paraId="4309263C"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p>
        </w:tc>
        <w:tc>
          <w:tcPr>
            <w:tcW w:w="546" w:type="pct"/>
            <w:tcBorders>
              <w:top w:val="nil"/>
              <w:left w:val="nil"/>
              <w:bottom w:val="nil"/>
              <w:right w:val="single" w:sz="4" w:space="0" w:color="auto"/>
            </w:tcBorders>
            <w:shd w:val="clear" w:color="auto" w:fill="auto"/>
            <w:noWrap/>
          </w:tcPr>
          <w:p w14:paraId="510CAC3B"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w:t>
            </w:r>
          </w:p>
        </w:tc>
        <w:tc>
          <w:tcPr>
            <w:tcW w:w="677" w:type="pct"/>
            <w:tcBorders>
              <w:top w:val="nil"/>
              <w:left w:val="nil"/>
              <w:bottom w:val="nil"/>
              <w:right w:val="nil"/>
            </w:tcBorders>
            <w:shd w:val="clear" w:color="auto" w:fill="auto"/>
            <w:noWrap/>
          </w:tcPr>
          <w:p w14:paraId="6E382481"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p>
        </w:tc>
        <w:tc>
          <w:tcPr>
            <w:tcW w:w="809" w:type="pct"/>
            <w:tcBorders>
              <w:top w:val="nil"/>
              <w:left w:val="single" w:sz="4" w:space="0" w:color="auto"/>
              <w:bottom w:val="nil"/>
              <w:right w:val="single" w:sz="4" w:space="0" w:color="auto"/>
            </w:tcBorders>
            <w:shd w:val="clear" w:color="auto" w:fill="auto"/>
            <w:noWrap/>
          </w:tcPr>
          <w:p w14:paraId="7ADD573B"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r w:rsidRPr="000C156A">
              <w:rPr>
                <w:rFonts w:cs="Arial"/>
                <w:i/>
                <w:iCs/>
                <w:color w:val="000000"/>
                <w:sz w:val="18"/>
                <w:szCs w:val="18"/>
                <w:lang w:val="en-US" w:eastAsia="zh-CN"/>
              </w:rPr>
              <w:t>-</w:t>
            </w:r>
          </w:p>
        </w:tc>
      </w:tr>
      <w:tr w:rsidR="0085433F" w:rsidRPr="000C156A" w14:paraId="4FCD0AEB" w14:textId="77777777" w:rsidTr="003A64C9">
        <w:trPr>
          <w:trHeight w:val="255"/>
        </w:trPr>
        <w:tc>
          <w:tcPr>
            <w:tcW w:w="1346" w:type="pct"/>
            <w:tcBorders>
              <w:top w:val="single" w:sz="4" w:space="0" w:color="auto"/>
              <w:left w:val="single" w:sz="4" w:space="0" w:color="auto"/>
              <w:bottom w:val="single" w:sz="4" w:space="0" w:color="auto"/>
              <w:right w:val="nil"/>
            </w:tcBorders>
            <w:shd w:val="clear" w:color="auto" w:fill="auto"/>
            <w:noWrap/>
            <w:hideMark/>
          </w:tcPr>
          <w:p w14:paraId="77790630" w14:textId="77777777" w:rsidR="0085433F" w:rsidRPr="000C156A" w:rsidRDefault="0085433F" w:rsidP="003A64C9">
            <w:pPr>
              <w:pStyle w:val="Tablehead"/>
              <w:spacing w:after="0"/>
              <w:jc w:val="left"/>
              <w:rPr>
                <w:sz w:val="18"/>
                <w:szCs w:val="18"/>
                <w:lang w:val="en-US"/>
              </w:rPr>
            </w:pPr>
            <w:r w:rsidRPr="000C156A">
              <w:rPr>
                <w:rFonts w:hint="eastAsia"/>
                <w:sz w:val="18"/>
                <w:szCs w:val="18"/>
                <w:lang w:val="en-US"/>
              </w:rPr>
              <w:t>费用</w:t>
            </w:r>
            <w:r w:rsidRPr="000C156A">
              <w:rPr>
                <w:rFonts w:hint="eastAsia"/>
                <w:sz w:val="18"/>
                <w:szCs w:val="18"/>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4A6F" w14:textId="39AAA31B"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16</w:t>
            </w:r>
            <w:r w:rsidR="00C1600E">
              <w:rPr>
                <w:rFonts w:cs="Arial"/>
                <w:b/>
                <w:bCs/>
                <w:color w:val="000000"/>
                <w:sz w:val="18"/>
                <w:szCs w:val="18"/>
                <w:lang w:val="en-US" w:eastAsia="zh-CN"/>
              </w:rPr>
              <w:t>4 535</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0F076CDA" w14:textId="3906AD14"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r w:rsidR="00C1600E">
              <w:rPr>
                <w:rFonts w:cs="Arial"/>
                <w:b/>
                <w:bCs/>
                <w:color w:val="000000"/>
                <w:sz w:val="18"/>
                <w:szCs w:val="18"/>
                <w:lang w:val="en-US" w:eastAsia="zh-CN"/>
              </w:rPr>
              <w:t>1 582</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2AE7A9A9"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w:t>
            </w: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1464704B" w14:textId="595E4A88"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r w:rsidRPr="000C156A">
              <w:rPr>
                <w:rFonts w:cs="Arial"/>
                <w:b/>
                <w:bCs/>
                <w:color w:val="000000"/>
                <w:sz w:val="18"/>
                <w:szCs w:val="18"/>
                <w:lang w:val="en-US" w:eastAsia="zh-CN"/>
              </w:rPr>
              <w:t>16</w:t>
            </w:r>
            <w:r w:rsidR="00C1600E">
              <w:rPr>
                <w:rFonts w:cs="Arial"/>
                <w:b/>
                <w:bCs/>
                <w:color w:val="000000"/>
                <w:sz w:val="18"/>
                <w:szCs w:val="18"/>
                <w:lang w:val="en-US" w:eastAsia="zh-CN"/>
              </w:rPr>
              <w:t>2 954</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14:paraId="6C34B40D" w14:textId="5CB6F326" w:rsidR="0085433F" w:rsidRPr="000C156A" w:rsidRDefault="00C1600E" w:rsidP="003A64C9">
            <w:pPr>
              <w:overflowPunct/>
              <w:autoSpaceDE/>
              <w:autoSpaceDN/>
              <w:adjustRightInd/>
              <w:spacing w:before="0"/>
              <w:jc w:val="right"/>
              <w:textAlignment w:val="auto"/>
              <w:rPr>
                <w:rFonts w:cs="Arial"/>
                <w:b/>
                <w:bCs/>
                <w:color w:val="000000"/>
                <w:sz w:val="18"/>
                <w:szCs w:val="18"/>
                <w:lang w:val="en-US" w:eastAsia="zh-CN"/>
              </w:rPr>
            </w:pPr>
            <w:r>
              <w:rPr>
                <w:rFonts w:cs="Arial"/>
                <w:b/>
                <w:bCs/>
                <w:color w:val="000000"/>
                <w:sz w:val="18"/>
                <w:szCs w:val="18"/>
                <w:lang w:val="en-US" w:eastAsia="zh-CN"/>
              </w:rPr>
              <w:t>149 521</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3CEC4983" w14:textId="370654AE" w:rsidR="0085433F" w:rsidRPr="000C156A" w:rsidRDefault="00C1600E" w:rsidP="003A64C9">
            <w:pPr>
              <w:overflowPunct/>
              <w:autoSpaceDE/>
              <w:autoSpaceDN/>
              <w:adjustRightInd/>
              <w:spacing w:before="0"/>
              <w:jc w:val="right"/>
              <w:textAlignment w:val="auto"/>
              <w:rPr>
                <w:rFonts w:cs="Arial"/>
                <w:b/>
                <w:bCs/>
                <w:color w:val="000000"/>
                <w:sz w:val="18"/>
                <w:szCs w:val="18"/>
                <w:lang w:val="en-US" w:eastAsia="zh-CN"/>
              </w:rPr>
            </w:pPr>
            <w:r>
              <w:rPr>
                <w:rFonts w:cs="Arial"/>
                <w:b/>
                <w:bCs/>
                <w:color w:val="000000"/>
                <w:sz w:val="18"/>
                <w:szCs w:val="18"/>
                <w:lang w:val="en-US" w:eastAsia="zh-CN"/>
              </w:rPr>
              <w:t>13 433</w:t>
            </w:r>
          </w:p>
        </w:tc>
      </w:tr>
      <w:tr w:rsidR="0085433F" w:rsidRPr="000C156A" w14:paraId="3DED5915" w14:textId="77777777" w:rsidTr="003A64C9">
        <w:trPr>
          <w:trHeight w:val="255"/>
        </w:trPr>
        <w:tc>
          <w:tcPr>
            <w:tcW w:w="1346" w:type="pct"/>
            <w:tcBorders>
              <w:top w:val="nil"/>
              <w:left w:val="single" w:sz="4" w:space="0" w:color="auto"/>
              <w:bottom w:val="single" w:sz="4" w:space="0" w:color="auto"/>
              <w:right w:val="nil"/>
            </w:tcBorders>
            <w:shd w:val="clear" w:color="auto" w:fill="auto"/>
            <w:hideMark/>
          </w:tcPr>
          <w:p w14:paraId="0828BB88" w14:textId="77777777" w:rsidR="0085433F" w:rsidRPr="000C156A" w:rsidRDefault="0085433F" w:rsidP="003A64C9">
            <w:pPr>
              <w:pStyle w:val="Tabletext"/>
              <w:spacing w:before="80" w:after="0"/>
              <w:rPr>
                <w:b/>
                <w:sz w:val="18"/>
                <w:szCs w:val="18"/>
                <w:lang w:val="en-US" w:eastAsia="fr-FR"/>
              </w:rPr>
            </w:pPr>
            <w:r w:rsidRPr="000C156A">
              <w:rPr>
                <w:rFonts w:hint="eastAsia"/>
                <w:b/>
                <w:sz w:val="18"/>
                <w:szCs w:val="18"/>
                <w:lang w:val="en-US" w:eastAsia="zh-CN"/>
              </w:rPr>
              <w:t>结果</w:t>
            </w: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14:paraId="1DAF01F0"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single" w:sz="4" w:space="0" w:color="auto"/>
              <w:right w:val="single" w:sz="4" w:space="0" w:color="auto"/>
            </w:tcBorders>
            <w:shd w:val="clear" w:color="auto" w:fill="auto"/>
            <w:noWrap/>
            <w:vAlign w:val="bottom"/>
            <w:hideMark/>
          </w:tcPr>
          <w:p w14:paraId="5DEA0A22"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nil"/>
              <w:left w:val="nil"/>
              <w:bottom w:val="single" w:sz="4" w:space="0" w:color="auto"/>
              <w:right w:val="single" w:sz="4" w:space="0" w:color="auto"/>
            </w:tcBorders>
            <w:shd w:val="clear" w:color="auto" w:fill="auto"/>
            <w:noWrap/>
            <w:vAlign w:val="bottom"/>
            <w:hideMark/>
          </w:tcPr>
          <w:p w14:paraId="7693B229"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nil"/>
              <w:left w:val="nil"/>
              <w:bottom w:val="single" w:sz="4" w:space="0" w:color="auto"/>
              <w:right w:val="single" w:sz="4" w:space="0" w:color="auto"/>
            </w:tcBorders>
            <w:shd w:val="clear" w:color="auto" w:fill="auto"/>
            <w:noWrap/>
            <w:vAlign w:val="bottom"/>
            <w:hideMark/>
          </w:tcPr>
          <w:p w14:paraId="1B26B9BF"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677" w:type="pct"/>
            <w:tcBorders>
              <w:top w:val="nil"/>
              <w:left w:val="nil"/>
              <w:bottom w:val="single" w:sz="4" w:space="0" w:color="auto"/>
              <w:right w:val="single" w:sz="4" w:space="0" w:color="auto"/>
            </w:tcBorders>
            <w:shd w:val="clear" w:color="auto" w:fill="auto"/>
            <w:noWrap/>
            <w:vAlign w:val="bottom"/>
            <w:hideMark/>
          </w:tcPr>
          <w:p w14:paraId="37B088C3" w14:textId="168E7E45" w:rsidR="0085433F" w:rsidRPr="000C156A" w:rsidRDefault="00C1600E" w:rsidP="003A64C9">
            <w:pPr>
              <w:overflowPunct/>
              <w:autoSpaceDE/>
              <w:autoSpaceDN/>
              <w:adjustRightInd/>
              <w:spacing w:before="0"/>
              <w:jc w:val="right"/>
              <w:textAlignment w:val="auto"/>
              <w:rPr>
                <w:rFonts w:cs="Arial"/>
                <w:b/>
                <w:bCs/>
                <w:color w:val="000000"/>
                <w:sz w:val="18"/>
                <w:szCs w:val="18"/>
                <w:lang w:val="en-US" w:eastAsia="zh-CN"/>
              </w:rPr>
            </w:pPr>
            <w:r>
              <w:rPr>
                <w:rFonts w:cs="Arial"/>
                <w:b/>
                <w:bCs/>
                <w:color w:val="000000"/>
                <w:sz w:val="18"/>
                <w:szCs w:val="18"/>
                <w:lang w:val="en-US" w:eastAsia="zh-CN"/>
              </w:rPr>
              <w:t>3 666</w:t>
            </w:r>
          </w:p>
        </w:tc>
        <w:tc>
          <w:tcPr>
            <w:tcW w:w="809" w:type="pct"/>
            <w:tcBorders>
              <w:top w:val="nil"/>
              <w:left w:val="nil"/>
              <w:bottom w:val="single" w:sz="4" w:space="0" w:color="auto"/>
              <w:right w:val="single" w:sz="4" w:space="0" w:color="auto"/>
            </w:tcBorders>
            <w:shd w:val="clear" w:color="auto" w:fill="auto"/>
            <w:noWrap/>
            <w:vAlign w:val="bottom"/>
            <w:hideMark/>
          </w:tcPr>
          <w:p w14:paraId="0A7B7969"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r>
      <w:tr w:rsidR="0085433F" w:rsidRPr="000C156A" w14:paraId="4359C3C5" w14:textId="77777777" w:rsidTr="00C1600E">
        <w:trPr>
          <w:trHeight w:val="255"/>
        </w:trPr>
        <w:tc>
          <w:tcPr>
            <w:tcW w:w="1346" w:type="pct"/>
            <w:tcBorders>
              <w:top w:val="nil"/>
              <w:left w:val="single" w:sz="4" w:space="0" w:color="auto"/>
              <w:bottom w:val="nil"/>
              <w:right w:val="nil"/>
            </w:tcBorders>
            <w:shd w:val="clear" w:color="auto" w:fill="auto"/>
            <w:vAlign w:val="bottom"/>
            <w:hideMark/>
          </w:tcPr>
          <w:p w14:paraId="557F4D59" w14:textId="77777777" w:rsidR="0085433F" w:rsidRPr="000C156A" w:rsidRDefault="0085433F" w:rsidP="003A64C9">
            <w:pPr>
              <w:pStyle w:val="Tabletext"/>
              <w:spacing w:before="0" w:after="0"/>
              <w:rPr>
                <w:rFonts w:asciiTheme="minorHAnsi" w:eastAsia="STKaiti" w:hAnsiTheme="minorHAnsi" w:cstheme="minorHAnsi"/>
                <w:sz w:val="18"/>
                <w:szCs w:val="18"/>
                <w:lang w:val="en-US" w:eastAsia="zh-CN"/>
              </w:rPr>
            </w:pPr>
            <w:r w:rsidRPr="000C156A">
              <w:rPr>
                <w:rFonts w:asciiTheme="minorHAnsi" w:eastAsia="STKaiti" w:hAnsiTheme="minorHAnsi" w:cstheme="minorHAnsi"/>
                <w:sz w:val="18"/>
                <w:szCs w:val="18"/>
                <w:lang w:val="en-US" w:eastAsia="zh-CN"/>
              </w:rPr>
              <w:t>离职后健康保险（</w:t>
            </w:r>
            <w:r w:rsidRPr="000C156A">
              <w:rPr>
                <w:rFonts w:asciiTheme="minorHAnsi" w:eastAsia="STKaiti" w:hAnsiTheme="minorHAnsi" w:cstheme="minorHAnsi"/>
                <w:sz w:val="18"/>
                <w:szCs w:val="18"/>
                <w:lang w:val="en-US" w:eastAsia="zh-CN"/>
              </w:rPr>
              <w:t>ASHI</w:t>
            </w:r>
            <w:r w:rsidRPr="000C156A">
              <w:rPr>
                <w:rFonts w:asciiTheme="minorHAnsi" w:eastAsia="STKaiti" w:hAnsiTheme="minorHAnsi" w:cstheme="minorHAnsi"/>
                <w:sz w:val="18"/>
                <w:szCs w:val="18"/>
                <w:lang w:val="en-US" w:eastAsia="zh-CN"/>
              </w:rPr>
              <w:t>）</w:t>
            </w:r>
          </w:p>
        </w:tc>
        <w:tc>
          <w:tcPr>
            <w:tcW w:w="540" w:type="pct"/>
            <w:tcBorders>
              <w:top w:val="nil"/>
              <w:left w:val="single" w:sz="4" w:space="0" w:color="auto"/>
              <w:bottom w:val="nil"/>
              <w:right w:val="single" w:sz="4" w:space="0" w:color="auto"/>
            </w:tcBorders>
            <w:shd w:val="clear" w:color="auto" w:fill="auto"/>
            <w:noWrap/>
            <w:vAlign w:val="bottom"/>
            <w:hideMark/>
          </w:tcPr>
          <w:p w14:paraId="0FC73D8E"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69912B7A"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013DDEAF"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3D94A09D"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tcPr>
          <w:p w14:paraId="09E273FE" w14:textId="778AF334"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-17 265</w:t>
            </w:r>
          </w:p>
        </w:tc>
        <w:tc>
          <w:tcPr>
            <w:tcW w:w="809" w:type="pct"/>
            <w:tcBorders>
              <w:top w:val="nil"/>
              <w:left w:val="nil"/>
              <w:bottom w:val="nil"/>
              <w:right w:val="single" w:sz="4" w:space="0" w:color="auto"/>
            </w:tcBorders>
            <w:shd w:val="clear" w:color="auto" w:fill="auto"/>
            <w:noWrap/>
            <w:vAlign w:val="bottom"/>
            <w:hideMark/>
          </w:tcPr>
          <w:p w14:paraId="4F8884C1"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27BC3CC8" w14:textId="77777777" w:rsidTr="00C1600E">
        <w:trPr>
          <w:trHeight w:val="255"/>
        </w:trPr>
        <w:tc>
          <w:tcPr>
            <w:tcW w:w="1346" w:type="pct"/>
            <w:tcBorders>
              <w:top w:val="nil"/>
              <w:left w:val="single" w:sz="4" w:space="0" w:color="auto"/>
              <w:bottom w:val="nil"/>
              <w:right w:val="nil"/>
            </w:tcBorders>
            <w:shd w:val="clear" w:color="auto" w:fill="auto"/>
            <w:vAlign w:val="bottom"/>
            <w:hideMark/>
          </w:tcPr>
          <w:p w14:paraId="65B8265E" w14:textId="77777777" w:rsidR="0085433F" w:rsidRPr="000C156A" w:rsidRDefault="0085433F" w:rsidP="003A64C9">
            <w:pPr>
              <w:pStyle w:val="Tabletext"/>
              <w:spacing w:before="0" w:after="0"/>
              <w:rPr>
                <w:rFonts w:asciiTheme="minorHAnsi" w:eastAsia="STKaiti" w:hAnsiTheme="minorHAnsi" w:cstheme="minorHAnsi"/>
                <w:sz w:val="18"/>
                <w:szCs w:val="18"/>
                <w:lang w:val="en-US"/>
              </w:rPr>
            </w:pPr>
            <w:r w:rsidRPr="000C156A">
              <w:rPr>
                <w:rFonts w:asciiTheme="minorHAnsi" w:eastAsia="STKaiti" w:hAnsiTheme="minorHAnsi" w:cstheme="minorHAnsi"/>
                <w:sz w:val="18"/>
                <w:szCs w:val="18"/>
                <w:lang w:val="en-US"/>
              </w:rPr>
              <w:t>固定资产资本化</w:t>
            </w:r>
          </w:p>
        </w:tc>
        <w:tc>
          <w:tcPr>
            <w:tcW w:w="540" w:type="pct"/>
            <w:tcBorders>
              <w:top w:val="nil"/>
              <w:left w:val="single" w:sz="4" w:space="0" w:color="auto"/>
              <w:bottom w:val="nil"/>
              <w:right w:val="single" w:sz="4" w:space="0" w:color="auto"/>
            </w:tcBorders>
            <w:shd w:val="clear" w:color="auto" w:fill="auto"/>
            <w:noWrap/>
            <w:hideMark/>
          </w:tcPr>
          <w:p w14:paraId="64A4E120"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245D87EE"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3334803E"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002888A5"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tcPr>
          <w:p w14:paraId="2E0EC54F" w14:textId="31A8A2A2"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1 772</w:t>
            </w:r>
          </w:p>
        </w:tc>
        <w:tc>
          <w:tcPr>
            <w:tcW w:w="809" w:type="pct"/>
            <w:tcBorders>
              <w:top w:val="nil"/>
              <w:left w:val="nil"/>
              <w:bottom w:val="nil"/>
              <w:right w:val="single" w:sz="4" w:space="0" w:color="auto"/>
            </w:tcBorders>
            <w:shd w:val="clear" w:color="auto" w:fill="auto"/>
            <w:noWrap/>
            <w:vAlign w:val="bottom"/>
            <w:hideMark/>
          </w:tcPr>
          <w:p w14:paraId="07B4375A"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51A8677A" w14:textId="77777777" w:rsidTr="00C1600E">
        <w:trPr>
          <w:trHeight w:val="255"/>
        </w:trPr>
        <w:tc>
          <w:tcPr>
            <w:tcW w:w="1346" w:type="pct"/>
            <w:tcBorders>
              <w:top w:val="nil"/>
              <w:left w:val="single" w:sz="4" w:space="0" w:color="auto"/>
              <w:bottom w:val="nil"/>
              <w:right w:val="nil"/>
            </w:tcBorders>
            <w:shd w:val="clear" w:color="auto" w:fill="auto"/>
            <w:vAlign w:val="bottom"/>
            <w:hideMark/>
          </w:tcPr>
          <w:p w14:paraId="7B748A43" w14:textId="77777777" w:rsidR="0085433F" w:rsidRPr="000C156A" w:rsidRDefault="0085433F" w:rsidP="003A64C9">
            <w:pPr>
              <w:pStyle w:val="Tabletext"/>
              <w:spacing w:before="0" w:after="0"/>
              <w:rPr>
                <w:rFonts w:asciiTheme="minorHAnsi" w:eastAsia="STKaiti" w:hAnsiTheme="minorHAnsi" w:cstheme="minorHAnsi"/>
                <w:sz w:val="18"/>
                <w:szCs w:val="18"/>
                <w:lang w:val="en-US"/>
              </w:rPr>
            </w:pPr>
            <w:r w:rsidRPr="000C156A">
              <w:rPr>
                <w:rFonts w:asciiTheme="minorHAnsi" w:eastAsia="STKaiti" w:hAnsiTheme="minorHAnsi" w:cstheme="minorHAnsi"/>
                <w:sz w:val="18"/>
                <w:szCs w:val="18"/>
                <w:lang w:val="en-US"/>
              </w:rPr>
              <w:t>库存列账</w:t>
            </w:r>
          </w:p>
        </w:tc>
        <w:tc>
          <w:tcPr>
            <w:tcW w:w="540" w:type="pct"/>
            <w:tcBorders>
              <w:top w:val="nil"/>
              <w:left w:val="single" w:sz="4" w:space="0" w:color="auto"/>
              <w:bottom w:val="nil"/>
              <w:right w:val="single" w:sz="4" w:space="0" w:color="auto"/>
            </w:tcBorders>
            <w:shd w:val="clear" w:color="auto" w:fill="auto"/>
            <w:noWrap/>
            <w:hideMark/>
          </w:tcPr>
          <w:p w14:paraId="40E922BA"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4AE6131C"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7777F555"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500BA7C0"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tcPr>
          <w:p w14:paraId="6A2F63EA" w14:textId="7649DDA0"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-168</w:t>
            </w:r>
          </w:p>
        </w:tc>
        <w:tc>
          <w:tcPr>
            <w:tcW w:w="809" w:type="pct"/>
            <w:tcBorders>
              <w:top w:val="nil"/>
              <w:left w:val="nil"/>
              <w:bottom w:val="nil"/>
              <w:right w:val="single" w:sz="4" w:space="0" w:color="auto"/>
            </w:tcBorders>
            <w:shd w:val="clear" w:color="auto" w:fill="auto"/>
            <w:noWrap/>
            <w:vAlign w:val="bottom"/>
            <w:hideMark/>
          </w:tcPr>
          <w:p w14:paraId="3718E8D1"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4A49BBD9" w14:textId="77777777" w:rsidTr="00C1600E">
        <w:trPr>
          <w:trHeight w:val="255"/>
        </w:trPr>
        <w:tc>
          <w:tcPr>
            <w:tcW w:w="1346" w:type="pct"/>
            <w:tcBorders>
              <w:top w:val="nil"/>
              <w:left w:val="single" w:sz="4" w:space="0" w:color="auto"/>
              <w:bottom w:val="nil"/>
              <w:right w:val="nil"/>
            </w:tcBorders>
            <w:shd w:val="clear" w:color="auto" w:fill="auto"/>
            <w:vAlign w:val="bottom"/>
            <w:hideMark/>
          </w:tcPr>
          <w:p w14:paraId="44968D16" w14:textId="77777777" w:rsidR="0085433F" w:rsidRPr="000C156A" w:rsidRDefault="0085433F" w:rsidP="003A64C9">
            <w:pPr>
              <w:pStyle w:val="Tabletext"/>
              <w:spacing w:before="0" w:after="0"/>
              <w:rPr>
                <w:rFonts w:asciiTheme="minorHAnsi" w:eastAsia="STKaiti" w:hAnsiTheme="minorHAnsi" w:cstheme="minorHAnsi"/>
                <w:sz w:val="18"/>
                <w:szCs w:val="18"/>
                <w:lang w:val="en-US"/>
              </w:rPr>
            </w:pPr>
            <w:r w:rsidRPr="000C156A">
              <w:rPr>
                <w:rFonts w:asciiTheme="minorHAnsi" w:eastAsia="STKaiti" w:hAnsiTheme="minorHAnsi" w:cstheme="minorHAnsi"/>
                <w:sz w:val="18"/>
                <w:szCs w:val="18"/>
                <w:lang w:val="en-US"/>
              </w:rPr>
              <w:t>折旧</w:t>
            </w:r>
          </w:p>
        </w:tc>
        <w:tc>
          <w:tcPr>
            <w:tcW w:w="540" w:type="pct"/>
            <w:tcBorders>
              <w:top w:val="nil"/>
              <w:left w:val="single" w:sz="4" w:space="0" w:color="auto"/>
              <w:bottom w:val="nil"/>
              <w:right w:val="single" w:sz="4" w:space="0" w:color="auto"/>
            </w:tcBorders>
            <w:shd w:val="clear" w:color="auto" w:fill="auto"/>
            <w:noWrap/>
            <w:hideMark/>
          </w:tcPr>
          <w:p w14:paraId="5EAF4FB2"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06913D2E"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0CE4B534"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3D0834CD"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tcPr>
          <w:p w14:paraId="7EDE7D0D" w14:textId="5B2F8B9E"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-9 555</w:t>
            </w:r>
          </w:p>
        </w:tc>
        <w:tc>
          <w:tcPr>
            <w:tcW w:w="809" w:type="pct"/>
            <w:tcBorders>
              <w:top w:val="nil"/>
              <w:left w:val="nil"/>
              <w:bottom w:val="nil"/>
              <w:right w:val="single" w:sz="4" w:space="0" w:color="auto"/>
            </w:tcBorders>
            <w:shd w:val="clear" w:color="auto" w:fill="auto"/>
            <w:noWrap/>
            <w:vAlign w:val="bottom"/>
            <w:hideMark/>
          </w:tcPr>
          <w:p w14:paraId="38706119"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47BD0C34" w14:textId="77777777" w:rsidTr="00C1600E">
        <w:trPr>
          <w:trHeight w:val="255"/>
        </w:trPr>
        <w:tc>
          <w:tcPr>
            <w:tcW w:w="1346" w:type="pct"/>
            <w:tcBorders>
              <w:top w:val="nil"/>
              <w:left w:val="single" w:sz="4" w:space="0" w:color="auto"/>
              <w:bottom w:val="nil"/>
              <w:right w:val="nil"/>
            </w:tcBorders>
            <w:shd w:val="clear" w:color="auto" w:fill="auto"/>
            <w:vAlign w:val="bottom"/>
            <w:hideMark/>
          </w:tcPr>
          <w:p w14:paraId="09B83D6A" w14:textId="77777777" w:rsidR="0085433F" w:rsidRPr="000C156A" w:rsidRDefault="0085433F" w:rsidP="003A64C9">
            <w:pPr>
              <w:pStyle w:val="Tabletext"/>
              <w:spacing w:before="0" w:after="0"/>
              <w:rPr>
                <w:rFonts w:asciiTheme="minorHAnsi" w:eastAsia="STKaiti" w:hAnsiTheme="minorHAnsi" w:cstheme="minorHAnsi"/>
                <w:sz w:val="18"/>
                <w:szCs w:val="18"/>
                <w:lang w:val="en-US"/>
              </w:rPr>
            </w:pPr>
            <w:r w:rsidRPr="000C156A">
              <w:rPr>
                <w:rFonts w:asciiTheme="minorHAnsi" w:eastAsia="STKaiti" w:hAnsiTheme="minorHAnsi" w:cstheme="minorHAnsi"/>
                <w:sz w:val="18"/>
                <w:szCs w:val="18"/>
                <w:lang w:val="en-US"/>
              </w:rPr>
              <w:t>兑换率损</w:t>
            </w:r>
            <w:r w:rsidRPr="000C156A">
              <w:rPr>
                <w:rFonts w:asciiTheme="minorHAnsi" w:eastAsia="STKaiti" w:hAnsiTheme="minorHAnsi" w:cstheme="minorHAnsi"/>
                <w:sz w:val="18"/>
                <w:szCs w:val="18"/>
                <w:lang w:val="en-US" w:eastAsia="zh-CN"/>
              </w:rPr>
              <w:t>/</w:t>
            </w:r>
            <w:r w:rsidRPr="000C156A">
              <w:rPr>
                <w:rFonts w:asciiTheme="minorHAnsi" w:eastAsia="STKaiti" w:hAnsiTheme="minorHAnsi" w:cstheme="minorHAnsi"/>
                <w:sz w:val="18"/>
                <w:szCs w:val="18"/>
                <w:lang w:val="en-US"/>
              </w:rPr>
              <w:t>益</w:t>
            </w:r>
          </w:p>
        </w:tc>
        <w:tc>
          <w:tcPr>
            <w:tcW w:w="540" w:type="pct"/>
            <w:tcBorders>
              <w:top w:val="nil"/>
              <w:left w:val="single" w:sz="4" w:space="0" w:color="auto"/>
              <w:bottom w:val="nil"/>
              <w:right w:val="single" w:sz="4" w:space="0" w:color="auto"/>
            </w:tcBorders>
            <w:shd w:val="clear" w:color="auto" w:fill="auto"/>
            <w:noWrap/>
            <w:hideMark/>
          </w:tcPr>
          <w:p w14:paraId="7C18CD37"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5E85C2A5"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4C8923F5"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44355D0C"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tcPr>
          <w:p w14:paraId="4E3F768A" w14:textId="63F48013"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3 720</w:t>
            </w:r>
          </w:p>
        </w:tc>
        <w:tc>
          <w:tcPr>
            <w:tcW w:w="809" w:type="pct"/>
            <w:tcBorders>
              <w:top w:val="nil"/>
              <w:left w:val="nil"/>
              <w:bottom w:val="nil"/>
              <w:right w:val="single" w:sz="4" w:space="0" w:color="auto"/>
            </w:tcBorders>
            <w:shd w:val="clear" w:color="auto" w:fill="auto"/>
            <w:noWrap/>
            <w:vAlign w:val="bottom"/>
            <w:hideMark/>
          </w:tcPr>
          <w:p w14:paraId="73B37C86"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73350F47" w14:textId="77777777" w:rsidTr="00C1600E">
        <w:trPr>
          <w:trHeight w:val="255"/>
        </w:trPr>
        <w:tc>
          <w:tcPr>
            <w:tcW w:w="1346" w:type="pct"/>
            <w:tcBorders>
              <w:top w:val="nil"/>
              <w:left w:val="single" w:sz="4" w:space="0" w:color="auto"/>
              <w:bottom w:val="nil"/>
              <w:right w:val="nil"/>
            </w:tcBorders>
            <w:shd w:val="clear" w:color="auto" w:fill="auto"/>
            <w:hideMark/>
          </w:tcPr>
          <w:p w14:paraId="3A89F38B" w14:textId="77777777" w:rsidR="0085433F" w:rsidRPr="000C156A" w:rsidRDefault="0085433F" w:rsidP="003A64C9">
            <w:pPr>
              <w:pStyle w:val="Tabletext"/>
              <w:spacing w:before="0" w:after="0"/>
              <w:rPr>
                <w:rFonts w:asciiTheme="minorHAnsi" w:eastAsia="STKaiti" w:hAnsiTheme="minorHAnsi" w:cstheme="minorHAnsi"/>
                <w:sz w:val="18"/>
                <w:szCs w:val="18"/>
                <w:lang w:val="en-US" w:eastAsia="zh-CN"/>
              </w:rPr>
            </w:pPr>
            <w:r w:rsidRPr="000C156A">
              <w:rPr>
                <w:rFonts w:asciiTheme="minorHAnsi" w:eastAsia="STKaiti" w:hAnsiTheme="minorHAnsi" w:cstheme="minorHAnsi"/>
                <w:sz w:val="18"/>
                <w:szCs w:val="18"/>
                <w:lang w:val="en-US" w:eastAsia="zh-CN"/>
              </w:rPr>
              <w:t>不视为费用的</w:t>
            </w:r>
            <w:r w:rsidRPr="000C156A">
              <w:rPr>
                <w:rFonts w:asciiTheme="minorHAnsi" w:eastAsia="STKaiti" w:hAnsiTheme="minorHAnsi" w:cstheme="minorHAnsi"/>
                <w:sz w:val="18"/>
                <w:szCs w:val="18"/>
                <w:lang w:val="en-US" w:eastAsia="zh-CN"/>
              </w:rPr>
              <w:t>FIPOI</w:t>
            </w:r>
            <w:r w:rsidRPr="000C156A">
              <w:rPr>
                <w:rFonts w:asciiTheme="minorHAnsi" w:eastAsia="STKaiti" w:hAnsiTheme="minorHAnsi" w:cstheme="minorHAnsi"/>
                <w:sz w:val="18"/>
                <w:szCs w:val="18"/>
                <w:lang w:val="en-US" w:eastAsia="zh-CN"/>
              </w:rPr>
              <w:t>的偿付</w:t>
            </w:r>
          </w:p>
        </w:tc>
        <w:tc>
          <w:tcPr>
            <w:tcW w:w="540" w:type="pct"/>
            <w:tcBorders>
              <w:top w:val="nil"/>
              <w:left w:val="single" w:sz="4" w:space="0" w:color="auto"/>
              <w:bottom w:val="nil"/>
              <w:right w:val="single" w:sz="4" w:space="0" w:color="auto"/>
            </w:tcBorders>
            <w:shd w:val="clear" w:color="auto" w:fill="auto"/>
            <w:noWrap/>
            <w:hideMark/>
          </w:tcPr>
          <w:p w14:paraId="5950EE5E"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10D561F2"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651B3390"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5F96136C"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tcPr>
          <w:p w14:paraId="1B73F698" w14:textId="5855545B"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p>
        </w:tc>
        <w:tc>
          <w:tcPr>
            <w:tcW w:w="809" w:type="pct"/>
            <w:tcBorders>
              <w:top w:val="nil"/>
              <w:left w:val="nil"/>
              <w:bottom w:val="nil"/>
              <w:right w:val="single" w:sz="4" w:space="0" w:color="auto"/>
            </w:tcBorders>
            <w:shd w:val="clear" w:color="auto" w:fill="auto"/>
            <w:noWrap/>
            <w:vAlign w:val="bottom"/>
            <w:hideMark/>
          </w:tcPr>
          <w:p w14:paraId="4AC7EF53"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19E5AB31" w14:textId="77777777" w:rsidTr="00C1600E">
        <w:trPr>
          <w:trHeight w:val="255"/>
        </w:trPr>
        <w:tc>
          <w:tcPr>
            <w:tcW w:w="1346" w:type="pct"/>
            <w:tcBorders>
              <w:top w:val="nil"/>
              <w:left w:val="single" w:sz="4" w:space="0" w:color="auto"/>
              <w:bottom w:val="nil"/>
              <w:right w:val="nil"/>
            </w:tcBorders>
            <w:shd w:val="clear" w:color="auto" w:fill="auto"/>
            <w:hideMark/>
          </w:tcPr>
          <w:p w14:paraId="5598059C" w14:textId="77777777" w:rsidR="0085433F" w:rsidRPr="000C156A" w:rsidRDefault="0085433F" w:rsidP="003A64C9">
            <w:pPr>
              <w:pStyle w:val="Tabletext"/>
              <w:spacing w:before="0" w:after="0"/>
              <w:rPr>
                <w:rFonts w:asciiTheme="minorHAnsi" w:hAnsiTheme="minorHAnsi" w:cstheme="minorHAnsi"/>
                <w:i/>
                <w:iCs/>
                <w:sz w:val="18"/>
                <w:szCs w:val="18"/>
                <w:lang w:val="en-US" w:eastAsia="zh-CN"/>
              </w:rPr>
            </w:pPr>
            <w:r w:rsidRPr="000C156A">
              <w:rPr>
                <w:rFonts w:asciiTheme="minorHAnsi" w:eastAsia="STKaiti" w:hAnsiTheme="minorHAnsi" w:cstheme="minorHAnsi"/>
                <w:sz w:val="18"/>
                <w:szCs w:val="18"/>
                <w:lang w:val="en-US" w:eastAsia="zh-CN"/>
              </w:rPr>
              <w:t>可疑债务准备金的变化和使用</w:t>
            </w:r>
          </w:p>
        </w:tc>
        <w:tc>
          <w:tcPr>
            <w:tcW w:w="540" w:type="pct"/>
            <w:tcBorders>
              <w:top w:val="nil"/>
              <w:left w:val="single" w:sz="4" w:space="0" w:color="auto"/>
              <w:bottom w:val="nil"/>
              <w:right w:val="single" w:sz="4" w:space="0" w:color="auto"/>
            </w:tcBorders>
            <w:shd w:val="clear" w:color="auto" w:fill="auto"/>
            <w:noWrap/>
            <w:hideMark/>
          </w:tcPr>
          <w:p w14:paraId="441C2463"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06ACC754"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2D67A16E"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7BA8D079"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tcPr>
          <w:p w14:paraId="1652B828" w14:textId="403247B9"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1 391</w:t>
            </w:r>
          </w:p>
        </w:tc>
        <w:tc>
          <w:tcPr>
            <w:tcW w:w="809" w:type="pct"/>
            <w:tcBorders>
              <w:top w:val="nil"/>
              <w:left w:val="nil"/>
              <w:bottom w:val="nil"/>
              <w:right w:val="single" w:sz="4" w:space="0" w:color="auto"/>
            </w:tcBorders>
            <w:shd w:val="clear" w:color="auto" w:fill="auto"/>
            <w:noWrap/>
            <w:vAlign w:val="bottom"/>
            <w:hideMark/>
          </w:tcPr>
          <w:p w14:paraId="7E6F964B"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150A3F78" w14:textId="77777777" w:rsidTr="00C1600E">
        <w:trPr>
          <w:trHeight w:val="255"/>
        </w:trPr>
        <w:tc>
          <w:tcPr>
            <w:tcW w:w="1346" w:type="pct"/>
            <w:tcBorders>
              <w:top w:val="nil"/>
              <w:left w:val="single" w:sz="4" w:space="0" w:color="auto"/>
              <w:bottom w:val="nil"/>
              <w:right w:val="nil"/>
            </w:tcBorders>
            <w:shd w:val="clear" w:color="auto" w:fill="auto"/>
            <w:hideMark/>
          </w:tcPr>
          <w:p w14:paraId="1AE538AA" w14:textId="77777777" w:rsidR="0085433F" w:rsidRPr="000C156A" w:rsidRDefault="0085433F" w:rsidP="003A64C9">
            <w:pPr>
              <w:pStyle w:val="Tabletext"/>
              <w:spacing w:before="0" w:after="0"/>
              <w:rPr>
                <w:rFonts w:asciiTheme="minorHAnsi" w:eastAsia="STKaiti" w:hAnsiTheme="minorHAnsi" w:cstheme="minorHAnsi"/>
                <w:sz w:val="18"/>
                <w:szCs w:val="18"/>
                <w:lang w:val="en-US"/>
              </w:rPr>
            </w:pPr>
            <w:r w:rsidRPr="000C156A">
              <w:rPr>
                <w:rFonts w:asciiTheme="minorHAnsi" w:eastAsia="STKaiti" w:hAnsiTheme="minorHAnsi" w:cstheme="minorHAnsi"/>
                <w:sz w:val="18"/>
                <w:szCs w:val="18"/>
                <w:lang w:val="en-US"/>
              </w:rPr>
              <w:t>资产出售</w:t>
            </w:r>
          </w:p>
        </w:tc>
        <w:tc>
          <w:tcPr>
            <w:tcW w:w="540" w:type="pct"/>
            <w:tcBorders>
              <w:top w:val="nil"/>
              <w:left w:val="single" w:sz="4" w:space="0" w:color="auto"/>
              <w:bottom w:val="nil"/>
              <w:right w:val="single" w:sz="4" w:space="0" w:color="auto"/>
            </w:tcBorders>
            <w:shd w:val="clear" w:color="auto" w:fill="auto"/>
            <w:noWrap/>
            <w:hideMark/>
          </w:tcPr>
          <w:p w14:paraId="66BB9EA2"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46C194A1"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0B6FADEC"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566FEA82"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tcPr>
          <w:p w14:paraId="1E846AC6" w14:textId="3A086901"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539</w:t>
            </w:r>
          </w:p>
        </w:tc>
        <w:tc>
          <w:tcPr>
            <w:tcW w:w="809" w:type="pct"/>
            <w:tcBorders>
              <w:top w:val="nil"/>
              <w:left w:val="nil"/>
              <w:bottom w:val="nil"/>
              <w:right w:val="single" w:sz="4" w:space="0" w:color="auto"/>
            </w:tcBorders>
            <w:shd w:val="clear" w:color="auto" w:fill="auto"/>
            <w:noWrap/>
            <w:vAlign w:val="bottom"/>
            <w:hideMark/>
          </w:tcPr>
          <w:p w14:paraId="5900F6D5"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1E68946D" w14:textId="77777777" w:rsidTr="00C1600E">
        <w:trPr>
          <w:trHeight w:val="255"/>
        </w:trPr>
        <w:tc>
          <w:tcPr>
            <w:tcW w:w="1346" w:type="pct"/>
            <w:tcBorders>
              <w:top w:val="nil"/>
              <w:left w:val="single" w:sz="4" w:space="0" w:color="auto"/>
              <w:bottom w:val="nil"/>
              <w:right w:val="nil"/>
            </w:tcBorders>
            <w:shd w:val="clear" w:color="auto" w:fill="auto"/>
            <w:vAlign w:val="bottom"/>
            <w:hideMark/>
          </w:tcPr>
          <w:p w14:paraId="45319C42" w14:textId="77777777" w:rsidR="0085433F" w:rsidRPr="000C156A" w:rsidRDefault="0085433F" w:rsidP="003A64C9">
            <w:pPr>
              <w:pStyle w:val="Tabletext"/>
              <w:spacing w:before="0" w:after="0"/>
              <w:rPr>
                <w:rFonts w:asciiTheme="minorHAnsi" w:eastAsia="STKaiti" w:hAnsiTheme="minorHAnsi" w:cstheme="minorHAnsi"/>
                <w:sz w:val="18"/>
                <w:szCs w:val="18"/>
                <w:lang w:val="en-US" w:eastAsia="zh-CN"/>
              </w:rPr>
            </w:pPr>
            <w:r w:rsidRPr="000C156A">
              <w:rPr>
                <w:rFonts w:asciiTheme="minorHAnsi" w:eastAsia="STKaiti" w:hAnsiTheme="minorHAnsi" w:cstheme="minorHAnsi"/>
                <w:sz w:val="18"/>
                <w:szCs w:val="18"/>
                <w:lang w:val="en-US" w:eastAsia="zh-CN"/>
              </w:rPr>
              <w:t>其他费用</w:t>
            </w:r>
          </w:p>
        </w:tc>
        <w:tc>
          <w:tcPr>
            <w:tcW w:w="540" w:type="pct"/>
            <w:tcBorders>
              <w:top w:val="nil"/>
              <w:left w:val="single" w:sz="4" w:space="0" w:color="auto"/>
              <w:bottom w:val="nil"/>
              <w:right w:val="single" w:sz="4" w:space="0" w:color="auto"/>
            </w:tcBorders>
            <w:shd w:val="clear" w:color="auto" w:fill="auto"/>
            <w:noWrap/>
            <w:hideMark/>
          </w:tcPr>
          <w:p w14:paraId="1B447CA0"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2D6DC823"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hideMark/>
          </w:tcPr>
          <w:p w14:paraId="67A3C187"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hideMark/>
          </w:tcPr>
          <w:p w14:paraId="10443794"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tcPr>
          <w:p w14:paraId="2414F2F2" w14:textId="773B2C99" w:rsidR="0085433F" w:rsidRPr="000C156A" w:rsidRDefault="00C1600E"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14</w:t>
            </w:r>
          </w:p>
        </w:tc>
        <w:tc>
          <w:tcPr>
            <w:tcW w:w="809" w:type="pct"/>
            <w:tcBorders>
              <w:top w:val="nil"/>
              <w:left w:val="nil"/>
              <w:bottom w:val="nil"/>
              <w:right w:val="single" w:sz="4" w:space="0" w:color="auto"/>
            </w:tcBorders>
            <w:shd w:val="clear" w:color="auto" w:fill="auto"/>
            <w:noWrap/>
            <w:vAlign w:val="bottom"/>
            <w:hideMark/>
          </w:tcPr>
          <w:p w14:paraId="52B90102"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72D6D320" w14:textId="77777777" w:rsidTr="00C1600E">
        <w:trPr>
          <w:trHeight w:val="252"/>
        </w:trPr>
        <w:tc>
          <w:tcPr>
            <w:tcW w:w="1346" w:type="pct"/>
            <w:tcBorders>
              <w:top w:val="nil"/>
              <w:left w:val="single" w:sz="4" w:space="0" w:color="auto"/>
              <w:bottom w:val="nil"/>
              <w:right w:val="nil"/>
            </w:tcBorders>
            <w:shd w:val="clear" w:color="auto" w:fill="auto"/>
            <w:noWrap/>
            <w:vAlign w:val="bottom"/>
            <w:hideMark/>
          </w:tcPr>
          <w:p w14:paraId="2D12E640" w14:textId="77777777" w:rsidR="0085433F" w:rsidRPr="000C156A" w:rsidRDefault="0085433F" w:rsidP="003A64C9">
            <w:pPr>
              <w:overflowPunct/>
              <w:adjustRightInd/>
              <w:spacing w:before="0"/>
              <w:textAlignment w:val="auto"/>
              <w:rPr>
                <w:rFonts w:ascii="Arial" w:hAnsi="Arial" w:cs="Arial"/>
                <w:color w:val="000000"/>
                <w:sz w:val="18"/>
                <w:szCs w:val="18"/>
                <w:lang w:val="en-US" w:eastAsia="zh-CN"/>
              </w:rPr>
            </w:pPr>
            <w:r w:rsidRPr="000C156A">
              <w:rPr>
                <w:rFonts w:ascii="Arial" w:hAnsi="Arial" w:cs="Arial"/>
                <w:color w:val="000000"/>
                <w:sz w:val="18"/>
                <w:szCs w:val="18"/>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14:paraId="4917F81F"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3796930E"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2694591A"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242B0C32"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tcPr>
          <w:p w14:paraId="227F9429" w14:textId="77777777" w:rsidR="0085433F" w:rsidRPr="000C156A" w:rsidRDefault="0085433F" w:rsidP="003A64C9">
            <w:pPr>
              <w:overflowPunct/>
              <w:autoSpaceDE/>
              <w:autoSpaceDN/>
              <w:adjustRightInd/>
              <w:spacing w:before="0"/>
              <w:jc w:val="right"/>
              <w:textAlignment w:val="auto"/>
              <w:rPr>
                <w:rFonts w:cs="Arial"/>
                <w:i/>
                <w:iCs/>
                <w:color w:val="000000"/>
                <w:sz w:val="18"/>
                <w:szCs w:val="18"/>
                <w:lang w:val="en-US" w:eastAsia="zh-CN"/>
              </w:rPr>
            </w:pPr>
          </w:p>
        </w:tc>
        <w:tc>
          <w:tcPr>
            <w:tcW w:w="809" w:type="pct"/>
            <w:tcBorders>
              <w:top w:val="nil"/>
              <w:left w:val="nil"/>
              <w:bottom w:val="nil"/>
              <w:right w:val="single" w:sz="4" w:space="0" w:color="auto"/>
            </w:tcBorders>
            <w:shd w:val="clear" w:color="auto" w:fill="auto"/>
            <w:noWrap/>
            <w:vAlign w:val="bottom"/>
            <w:hideMark/>
          </w:tcPr>
          <w:p w14:paraId="1363B300"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3C9B5EFF" w14:textId="77777777" w:rsidTr="001646E7">
        <w:trPr>
          <w:trHeight w:val="270"/>
        </w:trPr>
        <w:tc>
          <w:tcPr>
            <w:tcW w:w="1346" w:type="pct"/>
            <w:tcBorders>
              <w:top w:val="single" w:sz="4" w:space="0" w:color="auto"/>
              <w:left w:val="single" w:sz="4" w:space="0" w:color="auto"/>
              <w:bottom w:val="single" w:sz="4" w:space="0" w:color="auto"/>
              <w:right w:val="nil"/>
            </w:tcBorders>
            <w:shd w:val="clear" w:color="auto" w:fill="auto"/>
            <w:hideMark/>
          </w:tcPr>
          <w:p w14:paraId="366E6172" w14:textId="77777777" w:rsidR="0085433F" w:rsidRPr="000C156A" w:rsidRDefault="0085433F" w:rsidP="003A64C9">
            <w:pPr>
              <w:pStyle w:val="Tablehead"/>
              <w:spacing w:after="0"/>
              <w:jc w:val="left"/>
              <w:rPr>
                <w:sz w:val="18"/>
                <w:szCs w:val="18"/>
                <w:lang w:val="en-US"/>
              </w:rPr>
            </w:pPr>
            <w:r w:rsidRPr="000C156A">
              <w:rPr>
                <w:rFonts w:hint="eastAsia"/>
                <w:sz w:val="18"/>
                <w:szCs w:val="18"/>
                <w:lang w:val="en-US"/>
              </w:rPr>
              <w:t>IPSAS</w:t>
            </w:r>
            <w:r w:rsidRPr="000C156A">
              <w:rPr>
                <w:rFonts w:hint="eastAsia"/>
                <w:sz w:val="18"/>
                <w:szCs w:val="18"/>
                <w:lang w:val="en-US"/>
              </w:rPr>
              <w:t>差额</w:t>
            </w:r>
            <w:r w:rsidRPr="000C156A">
              <w:rPr>
                <w:rFonts w:hint="eastAsia"/>
                <w:sz w:val="18"/>
                <w:szCs w:val="18"/>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D1EC4"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7DB2228F"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35E4D497"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single" w:sz="4" w:space="0" w:color="auto"/>
              <w:left w:val="nil"/>
              <w:bottom w:val="single" w:sz="4" w:space="0" w:color="auto"/>
              <w:right w:val="single" w:sz="4" w:space="0" w:color="auto"/>
            </w:tcBorders>
            <w:shd w:val="clear" w:color="auto" w:fill="auto"/>
            <w:noWrap/>
            <w:vAlign w:val="bottom"/>
            <w:hideMark/>
          </w:tcPr>
          <w:p w14:paraId="26BC7C73"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677" w:type="pct"/>
            <w:tcBorders>
              <w:top w:val="single" w:sz="4" w:space="0" w:color="auto"/>
              <w:left w:val="nil"/>
              <w:bottom w:val="single" w:sz="4" w:space="0" w:color="auto"/>
              <w:right w:val="single" w:sz="4" w:space="0" w:color="auto"/>
            </w:tcBorders>
            <w:shd w:val="clear" w:color="auto" w:fill="auto"/>
            <w:noWrap/>
            <w:vAlign w:val="bottom"/>
          </w:tcPr>
          <w:p w14:paraId="27FF0838" w14:textId="3E77B50C" w:rsidR="0085433F" w:rsidRPr="000C156A" w:rsidRDefault="001646E7" w:rsidP="003A64C9">
            <w:pPr>
              <w:overflowPunct/>
              <w:autoSpaceDE/>
              <w:autoSpaceDN/>
              <w:adjustRightInd/>
              <w:spacing w:before="0"/>
              <w:jc w:val="right"/>
              <w:textAlignment w:val="auto"/>
              <w:rPr>
                <w:rFonts w:cs="Arial"/>
                <w:b/>
                <w:bCs/>
                <w:color w:val="000000"/>
                <w:sz w:val="18"/>
                <w:szCs w:val="18"/>
                <w:lang w:val="en-US" w:eastAsia="zh-CN"/>
              </w:rPr>
            </w:pPr>
            <w:r>
              <w:rPr>
                <w:rFonts w:cs="Arial"/>
                <w:b/>
                <w:bCs/>
                <w:color w:val="000000"/>
                <w:sz w:val="18"/>
                <w:szCs w:val="18"/>
                <w:lang w:val="en-US" w:eastAsia="zh-CN"/>
              </w:rPr>
              <w:t>-19 552</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7DEB07E9"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r>
      <w:tr w:rsidR="0085433F" w:rsidRPr="000C156A" w14:paraId="0CC262C7" w14:textId="77777777" w:rsidTr="001646E7">
        <w:trPr>
          <w:trHeight w:val="255"/>
        </w:trPr>
        <w:tc>
          <w:tcPr>
            <w:tcW w:w="1346" w:type="pct"/>
            <w:tcBorders>
              <w:top w:val="nil"/>
              <w:left w:val="single" w:sz="4" w:space="0" w:color="auto"/>
              <w:bottom w:val="nil"/>
              <w:right w:val="nil"/>
            </w:tcBorders>
            <w:shd w:val="clear" w:color="auto" w:fill="auto"/>
            <w:noWrap/>
            <w:hideMark/>
          </w:tcPr>
          <w:p w14:paraId="2F981F19" w14:textId="77777777" w:rsidR="0085433F" w:rsidRPr="000C156A" w:rsidRDefault="0085433F" w:rsidP="003A64C9">
            <w:pPr>
              <w:pStyle w:val="Tabletext"/>
              <w:spacing w:before="0" w:after="0"/>
              <w:rPr>
                <w:rFonts w:ascii="SimSun" w:hAnsi="SimSun"/>
                <w:sz w:val="18"/>
                <w:szCs w:val="18"/>
                <w:lang w:val="en-US" w:eastAsia="zh-CN"/>
              </w:rPr>
            </w:pPr>
            <w:r w:rsidRPr="000C156A">
              <w:rPr>
                <w:rFonts w:ascii="SimSun" w:hAnsi="SimSun"/>
                <w:sz w:val="18"/>
                <w:szCs w:val="18"/>
                <w:lang w:val="en-US" w:eastAsia="zh-CN"/>
              </w:rPr>
              <w:t>基金</w:t>
            </w:r>
            <w:r w:rsidRPr="000C156A">
              <w:rPr>
                <w:rFonts w:asciiTheme="minorHAnsi" w:hAnsiTheme="minorHAnsi" w:cstheme="minorHAnsi"/>
                <w:sz w:val="18"/>
                <w:szCs w:val="18"/>
                <w:lang w:val="en-US" w:eastAsia="zh-CN"/>
              </w:rPr>
              <w:t>1000</w:t>
            </w:r>
            <w:r w:rsidRPr="000C156A">
              <w:rPr>
                <w:rFonts w:asciiTheme="minorHAnsi" w:hAnsiTheme="minorHAnsi" w:cstheme="minorHAnsi"/>
                <w:sz w:val="18"/>
                <w:szCs w:val="18"/>
                <w:lang w:val="en-US" w:eastAsia="zh-CN"/>
              </w:rPr>
              <w:t>的盈余</w:t>
            </w:r>
            <w:r w:rsidRPr="000C156A">
              <w:rPr>
                <w:rFonts w:ascii="SimSun" w:hAnsi="SimSun" w:hint="eastAsia"/>
                <w:sz w:val="18"/>
                <w:szCs w:val="18"/>
                <w:lang w:val="en-US" w:eastAsia="zh-CN"/>
              </w:rPr>
              <w:t>/亏损</w:t>
            </w:r>
          </w:p>
        </w:tc>
        <w:tc>
          <w:tcPr>
            <w:tcW w:w="540" w:type="pct"/>
            <w:tcBorders>
              <w:top w:val="nil"/>
              <w:left w:val="single" w:sz="4" w:space="0" w:color="auto"/>
              <w:bottom w:val="nil"/>
              <w:right w:val="single" w:sz="4" w:space="0" w:color="auto"/>
            </w:tcBorders>
            <w:shd w:val="clear" w:color="auto" w:fill="auto"/>
            <w:noWrap/>
            <w:vAlign w:val="bottom"/>
            <w:hideMark/>
          </w:tcPr>
          <w:p w14:paraId="79EDE057"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35C456C7"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4841DCCB"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21C0430C"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tcPr>
          <w:p w14:paraId="67D8DB07" w14:textId="0488A32A" w:rsidR="0085433F" w:rsidRPr="000C156A" w:rsidRDefault="001646E7"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3 666</w:t>
            </w:r>
          </w:p>
        </w:tc>
        <w:tc>
          <w:tcPr>
            <w:tcW w:w="809" w:type="pct"/>
            <w:tcBorders>
              <w:top w:val="nil"/>
              <w:left w:val="nil"/>
              <w:bottom w:val="nil"/>
              <w:right w:val="single" w:sz="4" w:space="0" w:color="auto"/>
            </w:tcBorders>
            <w:shd w:val="clear" w:color="auto" w:fill="auto"/>
            <w:noWrap/>
            <w:vAlign w:val="bottom"/>
            <w:hideMark/>
          </w:tcPr>
          <w:p w14:paraId="05579A2D"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755A01F7" w14:textId="77777777" w:rsidTr="001646E7">
        <w:trPr>
          <w:trHeight w:val="255"/>
        </w:trPr>
        <w:tc>
          <w:tcPr>
            <w:tcW w:w="1346" w:type="pct"/>
            <w:tcBorders>
              <w:top w:val="nil"/>
              <w:left w:val="single" w:sz="4" w:space="0" w:color="auto"/>
              <w:bottom w:val="nil"/>
              <w:right w:val="nil"/>
            </w:tcBorders>
            <w:shd w:val="clear" w:color="auto" w:fill="auto"/>
            <w:noWrap/>
            <w:hideMark/>
          </w:tcPr>
          <w:p w14:paraId="18542923" w14:textId="77777777" w:rsidR="0085433F" w:rsidRPr="000C156A" w:rsidRDefault="0085433F" w:rsidP="003A64C9">
            <w:pPr>
              <w:pStyle w:val="Tabletext"/>
              <w:spacing w:before="0" w:after="0"/>
              <w:rPr>
                <w:rFonts w:ascii="SimSun" w:hAnsi="SimSun"/>
                <w:sz w:val="18"/>
                <w:szCs w:val="18"/>
                <w:lang w:val="en-US" w:eastAsia="zh-CN"/>
              </w:rPr>
            </w:pPr>
            <w:r w:rsidRPr="000C156A">
              <w:rPr>
                <w:rFonts w:ascii="SimSun" w:hAnsi="SimSun" w:hint="eastAsia"/>
                <w:sz w:val="18"/>
                <w:szCs w:val="18"/>
                <w:lang w:val="en-US"/>
              </w:rPr>
              <w:t>投资</w:t>
            </w:r>
            <w:r w:rsidRPr="000C156A">
              <w:rPr>
                <w:rFonts w:ascii="SimSun" w:hAnsi="SimSun"/>
                <w:sz w:val="18"/>
                <w:szCs w:val="18"/>
                <w:lang w:val="en-US"/>
              </w:rPr>
              <w:t>基金</w:t>
            </w:r>
            <w:r w:rsidRPr="000C156A">
              <w:rPr>
                <w:rFonts w:ascii="SimSun" w:hAnsi="SimSun" w:hint="eastAsia"/>
                <w:sz w:val="18"/>
                <w:szCs w:val="18"/>
                <w:lang w:val="en-US" w:eastAsia="zh-CN"/>
              </w:rPr>
              <w:t>的</w:t>
            </w:r>
            <w:r w:rsidRPr="000C156A">
              <w:rPr>
                <w:rFonts w:ascii="SimSun" w:hAnsi="SimSun"/>
                <w:sz w:val="18"/>
                <w:szCs w:val="18"/>
                <w:lang w:val="en-US" w:eastAsia="zh-CN"/>
              </w:rPr>
              <w:t>增加</w:t>
            </w:r>
          </w:p>
        </w:tc>
        <w:tc>
          <w:tcPr>
            <w:tcW w:w="540" w:type="pct"/>
            <w:tcBorders>
              <w:top w:val="nil"/>
              <w:left w:val="single" w:sz="4" w:space="0" w:color="auto"/>
              <w:bottom w:val="nil"/>
              <w:right w:val="single" w:sz="4" w:space="0" w:color="auto"/>
            </w:tcBorders>
            <w:shd w:val="clear" w:color="auto" w:fill="auto"/>
            <w:noWrap/>
            <w:vAlign w:val="bottom"/>
            <w:hideMark/>
          </w:tcPr>
          <w:p w14:paraId="6FBAEA12"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70B2A3E1"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1045EBF2"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65796A78"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tcPr>
          <w:p w14:paraId="7DF66956" w14:textId="28A2D1A4" w:rsidR="0085433F" w:rsidRPr="000C156A" w:rsidRDefault="001646E7"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982</w:t>
            </w:r>
          </w:p>
        </w:tc>
        <w:tc>
          <w:tcPr>
            <w:tcW w:w="809" w:type="pct"/>
            <w:tcBorders>
              <w:top w:val="nil"/>
              <w:left w:val="nil"/>
              <w:bottom w:val="nil"/>
              <w:right w:val="single" w:sz="4" w:space="0" w:color="auto"/>
            </w:tcBorders>
            <w:shd w:val="clear" w:color="auto" w:fill="auto"/>
            <w:noWrap/>
            <w:vAlign w:val="bottom"/>
            <w:hideMark/>
          </w:tcPr>
          <w:p w14:paraId="71341016"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1604EFB6" w14:textId="77777777" w:rsidTr="001646E7">
        <w:trPr>
          <w:trHeight w:val="255"/>
        </w:trPr>
        <w:tc>
          <w:tcPr>
            <w:tcW w:w="1346" w:type="pct"/>
            <w:tcBorders>
              <w:top w:val="nil"/>
              <w:left w:val="single" w:sz="4" w:space="0" w:color="auto"/>
              <w:bottom w:val="nil"/>
              <w:right w:val="nil"/>
            </w:tcBorders>
            <w:shd w:val="clear" w:color="auto" w:fill="auto"/>
            <w:noWrap/>
            <w:hideMark/>
          </w:tcPr>
          <w:p w14:paraId="190A692D" w14:textId="77777777" w:rsidR="0085433F" w:rsidRPr="000C156A" w:rsidRDefault="0085433F" w:rsidP="003A64C9">
            <w:pPr>
              <w:pStyle w:val="Tabletext"/>
              <w:spacing w:before="0" w:after="0"/>
              <w:rPr>
                <w:rFonts w:ascii="SimSun" w:hAnsi="SimSun"/>
                <w:i/>
                <w:iCs/>
                <w:sz w:val="18"/>
                <w:szCs w:val="18"/>
                <w:lang w:val="en-US" w:eastAsia="zh-CN"/>
              </w:rPr>
            </w:pPr>
            <w:r w:rsidRPr="000C156A">
              <w:rPr>
                <w:rFonts w:ascii="SimSun" w:hAnsi="SimSun" w:hint="eastAsia"/>
                <w:sz w:val="18"/>
                <w:szCs w:val="18"/>
                <w:lang w:val="en-US" w:eastAsia="zh-CN"/>
              </w:rPr>
              <w:t>周边差额</w:t>
            </w:r>
          </w:p>
        </w:tc>
        <w:tc>
          <w:tcPr>
            <w:tcW w:w="540" w:type="pct"/>
            <w:tcBorders>
              <w:top w:val="nil"/>
              <w:left w:val="single" w:sz="4" w:space="0" w:color="auto"/>
              <w:bottom w:val="nil"/>
              <w:right w:val="single" w:sz="4" w:space="0" w:color="auto"/>
            </w:tcBorders>
            <w:shd w:val="clear" w:color="auto" w:fill="auto"/>
            <w:noWrap/>
            <w:vAlign w:val="bottom"/>
            <w:hideMark/>
          </w:tcPr>
          <w:p w14:paraId="3F71B458"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08207B60"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1" w:type="pct"/>
            <w:tcBorders>
              <w:top w:val="nil"/>
              <w:left w:val="nil"/>
              <w:bottom w:val="nil"/>
              <w:right w:val="single" w:sz="4" w:space="0" w:color="auto"/>
            </w:tcBorders>
            <w:shd w:val="clear" w:color="auto" w:fill="auto"/>
            <w:noWrap/>
            <w:vAlign w:val="bottom"/>
            <w:hideMark/>
          </w:tcPr>
          <w:p w14:paraId="6129B876"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546" w:type="pct"/>
            <w:tcBorders>
              <w:top w:val="nil"/>
              <w:left w:val="nil"/>
              <w:bottom w:val="nil"/>
              <w:right w:val="single" w:sz="4" w:space="0" w:color="auto"/>
            </w:tcBorders>
            <w:shd w:val="clear" w:color="auto" w:fill="auto"/>
            <w:noWrap/>
            <w:vAlign w:val="bottom"/>
            <w:hideMark/>
          </w:tcPr>
          <w:p w14:paraId="1896759D"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c>
          <w:tcPr>
            <w:tcW w:w="677" w:type="pct"/>
            <w:tcBorders>
              <w:top w:val="nil"/>
              <w:left w:val="nil"/>
              <w:bottom w:val="nil"/>
              <w:right w:val="single" w:sz="4" w:space="0" w:color="auto"/>
            </w:tcBorders>
            <w:shd w:val="clear" w:color="auto" w:fill="auto"/>
            <w:noWrap/>
            <w:vAlign w:val="bottom"/>
          </w:tcPr>
          <w:p w14:paraId="5F2ACD58" w14:textId="0D26D92A" w:rsidR="0085433F" w:rsidRPr="000C156A" w:rsidRDefault="001646E7" w:rsidP="003A64C9">
            <w:pPr>
              <w:overflowPunct/>
              <w:autoSpaceDE/>
              <w:autoSpaceDN/>
              <w:adjustRightInd/>
              <w:spacing w:before="0"/>
              <w:jc w:val="right"/>
              <w:textAlignment w:val="auto"/>
              <w:rPr>
                <w:rFonts w:cs="Arial"/>
                <w:i/>
                <w:iCs/>
                <w:color w:val="000000"/>
                <w:sz w:val="18"/>
                <w:szCs w:val="18"/>
                <w:lang w:val="en-US" w:eastAsia="zh-CN"/>
              </w:rPr>
            </w:pPr>
            <w:r>
              <w:rPr>
                <w:rFonts w:cs="Arial"/>
                <w:i/>
                <w:iCs/>
                <w:color w:val="000000"/>
                <w:sz w:val="18"/>
                <w:szCs w:val="18"/>
                <w:lang w:val="en-US" w:eastAsia="zh-CN"/>
              </w:rPr>
              <w:t>47</w:t>
            </w:r>
          </w:p>
        </w:tc>
        <w:tc>
          <w:tcPr>
            <w:tcW w:w="809" w:type="pct"/>
            <w:tcBorders>
              <w:top w:val="nil"/>
              <w:left w:val="nil"/>
              <w:bottom w:val="nil"/>
              <w:right w:val="single" w:sz="4" w:space="0" w:color="auto"/>
            </w:tcBorders>
            <w:shd w:val="clear" w:color="auto" w:fill="auto"/>
            <w:noWrap/>
            <w:vAlign w:val="bottom"/>
            <w:hideMark/>
          </w:tcPr>
          <w:p w14:paraId="0814837C" w14:textId="77777777" w:rsidR="0085433F" w:rsidRPr="000C156A" w:rsidRDefault="0085433F" w:rsidP="003A64C9">
            <w:pPr>
              <w:overflowPunct/>
              <w:autoSpaceDE/>
              <w:autoSpaceDN/>
              <w:adjustRightInd/>
              <w:spacing w:before="0"/>
              <w:jc w:val="right"/>
              <w:textAlignment w:val="auto"/>
              <w:rPr>
                <w:rFonts w:cs="Arial"/>
                <w:color w:val="000000"/>
                <w:sz w:val="18"/>
                <w:szCs w:val="18"/>
                <w:lang w:val="en-US" w:eastAsia="zh-CN"/>
              </w:rPr>
            </w:pPr>
          </w:p>
        </w:tc>
      </w:tr>
      <w:tr w:rsidR="0085433F" w:rsidRPr="000C156A" w14:paraId="3E391FCF" w14:textId="77777777" w:rsidTr="001646E7">
        <w:trPr>
          <w:trHeight w:val="510"/>
        </w:trPr>
        <w:tc>
          <w:tcPr>
            <w:tcW w:w="1346" w:type="pct"/>
            <w:tcBorders>
              <w:top w:val="single" w:sz="4" w:space="0" w:color="auto"/>
              <w:left w:val="single" w:sz="4" w:space="0" w:color="auto"/>
              <w:bottom w:val="single" w:sz="4" w:space="0" w:color="auto"/>
              <w:right w:val="nil"/>
            </w:tcBorders>
            <w:shd w:val="clear" w:color="auto" w:fill="auto"/>
            <w:vAlign w:val="center"/>
            <w:hideMark/>
          </w:tcPr>
          <w:p w14:paraId="566CCD6B" w14:textId="77777777" w:rsidR="0085433F" w:rsidRPr="000C156A" w:rsidRDefault="0085433F" w:rsidP="003A64C9">
            <w:pPr>
              <w:overflowPunct/>
              <w:adjustRightInd/>
              <w:spacing w:before="0"/>
              <w:textAlignment w:val="auto"/>
              <w:rPr>
                <w:rFonts w:ascii="Arial" w:hAnsi="Arial" w:cs="Arial"/>
                <w:b/>
                <w:bCs/>
                <w:color w:val="000000"/>
                <w:sz w:val="18"/>
                <w:szCs w:val="18"/>
                <w:lang w:val="en-US" w:eastAsia="zh-CN"/>
              </w:rPr>
            </w:pPr>
            <w:r w:rsidRPr="000C156A">
              <w:rPr>
                <w:rFonts w:hint="eastAsia"/>
                <w:b/>
                <w:bCs/>
                <w:sz w:val="18"/>
                <w:szCs w:val="18"/>
                <w:lang w:val="en-US" w:eastAsia="zh-CN"/>
              </w:rPr>
              <w:t>财务业绩报表显示的盈余</w:t>
            </w:r>
            <w:r w:rsidRPr="000C156A">
              <w:rPr>
                <w:b/>
                <w:bCs/>
                <w:sz w:val="18"/>
                <w:szCs w:val="18"/>
                <w:lang w:val="en-US" w:eastAsia="zh-CN"/>
              </w:rPr>
              <w:t>/</w:t>
            </w:r>
            <w:r w:rsidRPr="000C156A">
              <w:rPr>
                <w:rFonts w:hint="eastAsia"/>
                <w:b/>
                <w:bCs/>
                <w:sz w:val="18"/>
                <w:szCs w:val="18"/>
                <w:lang w:val="en-US" w:eastAsia="zh-CN"/>
              </w:rPr>
              <w:t>赤字</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15378"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5EBBF503"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6BB36CCC"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546" w:type="pct"/>
            <w:tcBorders>
              <w:top w:val="single" w:sz="4" w:space="0" w:color="auto"/>
              <w:left w:val="nil"/>
              <w:bottom w:val="single" w:sz="4" w:space="0" w:color="auto"/>
              <w:right w:val="single" w:sz="4" w:space="0" w:color="auto"/>
            </w:tcBorders>
            <w:shd w:val="clear" w:color="auto" w:fill="auto"/>
            <w:vAlign w:val="center"/>
            <w:hideMark/>
          </w:tcPr>
          <w:p w14:paraId="5D61BFD9"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0A09DDD9" w14:textId="7D803977" w:rsidR="0085433F" w:rsidRPr="000C156A" w:rsidRDefault="001646E7" w:rsidP="003A64C9">
            <w:pPr>
              <w:overflowPunct/>
              <w:autoSpaceDE/>
              <w:autoSpaceDN/>
              <w:adjustRightInd/>
              <w:spacing w:before="0"/>
              <w:jc w:val="right"/>
              <w:textAlignment w:val="auto"/>
              <w:rPr>
                <w:rFonts w:cs="Arial"/>
                <w:b/>
                <w:bCs/>
                <w:color w:val="000000"/>
                <w:sz w:val="18"/>
                <w:szCs w:val="18"/>
                <w:lang w:val="en-US" w:eastAsia="zh-CN"/>
              </w:rPr>
            </w:pPr>
            <w:r>
              <w:rPr>
                <w:rFonts w:cs="Arial"/>
                <w:b/>
                <w:bCs/>
                <w:color w:val="000000"/>
                <w:sz w:val="18"/>
                <w:szCs w:val="18"/>
                <w:lang w:val="en-US" w:eastAsia="zh-CN"/>
              </w:rPr>
              <w:t>-14 858</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37908488" w14:textId="77777777" w:rsidR="0085433F" w:rsidRPr="000C156A" w:rsidRDefault="0085433F" w:rsidP="003A64C9">
            <w:pPr>
              <w:overflowPunct/>
              <w:autoSpaceDE/>
              <w:autoSpaceDN/>
              <w:adjustRightInd/>
              <w:spacing w:before="0"/>
              <w:jc w:val="right"/>
              <w:textAlignment w:val="auto"/>
              <w:rPr>
                <w:rFonts w:cs="Arial"/>
                <w:b/>
                <w:bCs/>
                <w:color w:val="000000"/>
                <w:sz w:val="18"/>
                <w:szCs w:val="18"/>
                <w:lang w:val="en-US" w:eastAsia="zh-CN"/>
              </w:rPr>
            </w:pPr>
          </w:p>
        </w:tc>
      </w:tr>
    </w:tbl>
    <w:p w14:paraId="30863033" w14:textId="77777777" w:rsidR="0085433F" w:rsidRPr="000C156A" w:rsidRDefault="0085433F" w:rsidP="0085433F">
      <w:pPr>
        <w:spacing w:before="240"/>
        <w:ind w:firstLineChars="200" w:firstLine="480"/>
        <w:rPr>
          <w:lang w:eastAsia="zh-CN"/>
        </w:rPr>
      </w:pPr>
      <w:r w:rsidRPr="000C156A">
        <w:rPr>
          <w:rFonts w:hint="eastAsia"/>
          <w:lang w:val="fr-FR" w:eastAsia="zh-CN"/>
        </w:rPr>
        <w:t>欲了解更多信息</w:t>
      </w:r>
      <w:r w:rsidRPr="000C156A">
        <w:rPr>
          <w:rFonts w:hint="eastAsia"/>
          <w:lang w:eastAsia="zh-CN"/>
        </w:rPr>
        <w:t>，请</w:t>
      </w:r>
      <w:r w:rsidRPr="000C156A">
        <w:rPr>
          <w:rFonts w:hint="eastAsia"/>
          <w:lang w:val="fr-FR" w:eastAsia="zh-CN"/>
        </w:rPr>
        <w:t>见说明</w:t>
      </w:r>
      <w:r w:rsidRPr="000C156A">
        <w:rPr>
          <w:lang w:eastAsia="zh-CN"/>
        </w:rPr>
        <w:t>26</w:t>
      </w:r>
      <w:r w:rsidRPr="000C156A">
        <w:rPr>
          <w:rFonts w:hint="eastAsia"/>
          <w:lang w:val="fr-FR" w:eastAsia="zh-CN"/>
        </w:rPr>
        <w:t>。</w:t>
      </w:r>
      <w:bookmarkStart w:id="351" w:name="_Toc329165775"/>
      <w:r w:rsidRPr="000C156A">
        <w:rPr>
          <w:lang w:eastAsia="zh-CN"/>
        </w:rPr>
        <w:br w:type="page"/>
      </w:r>
    </w:p>
    <w:p w14:paraId="26F3F2DD" w14:textId="77777777" w:rsidR="0085433F" w:rsidRPr="000C156A" w:rsidRDefault="0085433F" w:rsidP="0085433F">
      <w:pPr>
        <w:pStyle w:val="Heading1"/>
        <w:jc w:val="center"/>
        <w:rPr>
          <w:lang w:eastAsia="zh-CN"/>
        </w:rPr>
      </w:pPr>
      <w:bookmarkStart w:id="352" w:name="_Toc482894785"/>
      <w:bookmarkStart w:id="353" w:name="_Toc482892541"/>
      <w:bookmarkStart w:id="354" w:name="_Toc511116012"/>
      <w:bookmarkStart w:id="355" w:name="_Toc41905842"/>
      <w:bookmarkStart w:id="356" w:name="_Toc41906890"/>
      <w:bookmarkStart w:id="357" w:name="_Toc41907971"/>
      <w:bookmarkStart w:id="358" w:name="_Toc41908039"/>
      <w:bookmarkStart w:id="359" w:name="_Toc73518669"/>
      <w:bookmarkStart w:id="360" w:name="_Toc73519216"/>
      <w:bookmarkStart w:id="361" w:name="_Toc73636241"/>
      <w:bookmarkStart w:id="362" w:name="_Toc110263986"/>
      <w:bookmarkStart w:id="363" w:name="_Toc110264065"/>
      <w:bookmarkStart w:id="364" w:name="_Toc110265000"/>
      <w:bookmarkStart w:id="365" w:name="_Toc110265219"/>
      <w:bookmarkStart w:id="366" w:name="_Toc110265685"/>
      <w:bookmarkStart w:id="367" w:name="_Toc110330074"/>
      <w:bookmarkStart w:id="368" w:name="_Toc110330239"/>
      <w:r w:rsidRPr="000C156A">
        <w:rPr>
          <w:rFonts w:cs="Microsoft YaHei" w:hint="eastAsia"/>
          <w:lang w:val="fr-FR" w:eastAsia="zh-CN"/>
        </w:rPr>
        <w:lastRenderedPageBreak/>
        <w:t>财务报表说明</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77B8D60F" w14:textId="77777777" w:rsidR="0085433F" w:rsidRPr="000C156A" w:rsidRDefault="0085433F" w:rsidP="0085433F">
      <w:pPr>
        <w:pStyle w:val="Heading1"/>
        <w:rPr>
          <w:sz w:val="24"/>
          <w:szCs w:val="24"/>
          <w:lang w:eastAsia="zh-CN"/>
        </w:rPr>
      </w:pPr>
      <w:bookmarkStart w:id="369" w:name="_Toc329165776"/>
      <w:bookmarkStart w:id="370" w:name="_Toc305502567"/>
      <w:bookmarkStart w:id="371" w:name="_Toc482892542"/>
      <w:bookmarkStart w:id="372" w:name="_Toc482870825"/>
      <w:bookmarkStart w:id="373" w:name="_Toc511813743"/>
      <w:bookmarkStart w:id="374" w:name="_Toc511817826"/>
      <w:bookmarkStart w:id="375" w:name="_Toc520280726"/>
      <w:bookmarkStart w:id="376" w:name="_Toc10536821"/>
      <w:bookmarkStart w:id="377" w:name="_Toc41905843"/>
      <w:bookmarkStart w:id="378" w:name="_Toc41906891"/>
      <w:bookmarkStart w:id="379" w:name="_Toc41907972"/>
      <w:bookmarkStart w:id="380" w:name="_Toc41908040"/>
      <w:bookmarkStart w:id="381" w:name="_Toc73518670"/>
      <w:bookmarkStart w:id="382" w:name="_Toc73518817"/>
      <w:bookmarkStart w:id="383" w:name="_Toc73519217"/>
      <w:bookmarkStart w:id="384" w:name="_Toc110263987"/>
      <w:bookmarkStart w:id="385" w:name="_Toc110264066"/>
      <w:bookmarkStart w:id="386" w:name="_Toc110265686"/>
      <w:bookmarkStart w:id="387" w:name="_Toc110330075"/>
      <w:bookmarkStart w:id="388" w:name="_Toc110330240"/>
      <w:r w:rsidRPr="000C156A">
        <w:rPr>
          <w:rFonts w:cs="Microsoft YaHei" w:hint="eastAsia"/>
          <w:sz w:val="24"/>
          <w:szCs w:val="24"/>
          <w:lang w:val="fr-FR" w:eastAsia="zh-CN"/>
        </w:rPr>
        <w:t>说明</w:t>
      </w:r>
      <w:r w:rsidRPr="000C156A">
        <w:rPr>
          <w:sz w:val="24"/>
          <w:szCs w:val="24"/>
          <w:lang w:eastAsia="zh-CN"/>
        </w:rPr>
        <w:t>1</w:t>
      </w:r>
      <w:r w:rsidRPr="000C156A">
        <w:rPr>
          <w:sz w:val="24"/>
          <w:szCs w:val="24"/>
          <w:lang w:eastAsia="zh-CN"/>
        </w:rPr>
        <w:tab/>
      </w:r>
      <w:bookmarkEnd w:id="369"/>
      <w:bookmarkEnd w:id="370"/>
      <w:r w:rsidRPr="000C156A">
        <w:rPr>
          <w:rFonts w:cs="Microsoft YaHei" w:hint="eastAsia"/>
          <w:sz w:val="24"/>
          <w:szCs w:val="24"/>
          <w:lang w:val="fr-FR" w:eastAsia="zh-CN"/>
        </w:rPr>
        <w:t>国际电联的目标</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08F8EC1F" w14:textId="77777777" w:rsidR="0085433F" w:rsidRPr="000C156A" w:rsidRDefault="0085433F" w:rsidP="0085433F">
      <w:pPr>
        <w:ind w:firstLineChars="200" w:firstLine="480"/>
        <w:rPr>
          <w:lang w:eastAsia="zh-CN"/>
        </w:rPr>
      </w:pPr>
      <w:r w:rsidRPr="000C156A">
        <w:rPr>
          <w:rFonts w:hint="eastAsia"/>
          <w:lang w:eastAsia="zh-CN"/>
        </w:rPr>
        <w:t>国际电信联盟（</w:t>
      </w:r>
      <w:r w:rsidRPr="000C156A">
        <w:rPr>
          <w:lang w:eastAsia="zh-CN"/>
        </w:rPr>
        <w:t>ITU</w:t>
      </w:r>
      <w:r w:rsidRPr="000C156A">
        <w:rPr>
          <w:rFonts w:hint="eastAsia"/>
          <w:lang w:eastAsia="zh-CN"/>
        </w:rPr>
        <w:t>）是主管信息通信技术（</w:t>
      </w:r>
      <w:r w:rsidRPr="000C156A">
        <w:rPr>
          <w:lang w:eastAsia="zh-CN"/>
        </w:rPr>
        <w:t>ICT</w:t>
      </w:r>
      <w:r w:rsidRPr="000C156A">
        <w:rPr>
          <w:rFonts w:hint="eastAsia"/>
          <w:lang w:eastAsia="zh-CN"/>
        </w:rPr>
        <w:t>）的</w:t>
      </w:r>
      <w:hyperlink r:id="rId25" w:history="1">
        <w:r w:rsidRPr="000C156A">
          <w:rPr>
            <w:rStyle w:val="Hyperlink"/>
            <w:rFonts w:asciiTheme="minorHAnsi" w:hAnsiTheme="minorHAnsi" w:hint="eastAsia"/>
            <w:lang w:eastAsia="zh-CN"/>
          </w:rPr>
          <w:t>联合国</w:t>
        </w:r>
      </w:hyperlink>
      <w:r w:rsidRPr="000C156A">
        <w:rPr>
          <w:rFonts w:hint="eastAsia"/>
          <w:lang w:eastAsia="zh-CN"/>
        </w:rPr>
        <w:t>专门机构。作为全球连接政府和私营部门的桥梁，国际电联通过其三个主要部门，即，</w:t>
      </w:r>
      <w:hyperlink r:id="rId26" w:history="1">
        <w:r w:rsidRPr="000C156A">
          <w:rPr>
            <w:rStyle w:val="Hyperlink"/>
            <w:rFonts w:asciiTheme="minorHAnsi" w:hAnsiTheme="minorHAnsi" w:hint="eastAsia"/>
            <w:lang w:eastAsia="zh-CN"/>
          </w:rPr>
          <w:t>无线电通信部门</w:t>
        </w:r>
      </w:hyperlink>
      <w:r w:rsidRPr="000C156A">
        <w:rPr>
          <w:rFonts w:hint="eastAsia"/>
          <w:lang w:eastAsia="zh-CN"/>
        </w:rPr>
        <w:t>、</w:t>
      </w:r>
      <w:hyperlink r:id="rId27" w:history="1">
        <w:r w:rsidRPr="000C156A">
          <w:rPr>
            <w:rStyle w:val="Hyperlink"/>
            <w:rFonts w:asciiTheme="minorHAnsi" w:hAnsiTheme="minorHAnsi" w:hint="eastAsia"/>
            <w:lang w:eastAsia="zh-CN"/>
          </w:rPr>
          <w:t>电信标准化部门</w:t>
        </w:r>
      </w:hyperlink>
      <w:r w:rsidRPr="000C156A">
        <w:rPr>
          <w:rFonts w:hint="eastAsia"/>
          <w:lang w:eastAsia="zh-CN"/>
        </w:rPr>
        <w:t>和</w:t>
      </w:r>
      <w:hyperlink r:id="rId28" w:history="1">
        <w:r w:rsidRPr="000C156A">
          <w:rPr>
            <w:rStyle w:val="Hyperlink"/>
            <w:rFonts w:asciiTheme="minorHAnsi" w:hAnsiTheme="minorHAnsi" w:hint="eastAsia"/>
            <w:lang w:eastAsia="zh-CN"/>
          </w:rPr>
          <w:t>电信发展部门</w:t>
        </w:r>
      </w:hyperlink>
      <w:r w:rsidRPr="000C156A">
        <w:rPr>
          <w:rFonts w:hint="eastAsia"/>
          <w:lang w:eastAsia="zh-CN"/>
        </w:rPr>
        <w:t>，推进世界的通信事业。国际电联完全承认各国管理其电信业务的主权。</w:t>
      </w:r>
    </w:p>
    <w:p w14:paraId="50871FAD" w14:textId="77777777" w:rsidR="0085433F" w:rsidRPr="000C156A" w:rsidRDefault="0085433F" w:rsidP="0085433F">
      <w:pPr>
        <w:ind w:firstLineChars="200" w:firstLine="480"/>
        <w:rPr>
          <w:lang w:eastAsia="zh-CN"/>
        </w:rPr>
      </w:pPr>
      <w:r w:rsidRPr="000C156A">
        <w:rPr>
          <w:rFonts w:hint="eastAsia"/>
          <w:lang w:eastAsia="zh-CN"/>
        </w:rPr>
        <w:t>主办国际电联</w:t>
      </w:r>
      <w:hyperlink r:id="rId29" w:history="1">
        <w:r w:rsidRPr="000C156A">
          <w:rPr>
            <w:rStyle w:val="Hyperlink"/>
            <w:rFonts w:asciiTheme="minorHAnsi" w:hAnsiTheme="minorHAnsi" w:hint="eastAsia"/>
            <w:lang w:eastAsia="zh-CN"/>
          </w:rPr>
          <w:t>电信展</w:t>
        </w:r>
      </w:hyperlink>
      <w:r w:rsidRPr="000C156A">
        <w:rPr>
          <w:rFonts w:hint="eastAsia"/>
          <w:lang w:eastAsia="zh-CN"/>
        </w:rPr>
        <w:t>活动的国际电联还是主要负责组织</w:t>
      </w:r>
      <w:hyperlink r:id="rId30" w:history="1">
        <w:r w:rsidRPr="000C156A">
          <w:rPr>
            <w:rStyle w:val="Hyperlink"/>
            <w:rFonts w:asciiTheme="minorHAnsi" w:hAnsiTheme="minorHAnsi" w:hint="eastAsia"/>
            <w:lang w:eastAsia="zh-CN"/>
          </w:rPr>
          <w:t>信息社会世界高峰会议</w:t>
        </w:r>
      </w:hyperlink>
      <w:r w:rsidRPr="000C156A">
        <w:rPr>
          <w:rFonts w:hint="eastAsia"/>
          <w:lang w:eastAsia="zh-CN"/>
        </w:rPr>
        <w:t>的实体。</w:t>
      </w:r>
    </w:p>
    <w:p w14:paraId="6AD71573" w14:textId="77777777" w:rsidR="0085433F" w:rsidRPr="000C156A" w:rsidRDefault="0085433F" w:rsidP="0085433F">
      <w:pPr>
        <w:ind w:firstLineChars="200" w:firstLine="480"/>
        <w:rPr>
          <w:lang w:eastAsia="zh-CN"/>
        </w:rPr>
      </w:pPr>
      <w:r w:rsidRPr="000C156A">
        <w:rPr>
          <w:rFonts w:hint="eastAsia"/>
          <w:lang w:eastAsia="zh-CN"/>
        </w:rPr>
        <w:t>国际电联总部设在瑞士日内瓦（</w:t>
      </w:r>
      <w:r w:rsidRPr="000C156A">
        <w:rPr>
          <w:lang w:eastAsia="zh-CN"/>
        </w:rPr>
        <w:t>Place des Nations</w:t>
      </w:r>
      <w:r w:rsidRPr="000C156A">
        <w:rPr>
          <w:rFonts w:hint="eastAsia"/>
          <w:lang w:eastAsia="zh-CN"/>
        </w:rPr>
        <w:t>，</w:t>
      </w:r>
      <w:r w:rsidRPr="000C156A">
        <w:rPr>
          <w:lang w:eastAsia="zh-CN"/>
        </w:rPr>
        <w:t>1211 Geneva 20</w:t>
      </w:r>
      <w:r w:rsidRPr="000C156A">
        <w:rPr>
          <w:rFonts w:hint="eastAsia"/>
          <w:lang w:eastAsia="zh-CN"/>
        </w:rPr>
        <w:t>），拥有</w:t>
      </w:r>
      <w:r w:rsidRPr="000C156A">
        <w:rPr>
          <w:lang w:eastAsia="zh-CN"/>
        </w:rPr>
        <w:t>193</w:t>
      </w:r>
      <w:r w:rsidRPr="000C156A">
        <w:rPr>
          <w:rFonts w:hint="eastAsia"/>
          <w:lang w:eastAsia="zh-CN"/>
        </w:rPr>
        <w:t>个</w:t>
      </w:r>
      <w:hyperlink r:id="rId31" w:history="1">
        <w:r w:rsidRPr="000C156A">
          <w:rPr>
            <w:rStyle w:val="Hyperlink"/>
            <w:rFonts w:asciiTheme="minorHAnsi" w:hAnsiTheme="minorHAnsi" w:hint="eastAsia"/>
            <w:lang w:eastAsia="zh-CN"/>
          </w:rPr>
          <w:t>成员国</w:t>
        </w:r>
      </w:hyperlink>
      <w:r w:rsidRPr="000C156A">
        <w:rPr>
          <w:rFonts w:hint="eastAsia"/>
          <w:lang w:eastAsia="zh-CN"/>
        </w:rPr>
        <w:t>和</w:t>
      </w:r>
      <w:r w:rsidRPr="000C156A">
        <w:rPr>
          <w:lang w:eastAsia="zh-CN"/>
        </w:rPr>
        <w:t>1200</w:t>
      </w:r>
      <w:r w:rsidRPr="000C156A">
        <w:rPr>
          <w:rFonts w:hint="eastAsia"/>
          <w:lang w:eastAsia="zh-CN"/>
        </w:rPr>
        <w:t>多个</w:t>
      </w:r>
      <w:hyperlink r:id="rId32" w:history="1">
        <w:r w:rsidRPr="000C156A">
          <w:rPr>
            <w:rStyle w:val="Hyperlink"/>
            <w:rFonts w:asciiTheme="minorHAnsi" w:hAnsiTheme="minorHAnsi" w:hint="eastAsia"/>
            <w:lang w:eastAsia="zh-CN"/>
          </w:rPr>
          <w:t>部门成员</w:t>
        </w:r>
      </w:hyperlink>
      <w:r w:rsidRPr="000C156A">
        <w:rPr>
          <w:rFonts w:hint="eastAsia"/>
          <w:lang w:eastAsia="zh-CN"/>
        </w:rPr>
        <w:t>、</w:t>
      </w:r>
      <w:hyperlink r:id="rId33" w:history="1">
        <w:r w:rsidRPr="000C156A">
          <w:rPr>
            <w:rStyle w:val="Hyperlink"/>
            <w:rFonts w:asciiTheme="minorHAnsi" w:hAnsiTheme="minorHAnsi" w:hint="eastAsia"/>
            <w:lang w:eastAsia="zh-CN"/>
          </w:rPr>
          <w:t>部门准成员</w:t>
        </w:r>
      </w:hyperlink>
      <w:r w:rsidRPr="000C156A">
        <w:rPr>
          <w:rFonts w:hint="eastAsia"/>
          <w:lang w:eastAsia="zh-CN"/>
        </w:rPr>
        <w:t>和</w:t>
      </w:r>
      <w:hyperlink r:id="rId34" w:history="1">
        <w:r w:rsidRPr="000C156A">
          <w:rPr>
            <w:rStyle w:val="Hyperlink"/>
            <w:rFonts w:hint="eastAsia"/>
            <w:lang w:eastAsia="zh-CN"/>
          </w:rPr>
          <w:t>学术成员</w:t>
        </w:r>
      </w:hyperlink>
      <w:r w:rsidRPr="000C156A">
        <w:rPr>
          <w:rFonts w:hint="eastAsia"/>
          <w:lang w:eastAsia="zh-CN"/>
        </w:rPr>
        <w:t>。国际电联下设四个区域代表处、八个地区办事处，在纽约设有联合国联络办公室并在总部设有欧洲事务协调处。</w:t>
      </w:r>
    </w:p>
    <w:p w14:paraId="585EC24E" w14:textId="77777777" w:rsidR="0085433F" w:rsidRPr="000C156A" w:rsidRDefault="0085433F" w:rsidP="0085433F">
      <w:pPr>
        <w:ind w:firstLineChars="200" w:firstLine="480"/>
        <w:rPr>
          <w:lang w:eastAsia="zh-CN"/>
        </w:rPr>
      </w:pPr>
      <w:r w:rsidRPr="000C156A">
        <w:rPr>
          <w:rFonts w:hint="eastAsia"/>
          <w:lang w:eastAsia="zh-CN"/>
        </w:rPr>
        <w:t>国际电联的宗旨是：</w:t>
      </w:r>
    </w:p>
    <w:p w14:paraId="465108F8"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保持和扩大所有国际电联成员国之间的国际合作，以改进和合理使用各种电信；</w:t>
      </w:r>
    </w:p>
    <w:p w14:paraId="2DD1FBBE"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促进技术设施的发展及其最有效的运营，以提高电信业务的效率，增强其效用并尽量使之为公众普遍利用；</w:t>
      </w:r>
    </w:p>
    <w:p w14:paraId="6BB38635"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促使世界上所有居民都得益于新的电信技术；</w:t>
      </w:r>
    </w:p>
    <w:p w14:paraId="61308574"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推动电信业务的使用，增进和平的关系；</w:t>
      </w:r>
    </w:p>
    <w:p w14:paraId="1D7CAA0E"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协调各成员国的行动，促进在成员国和部门成员之间建立富有成果和建设性的合作和伙伴关系，以达到上述目的；</w:t>
      </w:r>
    </w:p>
    <w:p w14:paraId="529498AD"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通过与其他世界性和区域性政府间组织以及那些与电信有关的非政府组织的合作，在国际层面上促进从更宽的角度对待全球信息经济和社会中的电信问题。</w:t>
      </w:r>
    </w:p>
    <w:p w14:paraId="29B20A87" w14:textId="77777777" w:rsidR="0085433F" w:rsidRPr="000C156A" w:rsidRDefault="0085433F" w:rsidP="0085433F">
      <w:pPr>
        <w:ind w:firstLineChars="200" w:firstLine="480"/>
        <w:rPr>
          <w:lang w:eastAsia="zh-CN"/>
        </w:rPr>
      </w:pPr>
      <w:r w:rsidRPr="000C156A">
        <w:rPr>
          <w:rFonts w:hint="eastAsia"/>
          <w:lang w:eastAsia="zh-CN"/>
        </w:rPr>
        <w:t>为此，国际电联须重点：</w:t>
      </w:r>
    </w:p>
    <w:p w14:paraId="2E4AA32D"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实施无线电频谱的频段划分、无线电频率的分配和无线电频率指配的登记，以及空间业务中对地静止卫星轨道的相关轨道位置及其他轨道中卫星的相关特性的登记，以避免不同国家无线电台之间的有害干扰；</w:t>
      </w:r>
    </w:p>
    <w:p w14:paraId="0062CFCA"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协调各种努力，消除不同国家无线电台之间的有害干扰，改进无线电通信业务中无线电频谱的利用，改进对地静止卫星轨道及其他卫星轨道的利用；</w:t>
      </w:r>
    </w:p>
    <w:p w14:paraId="69CA3513"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促进全世界的电信标准化，实现令人满意的服务质量；</w:t>
      </w:r>
    </w:p>
    <w:p w14:paraId="0D62F8B1"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借助所掌握的一切手段，包括酌情通过参加联合国的有关方案和利用自身的资源，在向发展中国家提供技术援助和在发展中国家建立、发展和改善电信设备和网络方面促进国际合作和团结；</w:t>
      </w:r>
    </w:p>
    <w:p w14:paraId="28EB578C"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协调各种努力，使电信设施，尤其是采用空间技术的电信设施得以和谐地发展，并尽可能充分利用它们；</w:t>
      </w:r>
    </w:p>
    <w:p w14:paraId="678A6701"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促进成员国与部门成员之间的合作，以便制订与有效服务相对称的尽可能低廉的费率，同时考虑到维持良好的独立电信财务管理的必要性；</w:t>
      </w:r>
    </w:p>
    <w:p w14:paraId="439E86B3"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通过在电信业务上的合作，促进各种保证生命安全的措施得以采用；</w:t>
      </w:r>
    </w:p>
    <w:p w14:paraId="33A26C1A"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对各种电信问题进行研究，制定规则，通过决议，编拟建议和意见，并收集与出版资料；</w:t>
      </w:r>
    </w:p>
    <w:p w14:paraId="7919EA92" w14:textId="77777777" w:rsidR="0085433F" w:rsidRPr="000C156A" w:rsidRDefault="0085433F" w:rsidP="0085433F">
      <w:pPr>
        <w:pStyle w:val="enumlev1"/>
        <w:rPr>
          <w:lang w:eastAsia="zh-CN"/>
        </w:rPr>
      </w:pPr>
      <w:r w:rsidRPr="000C156A">
        <w:rPr>
          <w:lang w:eastAsia="zh-CN"/>
        </w:rPr>
        <w:lastRenderedPageBreak/>
        <w:t>–</w:t>
      </w:r>
      <w:r w:rsidRPr="000C156A">
        <w:rPr>
          <w:lang w:eastAsia="zh-CN"/>
        </w:rPr>
        <w:tab/>
      </w:r>
      <w:r w:rsidRPr="000C156A">
        <w:rPr>
          <w:rFonts w:hint="eastAsia"/>
          <w:lang w:eastAsia="zh-CN"/>
        </w:rPr>
        <w:t>与国际上的金融和开发组织一道，促进优惠和有利的信贷额度的建立，用于发展具有社会效益的项目，特别是那些旨在将电信业务扩展至各国最闭塞的地区的项目；</w:t>
      </w:r>
    </w:p>
    <w:p w14:paraId="7248EE07"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促进有关实体参与国际电联的活动，并加强与区域性组织和其他组织的合作，以实现国际电联的宗旨。</w:t>
      </w:r>
    </w:p>
    <w:p w14:paraId="72E080A5" w14:textId="77777777" w:rsidR="0085433F" w:rsidRPr="000C156A" w:rsidRDefault="0085433F" w:rsidP="0085433F">
      <w:pPr>
        <w:ind w:firstLineChars="200" w:firstLine="480"/>
        <w:rPr>
          <w:lang w:eastAsia="zh-CN"/>
        </w:rPr>
      </w:pPr>
      <w:r w:rsidRPr="000C156A">
        <w:rPr>
          <w:rFonts w:hint="eastAsia"/>
          <w:lang w:eastAsia="zh-CN"/>
        </w:rPr>
        <w:t>全权代表大会是国际电信联盟（</w:t>
      </w:r>
      <w:r w:rsidRPr="000C156A">
        <w:rPr>
          <w:lang w:eastAsia="zh-CN"/>
        </w:rPr>
        <w:t>ITU</w:t>
      </w:r>
      <w:r w:rsidRPr="000C156A">
        <w:rPr>
          <w:rFonts w:hint="eastAsia"/>
          <w:lang w:eastAsia="zh-CN"/>
        </w:rPr>
        <w:t>）的最高权力机构。该大会每四年召开一次，旨在：</w:t>
      </w:r>
    </w:p>
    <w:p w14:paraId="29B42EC2"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确定国际电联的总体政策；</w:t>
      </w:r>
    </w:p>
    <w:p w14:paraId="007282DA"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通过四年期的战略规划和财务规划；</w:t>
      </w:r>
    </w:p>
    <w:p w14:paraId="4412856A"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选举本组织的高层管理人员、</w:t>
      </w:r>
      <w:hyperlink r:id="rId35" w:history="1">
        <w:r w:rsidRPr="000C156A">
          <w:rPr>
            <w:rStyle w:val="Hyperlink"/>
            <w:rFonts w:asciiTheme="minorHAnsi" w:hAnsiTheme="minorHAnsi" w:hint="eastAsia"/>
            <w:lang w:eastAsia="zh-CN"/>
          </w:rPr>
          <w:t>理事国</w:t>
        </w:r>
      </w:hyperlink>
      <w:r w:rsidRPr="000C156A">
        <w:rPr>
          <w:rFonts w:hint="eastAsia"/>
          <w:lang w:eastAsia="zh-CN"/>
        </w:rPr>
        <w:t>和</w:t>
      </w:r>
      <w:hyperlink r:id="rId36" w:history="1">
        <w:r w:rsidRPr="000C156A">
          <w:rPr>
            <w:rStyle w:val="Hyperlink"/>
            <w:rFonts w:asciiTheme="minorHAnsi" w:hAnsiTheme="minorHAnsi" w:hint="eastAsia"/>
            <w:lang w:eastAsia="zh-CN"/>
          </w:rPr>
          <w:t>无线电规则委员会</w:t>
        </w:r>
      </w:hyperlink>
      <w:r w:rsidRPr="000C156A">
        <w:rPr>
          <w:rFonts w:hint="eastAsia"/>
          <w:lang w:eastAsia="zh-CN"/>
        </w:rPr>
        <w:t>委员。</w:t>
      </w:r>
    </w:p>
    <w:p w14:paraId="15951166" w14:textId="77777777" w:rsidR="0085433F" w:rsidRPr="000C156A" w:rsidRDefault="0085433F" w:rsidP="0085433F">
      <w:pPr>
        <w:ind w:firstLineChars="200" w:firstLine="480"/>
        <w:rPr>
          <w:lang w:eastAsia="zh-CN"/>
        </w:rPr>
      </w:pPr>
      <w:r w:rsidRPr="000C156A">
        <w:rPr>
          <w:rFonts w:hint="eastAsia"/>
          <w:lang w:eastAsia="zh-CN"/>
        </w:rPr>
        <w:t>全权代表大会是国际电联成员国决定本组织未来作用的关键性活动，并由此确定本组织在影响全球信息通信技术发展中的能力。</w:t>
      </w:r>
    </w:p>
    <w:p w14:paraId="12C9257D" w14:textId="77777777" w:rsidR="0085433F" w:rsidRPr="000C156A" w:rsidRDefault="0085433F" w:rsidP="0085433F">
      <w:pPr>
        <w:ind w:firstLineChars="200" w:firstLine="480"/>
        <w:rPr>
          <w:b/>
          <w:lang w:eastAsia="zh-CN"/>
        </w:rPr>
      </w:pPr>
      <w:r w:rsidRPr="000C156A">
        <w:rPr>
          <w:rFonts w:hint="eastAsia"/>
          <w:lang w:eastAsia="zh-CN"/>
        </w:rPr>
        <w:t>部门成员、区域电信机构和政府间组织，以及联合国组织及其专门机构，也作为观察员出席了大会。</w:t>
      </w:r>
      <w:bookmarkStart w:id="389" w:name="_Toc329165778"/>
      <w:bookmarkStart w:id="390" w:name="_Toc305426928"/>
    </w:p>
    <w:p w14:paraId="49AFDF10" w14:textId="77777777" w:rsidR="0085433F" w:rsidRPr="000C156A" w:rsidRDefault="0085433F" w:rsidP="0085433F">
      <w:pPr>
        <w:pStyle w:val="Heading1"/>
        <w:rPr>
          <w:rFonts w:cs="Microsoft YaHei"/>
          <w:sz w:val="24"/>
          <w:szCs w:val="24"/>
          <w:lang w:eastAsia="zh-CN"/>
        </w:rPr>
      </w:pPr>
      <w:bookmarkStart w:id="391" w:name="_Toc482892543"/>
      <w:bookmarkStart w:id="392" w:name="_Toc482870826"/>
      <w:bookmarkStart w:id="393" w:name="_Toc511813744"/>
      <w:bookmarkStart w:id="394" w:name="_Toc511817827"/>
      <w:bookmarkStart w:id="395" w:name="_Toc520280727"/>
      <w:bookmarkStart w:id="396" w:name="_Toc10536822"/>
      <w:bookmarkStart w:id="397" w:name="_Toc41905844"/>
      <w:bookmarkStart w:id="398" w:name="_Toc41906892"/>
      <w:bookmarkStart w:id="399" w:name="_Toc41907973"/>
      <w:bookmarkStart w:id="400" w:name="_Toc41908041"/>
      <w:bookmarkStart w:id="401" w:name="_Toc73518671"/>
      <w:bookmarkStart w:id="402" w:name="_Toc73518818"/>
      <w:bookmarkStart w:id="403" w:name="_Toc73519218"/>
      <w:bookmarkStart w:id="404" w:name="_Toc110263988"/>
      <w:bookmarkStart w:id="405" w:name="_Toc110264067"/>
      <w:bookmarkStart w:id="406" w:name="_Toc110265687"/>
      <w:bookmarkStart w:id="407" w:name="_Toc110330076"/>
      <w:bookmarkStart w:id="408" w:name="_Toc110330241"/>
      <w:r w:rsidRPr="000C156A">
        <w:rPr>
          <w:rFonts w:cs="Microsoft YaHei" w:hint="eastAsia"/>
          <w:sz w:val="24"/>
          <w:szCs w:val="24"/>
          <w:lang w:val="fr-FR" w:eastAsia="zh-CN"/>
        </w:rPr>
        <w:t>说明</w:t>
      </w:r>
      <w:r w:rsidRPr="000C156A">
        <w:rPr>
          <w:rFonts w:cs="Microsoft YaHei"/>
          <w:sz w:val="24"/>
          <w:szCs w:val="24"/>
          <w:lang w:eastAsia="zh-CN"/>
        </w:rPr>
        <w:t>2</w:t>
      </w:r>
      <w:r w:rsidRPr="000C156A">
        <w:rPr>
          <w:rFonts w:cs="Microsoft YaHei"/>
          <w:sz w:val="24"/>
          <w:szCs w:val="24"/>
          <w:lang w:eastAsia="zh-CN"/>
        </w:rPr>
        <w:tab/>
      </w:r>
      <w:r w:rsidRPr="000C156A">
        <w:rPr>
          <w:rFonts w:cs="Microsoft YaHei" w:hint="eastAsia"/>
          <w:sz w:val="24"/>
          <w:szCs w:val="24"/>
          <w:lang w:val="fr-FR" w:eastAsia="zh-CN"/>
        </w:rPr>
        <w:t>主要会计原则</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B0D3A8E" w14:textId="77777777" w:rsidR="0085433F" w:rsidRPr="002A0694" w:rsidRDefault="0085433F" w:rsidP="002A0694">
      <w:pPr>
        <w:pStyle w:val="Heading5"/>
        <w:rPr>
          <w:b/>
          <w:bCs/>
          <w:i w:val="0"/>
          <w:u w:val="single"/>
          <w:lang w:val="fr-FR" w:eastAsia="zh-CN"/>
        </w:rPr>
      </w:pPr>
      <w:bookmarkStart w:id="409" w:name="_Toc482892544"/>
      <w:bookmarkStart w:id="410" w:name="_Toc305426929"/>
      <w:bookmarkStart w:id="411" w:name="_Toc41905845"/>
      <w:bookmarkStart w:id="412" w:name="_Toc110265688"/>
      <w:r w:rsidRPr="002A0694">
        <w:rPr>
          <w:rFonts w:hint="eastAsia"/>
          <w:b/>
          <w:bCs/>
          <w:i w:val="0"/>
          <w:u w:val="single"/>
          <w:lang w:val="fr-FR" w:eastAsia="zh-CN"/>
        </w:rPr>
        <w:t>外汇</w:t>
      </w:r>
      <w:bookmarkEnd w:id="409"/>
      <w:bookmarkEnd w:id="410"/>
      <w:bookmarkEnd w:id="411"/>
      <w:bookmarkEnd w:id="412"/>
    </w:p>
    <w:p w14:paraId="458C604F" w14:textId="77777777" w:rsidR="0085433F" w:rsidRPr="000C156A" w:rsidRDefault="0085433F" w:rsidP="0085433F">
      <w:pPr>
        <w:ind w:firstLineChars="200" w:firstLine="480"/>
        <w:rPr>
          <w:lang w:eastAsia="zh-CN"/>
        </w:rPr>
      </w:pPr>
      <w:r w:rsidRPr="000C156A">
        <w:rPr>
          <w:rFonts w:hint="eastAsia"/>
          <w:lang w:eastAsia="zh-CN"/>
        </w:rPr>
        <w:t>瑞郎（</w:t>
      </w:r>
      <w:r w:rsidRPr="000C156A">
        <w:rPr>
          <w:lang w:eastAsia="zh-CN"/>
        </w:rPr>
        <w:t>CHF</w:t>
      </w:r>
      <w:r w:rsidRPr="000C156A">
        <w:rPr>
          <w:rFonts w:hint="eastAsia"/>
          <w:lang w:eastAsia="zh-CN"/>
        </w:rPr>
        <w:t>）是国际电联的功能货币，也是财务报表列报中使用的唯一货币。</w:t>
      </w:r>
    </w:p>
    <w:p w14:paraId="355780F4" w14:textId="77777777" w:rsidR="0085433F" w:rsidRPr="000C156A" w:rsidRDefault="0085433F" w:rsidP="0085433F">
      <w:pPr>
        <w:spacing w:after="240"/>
        <w:ind w:firstLineChars="200" w:firstLine="480"/>
        <w:rPr>
          <w:lang w:eastAsia="zh-CN"/>
        </w:rPr>
      </w:pPr>
      <w:r w:rsidRPr="000C156A">
        <w:rPr>
          <w:rFonts w:hint="eastAsia"/>
          <w:lang w:eastAsia="zh-CN"/>
        </w:rPr>
        <w:t>以瑞郎以外其他货币进行的交易按交易日当天联合国业务汇率（</w:t>
      </w:r>
      <w:r w:rsidRPr="000C156A">
        <w:rPr>
          <w:lang w:eastAsia="zh-CN"/>
        </w:rPr>
        <w:t>UNORE</w:t>
      </w:r>
      <w:r w:rsidRPr="000C156A">
        <w:rPr>
          <w:rFonts w:hint="eastAsia"/>
          <w:lang w:eastAsia="zh-CN"/>
        </w:rPr>
        <w:t>）转换为瑞郎。外汇货币资产和承诺在阶段结账日按当日</w:t>
      </w:r>
      <w:r w:rsidRPr="000C156A">
        <w:rPr>
          <w:lang w:eastAsia="zh-CN"/>
        </w:rPr>
        <w:t>UNORE</w:t>
      </w:r>
      <w:r w:rsidRPr="000C156A">
        <w:rPr>
          <w:rFonts w:hint="eastAsia"/>
          <w:lang w:eastAsia="zh-CN"/>
        </w:rPr>
        <w:t>汇率转换为瑞郎。因结账日此类交易结算和外汇资产及承诺兑换造成的汇率损益登记在财务业绩报表中。国际电联采用联合国通报的</w:t>
      </w:r>
      <w:r w:rsidRPr="000C156A">
        <w:rPr>
          <w:lang w:eastAsia="zh-CN"/>
        </w:rPr>
        <w:t>UNORE</w:t>
      </w:r>
      <w:r w:rsidRPr="000C156A">
        <w:rPr>
          <w:rFonts w:hint="eastAsia"/>
          <w:lang w:eastAsia="zh-CN"/>
        </w:rPr>
        <w:t>汇率，如下所示：</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1983"/>
        <w:gridCol w:w="1983"/>
      </w:tblGrid>
      <w:tr w:rsidR="0085433F" w:rsidRPr="000C156A" w14:paraId="4B8CB87B" w14:textId="77777777" w:rsidTr="003A64C9">
        <w:tc>
          <w:tcPr>
            <w:tcW w:w="3683" w:type="dxa"/>
            <w:tcBorders>
              <w:top w:val="single" w:sz="4" w:space="0" w:color="auto"/>
              <w:left w:val="single" w:sz="4" w:space="0" w:color="auto"/>
              <w:bottom w:val="single" w:sz="4" w:space="0" w:color="auto"/>
              <w:right w:val="single" w:sz="4" w:space="0" w:color="auto"/>
            </w:tcBorders>
            <w:hideMark/>
          </w:tcPr>
          <w:p w14:paraId="78FAEAB4" w14:textId="77777777" w:rsidR="0085433F" w:rsidRPr="000C156A" w:rsidRDefault="0085433F" w:rsidP="003A64C9">
            <w:pPr>
              <w:pStyle w:val="Tablehead"/>
              <w:spacing w:before="20" w:after="20"/>
              <w:jc w:val="left"/>
              <w:rPr>
                <w:rFonts w:cs="Calibri"/>
                <w:b w:val="0"/>
                <w:bCs/>
                <w:szCs w:val="22"/>
              </w:rPr>
            </w:pPr>
            <w:bookmarkStart w:id="413" w:name="_MON_1402493990"/>
            <w:bookmarkStart w:id="414" w:name="_MON_1402493924"/>
            <w:bookmarkStart w:id="415" w:name="_MON_1395735014"/>
            <w:bookmarkStart w:id="416" w:name="_Toc305426930"/>
            <w:bookmarkEnd w:id="413"/>
            <w:bookmarkEnd w:id="414"/>
            <w:bookmarkEnd w:id="415"/>
            <w:r w:rsidRPr="000C156A">
              <w:rPr>
                <w:rFonts w:cs="Calibri" w:hint="eastAsia"/>
                <w:b w:val="0"/>
                <w:bCs/>
                <w:szCs w:val="22"/>
              </w:rPr>
              <w:t>对应的瑞郎</w:t>
            </w:r>
          </w:p>
        </w:tc>
        <w:tc>
          <w:tcPr>
            <w:tcW w:w="1983" w:type="dxa"/>
            <w:tcBorders>
              <w:top w:val="single" w:sz="4" w:space="0" w:color="auto"/>
              <w:left w:val="single" w:sz="4" w:space="0" w:color="auto"/>
              <w:bottom w:val="single" w:sz="4" w:space="0" w:color="auto"/>
              <w:right w:val="single" w:sz="4" w:space="0" w:color="auto"/>
            </w:tcBorders>
            <w:hideMark/>
          </w:tcPr>
          <w:p w14:paraId="4D0AE1F8" w14:textId="1B18CC1A" w:rsidR="0085433F" w:rsidRPr="000C156A" w:rsidRDefault="0085433F" w:rsidP="003A64C9">
            <w:pPr>
              <w:pStyle w:val="Tablehead"/>
              <w:spacing w:before="20" w:after="20"/>
              <w:jc w:val="right"/>
              <w:rPr>
                <w:rFonts w:cs="Calibri"/>
                <w:szCs w:val="22"/>
              </w:rPr>
            </w:pPr>
            <w:r w:rsidRPr="000C156A">
              <w:rPr>
                <w:rFonts w:cs="Calibri"/>
                <w:szCs w:val="22"/>
              </w:rPr>
              <w:t>202</w:t>
            </w:r>
            <w:r w:rsidR="00493002">
              <w:rPr>
                <w:rFonts w:cs="Calibri"/>
                <w:szCs w:val="22"/>
              </w:rPr>
              <w:t>1</w:t>
            </w:r>
            <w:r w:rsidRPr="000C156A">
              <w:rPr>
                <w:rFonts w:cs="Calibri" w:hint="eastAsia"/>
                <w:szCs w:val="22"/>
              </w:rPr>
              <w:t>年</w:t>
            </w:r>
            <w:r w:rsidRPr="000C156A">
              <w:rPr>
                <w:rFonts w:cs="Calibri"/>
                <w:szCs w:val="22"/>
              </w:rPr>
              <w:t>12</w:t>
            </w:r>
            <w:r w:rsidRPr="000C156A">
              <w:rPr>
                <w:rFonts w:cs="Calibri" w:hint="eastAsia"/>
                <w:szCs w:val="22"/>
              </w:rPr>
              <w:t>月</w:t>
            </w:r>
          </w:p>
        </w:tc>
        <w:tc>
          <w:tcPr>
            <w:tcW w:w="1983" w:type="dxa"/>
            <w:tcBorders>
              <w:top w:val="single" w:sz="4" w:space="0" w:color="auto"/>
              <w:left w:val="single" w:sz="4" w:space="0" w:color="auto"/>
              <w:bottom w:val="single" w:sz="4" w:space="0" w:color="auto"/>
              <w:right w:val="single" w:sz="4" w:space="0" w:color="auto"/>
            </w:tcBorders>
            <w:hideMark/>
          </w:tcPr>
          <w:p w14:paraId="358BB432" w14:textId="25B28577" w:rsidR="0085433F" w:rsidRPr="000C156A" w:rsidRDefault="0085433F" w:rsidP="003A64C9">
            <w:pPr>
              <w:pStyle w:val="Tablehead"/>
              <w:spacing w:before="20" w:after="20"/>
              <w:jc w:val="right"/>
              <w:rPr>
                <w:rFonts w:cs="Calibri"/>
                <w:szCs w:val="22"/>
              </w:rPr>
            </w:pPr>
            <w:r w:rsidRPr="000C156A">
              <w:rPr>
                <w:rFonts w:cs="Calibri"/>
                <w:szCs w:val="22"/>
              </w:rPr>
              <w:t>20</w:t>
            </w:r>
            <w:r w:rsidR="00493002">
              <w:rPr>
                <w:rFonts w:cs="Calibri"/>
                <w:szCs w:val="22"/>
              </w:rPr>
              <w:t>20</w:t>
            </w:r>
            <w:r w:rsidRPr="000C156A">
              <w:rPr>
                <w:rFonts w:cs="Calibri" w:hint="eastAsia"/>
                <w:szCs w:val="22"/>
              </w:rPr>
              <w:t>年</w:t>
            </w:r>
            <w:r w:rsidRPr="000C156A">
              <w:rPr>
                <w:rFonts w:cs="Calibri"/>
                <w:szCs w:val="22"/>
              </w:rPr>
              <w:t>12</w:t>
            </w:r>
            <w:r w:rsidRPr="000C156A">
              <w:rPr>
                <w:rFonts w:cs="Calibri" w:hint="eastAsia"/>
                <w:szCs w:val="22"/>
              </w:rPr>
              <w:t>月</w:t>
            </w:r>
          </w:p>
        </w:tc>
      </w:tr>
      <w:tr w:rsidR="0085433F" w:rsidRPr="000C156A" w14:paraId="4EFC67EA" w14:textId="77777777" w:rsidTr="003A64C9">
        <w:tc>
          <w:tcPr>
            <w:tcW w:w="3683" w:type="dxa"/>
            <w:tcBorders>
              <w:top w:val="single" w:sz="4" w:space="0" w:color="auto"/>
              <w:left w:val="single" w:sz="4" w:space="0" w:color="auto"/>
              <w:bottom w:val="nil"/>
              <w:right w:val="single" w:sz="4" w:space="0" w:color="auto"/>
            </w:tcBorders>
          </w:tcPr>
          <w:p w14:paraId="708E2A1C" w14:textId="77777777" w:rsidR="0085433F" w:rsidRPr="000C156A" w:rsidRDefault="0085433F" w:rsidP="003A64C9">
            <w:pPr>
              <w:pStyle w:val="Tabletext"/>
              <w:spacing w:before="20" w:after="20"/>
              <w:rPr>
                <w:rFonts w:cs="Calibri"/>
                <w:szCs w:val="22"/>
              </w:rPr>
            </w:pPr>
          </w:p>
        </w:tc>
        <w:tc>
          <w:tcPr>
            <w:tcW w:w="1983" w:type="dxa"/>
            <w:tcBorders>
              <w:top w:val="single" w:sz="4" w:space="0" w:color="auto"/>
              <w:left w:val="single" w:sz="4" w:space="0" w:color="auto"/>
              <w:bottom w:val="nil"/>
              <w:right w:val="single" w:sz="4" w:space="0" w:color="auto"/>
            </w:tcBorders>
            <w:vAlign w:val="bottom"/>
          </w:tcPr>
          <w:p w14:paraId="18F275CD" w14:textId="77777777" w:rsidR="0085433F" w:rsidRPr="000C156A" w:rsidRDefault="0085433F" w:rsidP="003A64C9">
            <w:pPr>
              <w:spacing w:before="20" w:after="20"/>
              <w:jc w:val="right"/>
              <w:rPr>
                <w:rFonts w:asciiTheme="minorHAnsi" w:hAnsiTheme="minorHAnsi" w:cs="Segoe UI Semilight"/>
                <w:color w:val="000000"/>
                <w:sz w:val="22"/>
                <w:szCs w:val="22"/>
              </w:rPr>
            </w:pPr>
          </w:p>
        </w:tc>
        <w:tc>
          <w:tcPr>
            <w:tcW w:w="1983" w:type="dxa"/>
            <w:tcBorders>
              <w:top w:val="single" w:sz="4" w:space="0" w:color="auto"/>
              <w:left w:val="single" w:sz="4" w:space="0" w:color="auto"/>
              <w:bottom w:val="nil"/>
              <w:right w:val="single" w:sz="4" w:space="0" w:color="auto"/>
            </w:tcBorders>
            <w:vAlign w:val="bottom"/>
            <w:hideMark/>
          </w:tcPr>
          <w:p w14:paraId="289DF63E" w14:textId="77777777" w:rsidR="0085433F" w:rsidRPr="000C156A" w:rsidRDefault="0085433F" w:rsidP="003A64C9">
            <w:pPr>
              <w:spacing w:before="20" w:after="20"/>
              <w:jc w:val="right"/>
              <w:rPr>
                <w:rFonts w:asciiTheme="minorHAnsi" w:hAnsiTheme="minorHAnsi" w:cs="Segoe UI Semilight"/>
                <w:color w:val="000000"/>
                <w:sz w:val="22"/>
                <w:szCs w:val="22"/>
              </w:rPr>
            </w:pPr>
          </w:p>
        </w:tc>
      </w:tr>
      <w:tr w:rsidR="00493002" w:rsidRPr="000C156A" w14:paraId="43452E5E" w14:textId="77777777" w:rsidTr="003A64C9">
        <w:tc>
          <w:tcPr>
            <w:tcW w:w="3683" w:type="dxa"/>
            <w:tcBorders>
              <w:top w:val="nil"/>
              <w:left w:val="single" w:sz="4" w:space="0" w:color="auto"/>
              <w:bottom w:val="nil"/>
              <w:right w:val="single" w:sz="4" w:space="0" w:color="auto"/>
            </w:tcBorders>
            <w:hideMark/>
          </w:tcPr>
          <w:p w14:paraId="442B491C" w14:textId="77777777" w:rsidR="00493002" w:rsidRPr="000C156A" w:rsidRDefault="00493002" w:rsidP="00493002">
            <w:pPr>
              <w:pStyle w:val="Tabletext"/>
              <w:spacing w:before="20" w:after="20"/>
              <w:rPr>
                <w:rFonts w:cs="Calibri"/>
                <w:szCs w:val="22"/>
              </w:rPr>
            </w:pPr>
            <w:r w:rsidRPr="000C156A">
              <w:rPr>
                <w:rFonts w:cs="Calibri"/>
                <w:szCs w:val="22"/>
              </w:rPr>
              <w:t>1</w:t>
            </w:r>
            <w:r w:rsidRPr="000C156A">
              <w:rPr>
                <w:rFonts w:cs="Calibri" w:hint="eastAsia"/>
                <w:szCs w:val="22"/>
              </w:rPr>
              <w:t>美元</w:t>
            </w:r>
          </w:p>
        </w:tc>
        <w:tc>
          <w:tcPr>
            <w:tcW w:w="1983" w:type="dxa"/>
            <w:tcBorders>
              <w:top w:val="nil"/>
              <w:left w:val="single" w:sz="4" w:space="0" w:color="auto"/>
              <w:bottom w:val="nil"/>
              <w:right w:val="single" w:sz="4" w:space="0" w:color="auto"/>
            </w:tcBorders>
            <w:vAlign w:val="bottom"/>
            <w:hideMark/>
          </w:tcPr>
          <w:p w14:paraId="4BA08D7D" w14:textId="660E7D55"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0.92500</w:t>
            </w:r>
          </w:p>
        </w:tc>
        <w:tc>
          <w:tcPr>
            <w:tcW w:w="1983" w:type="dxa"/>
            <w:tcBorders>
              <w:top w:val="nil"/>
              <w:left w:val="single" w:sz="4" w:space="0" w:color="auto"/>
              <w:bottom w:val="nil"/>
              <w:right w:val="single" w:sz="4" w:space="0" w:color="auto"/>
            </w:tcBorders>
            <w:vAlign w:val="bottom"/>
            <w:hideMark/>
          </w:tcPr>
          <w:p w14:paraId="6960D7D6" w14:textId="5791B9CE"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0.90600</w:t>
            </w:r>
          </w:p>
        </w:tc>
      </w:tr>
      <w:tr w:rsidR="00493002" w:rsidRPr="000C156A" w14:paraId="26135A48" w14:textId="77777777" w:rsidTr="003A64C9">
        <w:tc>
          <w:tcPr>
            <w:tcW w:w="3683" w:type="dxa"/>
            <w:tcBorders>
              <w:top w:val="nil"/>
              <w:left w:val="single" w:sz="4" w:space="0" w:color="auto"/>
              <w:bottom w:val="nil"/>
              <w:right w:val="single" w:sz="4" w:space="0" w:color="auto"/>
            </w:tcBorders>
            <w:vAlign w:val="bottom"/>
            <w:hideMark/>
          </w:tcPr>
          <w:p w14:paraId="5010AF21" w14:textId="77777777" w:rsidR="00493002" w:rsidRPr="000C156A" w:rsidRDefault="00493002" w:rsidP="00493002">
            <w:pPr>
              <w:pStyle w:val="Tabletext"/>
              <w:spacing w:before="20" w:after="20"/>
              <w:rPr>
                <w:rFonts w:cs="Calibri"/>
                <w:szCs w:val="22"/>
              </w:rPr>
            </w:pPr>
            <w:r w:rsidRPr="000C156A">
              <w:rPr>
                <w:rFonts w:cs="Calibri"/>
                <w:szCs w:val="22"/>
              </w:rPr>
              <w:t>1</w:t>
            </w:r>
            <w:r w:rsidRPr="000C156A">
              <w:rPr>
                <w:rFonts w:cs="Calibri" w:hint="eastAsia"/>
                <w:szCs w:val="22"/>
              </w:rPr>
              <w:t>欧元</w:t>
            </w:r>
          </w:p>
        </w:tc>
        <w:tc>
          <w:tcPr>
            <w:tcW w:w="1983" w:type="dxa"/>
            <w:tcBorders>
              <w:top w:val="nil"/>
              <w:left w:val="single" w:sz="4" w:space="0" w:color="auto"/>
              <w:bottom w:val="nil"/>
              <w:right w:val="single" w:sz="4" w:space="0" w:color="auto"/>
            </w:tcBorders>
            <w:vAlign w:val="bottom"/>
            <w:hideMark/>
          </w:tcPr>
          <w:p w14:paraId="2B1B5CCE" w14:textId="58CD2FB0"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1.04167</w:t>
            </w:r>
          </w:p>
        </w:tc>
        <w:tc>
          <w:tcPr>
            <w:tcW w:w="1983" w:type="dxa"/>
            <w:tcBorders>
              <w:top w:val="nil"/>
              <w:left w:val="single" w:sz="4" w:space="0" w:color="auto"/>
              <w:bottom w:val="nil"/>
              <w:right w:val="single" w:sz="4" w:space="0" w:color="auto"/>
            </w:tcBorders>
            <w:vAlign w:val="bottom"/>
            <w:hideMark/>
          </w:tcPr>
          <w:p w14:paraId="53C4202E" w14:textId="101D866F"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1.08244</w:t>
            </w:r>
          </w:p>
        </w:tc>
      </w:tr>
      <w:tr w:rsidR="00493002" w:rsidRPr="000C156A" w14:paraId="577F46C7" w14:textId="77777777" w:rsidTr="003A64C9">
        <w:tc>
          <w:tcPr>
            <w:tcW w:w="3683" w:type="dxa"/>
            <w:tcBorders>
              <w:top w:val="nil"/>
              <w:left w:val="single" w:sz="4" w:space="0" w:color="auto"/>
              <w:bottom w:val="nil"/>
              <w:right w:val="single" w:sz="4" w:space="0" w:color="auto"/>
            </w:tcBorders>
            <w:vAlign w:val="bottom"/>
            <w:hideMark/>
          </w:tcPr>
          <w:p w14:paraId="4F7B4044" w14:textId="77777777" w:rsidR="00493002" w:rsidRPr="000C156A" w:rsidRDefault="00493002" w:rsidP="00493002">
            <w:pPr>
              <w:pStyle w:val="Tabletext"/>
              <w:spacing w:before="20" w:after="20"/>
              <w:rPr>
                <w:rFonts w:cs="Calibri"/>
                <w:szCs w:val="22"/>
              </w:rPr>
            </w:pPr>
            <w:r w:rsidRPr="000C156A">
              <w:rPr>
                <w:rFonts w:cs="Calibri"/>
                <w:szCs w:val="22"/>
              </w:rPr>
              <w:t>1</w:t>
            </w:r>
            <w:r w:rsidRPr="000C156A">
              <w:rPr>
                <w:rFonts w:cs="Calibri" w:hint="eastAsia"/>
                <w:szCs w:val="22"/>
              </w:rPr>
              <w:t>巴巴多斯元（巴巴多斯）</w:t>
            </w:r>
          </w:p>
        </w:tc>
        <w:tc>
          <w:tcPr>
            <w:tcW w:w="1983" w:type="dxa"/>
            <w:tcBorders>
              <w:top w:val="nil"/>
              <w:left w:val="single" w:sz="4" w:space="0" w:color="auto"/>
              <w:bottom w:val="nil"/>
              <w:right w:val="single" w:sz="4" w:space="0" w:color="auto"/>
            </w:tcBorders>
            <w:vAlign w:val="bottom"/>
            <w:hideMark/>
          </w:tcPr>
          <w:p w14:paraId="465D4ED0" w14:textId="3E9E8959"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0.46250</w:t>
            </w:r>
          </w:p>
        </w:tc>
        <w:tc>
          <w:tcPr>
            <w:tcW w:w="1983" w:type="dxa"/>
            <w:tcBorders>
              <w:top w:val="nil"/>
              <w:left w:val="single" w:sz="4" w:space="0" w:color="auto"/>
              <w:bottom w:val="nil"/>
              <w:right w:val="single" w:sz="4" w:space="0" w:color="auto"/>
            </w:tcBorders>
            <w:vAlign w:val="bottom"/>
            <w:hideMark/>
          </w:tcPr>
          <w:p w14:paraId="04A560CD" w14:textId="449D1BEA"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0.45300</w:t>
            </w:r>
          </w:p>
        </w:tc>
      </w:tr>
      <w:tr w:rsidR="00493002" w:rsidRPr="000C156A" w14:paraId="3D5608A0" w14:textId="77777777" w:rsidTr="003A64C9">
        <w:tc>
          <w:tcPr>
            <w:tcW w:w="3683" w:type="dxa"/>
            <w:tcBorders>
              <w:top w:val="nil"/>
              <w:left w:val="single" w:sz="4" w:space="0" w:color="auto"/>
              <w:bottom w:val="nil"/>
              <w:right w:val="single" w:sz="4" w:space="0" w:color="auto"/>
            </w:tcBorders>
            <w:vAlign w:val="bottom"/>
            <w:hideMark/>
          </w:tcPr>
          <w:p w14:paraId="48CB23DF" w14:textId="77777777" w:rsidR="00493002" w:rsidRPr="000C156A" w:rsidRDefault="00493002" w:rsidP="00493002">
            <w:pPr>
              <w:pStyle w:val="Tabletext"/>
              <w:spacing w:before="20" w:after="20"/>
              <w:rPr>
                <w:rFonts w:cs="Calibri"/>
                <w:szCs w:val="22"/>
              </w:rPr>
            </w:pPr>
            <w:r w:rsidRPr="000C156A">
              <w:rPr>
                <w:rFonts w:cs="Calibri"/>
                <w:szCs w:val="22"/>
              </w:rPr>
              <w:t>1</w:t>
            </w:r>
            <w:r w:rsidRPr="000C156A">
              <w:rPr>
                <w:rFonts w:cs="Calibri" w:hint="eastAsia"/>
                <w:szCs w:val="22"/>
              </w:rPr>
              <w:t>巴西雷亚尔（巴西）</w:t>
            </w:r>
          </w:p>
        </w:tc>
        <w:tc>
          <w:tcPr>
            <w:tcW w:w="1983" w:type="dxa"/>
            <w:tcBorders>
              <w:top w:val="nil"/>
              <w:left w:val="single" w:sz="4" w:space="0" w:color="auto"/>
              <w:bottom w:val="nil"/>
              <w:right w:val="single" w:sz="4" w:space="0" w:color="auto"/>
            </w:tcBorders>
            <w:vAlign w:val="bottom"/>
            <w:hideMark/>
          </w:tcPr>
          <w:p w14:paraId="342C0B36" w14:textId="181F1C94"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0.16471</w:t>
            </w:r>
          </w:p>
        </w:tc>
        <w:tc>
          <w:tcPr>
            <w:tcW w:w="1983" w:type="dxa"/>
            <w:tcBorders>
              <w:top w:val="nil"/>
              <w:left w:val="single" w:sz="4" w:space="0" w:color="auto"/>
              <w:bottom w:val="nil"/>
              <w:right w:val="single" w:sz="4" w:space="0" w:color="auto"/>
            </w:tcBorders>
            <w:vAlign w:val="bottom"/>
            <w:hideMark/>
          </w:tcPr>
          <w:p w14:paraId="18B6F15C" w14:textId="71380A12"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0.16963</w:t>
            </w:r>
          </w:p>
        </w:tc>
      </w:tr>
      <w:tr w:rsidR="00493002" w:rsidRPr="000C156A" w14:paraId="209FA033" w14:textId="77777777" w:rsidTr="003A64C9">
        <w:tc>
          <w:tcPr>
            <w:tcW w:w="3683" w:type="dxa"/>
            <w:tcBorders>
              <w:top w:val="nil"/>
              <w:left w:val="single" w:sz="4" w:space="0" w:color="auto"/>
              <w:bottom w:val="nil"/>
              <w:right w:val="single" w:sz="4" w:space="0" w:color="auto"/>
            </w:tcBorders>
            <w:vAlign w:val="bottom"/>
            <w:hideMark/>
          </w:tcPr>
          <w:p w14:paraId="2895B06D" w14:textId="77777777" w:rsidR="00493002" w:rsidRPr="000C156A" w:rsidRDefault="00493002" w:rsidP="00493002">
            <w:pPr>
              <w:pStyle w:val="Tabletext"/>
              <w:spacing w:before="20" w:after="20"/>
              <w:rPr>
                <w:rFonts w:cs="Calibri"/>
                <w:szCs w:val="22"/>
              </w:rPr>
            </w:pPr>
            <w:r w:rsidRPr="000C156A">
              <w:rPr>
                <w:rFonts w:cs="Calibri"/>
                <w:szCs w:val="22"/>
              </w:rPr>
              <w:t>1</w:t>
            </w:r>
            <w:r w:rsidRPr="000C156A">
              <w:rPr>
                <w:rFonts w:cs="Calibri" w:hint="eastAsia"/>
                <w:szCs w:val="22"/>
              </w:rPr>
              <w:t>智利比索（智利）</w:t>
            </w:r>
          </w:p>
        </w:tc>
        <w:tc>
          <w:tcPr>
            <w:tcW w:w="1983" w:type="dxa"/>
            <w:tcBorders>
              <w:top w:val="nil"/>
              <w:left w:val="single" w:sz="4" w:space="0" w:color="auto"/>
              <w:bottom w:val="nil"/>
              <w:right w:val="single" w:sz="4" w:space="0" w:color="auto"/>
            </w:tcBorders>
            <w:vAlign w:val="bottom"/>
            <w:hideMark/>
          </w:tcPr>
          <w:p w14:paraId="119E1852" w14:textId="7D3ADF52"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0.00111</w:t>
            </w:r>
          </w:p>
        </w:tc>
        <w:tc>
          <w:tcPr>
            <w:tcW w:w="1983" w:type="dxa"/>
            <w:tcBorders>
              <w:top w:val="nil"/>
              <w:left w:val="single" w:sz="4" w:space="0" w:color="auto"/>
              <w:bottom w:val="nil"/>
              <w:right w:val="single" w:sz="4" w:space="0" w:color="auto"/>
            </w:tcBorders>
            <w:vAlign w:val="bottom"/>
            <w:hideMark/>
          </w:tcPr>
          <w:p w14:paraId="7917C9A4" w14:textId="5E9EA365"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0.00118</w:t>
            </w:r>
          </w:p>
        </w:tc>
      </w:tr>
      <w:tr w:rsidR="00493002" w:rsidRPr="000C156A" w14:paraId="4CE46BEA" w14:textId="77777777" w:rsidTr="003A64C9">
        <w:tc>
          <w:tcPr>
            <w:tcW w:w="3683" w:type="dxa"/>
            <w:tcBorders>
              <w:top w:val="nil"/>
              <w:left w:val="single" w:sz="4" w:space="0" w:color="auto"/>
              <w:bottom w:val="nil"/>
              <w:right w:val="single" w:sz="4" w:space="0" w:color="auto"/>
            </w:tcBorders>
            <w:vAlign w:val="bottom"/>
            <w:hideMark/>
          </w:tcPr>
          <w:p w14:paraId="26D195AD" w14:textId="77777777" w:rsidR="00493002" w:rsidRPr="000C156A" w:rsidRDefault="00493002" w:rsidP="00493002">
            <w:pPr>
              <w:pStyle w:val="Tabletext"/>
              <w:spacing w:before="20" w:after="20"/>
              <w:rPr>
                <w:rFonts w:cs="Calibri"/>
                <w:szCs w:val="22"/>
                <w:lang w:eastAsia="zh-CN"/>
              </w:rPr>
            </w:pPr>
            <w:r w:rsidRPr="000C156A">
              <w:rPr>
                <w:rFonts w:cs="Calibri"/>
                <w:szCs w:val="22"/>
                <w:lang w:eastAsia="zh-CN"/>
              </w:rPr>
              <w:t>1</w:t>
            </w:r>
            <w:r w:rsidRPr="000C156A">
              <w:rPr>
                <w:rFonts w:cs="Calibri" w:hint="eastAsia"/>
                <w:szCs w:val="22"/>
                <w:lang w:eastAsia="zh-CN"/>
              </w:rPr>
              <w:t>埃塞尔比亚比尔（埃塞尔比亚）</w:t>
            </w:r>
          </w:p>
        </w:tc>
        <w:tc>
          <w:tcPr>
            <w:tcW w:w="1983" w:type="dxa"/>
            <w:tcBorders>
              <w:top w:val="nil"/>
              <w:left w:val="single" w:sz="4" w:space="0" w:color="auto"/>
              <w:bottom w:val="nil"/>
              <w:right w:val="single" w:sz="4" w:space="0" w:color="auto"/>
            </w:tcBorders>
            <w:vAlign w:val="bottom"/>
            <w:hideMark/>
          </w:tcPr>
          <w:p w14:paraId="5167DCD2" w14:textId="25F12808"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0.01948</w:t>
            </w:r>
          </w:p>
        </w:tc>
        <w:tc>
          <w:tcPr>
            <w:tcW w:w="1983" w:type="dxa"/>
            <w:tcBorders>
              <w:top w:val="nil"/>
              <w:left w:val="single" w:sz="4" w:space="0" w:color="auto"/>
              <w:bottom w:val="nil"/>
              <w:right w:val="single" w:sz="4" w:space="0" w:color="auto"/>
            </w:tcBorders>
            <w:vAlign w:val="bottom"/>
            <w:hideMark/>
          </w:tcPr>
          <w:p w14:paraId="188F4F5D" w14:textId="2E90BBBA"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0.02389</w:t>
            </w:r>
          </w:p>
        </w:tc>
      </w:tr>
      <w:tr w:rsidR="00493002" w:rsidRPr="000C156A" w14:paraId="72EC91DA" w14:textId="77777777" w:rsidTr="003A64C9">
        <w:tc>
          <w:tcPr>
            <w:tcW w:w="3683" w:type="dxa"/>
            <w:tcBorders>
              <w:top w:val="nil"/>
              <w:left w:val="single" w:sz="4" w:space="0" w:color="auto"/>
              <w:bottom w:val="nil"/>
              <w:right w:val="single" w:sz="4" w:space="0" w:color="auto"/>
            </w:tcBorders>
            <w:vAlign w:val="bottom"/>
            <w:hideMark/>
          </w:tcPr>
          <w:p w14:paraId="720CD4A2" w14:textId="77777777" w:rsidR="00493002" w:rsidRPr="000C156A" w:rsidRDefault="00493002" w:rsidP="00493002">
            <w:pPr>
              <w:pStyle w:val="Tabletext"/>
              <w:spacing w:before="20" w:after="20"/>
              <w:rPr>
                <w:rFonts w:cs="Calibri"/>
                <w:szCs w:val="22"/>
              </w:rPr>
            </w:pPr>
            <w:r w:rsidRPr="000C156A">
              <w:rPr>
                <w:rFonts w:cs="Calibri"/>
                <w:szCs w:val="22"/>
              </w:rPr>
              <w:t>1</w:t>
            </w:r>
            <w:r w:rsidRPr="000C156A">
              <w:rPr>
                <w:rFonts w:cs="Calibri" w:hint="eastAsia"/>
                <w:szCs w:val="22"/>
              </w:rPr>
              <w:t>伦皮拉（洪德拉斯）</w:t>
            </w:r>
          </w:p>
        </w:tc>
        <w:tc>
          <w:tcPr>
            <w:tcW w:w="1983" w:type="dxa"/>
            <w:tcBorders>
              <w:top w:val="nil"/>
              <w:left w:val="single" w:sz="4" w:space="0" w:color="auto"/>
              <w:bottom w:val="nil"/>
              <w:right w:val="single" w:sz="4" w:space="0" w:color="auto"/>
            </w:tcBorders>
            <w:vAlign w:val="bottom"/>
            <w:hideMark/>
          </w:tcPr>
          <w:p w14:paraId="714648E1" w14:textId="73ADAEB3"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0.03843</w:t>
            </w:r>
          </w:p>
        </w:tc>
        <w:tc>
          <w:tcPr>
            <w:tcW w:w="1983" w:type="dxa"/>
            <w:tcBorders>
              <w:top w:val="nil"/>
              <w:left w:val="single" w:sz="4" w:space="0" w:color="auto"/>
              <w:bottom w:val="nil"/>
              <w:right w:val="single" w:sz="4" w:space="0" w:color="auto"/>
            </w:tcBorders>
            <w:vAlign w:val="bottom"/>
            <w:hideMark/>
          </w:tcPr>
          <w:p w14:paraId="3066CDA9" w14:textId="4128D458"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0.03759</w:t>
            </w:r>
          </w:p>
        </w:tc>
      </w:tr>
      <w:tr w:rsidR="00493002" w:rsidRPr="000C156A" w14:paraId="019508F9" w14:textId="77777777" w:rsidTr="003A64C9">
        <w:tc>
          <w:tcPr>
            <w:tcW w:w="3683" w:type="dxa"/>
            <w:tcBorders>
              <w:top w:val="nil"/>
              <w:left w:val="single" w:sz="4" w:space="0" w:color="auto"/>
              <w:bottom w:val="nil"/>
              <w:right w:val="single" w:sz="4" w:space="0" w:color="auto"/>
            </w:tcBorders>
            <w:vAlign w:val="bottom"/>
            <w:hideMark/>
          </w:tcPr>
          <w:p w14:paraId="78A440A4" w14:textId="77777777" w:rsidR="00493002" w:rsidRPr="000C156A" w:rsidRDefault="00493002" w:rsidP="00493002">
            <w:pPr>
              <w:pStyle w:val="Tabletext"/>
              <w:spacing w:before="20" w:after="20"/>
              <w:rPr>
                <w:rFonts w:cs="Calibri"/>
                <w:szCs w:val="22"/>
                <w:lang w:eastAsia="zh-CN"/>
              </w:rPr>
            </w:pPr>
            <w:r w:rsidRPr="000C156A">
              <w:rPr>
                <w:rFonts w:cs="Calibri"/>
                <w:szCs w:val="22"/>
                <w:lang w:eastAsia="zh-CN"/>
              </w:rPr>
              <w:t>1</w:t>
            </w:r>
            <w:r w:rsidRPr="000C156A">
              <w:rPr>
                <w:rFonts w:cs="Calibri" w:hint="eastAsia"/>
                <w:szCs w:val="22"/>
                <w:lang w:eastAsia="zh-CN"/>
              </w:rPr>
              <w:t>印尼盾（印度尼西亚）</w:t>
            </w:r>
          </w:p>
        </w:tc>
        <w:tc>
          <w:tcPr>
            <w:tcW w:w="1983" w:type="dxa"/>
            <w:tcBorders>
              <w:top w:val="nil"/>
              <w:left w:val="single" w:sz="4" w:space="0" w:color="auto"/>
              <w:bottom w:val="nil"/>
              <w:right w:val="single" w:sz="4" w:space="0" w:color="auto"/>
            </w:tcBorders>
            <w:vAlign w:val="bottom"/>
            <w:hideMark/>
          </w:tcPr>
          <w:p w14:paraId="5050DBDF" w14:textId="47FD0D3A"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0.00006</w:t>
            </w:r>
          </w:p>
        </w:tc>
        <w:tc>
          <w:tcPr>
            <w:tcW w:w="1983" w:type="dxa"/>
            <w:tcBorders>
              <w:top w:val="nil"/>
              <w:left w:val="single" w:sz="4" w:space="0" w:color="auto"/>
              <w:bottom w:val="nil"/>
              <w:right w:val="single" w:sz="4" w:space="0" w:color="auto"/>
            </w:tcBorders>
            <w:vAlign w:val="bottom"/>
            <w:hideMark/>
          </w:tcPr>
          <w:p w14:paraId="490FE370" w14:textId="31EC1A9E"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0.00006</w:t>
            </w:r>
          </w:p>
        </w:tc>
      </w:tr>
      <w:tr w:rsidR="00493002" w:rsidRPr="000C156A" w14:paraId="4D915694" w14:textId="77777777" w:rsidTr="003A64C9">
        <w:tc>
          <w:tcPr>
            <w:tcW w:w="3683" w:type="dxa"/>
            <w:tcBorders>
              <w:top w:val="nil"/>
              <w:left w:val="single" w:sz="4" w:space="0" w:color="auto"/>
              <w:bottom w:val="nil"/>
              <w:right w:val="single" w:sz="4" w:space="0" w:color="auto"/>
            </w:tcBorders>
            <w:vAlign w:val="bottom"/>
            <w:hideMark/>
          </w:tcPr>
          <w:p w14:paraId="4D85DE4C" w14:textId="77777777" w:rsidR="00493002" w:rsidRPr="000C156A" w:rsidRDefault="00493002" w:rsidP="00493002">
            <w:pPr>
              <w:pStyle w:val="Tabletext"/>
              <w:spacing w:before="20" w:after="20"/>
              <w:rPr>
                <w:rFonts w:cs="Calibri"/>
                <w:szCs w:val="22"/>
              </w:rPr>
            </w:pPr>
            <w:r w:rsidRPr="000C156A">
              <w:rPr>
                <w:rFonts w:cs="Calibri"/>
                <w:szCs w:val="22"/>
              </w:rPr>
              <w:t>1</w:t>
            </w:r>
            <w:r w:rsidRPr="000C156A">
              <w:rPr>
                <w:rFonts w:cs="Calibri" w:hint="eastAsia"/>
                <w:szCs w:val="22"/>
              </w:rPr>
              <w:t>埃及镑（埃及）</w:t>
            </w:r>
          </w:p>
        </w:tc>
        <w:tc>
          <w:tcPr>
            <w:tcW w:w="1983" w:type="dxa"/>
            <w:tcBorders>
              <w:top w:val="nil"/>
              <w:left w:val="single" w:sz="4" w:space="0" w:color="auto"/>
              <w:bottom w:val="nil"/>
              <w:right w:val="single" w:sz="4" w:space="0" w:color="auto"/>
            </w:tcBorders>
            <w:vAlign w:val="bottom"/>
            <w:hideMark/>
          </w:tcPr>
          <w:p w14:paraId="23ADD909" w14:textId="47EC6DE1"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0.05903</w:t>
            </w:r>
          </w:p>
        </w:tc>
        <w:tc>
          <w:tcPr>
            <w:tcW w:w="1983" w:type="dxa"/>
            <w:tcBorders>
              <w:top w:val="nil"/>
              <w:left w:val="single" w:sz="4" w:space="0" w:color="auto"/>
              <w:bottom w:val="nil"/>
              <w:right w:val="single" w:sz="4" w:space="0" w:color="auto"/>
            </w:tcBorders>
            <w:vAlign w:val="bottom"/>
            <w:hideMark/>
          </w:tcPr>
          <w:p w14:paraId="5F6C01E3" w14:textId="3D40DAD8"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0.05806</w:t>
            </w:r>
          </w:p>
        </w:tc>
      </w:tr>
      <w:tr w:rsidR="00493002" w:rsidRPr="000C156A" w14:paraId="303455B1" w14:textId="77777777" w:rsidTr="003A64C9">
        <w:tc>
          <w:tcPr>
            <w:tcW w:w="3683" w:type="dxa"/>
            <w:tcBorders>
              <w:top w:val="nil"/>
              <w:left w:val="single" w:sz="4" w:space="0" w:color="auto"/>
              <w:bottom w:val="nil"/>
              <w:right w:val="single" w:sz="4" w:space="0" w:color="auto"/>
            </w:tcBorders>
            <w:vAlign w:val="bottom"/>
            <w:hideMark/>
          </w:tcPr>
          <w:p w14:paraId="5BB341EF" w14:textId="77777777" w:rsidR="00493002" w:rsidRPr="000C156A" w:rsidRDefault="00493002" w:rsidP="00493002">
            <w:pPr>
              <w:pStyle w:val="Tabletext"/>
              <w:spacing w:before="20" w:after="20"/>
              <w:rPr>
                <w:rFonts w:cs="Calibri"/>
                <w:szCs w:val="22"/>
              </w:rPr>
            </w:pPr>
            <w:r w:rsidRPr="000C156A">
              <w:rPr>
                <w:rFonts w:cs="Calibri"/>
                <w:szCs w:val="22"/>
              </w:rPr>
              <w:t>1</w:t>
            </w:r>
            <w:r w:rsidRPr="000C156A">
              <w:rPr>
                <w:rFonts w:cs="Calibri" w:hint="eastAsia"/>
                <w:szCs w:val="22"/>
              </w:rPr>
              <w:t>卢布（俄罗斯）</w:t>
            </w:r>
          </w:p>
        </w:tc>
        <w:tc>
          <w:tcPr>
            <w:tcW w:w="1983" w:type="dxa"/>
            <w:tcBorders>
              <w:top w:val="nil"/>
              <w:left w:val="single" w:sz="4" w:space="0" w:color="auto"/>
              <w:bottom w:val="nil"/>
              <w:right w:val="single" w:sz="4" w:space="0" w:color="auto"/>
            </w:tcBorders>
            <w:vAlign w:val="bottom"/>
            <w:hideMark/>
          </w:tcPr>
          <w:p w14:paraId="06F54352" w14:textId="4CE1AAD5"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0.01244</w:t>
            </w:r>
          </w:p>
        </w:tc>
        <w:tc>
          <w:tcPr>
            <w:tcW w:w="1983" w:type="dxa"/>
            <w:tcBorders>
              <w:top w:val="nil"/>
              <w:left w:val="single" w:sz="4" w:space="0" w:color="auto"/>
              <w:bottom w:val="nil"/>
              <w:right w:val="single" w:sz="4" w:space="0" w:color="auto"/>
            </w:tcBorders>
            <w:vAlign w:val="bottom"/>
            <w:hideMark/>
          </w:tcPr>
          <w:p w14:paraId="0A245DEF" w14:textId="6D02441E"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0.01192</w:t>
            </w:r>
          </w:p>
        </w:tc>
      </w:tr>
      <w:tr w:rsidR="00493002" w:rsidRPr="000C156A" w14:paraId="181EB6FE" w14:textId="77777777" w:rsidTr="003A64C9">
        <w:tc>
          <w:tcPr>
            <w:tcW w:w="3683" w:type="dxa"/>
            <w:tcBorders>
              <w:top w:val="nil"/>
              <w:left w:val="single" w:sz="4" w:space="0" w:color="auto"/>
              <w:bottom w:val="nil"/>
              <w:right w:val="single" w:sz="4" w:space="0" w:color="auto"/>
            </w:tcBorders>
            <w:vAlign w:val="bottom"/>
            <w:hideMark/>
          </w:tcPr>
          <w:p w14:paraId="2A9F56D0" w14:textId="77777777" w:rsidR="00493002" w:rsidRPr="000C156A" w:rsidRDefault="00493002" w:rsidP="00493002">
            <w:pPr>
              <w:pStyle w:val="Tabletext"/>
              <w:spacing w:before="20" w:after="20"/>
              <w:rPr>
                <w:rFonts w:cs="Calibri"/>
                <w:szCs w:val="22"/>
                <w:lang w:eastAsia="zh-CN"/>
              </w:rPr>
            </w:pPr>
            <w:r w:rsidRPr="000C156A">
              <w:rPr>
                <w:rFonts w:cs="Calibri"/>
                <w:szCs w:val="22"/>
                <w:lang w:eastAsia="zh-CN"/>
              </w:rPr>
              <w:t>1</w:t>
            </w:r>
            <w:r w:rsidRPr="000C156A">
              <w:rPr>
                <w:rFonts w:cs="Calibri" w:hint="eastAsia"/>
                <w:szCs w:val="22"/>
                <w:lang w:eastAsia="zh-CN"/>
              </w:rPr>
              <w:t>非共体法郎（塞内加尔）</w:t>
            </w:r>
          </w:p>
        </w:tc>
        <w:tc>
          <w:tcPr>
            <w:tcW w:w="1983" w:type="dxa"/>
            <w:tcBorders>
              <w:top w:val="nil"/>
              <w:left w:val="single" w:sz="4" w:space="0" w:color="auto"/>
              <w:bottom w:val="nil"/>
              <w:right w:val="single" w:sz="4" w:space="0" w:color="auto"/>
            </w:tcBorders>
            <w:vAlign w:val="bottom"/>
            <w:hideMark/>
          </w:tcPr>
          <w:p w14:paraId="3DD23637" w14:textId="1C228A8F"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0.00159</w:t>
            </w:r>
          </w:p>
        </w:tc>
        <w:tc>
          <w:tcPr>
            <w:tcW w:w="1983" w:type="dxa"/>
            <w:tcBorders>
              <w:top w:val="nil"/>
              <w:left w:val="single" w:sz="4" w:space="0" w:color="auto"/>
              <w:bottom w:val="nil"/>
              <w:right w:val="single" w:sz="4" w:space="0" w:color="auto"/>
            </w:tcBorders>
            <w:vAlign w:val="bottom"/>
            <w:hideMark/>
          </w:tcPr>
          <w:p w14:paraId="4476AEDA" w14:textId="16C2433E"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0.00165</w:t>
            </w:r>
          </w:p>
        </w:tc>
      </w:tr>
      <w:tr w:rsidR="00493002" w:rsidRPr="000C156A" w14:paraId="06611212" w14:textId="77777777" w:rsidTr="003A64C9">
        <w:tc>
          <w:tcPr>
            <w:tcW w:w="3683" w:type="dxa"/>
            <w:tcBorders>
              <w:top w:val="nil"/>
              <w:left w:val="single" w:sz="4" w:space="0" w:color="auto"/>
              <w:bottom w:val="nil"/>
              <w:right w:val="single" w:sz="4" w:space="0" w:color="auto"/>
            </w:tcBorders>
            <w:vAlign w:val="bottom"/>
            <w:hideMark/>
          </w:tcPr>
          <w:p w14:paraId="6D5EE0EC" w14:textId="77777777" w:rsidR="00493002" w:rsidRPr="000C156A" w:rsidRDefault="00493002" w:rsidP="00493002">
            <w:pPr>
              <w:pStyle w:val="Tabletext"/>
              <w:spacing w:before="20" w:after="20"/>
              <w:rPr>
                <w:rFonts w:cs="Calibri"/>
                <w:szCs w:val="22"/>
                <w:lang w:eastAsia="zh-CN"/>
              </w:rPr>
            </w:pPr>
            <w:r w:rsidRPr="000C156A">
              <w:rPr>
                <w:rFonts w:cs="Calibri"/>
                <w:szCs w:val="22"/>
                <w:lang w:eastAsia="zh-CN"/>
              </w:rPr>
              <w:t>1</w:t>
            </w:r>
            <w:r w:rsidRPr="000C156A">
              <w:rPr>
                <w:rFonts w:cs="Calibri" w:hint="eastAsia"/>
                <w:szCs w:val="22"/>
                <w:lang w:eastAsia="zh-CN"/>
              </w:rPr>
              <w:t>中非金融合作法郎（喀麦隆）</w:t>
            </w:r>
          </w:p>
        </w:tc>
        <w:tc>
          <w:tcPr>
            <w:tcW w:w="1983" w:type="dxa"/>
            <w:tcBorders>
              <w:top w:val="nil"/>
              <w:left w:val="single" w:sz="4" w:space="0" w:color="auto"/>
              <w:bottom w:val="nil"/>
              <w:right w:val="single" w:sz="4" w:space="0" w:color="auto"/>
            </w:tcBorders>
            <w:vAlign w:val="bottom"/>
            <w:hideMark/>
          </w:tcPr>
          <w:p w14:paraId="6BE7B5D8" w14:textId="7FD50EF9"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0.00159</w:t>
            </w:r>
          </w:p>
        </w:tc>
        <w:tc>
          <w:tcPr>
            <w:tcW w:w="1983" w:type="dxa"/>
            <w:tcBorders>
              <w:top w:val="nil"/>
              <w:left w:val="single" w:sz="4" w:space="0" w:color="auto"/>
              <w:bottom w:val="nil"/>
              <w:right w:val="single" w:sz="4" w:space="0" w:color="auto"/>
            </w:tcBorders>
            <w:vAlign w:val="bottom"/>
            <w:hideMark/>
          </w:tcPr>
          <w:p w14:paraId="3337FFE7" w14:textId="11DF5CA4"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0.00165</w:t>
            </w:r>
          </w:p>
        </w:tc>
      </w:tr>
      <w:tr w:rsidR="00493002" w:rsidRPr="000C156A" w14:paraId="4FBD9E47" w14:textId="77777777" w:rsidTr="003A64C9">
        <w:tc>
          <w:tcPr>
            <w:tcW w:w="3683" w:type="dxa"/>
            <w:tcBorders>
              <w:top w:val="nil"/>
              <w:left w:val="single" w:sz="4" w:space="0" w:color="auto"/>
              <w:bottom w:val="single" w:sz="4" w:space="0" w:color="auto"/>
              <w:right w:val="single" w:sz="4" w:space="0" w:color="auto"/>
            </w:tcBorders>
            <w:vAlign w:val="bottom"/>
            <w:hideMark/>
          </w:tcPr>
          <w:p w14:paraId="54FEE526" w14:textId="77777777" w:rsidR="00493002" w:rsidRPr="000C156A" w:rsidRDefault="00493002" w:rsidP="00493002">
            <w:pPr>
              <w:pStyle w:val="Tabletext"/>
              <w:spacing w:before="20" w:after="20"/>
              <w:rPr>
                <w:rFonts w:cs="Calibri"/>
                <w:szCs w:val="22"/>
              </w:rPr>
            </w:pPr>
            <w:r w:rsidRPr="000C156A">
              <w:rPr>
                <w:rFonts w:cs="Calibri"/>
                <w:szCs w:val="22"/>
              </w:rPr>
              <w:t>1</w:t>
            </w:r>
            <w:r w:rsidRPr="000C156A">
              <w:rPr>
                <w:rFonts w:cs="Calibri" w:hint="eastAsia"/>
                <w:szCs w:val="22"/>
              </w:rPr>
              <w:t>泰铢（泰国）</w:t>
            </w:r>
          </w:p>
        </w:tc>
        <w:tc>
          <w:tcPr>
            <w:tcW w:w="1983" w:type="dxa"/>
            <w:tcBorders>
              <w:top w:val="nil"/>
              <w:left w:val="single" w:sz="4" w:space="0" w:color="auto"/>
              <w:bottom w:val="single" w:sz="4" w:space="0" w:color="auto"/>
              <w:right w:val="single" w:sz="4" w:space="0" w:color="auto"/>
            </w:tcBorders>
            <w:vAlign w:val="bottom"/>
            <w:hideMark/>
          </w:tcPr>
          <w:p w14:paraId="51A9CDE0" w14:textId="162F3213"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rPr>
              <w:t>0.02744</w:t>
            </w:r>
          </w:p>
        </w:tc>
        <w:tc>
          <w:tcPr>
            <w:tcW w:w="1983" w:type="dxa"/>
            <w:tcBorders>
              <w:top w:val="nil"/>
              <w:left w:val="single" w:sz="4" w:space="0" w:color="auto"/>
              <w:bottom w:val="single" w:sz="4" w:space="0" w:color="auto"/>
              <w:right w:val="single" w:sz="4" w:space="0" w:color="auto"/>
            </w:tcBorders>
            <w:vAlign w:val="bottom"/>
            <w:hideMark/>
          </w:tcPr>
          <w:p w14:paraId="7A4BF9DD" w14:textId="535B6C8D" w:rsidR="00493002" w:rsidRPr="00493002" w:rsidRDefault="00493002" w:rsidP="00493002">
            <w:pPr>
              <w:spacing w:before="20" w:after="20"/>
              <w:jc w:val="right"/>
              <w:rPr>
                <w:rFonts w:asciiTheme="minorHAnsi" w:hAnsiTheme="minorHAnsi" w:cs="Segoe UI Semilight"/>
                <w:color w:val="000000"/>
                <w:sz w:val="22"/>
                <w:szCs w:val="22"/>
              </w:rPr>
            </w:pPr>
            <w:r w:rsidRPr="00493002">
              <w:rPr>
                <w:rFonts w:cs="Calibri"/>
                <w:color w:val="000000"/>
                <w:sz w:val="22"/>
                <w:szCs w:val="22"/>
                <w:lang w:eastAsia="en-GB"/>
              </w:rPr>
              <w:t>0.02990</w:t>
            </w:r>
          </w:p>
        </w:tc>
      </w:tr>
    </w:tbl>
    <w:p w14:paraId="386DE189" w14:textId="77777777" w:rsidR="0085433F" w:rsidRPr="002A0694" w:rsidRDefault="0085433F" w:rsidP="002A0694">
      <w:pPr>
        <w:pStyle w:val="Heading5"/>
        <w:rPr>
          <w:b/>
          <w:bCs/>
          <w:i w:val="0"/>
          <w:u w:val="single"/>
          <w:lang w:val="fr-FR" w:eastAsia="zh-CN"/>
        </w:rPr>
      </w:pPr>
      <w:bookmarkStart w:id="417" w:name="_Toc482892545"/>
      <w:bookmarkStart w:id="418" w:name="_Toc41905846"/>
      <w:bookmarkStart w:id="419" w:name="_Toc110265689"/>
      <w:r w:rsidRPr="002A0694">
        <w:rPr>
          <w:rFonts w:hint="eastAsia"/>
          <w:b/>
          <w:bCs/>
          <w:i w:val="0"/>
          <w:u w:val="single"/>
          <w:lang w:val="fr-FR" w:eastAsia="zh-CN"/>
        </w:rPr>
        <w:lastRenderedPageBreak/>
        <w:t>金融</w:t>
      </w:r>
      <w:bookmarkEnd w:id="416"/>
      <w:r w:rsidRPr="002A0694">
        <w:rPr>
          <w:rFonts w:hint="eastAsia"/>
          <w:b/>
          <w:bCs/>
          <w:i w:val="0"/>
          <w:u w:val="single"/>
          <w:lang w:val="fr-FR" w:eastAsia="zh-CN"/>
        </w:rPr>
        <w:t>工具</w:t>
      </w:r>
      <w:bookmarkEnd w:id="417"/>
      <w:bookmarkEnd w:id="418"/>
      <w:bookmarkEnd w:id="419"/>
    </w:p>
    <w:p w14:paraId="6A721324" w14:textId="77777777" w:rsidR="0085433F" w:rsidRPr="000C156A" w:rsidRDefault="0085433F" w:rsidP="0085433F">
      <w:pPr>
        <w:ind w:firstLineChars="200" w:firstLine="480"/>
        <w:rPr>
          <w:lang w:val="fr-FR" w:eastAsia="zh-CN"/>
        </w:rPr>
      </w:pPr>
      <w:r w:rsidRPr="000C156A">
        <w:rPr>
          <w:rFonts w:hint="eastAsia"/>
          <w:lang w:eastAsia="zh-CN"/>
        </w:rPr>
        <w:t>国际电联的金融工具包括</w:t>
      </w:r>
      <w:r w:rsidRPr="000C156A">
        <w:rPr>
          <w:rFonts w:hint="eastAsia"/>
          <w:lang w:val="fr-FR" w:eastAsia="zh-CN"/>
        </w:rPr>
        <w:t>：</w:t>
      </w:r>
      <w:r w:rsidRPr="000C156A">
        <w:rPr>
          <w:rFonts w:hint="eastAsia"/>
          <w:lang w:eastAsia="zh-CN"/>
        </w:rPr>
        <w:t>现金和短期存款、投资、兑换和非兑换交易应收款项、贸易应付账款、银行透支、贷款和借款。</w:t>
      </w:r>
    </w:p>
    <w:p w14:paraId="35554C22" w14:textId="77777777" w:rsidR="0085433F" w:rsidRPr="00012E88" w:rsidRDefault="0085433F" w:rsidP="00012E88">
      <w:pPr>
        <w:rPr>
          <w:u w:val="single"/>
          <w:lang w:val="fr-FR" w:eastAsia="zh-CN"/>
        </w:rPr>
      </w:pPr>
      <w:r w:rsidRPr="00012E88">
        <w:rPr>
          <w:rFonts w:hint="eastAsia"/>
          <w:u w:val="single"/>
          <w:lang w:eastAsia="zh-CN"/>
        </w:rPr>
        <w:t>现金和现金等价物</w:t>
      </w:r>
    </w:p>
    <w:p w14:paraId="24567817" w14:textId="77777777" w:rsidR="0085433F" w:rsidRPr="000C156A" w:rsidRDefault="0085433F" w:rsidP="0085433F">
      <w:pPr>
        <w:ind w:firstLineChars="200" w:firstLine="480"/>
        <w:rPr>
          <w:lang w:val="fr-FR" w:eastAsia="zh-CN"/>
        </w:rPr>
      </w:pPr>
      <w:r w:rsidRPr="000C156A">
        <w:rPr>
          <w:rFonts w:hint="eastAsia"/>
          <w:lang w:eastAsia="zh-CN"/>
        </w:rPr>
        <w:t>现金和现金等价物按票面价值持有</w:t>
      </w:r>
      <w:r w:rsidRPr="000C156A">
        <w:rPr>
          <w:rFonts w:hint="eastAsia"/>
          <w:lang w:val="fr-FR" w:eastAsia="zh-CN"/>
        </w:rPr>
        <w:t>，</w:t>
      </w:r>
      <w:r w:rsidRPr="000C156A">
        <w:rPr>
          <w:rFonts w:hint="eastAsia"/>
          <w:lang w:eastAsia="zh-CN"/>
        </w:rPr>
        <w:t>包括库存现金、邮政账户、银行账户和瑞士联邦财政部定期存款账户。</w:t>
      </w:r>
    </w:p>
    <w:p w14:paraId="2449C5A0" w14:textId="77777777" w:rsidR="0085433F" w:rsidRPr="000C156A" w:rsidRDefault="0085433F" w:rsidP="00012E88">
      <w:pPr>
        <w:rPr>
          <w:u w:val="single"/>
          <w:lang w:val="fr-FR" w:eastAsia="zh-CN"/>
        </w:rPr>
      </w:pPr>
      <w:r w:rsidRPr="00012E88">
        <w:rPr>
          <w:rFonts w:hint="eastAsia"/>
          <w:u w:val="single"/>
          <w:lang w:val="fr-FR" w:eastAsia="zh-CN"/>
        </w:rPr>
        <w:t>投资</w:t>
      </w:r>
    </w:p>
    <w:p w14:paraId="3D2F589A" w14:textId="77777777" w:rsidR="0085433F" w:rsidRPr="000C156A" w:rsidRDefault="0085433F" w:rsidP="0085433F">
      <w:pPr>
        <w:ind w:firstLineChars="200" w:firstLine="480"/>
        <w:rPr>
          <w:lang w:eastAsia="zh-CN"/>
        </w:rPr>
      </w:pPr>
      <w:r w:rsidRPr="000C156A">
        <w:rPr>
          <w:rFonts w:hint="eastAsia"/>
          <w:lang w:eastAsia="zh-CN"/>
        </w:rPr>
        <w:t>投资包括存期为三至九个月</w:t>
      </w:r>
      <w:r w:rsidRPr="000C156A">
        <w:rPr>
          <w:rFonts w:hint="eastAsia"/>
          <w:lang w:val="fr-FR" w:eastAsia="zh-CN"/>
        </w:rPr>
        <w:t>，</w:t>
      </w:r>
      <w:r w:rsidRPr="000C156A">
        <w:rPr>
          <w:rFonts w:hint="eastAsia"/>
          <w:lang w:eastAsia="zh-CN"/>
        </w:rPr>
        <w:t>具有高流动性、可转换成为已知现金金额的定期存款</w:t>
      </w:r>
      <w:r w:rsidRPr="000C156A">
        <w:rPr>
          <w:rFonts w:hint="eastAsia"/>
          <w:lang w:val="fr-FR" w:eastAsia="zh-CN"/>
        </w:rPr>
        <w:t>，</w:t>
      </w:r>
      <w:r w:rsidRPr="000C156A">
        <w:rPr>
          <w:rFonts w:hint="eastAsia"/>
          <w:lang w:eastAsia="zh-CN"/>
        </w:rPr>
        <w:t>其价值变动风险可忽略不计。投资以公允价值最初通过盈余或赤字被确认为金融资产。投资收入每季度按照实际回报予以确认。</w:t>
      </w:r>
    </w:p>
    <w:p w14:paraId="5C66DEBD" w14:textId="77777777" w:rsidR="0085433F" w:rsidRPr="000C156A" w:rsidRDefault="0085433F" w:rsidP="0085433F">
      <w:pPr>
        <w:ind w:firstLineChars="200" w:firstLine="480"/>
        <w:rPr>
          <w:lang w:eastAsia="zh-CN"/>
        </w:rPr>
      </w:pPr>
      <w:r w:rsidRPr="000C156A">
        <w:rPr>
          <w:rFonts w:hint="eastAsia"/>
          <w:lang w:eastAsia="zh-CN"/>
        </w:rPr>
        <w:t>投资最初是在国际电联成为有关工具合约方时确认的。投资的所有买卖按照其交易日期予以确认。投资最初以其公允价值确认，考虑到所有直接可归属交易成本。</w:t>
      </w:r>
    </w:p>
    <w:p w14:paraId="717BEDD8" w14:textId="77777777" w:rsidR="0085433F" w:rsidRPr="000C156A" w:rsidRDefault="0085433F" w:rsidP="0085433F">
      <w:pPr>
        <w:ind w:firstLineChars="200" w:firstLine="480"/>
        <w:rPr>
          <w:lang w:eastAsia="zh-CN"/>
        </w:rPr>
      </w:pPr>
      <w:r w:rsidRPr="000C156A">
        <w:rPr>
          <w:rFonts w:hint="eastAsia"/>
          <w:lang w:eastAsia="zh-CN"/>
        </w:rPr>
        <w:t>一旦国际电联转移了其接收金融资产现金流和相关风险的权利，有关金融资产将被终止确认。</w:t>
      </w:r>
    </w:p>
    <w:p w14:paraId="3A607AF8" w14:textId="77777777" w:rsidR="0085433F" w:rsidRPr="000C156A" w:rsidRDefault="0085433F" w:rsidP="0085433F">
      <w:pPr>
        <w:ind w:firstLineChars="200" w:firstLine="480"/>
        <w:rPr>
          <w:lang w:eastAsia="zh-CN"/>
        </w:rPr>
      </w:pPr>
      <w:r w:rsidRPr="000C156A">
        <w:rPr>
          <w:rFonts w:hint="eastAsia"/>
          <w:lang w:eastAsia="zh-CN"/>
        </w:rPr>
        <w:t>投资根据其到期日在一年之内还是在一年以外在资产负债表中列报为流动或非流动资产和负债。</w:t>
      </w:r>
    </w:p>
    <w:p w14:paraId="225A4D8B" w14:textId="77777777" w:rsidR="0085433F" w:rsidRPr="000C156A" w:rsidRDefault="0085433F" w:rsidP="0085433F">
      <w:pPr>
        <w:ind w:firstLineChars="200" w:firstLine="480"/>
        <w:rPr>
          <w:lang w:eastAsia="zh-CN"/>
        </w:rPr>
      </w:pPr>
      <w:r w:rsidRPr="000C156A">
        <w:rPr>
          <w:rFonts w:hint="eastAsia"/>
          <w:lang w:eastAsia="zh-CN"/>
        </w:rPr>
        <w:t>当国际电联对这些金融资产现金流的合约权利到期或被转让导致与所有权相关的所有风险和回报实际被转让时，金融工具将被终止确认。</w:t>
      </w:r>
    </w:p>
    <w:p w14:paraId="7D5D91FA" w14:textId="77777777" w:rsidR="0085433F" w:rsidRPr="000C156A" w:rsidRDefault="0085433F" w:rsidP="00012E88">
      <w:pPr>
        <w:rPr>
          <w:u w:val="single"/>
          <w:lang w:eastAsia="zh-CN"/>
        </w:rPr>
      </w:pPr>
      <w:r w:rsidRPr="000C156A">
        <w:rPr>
          <w:rFonts w:hint="eastAsia"/>
          <w:u w:val="single"/>
          <w:lang w:eastAsia="zh-CN"/>
        </w:rPr>
        <w:t>其他负债和</w:t>
      </w:r>
      <w:r w:rsidRPr="000C156A">
        <w:rPr>
          <w:u w:val="single"/>
          <w:lang w:eastAsia="zh-CN"/>
        </w:rPr>
        <w:t>国际组织不动产基金</w:t>
      </w:r>
      <w:r w:rsidRPr="000C156A">
        <w:rPr>
          <w:rFonts w:hint="eastAsia"/>
          <w:u w:val="single"/>
          <w:lang w:eastAsia="zh-CN"/>
        </w:rPr>
        <w:t>会（</w:t>
      </w:r>
      <w:r w:rsidRPr="000C156A">
        <w:rPr>
          <w:u w:val="single"/>
          <w:lang w:eastAsia="zh-CN"/>
        </w:rPr>
        <w:t>FIPOI</w:t>
      </w:r>
      <w:r w:rsidRPr="000C156A">
        <w:rPr>
          <w:u w:val="single"/>
          <w:lang w:eastAsia="zh-CN"/>
        </w:rPr>
        <w:t>）</w:t>
      </w:r>
      <w:r w:rsidRPr="000C156A">
        <w:rPr>
          <w:rFonts w:hint="eastAsia"/>
          <w:u w:val="single"/>
          <w:lang w:eastAsia="zh-CN"/>
        </w:rPr>
        <w:t>贷款</w:t>
      </w:r>
    </w:p>
    <w:p w14:paraId="09B624C7" w14:textId="77777777" w:rsidR="0085433F" w:rsidRPr="000C156A" w:rsidRDefault="0085433F" w:rsidP="0085433F">
      <w:pPr>
        <w:ind w:firstLineChars="200" w:firstLine="480"/>
        <w:rPr>
          <w:lang w:eastAsia="zh-CN"/>
        </w:rPr>
      </w:pPr>
      <w:r w:rsidRPr="000C156A">
        <w:rPr>
          <w:rFonts w:hint="eastAsia"/>
          <w:lang w:eastAsia="zh-CN"/>
        </w:rPr>
        <w:t>其他金融负债包括借款、其他融资、银行透支、供货商和贸易应收款项。它们根据其到期日在一年之内还是在一年以外在资产负债表中列报为流动或非流动负债。</w:t>
      </w:r>
    </w:p>
    <w:p w14:paraId="2BAD8AA2" w14:textId="77777777" w:rsidR="0085433F" w:rsidRPr="000C156A" w:rsidRDefault="0085433F" w:rsidP="0085433F">
      <w:pPr>
        <w:ind w:firstLineChars="200" w:firstLine="480"/>
        <w:rPr>
          <w:lang w:eastAsia="zh-CN"/>
        </w:rPr>
      </w:pPr>
      <w:r w:rsidRPr="000C156A">
        <w:rPr>
          <w:rFonts w:hint="eastAsia"/>
          <w:lang w:eastAsia="zh-CN"/>
        </w:rPr>
        <w:t>附息金融负债之后按照有效利率摊销成本的方法计价，利息确认无关紧要的债务除外。</w:t>
      </w:r>
    </w:p>
    <w:p w14:paraId="3BAC465D" w14:textId="77777777" w:rsidR="0085433F" w:rsidRPr="000C156A" w:rsidRDefault="0085433F" w:rsidP="0085433F">
      <w:pPr>
        <w:ind w:firstLineChars="200" w:firstLine="480"/>
        <w:rPr>
          <w:lang w:eastAsia="zh-CN"/>
        </w:rPr>
      </w:pPr>
      <w:r w:rsidRPr="000C156A">
        <w:rPr>
          <w:rFonts w:hint="eastAsia"/>
          <w:lang w:eastAsia="zh-CN"/>
        </w:rPr>
        <w:t>国际电联为建设和维修其在日内瓦的所在地从国际组织不动产基金会（</w:t>
      </w:r>
      <w:r w:rsidRPr="000C156A">
        <w:rPr>
          <w:lang w:eastAsia="zh-CN"/>
        </w:rPr>
        <w:t>FIPOI</w:t>
      </w:r>
      <w:r w:rsidRPr="000C156A">
        <w:rPr>
          <w:rFonts w:hint="eastAsia"/>
          <w:lang w:eastAsia="zh-CN"/>
        </w:rPr>
        <w:t>）借贷资金。这些借款原本需要付息。然而，联邦外交部（</w:t>
      </w:r>
      <w:r w:rsidRPr="000C156A">
        <w:rPr>
          <w:lang w:eastAsia="zh-CN"/>
        </w:rPr>
        <w:t>DFAE</w:t>
      </w:r>
      <w:r w:rsidRPr="000C156A">
        <w:rPr>
          <w:rFonts w:hint="eastAsia"/>
          <w:lang w:eastAsia="zh-CN"/>
        </w:rPr>
        <w:t>）自</w:t>
      </w:r>
      <w:r w:rsidRPr="000C156A">
        <w:rPr>
          <w:lang w:eastAsia="zh-CN"/>
        </w:rPr>
        <w:t>1996</w:t>
      </w:r>
      <w:r w:rsidRPr="000C156A">
        <w:rPr>
          <w:rFonts w:hint="eastAsia"/>
          <w:lang w:eastAsia="zh-CN"/>
        </w:rPr>
        <w:t>年起停止收取利息。因此，国际电联仅需偿还本金。</w:t>
      </w:r>
    </w:p>
    <w:p w14:paraId="5B142BA2" w14:textId="073FBC37" w:rsidR="0085433F" w:rsidRPr="000C156A" w:rsidRDefault="0085433F" w:rsidP="0085433F">
      <w:pPr>
        <w:ind w:firstLineChars="200" w:firstLine="480"/>
        <w:rPr>
          <w:lang w:eastAsia="zh-CN"/>
        </w:rPr>
      </w:pPr>
      <w:r w:rsidRPr="000C156A">
        <w:rPr>
          <w:rFonts w:hint="eastAsia"/>
          <w:lang w:eastAsia="zh-CN"/>
        </w:rPr>
        <w:t>贷款是以</w:t>
      </w:r>
      <w:r w:rsidRPr="000C156A">
        <w:rPr>
          <w:lang w:eastAsia="zh-CN"/>
        </w:rPr>
        <w:t>3.25%</w:t>
      </w:r>
      <w:r w:rsidRPr="000C156A">
        <w:rPr>
          <w:rFonts w:hint="eastAsia"/>
          <w:lang w:eastAsia="zh-CN"/>
        </w:rPr>
        <w:t>的长期利率计算的分销成本衡量的，该利率对当于</w:t>
      </w:r>
      <w:r w:rsidRPr="000C156A">
        <w:rPr>
          <w:lang w:eastAsia="zh-CN"/>
        </w:rPr>
        <w:t>FIPOI</w:t>
      </w:r>
      <w:r w:rsidRPr="000C156A">
        <w:rPr>
          <w:rFonts w:hint="eastAsia"/>
          <w:lang w:eastAsia="zh-CN"/>
        </w:rPr>
        <w:t>提供但未收取的贷款相关利率。名义价值和分销成本之间的差额截至</w:t>
      </w:r>
      <w:r w:rsidRPr="000C156A">
        <w:rPr>
          <w:lang w:eastAsia="zh-CN"/>
        </w:rPr>
        <w:t>202</w:t>
      </w:r>
      <w:r w:rsidR="00023512">
        <w:rPr>
          <w:lang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日体现为总计</w:t>
      </w:r>
      <w:r w:rsidRPr="000C156A">
        <w:rPr>
          <w:lang w:eastAsia="zh-CN"/>
        </w:rPr>
        <w:t xml:space="preserve">1 </w:t>
      </w:r>
      <w:r w:rsidR="00023512">
        <w:rPr>
          <w:lang w:eastAsia="zh-CN"/>
        </w:rPr>
        <w:t>2</w:t>
      </w:r>
      <w:r w:rsidRPr="000C156A">
        <w:rPr>
          <w:lang w:eastAsia="zh-CN"/>
        </w:rPr>
        <w:t>2</w:t>
      </w:r>
      <w:r w:rsidR="00023512">
        <w:rPr>
          <w:lang w:eastAsia="zh-CN"/>
        </w:rPr>
        <w:t>4</w:t>
      </w:r>
      <w:r w:rsidRPr="000C156A">
        <w:rPr>
          <w:rFonts w:hint="eastAsia"/>
          <w:lang w:eastAsia="zh-CN"/>
        </w:rPr>
        <w:t>万瑞郎的实物捐赠。国际电联选择不在财务状况报表的“借款和财务负债”下显示这笔金额，但是，国际电联通过相当于过去一年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日至</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日减少的贴现的实物捐赠方式在财务状况报表的“费用与收入”类别中显示该金额。</w:t>
      </w:r>
    </w:p>
    <w:p w14:paraId="2FDADB7E" w14:textId="77777777" w:rsidR="0085433F" w:rsidRPr="000C156A" w:rsidRDefault="0085433F" w:rsidP="00012E88">
      <w:pPr>
        <w:rPr>
          <w:u w:val="single"/>
          <w:lang w:eastAsia="zh-CN"/>
        </w:rPr>
      </w:pPr>
      <w:bookmarkStart w:id="420" w:name="_Toc329166458"/>
      <w:r w:rsidRPr="000C156A">
        <w:rPr>
          <w:rFonts w:hint="eastAsia"/>
          <w:u w:val="single"/>
          <w:lang w:eastAsia="zh-CN"/>
        </w:rPr>
        <w:t>应收款项和贷款</w:t>
      </w:r>
      <w:bookmarkEnd w:id="420"/>
    </w:p>
    <w:p w14:paraId="7A232AFD" w14:textId="77777777" w:rsidR="0085433F" w:rsidRPr="000C156A" w:rsidRDefault="0085433F" w:rsidP="0085433F">
      <w:pPr>
        <w:ind w:firstLineChars="200" w:firstLine="480"/>
        <w:rPr>
          <w:lang w:eastAsia="zh-CN"/>
        </w:rPr>
      </w:pPr>
      <w:r w:rsidRPr="000C156A">
        <w:rPr>
          <w:rFonts w:hint="eastAsia"/>
          <w:lang w:eastAsia="zh-CN"/>
        </w:rPr>
        <w:t>国际电联的应收款项和贷款是未在活跃市场上市的具有固定或确定还期的金融资产。这些金融资产是在国际电联与第三方达成合同约定时形成的，在与上述金融资产相关的现金转让执行后且与上述资产相关的风险和利益亦转移给国际电联后终止。有关资产包含在流动资产中，但到期日在结账日之后</w:t>
      </w:r>
      <w:r w:rsidRPr="000C156A">
        <w:rPr>
          <w:rFonts w:hint="eastAsia"/>
          <w:lang w:eastAsia="zh-CN"/>
        </w:rPr>
        <w:t>1</w:t>
      </w:r>
      <w:r w:rsidRPr="000C156A">
        <w:rPr>
          <w:lang w:eastAsia="zh-CN"/>
        </w:rPr>
        <w:t>2</w:t>
      </w:r>
      <w:r w:rsidRPr="000C156A">
        <w:rPr>
          <w:rFonts w:hint="eastAsia"/>
          <w:lang w:eastAsia="zh-CN"/>
        </w:rPr>
        <w:t>个月以上的资产除外，这些资产属于非流动资产类别。</w:t>
      </w:r>
    </w:p>
    <w:p w14:paraId="32353149" w14:textId="77777777" w:rsidR="0085433F" w:rsidRPr="000C156A" w:rsidRDefault="0085433F" w:rsidP="0085433F">
      <w:pPr>
        <w:ind w:firstLineChars="200" w:firstLine="480"/>
        <w:rPr>
          <w:lang w:eastAsia="zh-CN"/>
        </w:rPr>
      </w:pPr>
      <w:r w:rsidRPr="000C156A">
        <w:rPr>
          <w:rFonts w:hint="eastAsia"/>
          <w:lang w:eastAsia="zh-CN"/>
        </w:rPr>
        <w:t>应收款项分为两个不同类别，即由交换交易产生的应收款项，如出版物的销售结果，和非交换应收款项，特别是与国际电联会费相关的应收款项。全权代表大会一旦确定了四年期内成员国的会费水平，分摊会费将纳入财务规划。这些会费每年予以确认。</w:t>
      </w:r>
    </w:p>
    <w:p w14:paraId="3DB07D49" w14:textId="77777777" w:rsidR="0085433F" w:rsidRPr="000C156A" w:rsidRDefault="0085433F" w:rsidP="0085433F">
      <w:pPr>
        <w:ind w:firstLineChars="200" w:firstLine="480"/>
        <w:rPr>
          <w:lang w:eastAsia="zh-CN"/>
        </w:rPr>
      </w:pPr>
      <w:r w:rsidRPr="000C156A">
        <w:rPr>
          <w:rFonts w:hint="eastAsia"/>
          <w:lang w:eastAsia="zh-CN"/>
        </w:rPr>
        <w:lastRenderedPageBreak/>
        <w:t>与捐赠方达成书面协议的自愿捐款从一开始就得到确认。</w:t>
      </w:r>
    </w:p>
    <w:p w14:paraId="36C3231A" w14:textId="77777777" w:rsidR="0085433F" w:rsidRPr="000C156A" w:rsidRDefault="0085433F" w:rsidP="0085433F">
      <w:pPr>
        <w:ind w:firstLineChars="200" w:firstLine="480"/>
        <w:rPr>
          <w:b/>
          <w:lang w:eastAsia="zh-CN"/>
        </w:rPr>
      </w:pPr>
      <w:r w:rsidRPr="000C156A">
        <w:rPr>
          <w:rFonts w:hint="eastAsia"/>
          <w:lang w:eastAsia="zh-CN"/>
        </w:rPr>
        <w:t>金融资产最初以公允价值确认。该公允价值在每年结账时进行的可疑债务检查中予以调整。</w:t>
      </w:r>
      <w:bookmarkStart w:id="421" w:name="_Toc305426931"/>
    </w:p>
    <w:p w14:paraId="77265E28" w14:textId="77777777" w:rsidR="0085433F" w:rsidRPr="00012E88" w:rsidRDefault="0085433F" w:rsidP="00012E88">
      <w:pPr>
        <w:pStyle w:val="Heading5"/>
        <w:rPr>
          <w:b/>
          <w:bCs/>
          <w:i w:val="0"/>
          <w:u w:val="single"/>
          <w:lang w:eastAsia="zh-CN"/>
        </w:rPr>
      </w:pPr>
      <w:bookmarkStart w:id="422" w:name="_Toc482892546"/>
      <w:bookmarkStart w:id="423" w:name="_Toc41905847"/>
      <w:bookmarkStart w:id="424" w:name="_Toc110265690"/>
      <w:r w:rsidRPr="00012E88">
        <w:rPr>
          <w:rFonts w:hint="eastAsia"/>
          <w:b/>
          <w:bCs/>
          <w:i w:val="0"/>
          <w:u w:val="single"/>
          <w:lang w:val="fr-FR" w:eastAsia="zh-CN"/>
        </w:rPr>
        <w:t>应收款项减损</w:t>
      </w:r>
      <w:r w:rsidRPr="00012E88">
        <w:rPr>
          <w:rFonts w:hint="eastAsia"/>
          <w:b/>
          <w:bCs/>
          <w:i w:val="0"/>
          <w:u w:val="single"/>
          <w:lang w:eastAsia="zh-CN"/>
        </w:rPr>
        <w:t>准备</w:t>
      </w:r>
      <w:bookmarkEnd w:id="421"/>
      <w:r w:rsidRPr="00012E88">
        <w:rPr>
          <w:rFonts w:hint="eastAsia"/>
          <w:b/>
          <w:bCs/>
          <w:i w:val="0"/>
          <w:u w:val="single"/>
          <w:lang w:eastAsia="zh-CN"/>
        </w:rPr>
        <w:t>金</w:t>
      </w:r>
      <w:r w:rsidRPr="00012E88">
        <w:rPr>
          <w:rFonts w:hint="eastAsia"/>
          <w:b/>
          <w:bCs/>
          <w:i w:val="0"/>
          <w:u w:val="single"/>
          <w:lang w:val="fr-FR" w:eastAsia="zh-CN"/>
        </w:rPr>
        <w:t>的确定</w:t>
      </w:r>
      <w:bookmarkEnd w:id="422"/>
      <w:bookmarkEnd w:id="423"/>
      <w:bookmarkEnd w:id="424"/>
    </w:p>
    <w:p w14:paraId="15F709D6" w14:textId="77777777" w:rsidR="0085433F" w:rsidRPr="000C156A" w:rsidRDefault="0085433F" w:rsidP="0085433F">
      <w:pPr>
        <w:ind w:firstLineChars="200" w:firstLine="480"/>
        <w:rPr>
          <w:lang w:eastAsia="zh-CN"/>
        </w:rPr>
      </w:pPr>
      <w:r w:rsidRPr="000C156A">
        <w:rPr>
          <w:rFonts w:hint="eastAsia"/>
          <w:lang w:eastAsia="zh-CN"/>
        </w:rPr>
        <w:t>评估是否需要设立或修改资产减损准备金是按照应收款项的性质，以下列应收款项类别为基础进行的：</w:t>
      </w:r>
    </w:p>
    <w:p w14:paraId="41412066" w14:textId="77777777" w:rsidR="0085433F" w:rsidRPr="000C156A" w:rsidRDefault="0085433F" w:rsidP="0085433F">
      <w:pPr>
        <w:rPr>
          <w:lang w:eastAsia="zh-CN"/>
        </w:rPr>
      </w:pPr>
      <w:r w:rsidRPr="000C156A">
        <w:rPr>
          <w:lang w:eastAsia="zh-CN"/>
        </w:rPr>
        <w:t xml:space="preserve">1 – </w:t>
      </w:r>
      <w:r w:rsidRPr="000C156A">
        <w:rPr>
          <w:rFonts w:hint="eastAsia"/>
          <w:lang w:eastAsia="zh-CN"/>
        </w:rPr>
        <w:t>成员国</w:t>
      </w:r>
    </w:p>
    <w:p w14:paraId="7A84B1BB" w14:textId="77777777" w:rsidR="0085433F" w:rsidRPr="000C156A" w:rsidRDefault="0085433F" w:rsidP="0085433F">
      <w:pPr>
        <w:ind w:firstLineChars="200" w:firstLine="480"/>
        <w:rPr>
          <w:lang w:eastAsia="zh-CN"/>
        </w:rPr>
      </w:pPr>
      <w:r w:rsidRPr="000C156A">
        <w:rPr>
          <w:rFonts w:hint="eastAsia"/>
          <w:lang w:eastAsia="zh-CN"/>
        </w:rPr>
        <w:t>根据国际电联《组织法》第</w:t>
      </w:r>
      <w:r w:rsidRPr="000C156A">
        <w:rPr>
          <w:lang w:eastAsia="zh-CN"/>
        </w:rPr>
        <w:t>28</w:t>
      </w:r>
      <w:r w:rsidRPr="000C156A">
        <w:rPr>
          <w:rFonts w:hint="eastAsia"/>
          <w:lang w:eastAsia="zh-CN"/>
        </w:rPr>
        <w:t>条第</w:t>
      </w:r>
      <w:r w:rsidRPr="000C156A">
        <w:rPr>
          <w:lang w:eastAsia="zh-CN"/>
        </w:rPr>
        <w:t>169</w:t>
      </w:r>
      <w:r w:rsidRPr="000C156A">
        <w:rPr>
          <w:rFonts w:hint="eastAsia"/>
          <w:lang w:eastAsia="zh-CN"/>
        </w:rPr>
        <w:t>款，对国际电联欠款的成员国在其欠款金额等于或大于前两个年度应付会费的总额时，应丧失其按《组织法》第</w:t>
      </w:r>
      <w:r w:rsidRPr="000C156A">
        <w:rPr>
          <w:lang w:eastAsia="zh-CN"/>
        </w:rPr>
        <w:t>27</w:t>
      </w:r>
      <w:r w:rsidRPr="000C156A">
        <w:rPr>
          <w:rFonts w:hint="eastAsia"/>
          <w:lang w:eastAsia="zh-CN"/>
        </w:rPr>
        <w:t>和</w:t>
      </w:r>
      <w:r w:rsidRPr="000C156A">
        <w:rPr>
          <w:lang w:eastAsia="zh-CN"/>
        </w:rPr>
        <w:t>28</w:t>
      </w:r>
      <w:r w:rsidRPr="000C156A">
        <w:rPr>
          <w:rFonts w:hint="eastAsia"/>
          <w:lang w:eastAsia="zh-CN"/>
        </w:rPr>
        <w:t>款的规定而享有的表决权。</w:t>
      </w:r>
    </w:p>
    <w:p w14:paraId="4FA35A7A" w14:textId="77777777" w:rsidR="0085433F" w:rsidRPr="000C156A" w:rsidRDefault="0085433F" w:rsidP="0085433F">
      <w:pPr>
        <w:ind w:firstLineChars="200" w:firstLine="480"/>
        <w:rPr>
          <w:lang w:eastAsia="zh-CN"/>
        </w:rPr>
      </w:pPr>
      <w:r w:rsidRPr="000C156A">
        <w:rPr>
          <w:rFonts w:hint="eastAsia"/>
          <w:lang w:eastAsia="zh-CN"/>
        </w:rPr>
        <w:t>根据上述规则，为欠款两年以上的成员国设立准备金，按照每季度产生的财务通知进行评定和跟踪。准备金是按照在次年年初产生的有关年份的最后季度通知计算得出的。</w:t>
      </w:r>
    </w:p>
    <w:p w14:paraId="48D2EACA" w14:textId="77777777" w:rsidR="0085433F" w:rsidRPr="000C156A" w:rsidRDefault="0085433F" w:rsidP="0085433F">
      <w:pPr>
        <w:ind w:firstLineChars="200" w:firstLine="480"/>
        <w:rPr>
          <w:lang w:eastAsia="zh-CN"/>
        </w:rPr>
      </w:pPr>
      <w:r w:rsidRPr="000C156A">
        <w:rPr>
          <w:rFonts w:hint="eastAsia"/>
          <w:lang w:eastAsia="zh-CN"/>
        </w:rPr>
        <w:t>准备金金额是两年以上</w:t>
      </w:r>
      <w:r w:rsidRPr="000C156A">
        <w:rPr>
          <w:lang w:eastAsia="zh-CN"/>
        </w:rPr>
        <w:t>100%</w:t>
      </w:r>
      <w:r w:rsidRPr="000C156A">
        <w:rPr>
          <w:rFonts w:hint="eastAsia"/>
          <w:lang w:eastAsia="zh-CN"/>
        </w:rPr>
        <w:t>的未付债务加自逾期未付开始的欠款利息。</w:t>
      </w:r>
    </w:p>
    <w:p w14:paraId="5E861382" w14:textId="77777777" w:rsidR="0085433F" w:rsidRPr="000C156A" w:rsidRDefault="0085433F" w:rsidP="0085433F">
      <w:pPr>
        <w:rPr>
          <w:lang w:eastAsia="zh-CN"/>
        </w:rPr>
      </w:pPr>
      <w:r w:rsidRPr="000C156A">
        <w:rPr>
          <w:lang w:eastAsia="zh-CN"/>
        </w:rPr>
        <w:t xml:space="preserve">2 – </w:t>
      </w:r>
      <w:r w:rsidRPr="000C156A">
        <w:rPr>
          <w:rFonts w:hint="eastAsia"/>
          <w:lang w:eastAsia="zh-CN"/>
        </w:rPr>
        <w:t>部门成员、部门准成员和学术成员</w:t>
      </w:r>
    </w:p>
    <w:p w14:paraId="58A7510B" w14:textId="77777777" w:rsidR="0085433F" w:rsidRPr="000C156A" w:rsidRDefault="0085433F" w:rsidP="0085433F">
      <w:pPr>
        <w:ind w:firstLineChars="200" w:firstLine="480"/>
        <w:rPr>
          <w:lang w:eastAsia="zh-CN"/>
        </w:rPr>
      </w:pPr>
      <w:r w:rsidRPr="000C156A">
        <w:rPr>
          <w:rFonts w:hint="eastAsia"/>
          <w:lang w:eastAsia="zh-CN"/>
        </w:rPr>
        <w:t>有关部门成员和部门准成员，全权代表大会第</w:t>
      </w:r>
      <w:r w:rsidRPr="000C156A">
        <w:rPr>
          <w:lang w:eastAsia="zh-CN"/>
        </w:rPr>
        <w:t>152</w:t>
      </w:r>
      <w:r w:rsidRPr="000C156A">
        <w:rPr>
          <w:rFonts w:hint="eastAsia"/>
          <w:lang w:eastAsia="zh-CN"/>
        </w:rPr>
        <w:t>号决议（</w:t>
      </w:r>
      <w:r w:rsidRPr="000C156A">
        <w:rPr>
          <w:lang w:eastAsia="zh-CN"/>
        </w:rPr>
        <w:t>2014</w:t>
      </w:r>
      <w:r w:rsidRPr="000C156A">
        <w:rPr>
          <w:rFonts w:hint="eastAsia"/>
          <w:lang w:eastAsia="zh-CN"/>
        </w:rPr>
        <w:t>年，釜山，修订版）在</w:t>
      </w:r>
      <w:r w:rsidRPr="000C156A">
        <w:rPr>
          <w:rFonts w:eastAsia="STKaiti" w:hint="eastAsia"/>
          <w:lang w:eastAsia="zh-CN"/>
        </w:rPr>
        <w:t>做出决议</w:t>
      </w:r>
      <w:r w:rsidRPr="000C156A">
        <w:rPr>
          <w:lang w:eastAsia="zh-CN"/>
        </w:rPr>
        <w:t>6</w:t>
      </w:r>
      <w:r w:rsidRPr="000C156A">
        <w:rPr>
          <w:rFonts w:hint="eastAsia"/>
          <w:lang w:eastAsia="zh-CN"/>
        </w:rPr>
        <w:t>中规定：如果逾期支付，将会在年度会费缴付到期日的六个月（</w:t>
      </w:r>
      <w:r w:rsidRPr="000C156A">
        <w:rPr>
          <w:lang w:eastAsia="zh-CN"/>
        </w:rPr>
        <w:t>180</w:t>
      </w:r>
      <w:r w:rsidRPr="000C156A">
        <w:rPr>
          <w:rFonts w:hint="eastAsia"/>
          <w:lang w:eastAsia="zh-CN"/>
        </w:rPr>
        <w:t>天）之后暂停其参与国际电联活动；在没有磋商或协议还款时间表的情况下，因为不缴付而将部门成员或部门准成员开除须在暂停通知收到日的三个月（</w:t>
      </w:r>
      <w:r w:rsidRPr="000C156A">
        <w:rPr>
          <w:lang w:eastAsia="zh-CN"/>
        </w:rPr>
        <w:t>90</w:t>
      </w:r>
      <w:r w:rsidRPr="000C156A">
        <w:rPr>
          <w:rFonts w:hint="eastAsia"/>
          <w:lang w:eastAsia="zh-CN"/>
        </w:rPr>
        <w:t>天）之后生效。</w:t>
      </w:r>
    </w:p>
    <w:p w14:paraId="25DD05A3" w14:textId="77777777" w:rsidR="0085433F" w:rsidRPr="000C156A" w:rsidRDefault="0085433F" w:rsidP="0085433F">
      <w:pPr>
        <w:ind w:firstLineChars="200" w:firstLine="480"/>
        <w:rPr>
          <w:lang w:eastAsia="zh-CN"/>
        </w:rPr>
      </w:pPr>
      <w:r w:rsidRPr="000C156A">
        <w:rPr>
          <w:rFonts w:hint="eastAsia"/>
          <w:lang w:eastAsia="zh-CN"/>
        </w:rPr>
        <w:t>所有两年以上的未缴付债务，包括欠款利息，都得到</w:t>
      </w:r>
      <w:r w:rsidRPr="000C156A">
        <w:rPr>
          <w:lang w:eastAsia="zh-CN"/>
        </w:rPr>
        <w:t>100%</w:t>
      </w:r>
      <w:r w:rsidRPr="000C156A">
        <w:rPr>
          <w:rFonts w:hint="eastAsia"/>
          <w:lang w:eastAsia="zh-CN"/>
        </w:rPr>
        <w:t>的准备。</w:t>
      </w:r>
    </w:p>
    <w:p w14:paraId="2B2E149C" w14:textId="77777777" w:rsidR="0085433F" w:rsidRPr="000C156A" w:rsidRDefault="0085433F" w:rsidP="0085433F">
      <w:pPr>
        <w:rPr>
          <w:lang w:eastAsia="zh-CN"/>
        </w:rPr>
      </w:pPr>
      <w:r w:rsidRPr="000C156A">
        <w:rPr>
          <w:lang w:eastAsia="zh-CN"/>
        </w:rPr>
        <w:t xml:space="preserve">3 – </w:t>
      </w:r>
      <w:r w:rsidRPr="000C156A">
        <w:rPr>
          <w:rFonts w:hint="eastAsia"/>
          <w:lang w:eastAsia="zh-CN"/>
        </w:rPr>
        <w:t>卫星网络申报（</w:t>
      </w:r>
      <w:r w:rsidRPr="000C156A">
        <w:rPr>
          <w:lang w:eastAsia="zh-CN"/>
        </w:rPr>
        <w:t>SNF</w:t>
      </w:r>
      <w:r w:rsidRPr="000C156A">
        <w:rPr>
          <w:rFonts w:hint="eastAsia"/>
          <w:lang w:eastAsia="zh-CN"/>
        </w:rPr>
        <w:t>）收入</w:t>
      </w:r>
    </w:p>
    <w:p w14:paraId="21D968B5" w14:textId="77777777" w:rsidR="0085433F" w:rsidRPr="000C156A" w:rsidRDefault="0085433F" w:rsidP="0085433F">
      <w:pPr>
        <w:ind w:firstLineChars="200" w:firstLine="480"/>
        <w:rPr>
          <w:lang w:eastAsia="zh-CN"/>
        </w:rPr>
      </w:pPr>
      <w:r w:rsidRPr="000C156A">
        <w:rPr>
          <w:rFonts w:hint="eastAsia"/>
          <w:lang w:eastAsia="zh-CN"/>
        </w:rPr>
        <w:t>在出现逾期缴付时，国际电联设立</w:t>
      </w:r>
      <w:r w:rsidRPr="000C156A">
        <w:rPr>
          <w:lang w:eastAsia="zh-CN"/>
        </w:rPr>
        <w:t>SNF</w:t>
      </w:r>
      <w:r w:rsidRPr="000C156A">
        <w:rPr>
          <w:rFonts w:hint="eastAsia"/>
          <w:lang w:eastAsia="zh-CN"/>
        </w:rPr>
        <w:t>发票准备，包括自逾期日起</w:t>
      </w:r>
      <w:r w:rsidRPr="000C156A">
        <w:rPr>
          <w:lang w:eastAsia="zh-CN"/>
        </w:rPr>
        <w:t>6%</w:t>
      </w:r>
      <w:r w:rsidRPr="000C156A">
        <w:rPr>
          <w:rFonts w:hint="eastAsia"/>
          <w:lang w:eastAsia="zh-CN"/>
        </w:rPr>
        <w:t>的欠款利息。由于这种发票可在六个月内支付，在列报后当年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日将设立</w:t>
      </w:r>
      <w:r w:rsidRPr="000C156A">
        <w:rPr>
          <w:lang w:eastAsia="zh-CN"/>
        </w:rPr>
        <w:t>100%</w:t>
      </w:r>
      <w:r w:rsidRPr="000C156A">
        <w:rPr>
          <w:rFonts w:hint="eastAsia"/>
          <w:lang w:eastAsia="zh-CN"/>
        </w:rPr>
        <w:t>的准备金。</w:t>
      </w:r>
    </w:p>
    <w:p w14:paraId="2C92BEE6" w14:textId="77777777" w:rsidR="0085433F" w:rsidRPr="000C156A" w:rsidRDefault="0085433F" w:rsidP="0085433F">
      <w:pPr>
        <w:rPr>
          <w:lang w:eastAsia="zh-CN"/>
        </w:rPr>
      </w:pPr>
      <w:r w:rsidRPr="000C156A">
        <w:rPr>
          <w:lang w:eastAsia="zh-CN"/>
        </w:rPr>
        <w:t xml:space="preserve">4 – </w:t>
      </w:r>
      <w:r w:rsidRPr="000C156A">
        <w:rPr>
          <w:rFonts w:hint="eastAsia"/>
          <w:lang w:eastAsia="zh-CN"/>
        </w:rPr>
        <w:t>出版物</w:t>
      </w:r>
    </w:p>
    <w:p w14:paraId="14B23A8D" w14:textId="77777777" w:rsidR="0085433F" w:rsidRPr="000C156A" w:rsidRDefault="0085433F" w:rsidP="0085433F">
      <w:pPr>
        <w:ind w:firstLineChars="200" w:firstLine="480"/>
        <w:rPr>
          <w:lang w:eastAsia="zh-CN"/>
        </w:rPr>
      </w:pPr>
      <w:r w:rsidRPr="000C156A">
        <w:rPr>
          <w:rFonts w:hint="eastAsia"/>
          <w:lang w:eastAsia="zh-CN"/>
        </w:rPr>
        <w:t>多数出版物是款项预付，但成员国主管部门例外。该准备的设立完全遵循成员国和部门成员会费采用的原则。</w:t>
      </w:r>
    </w:p>
    <w:p w14:paraId="147CE128" w14:textId="77777777" w:rsidR="0085433F" w:rsidRPr="000C156A" w:rsidRDefault="0085433F" w:rsidP="0085433F">
      <w:pPr>
        <w:rPr>
          <w:lang w:eastAsia="zh-CN"/>
        </w:rPr>
      </w:pPr>
      <w:r w:rsidRPr="000C156A">
        <w:rPr>
          <w:lang w:eastAsia="zh-CN"/>
        </w:rPr>
        <w:t xml:space="preserve">5 – </w:t>
      </w:r>
      <w:r w:rsidRPr="000C156A">
        <w:rPr>
          <w:rFonts w:hint="eastAsia"/>
          <w:lang w:eastAsia="zh-CN"/>
        </w:rPr>
        <w:t>其它债务方（如自愿捐赠）</w:t>
      </w:r>
    </w:p>
    <w:p w14:paraId="15D67C46" w14:textId="77777777" w:rsidR="0085433F" w:rsidRPr="000C156A" w:rsidRDefault="0085433F" w:rsidP="0085433F">
      <w:pPr>
        <w:ind w:firstLineChars="200" w:firstLine="480"/>
        <w:rPr>
          <w:lang w:eastAsia="zh-CN"/>
        </w:rPr>
      </w:pPr>
      <w:r w:rsidRPr="000C156A">
        <w:rPr>
          <w:rFonts w:hint="eastAsia"/>
          <w:lang w:eastAsia="zh-CN"/>
        </w:rPr>
        <w:t>准备金额为出具发票后当年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日未缴付应收款项的</w:t>
      </w:r>
      <w:r w:rsidRPr="000C156A">
        <w:rPr>
          <w:lang w:eastAsia="zh-CN"/>
        </w:rPr>
        <w:t>100%</w:t>
      </w:r>
      <w:r w:rsidRPr="000C156A">
        <w:rPr>
          <w:rFonts w:hint="eastAsia"/>
          <w:lang w:eastAsia="zh-CN"/>
        </w:rPr>
        <w:t>。</w:t>
      </w:r>
    </w:p>
    <w:p w14:paraId="606A3A82" w14:textId="77777777" w:rsidR="0085433F" w:rsidRPr="000C156A" w:rsidRDefault="0085433F" w:rsidP="0085433F">
      <w:pPr>
        <w:rPr>
          <w:lang w:eastAsia="zh-CN"/>
        </w:rPr>
      </w:pPr>
      <w:r w:rsidRPr="000C156A">
        <w:rPr>
          <w:lang w:eastAsia="zh-CN"/>
        </w:rPr>
        <w:t xml:space="preserve">6 – </w:t>
      </w:r>
      <w:r w:rsidRPr="000C156A">
        <w:rPr>
          <w:rFonts w:hint="eastAsia"/>
          <w:lang w:eastAsia="zh-CN"/>
        </w:rPr>
        <w:t>国际电联电信展</w:t>
      </w:r>
    </w:p>
    <w:p w14:paraId="66536617" w14:textId="77777777" w:rsidR="0085433F" w:rsidRPr="000C156A" w:rsidRDefault="0085433F" w:rsidP="0085433F">
      <w:pPr>
        <w:ind w:firstLineChars="200" w:firstLine="480"/>
        <w:rPr>
          <w:lang w:eastAsia="zh-CN"/>
        </w:rPr>
      </w:pPr>
      <w:r w:rsidRPr="000C156A">
        <w:rPr>
          <w:rFonts w:hint="eastAsia"/>
          <w:lang w:eastAsia="zh-CN"/>
        </w:rPr>
        <w:t>电信展结账时，国际电联电信展活动应收款项的准备金为</w:t>
      </w:r>
      <w:r w:rsidRPr="000C156A">
        <w:rPr>
          <w:lang w:eastAsia="zh-CN"/>
        </w:rPr>
        <w:t>100%</w:t>
      </w:r>
      <w:r w:rsidRPr="000C156A">
        <w:rPr>
          <w:rFonts w:hint="eastAsia"/>
          <w:lang w:eastAsia="zh-CN"/>
        </w:rPr>
        <w:t>。</w:t>
      </w:r>
    </w:p>
    <w:p w14:paraId="28806A88" w14:textId="77777777" w:rsidR="0085433F" w:rsidRPr="00012E88" w:rsidRDefault="0085433F" w:rsidP="00012E88">
      <w:pPr>
        <w:pStyle w:val="Heading5"/>
        <w:rPr>
          <w:b/>
          <w:bCs/>
          <w:i w:val="0"/>
          <w:u w:val="single"/>
          <w:lang w:eastAsia="zh-CN"/>
        </w:rPr>
      </w:pPr>
      <w:bookmarkStart w:id="425" w:name="_Toc305426932"/>
      <w:bookmarkStart w:id="426" w:name="_Toc482892547"/>
      <w:bookmarkStart w:id="427" w:name="_Toc41905848"/>
      <w:bookmarkStart w:id="428" w:name="_Toc110265691"/>
      <w:r w:rsidRPr="00012E88">
        <w:rPr>
          <w:rFonts w:hint="eastAsia"/>
          <w:b/>
          <w:bCs/>
          <w:i w:val="0"/>
          <w:u w:val="single"/>
          <w:lang w:val="fr-FR" w:eastAsia="zh-CN"/>
        </w:rPr>
        <w:t>资产减损准备金的使用和</w:t>
      </w:r>
      <w:bookmarkEnd w:id="425"/>
      <w:r w:rsidRPr="00012E88">
        <w:rPr>
          <w:rFonts w:hint="eastAsia"/>
          <w:b/>
          <w:bCs/>
          <w:i w:val="0"/>
          <w:u w:val="single"/>
          <w:lang w:val="fr-FR" w:eastAsia="zh-CN"/>
        </w:rPr>
        <w:t>提供</w:t>
      </w:r>
      <w:bookmarkEnd w:id="426"/>
      <w:bookmarkEnd w:id="427"/>
      <w:bookmarkEnd w:id="428"/>
    </w:p>
    <w:p w14:paraId="6183A5A4" w14:textId="77777777" w:rsidR="0085433F" w:rsidRPr="000C156A" w:rsidRDefault="0085433F" w:rsidP="0085433F">
      <w:pPr>
        <w:ind w:firstLineChars="200" w:firstLine="480"/>
        <w:rPr>
          <w:lang w:eastAsia="zh-CN"/>
        </w:rPr>
      </w:pPr>
      <w:r w:rsidRPr="000C156A">
        <w:rPr>
          <w:rFonts w:hint="eastAsia"/>
          <w:lang w:eastAsia="zh-CN"/>
        </w:rPr>
        <w:t>当债务不可清偿时（如无资产或债务冲销证明书），确认坏账损失。此外，确认准备金的使用。如在之后的时间内，减值损失减少，而且损失的减少在客观上与减值确认之后发生的事项相关（如，偿还债务时间表的签署），必须全部或部分地通过提供准备金转回之前确认的减值损失。</w:t>
      </w:r>
    </w:p>
    <w:p w14:paraId="1276744D" w14:textId="77777777" w:rsidR="0085433F" w:rsidRPr="000C156A" w:rsidRDefault="0085433F" w:rsidP="0085433F">
      <w:pPr>
        <w:ind w:firstLineChars="200" w:firstLine="480"/>
        <w:rPr>
          <w:lang w:eastAsia="zh-CN"/>
        </w:rPr>
      </w:pPr>
      <w:r w:rsidRPr="000C156A">
        <w:rPr>
          <w:rFonts w:hint="eastAsia"/>
          <w:lang w:eastAsia="zh-CN"/>
        </w:rPr>
        <w:t>成员国或部门成员的准备金随每年按照债务偿还时间表的偿还金额减少。当债务资本金偿清后，经理事会批准，欠款利息注销。该金额包括与出版物相关的应收款项。</w:t>
      </w:r>
    </w:p>
    <w:p w14:paraId="65585AC7" w14:textId="77777777" w:rsidR="0085433F" w:rsidRPr="000C156A" w:rsidRDefault="0085433F" w:rsidP="0085433F">
      <w:pPr>
        <w:ind w:firstLineChars="200" w:firstLine="480"/>
        <w:rPr>
          <w:lang w:eastAsia="zh-CN"/>
        </w:rPr>
      </w:pPr>
      <w:r w:rsidRPr="000C156A">
        <w:rPr>
          <w:rFonts w:hint="eastAsia"/>
          <w:lang w:eastAsia="zh-CN"/>
        </w:rPr>
        <w:lastRenderedPageBreak/>
        <w:t>如在之后一段时间内，新的应收款项符合上段确认的减损标准，该年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日必须确认准备金的设立。</w:t>
      </w:r>
    </w:p>
    <w:p w14:paraId="099F75F6" w14:textId="77777777" w:rsidR="0085433F" w:rsidRPr="00012E88" w:rsidRDefault="0085433F" w:rsidP="0085433F">
      <w:pPr>
        <w:pStyle w:val="Heading5"/>
        <w:rPr>
          <w:b/>
          <w:bCs/>
          <w:i w:val="0"/>
          <w:u w:val="single"/>
          <w:lang w:val="fr-FR" w:eastAsia="zh-CN"/>
        </w:rPr>
      </w:pPr>
      <w:bookmarkStart w:id="429" w:name="_Toc482892548"/>
      <w:bookmarkStart w:id="430" w:name="_Toc329011617"/>
      <w:bookmarkStart w:id="431" w:name="_Toc305764069"/>
      <w:bookmarkStart w:id="432" w:name="_Toc41905849"/>
      <w:bookmarkStart w:id="433" w:name="_Toc110265692"/>
      <w:r w:rsidRPr="00012E88">
        <w:rPr>
          <w:rFonts w:hint="eastAsia"/>
          <w:b/>
          <w:bCs/>
          <w:i w:val="0"/>
          <w:u w:val="single"/>
          <w:lang w:val="fr-FR" w:eastAsia="zh-CN"/>
        </w:rPr>
        <w:t>库存</w:t>
      </w:r>
      <w:bookmarkEnd w:id="429"/>
      <w:bookmarkEnd w:id="430"/>
      <w:bookmarkEnd w:id="431"/>
      <w:bookmarkEnd w:id="432"/>
      <w:bookmarkEnd w:id="433"/>
    </w:p>
    <w:p w14:paraId="457D26E6" w14:textId="77777777" w:rsidR="0085433F" w:rsidRPr="000C156A" w:rsidRDefault="0085433F" w:rsidP="0085433F">
      <w:pPr>
        <w:ind w:firstLineChars="200" w:firstLine="480"/>
        <w:rPr>
          <w:lang w:eastAsia="zh-CN"/>
        </w:rPr>
      </w:pPr>
      <w:r w:rsidRPr="000C156A">
        <w:rPr>
          <w:rFonts w:hint="eastAsia"/>
          <w:lang w:eastAsia="zh-CN"/>
        </w:rPr>
        <w:t>库存包括带有国际电联标志的出版物和纪念品以及消耗品、维护原材料和未划拨的用来维护具体资产的零部件备件的储藏。</w:t>
      </w:r>
    </w:p>
    <w:p w14:paraId="6D4A18CC" w14:textId="77777777" w:rsidR="0085433F" w:rsidRPr="000C156A" w:rsidRDefault="0085433F" w:rsidP="0085433F">
      <w:pPr>
        <w:ind w:firstLineChars="200" w:firstLine="480"/>
        <w:rPr>
          <w:lang w:eastAsia="zh-CN"/>
        </w:rPr>
      </w:pPr>
      <w:r w:rsidRPr="000C156A">
        <w:rPr>
          <w:rFonts w:hint="eastAsia"/>
          <w:lang w:eastAsia="zh-CN"/>
        </w:rPr>
        <w:t>消耗品的库存采用加权平均成本方法计价。组织内所有性质和用途与此类似的库存采用同样方法计价。</w:t>
      </w:r>
    </w:p>
    <w:p w14:paraId="4EA642BE" w14:textId="77777777" w:rsidR="0085433F" w:rsidRPr="000C156A" w:rsidRDefault="0085433F" w:rsidP="0085433F">
      <w:pPr>
        <w:ind w:firstLineChars="200" w:firstLine="480"/>
        <w:rPr>
          <w:lang w:eastAsia="zh-CN"/>
        </w:rPr>
      </w:pPr>
      <w:r w:rsidRPr="000C156A">
        <w:rPr>
          <w:rFonts w:hint="eastAsia"/>
          <w:lang w:eastAsia="zh-CN"/>
        </w:rPr>
        <w:t>出版物根据一种每年更新的比率而制定的标准成本计价。标准成本不包括直接人员成本；然而，纸张成本增长了</w:t>
      </w:r>
      <w:r w:rsidRPr="000C156A">
        <w:rPr>
          <w:lang w:eastAsia="zh-CN"/>
        </w:rPr>
        <w:t>253%</w:t>
      </w:r>
      <w:r w:rsidRPr="000C156A">
        <w:rPr>
          <w:rFonts w:hint="eastAsia"/>
          <w:lang w:eastAsia="zh-CN"/>
        </w:rPr>
        <w:t>，代表着与印制相关的直接成本。净可实现价值代表着估计售价减去估计的出版物生产、销售和发行成本。</w:t>
      </w:r>
    </w:p>
    <w:p w14:paraId="5B5B5DF2" w14:textId="77777777" w:rsidR="0085433F" w:rsidRPr="000C156A" w:rsidRDefault="0085433F" w:rsidP="0085433F">
      <w:pPr>
        <w:ind w:firstLineChars="200" w:firstLine="480"/>
        <w:rPr>
          <w:lang w:eastAsia="zh-CN"/>
        </w:rPr>
      </w:pPr>
      <w:r w:rsidRPr="000C156A">
        <w:rPr>
          <w:rFonts w:hint="eastAsia"/>
          <w:lang w:eastAsia="zh-CN"/>
        </w:rPr>
        <w:t>尽管出版物库存的发行成本为零或是象征性的，但本组织赋予了出版物一种价值：必须付出，以实现经济效益或为实现组织宗旨而提供的服务。如果在市场上不能实现这种经济效益或服务目的，而库存以其重置价值计价。</w:t>
      </w:r>
    </w:p>
    <w:p w14:paraId="5B2FEE78" w14:textId="77777777" w:rsidR="0085433F" w:rsidRPr="000C156A" w:rsidRDefault="0085433F" w:rsidP="0085433F">
      <w:pPr>
        <w:ind w:firstLineChars="200" w:firstLine="480"/>
        <w:rPr>
          <w:lang w:eastAsia="zh-CN"/>
        </w:rPr>
      </w:pPr>
      <w:r w:rsidRPr="000C156A">
        <w:rPr>
          <w:rFonts w:hint="eastAsia"/>
          <w:lang w:eastAsia="zh-CN"/>
        </w:rPr>
        <w:t>每年对所有库存进行一次实物存盘。在每个决算日，如有迹象说明任何库存可能会贬值，则进行折旧。出版物的计价分两步：首先，根据每年实物存盘时的损坏状况，之后在看出版物是否过时。本组织亦确定以往认可的损失亏损是递减还是消失了。如有此类迹象，则对库存的净可实现价值或重置价值进行估值和更新。</w:t>
      </w:r>
    </w:p>
    <w:p w14:paraId="58DC5E77" w14:textId="77777777" w:rsidR="0085433F" w:rsidRPr="000C156A" w:rsidRDefault="0085433F" w:rsidP="0085433F">
      <w:pPr>
        <w:ind w:firstLineChars="200" w:firstLine="480"/>
        <w:rPr>
          <w:lang w:eastAsia="zh-CN"/>
        </w:rPr>
      </w:pPr>
      <w:r w:rsidRPr="000C156A">
        <w:rPr>
          <w:rFonts w:hint="eastAsia"/>
          <w:lang w:eastAsia="zh-CN"/>
        </w:rPr>
        <w:t>已不再出售或免费发行的出版物和物品的净置存金额将降至零。</w:t>
      </w:r>
    </w:p>
    <w:p w14:paraId="1920D226" w14:textId="77777777" w:rsidR="0085433F" w:rsidRPr="00012E88" w:rsidRDefault="0085433F" w:rsidP="00012E88">
      <w:pPr>
        <w:pStyle w:val="Heading5"/>
        <w:rPr>
          <w:b/>
          <w:bCs/>
          <w:i w:val="0"/>
          <w:u w:val="single"/>
          <w:lang w:eastAsia="zh-CN"/>
        </w:rPr>
      </w:pPr>
      <w:bookmarkStart w:id="434" w:name="_Toc482892549"/>
      <w:bookmarkStart w:id="435" w:name="_Toc329011618"/>
      <w:bookmarkStart w:id="436" w:name="_Toc305764070"/>
      <w:bookmarkStart w:id="437" w:name="_Toc305426933"/>
      <w:bookmarkStart w:id="438" w:name="_Toc41905850"/>
      <w:bookmarkStart w:id="439" w:name="_Toc110265693"/>
      <w:r w:rsidRPr="00012E88">
        <w:rPr>
          <w:rFonts w:hint="eastAsia"/>
          <w:b/>
          <w:bCs/>
          <w:i w:val="0"/>
          <w:u w:val="single"/>
          <w:lang w:val="fr-FR" w:eastAsia="zh-CN"/>
        </w:rPr>
        <w:t>物业和设备</w:t>
      </w:r>
      <w:bookmarkEnd w:id="434"/>
      <w:bookmarkEnd w:id="435"/>
      <w:bookmarkEnd w:id="436"/>
      <w:bookmarkEnd w:id="437"/>
      <w:bookmarkEnd w:id="438"/>
      <w:bookmarkEnd w:id="439"/>
    </w:p>
    <w:p w14:paraId="1B2ACA42" w14:textId="77777777" w:rsidR="0085433F" w:rsidRPr="000C156A" w:rsidRDefault="0085433F" w:rsidP="0085433F">
      <w:pPr>
        <w:ind w:firstLineChars="200" w:firstLine="480"/>
        <w:rPr>
          <w:lang w:eastAsia="zh-CN"/>
        </w:rPr>
      </w:pPr>
      <w:r w:rsidRPr="000C156A">
        <w:rPr>
          <w:rFonts w:hint="eastAsia"/>
          <w:lang w:eastAsia="zh-CN"/>
        </w:rPr>
        <w:t>国际电联拥有的物业和设备的估值方法是历史成本减去累计折旧和累计价值减损。</w:t>
      </w:r>
      <w:r w:rsidRPr="000C156A">
        <w:rPr>
          <w:lang w:eastAsia="zh-CN"/>
        </w:rPr>
        <w:t>2010</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w:t>
      </w:r>
      <w:r w:rsidRPr="000C156A">
        <w:rPr>
          <w:lang w:eastAsia="zh-CN"/>
        </w:rPr>
        <w:t>IPSAS</w:t>
      </w:r>
      <w:r w:rsidRPr="000C156A">
        <w:rPr>
          <w:rFonts w:hint="eastAsia"/>
          <w:lang w:eastAsia="zh-CN"/>
        </w:rPr>
        <w:t>起用时，根据外部咨询机构开展的研究，在财务状况报表中，建筑物以其内在价值予以确认。建筑物的确认采用分部构成方式。在计算建筑物的内在价值时，不考虑到土地面积（地上权）。日内瓦州免费向国际电联提供了上述土地的地上权。</w:t>
      </w:r>
    </w:p>
    <w:p w14:paraId="539E0045" w14:textId="77777777" w:rsidR="0085433F" w:rsidRPr="000C156A" w:rsidRDefault="0085433F" w:rsidP="0085433F">
      <w:pPr>
        <w:ind w:firstLineChars="200" w:firstLine="480"/>
        <w:rPr>
          <w:lang w:eastAsia="zh-CN"/>
        </w:rPr>
      </w:pPr>
      <w:r w:rsidRPr="000C156A">
        <w:rPr>
          <w:rFonts w:hint="eastAsia"/>
          <w:lang w:eastAsia="zh-CN"/>
        </w:rPr>
        <w:t>实物赠予以收到动产之日估计的公允价值计价。与计划创立或购置一具体资产的实物赠予相关的收入记账分散在相等于自所述资产启用日期后折旧期的一段时间内。</w:t>
      </w:r>
    </w:p>
    <w:p w14:paraId="6F7D3D0B" w14:textId="77777777" w:rsidR="0085433F" w:rsidRPr="000C156A" w:rsidRDefault="0085433F" w:rsidP="0085433F">
      <w:pPr>
        <w:ind w:firstLineChars="200" w:firstLine="480"/>
        <w:rPr>
          <w:lang w:eastAsia="zh-CN"/>
        </w:rPr>
      </w:pPr>
      <w:r w:rsidRPr="000C156A">
        <w:rPr>
          <w:rFonts w:hint="eastAsia"/>
          <w:lang w:eastAsia="zh-CN"/>
        </w:rPr>
        <w:t>价值等于或高于</w:t>
      </w:r>
      <w:r w:rsidRPr="000C156A">
        <w:rPr>
          <w:lang w:eastAsia="zh-CN"/>
        </w:rPr>
        <w:t>5 000</w:t>
      </w:r>
      <w:r w:rsidRPr="000C156A">
        <w:rPr>
          <w:rFonts w:hint="eastAsia"/>
          <w:lang w:eastAsia="zh-CN"/>
        </w:rPr>
        <w:t>瑞郎的货物在收到时予以资本化，之后直接折旧。</w:t>
      </w:r>
    </w:p>
    <w:p w14:paraId="329BB101" w14:textId="77777777" w:rsidR="0085433F" w:rsidRPr="000C156A" w:rsidRDefault="0085433F" w:rsidP="0085433F">
      <w:pPr>
        <w:ind w:firstLineChars="200" w:firstLine="480"/>
        <w:rPr>
          <w:lang w:eastAsia="zh-CN"/>
        </w:rPr>
      </w:pPr>
      <w:r w:rsidRPr="000C156A">
        <w:rPr>
          <w:rFonts w:hint="eastAsia"/>
          <w:lang w:eastAsia="zh-CN"/>
        </w:rPr>
        <w:t>成本低于</w:t>
      </w:r>
      <w:r w:rsidRPr="000C156A">
        <w:rPr>
          <w:lang w:eastAsia="zh-CN"/>
        </w:rPr>
        <w:t>5 000</w:t>
      </w:r>
      <w:r w:rsidRPr="000C156A">
        <w:rPr>
          <w:rFonts w:hint="eastAsia"/>
          <w:lang w:eastAsia="zh-CN"/>
        </w:rPr>
        <w:t>瑞郎的货物（低值货物）在获得当月予以资本化并在获得后月结账时在财务业绩报表中全部确认为费用。</w:t>
      </w:r>
    </w:p>
    <w:p w14:paraId="19E23D52" w14:textId="77777777" w:rsidR="0085433F" w:rsidRPr="000C156A" w:rsidRDefault="0085433F" w:rsidP="0085433F">
      <w:pPr>
        <w:ind w:firstLineChars="200" w:firstLine="480"/>
        <w:rPr>
          <w:lang w:eastAsia="zh-CN"/>
        </w:rPr>
      </w:pPr>
      <w:r w:rsidRPr="000C156A">
        <w:rPr>
          <w:rFonts w:hint="eastAsia"/>
          <w:lang w:eastAsia="zh-CN"/>
        </w:rPr>
        <w:t>在预算外活动中开展的项目（特别是联合国开发计划署的项目、国家执行项目和自愿捐款）框架内获得的财产和设备在获得后月结账时在财务业绩报表中全部确认为费用。</w:t>
      </w:r>
    </w:p>
    <w:p w14:paraId="175730FB" w14:textId="77777777" w:rsidR="0085433F" w:rsidRPr="000C156A" w:rsidRDefault="0085433F" w:rsidP="0085433F">
      <w:pPr>
        <w:ind w:firstLineChars="200" w:firstLine="480"/>
        <w:rPr>
          <w:lang w:eastAsia="zh-CN"/>
        </w:rPr>
      </w:pPr>
      <w:r w:rsidRPr="000C156A">
        <w:rPr>
          <w:rFonts w:hint="eastAsia"/>
          <w:lang w:eastAsia="zh-CN"/>
        </w:rPr>
        <w:t>之后产生的与固定资产相关的成本在通过资产的使用提高了服务潜力，且不涉及有关固定资产的维护或修理费用时予以资本化和折旧并确认在财务业绩报表中。</w:t>
      </w:r>
    </w:p>
    <w:p w14:paraId="06FEDDE3" w14:textId="77777777" w:rsidR="0085433F" w:rsidRPr="000C156A" w:rsidRDefault="0085433F" w:rsidP="0085433F">
      <w:pPr>
        <w:ind w:firstLineChars="200" w:firstLine="480"/>
        <w:rPr>
          <w:lang w:eastAsia="zh-CN"/>
        </w:rPr>
      </w:pPr>
      <w:r w:rsidRPr="000C156A">
        <w:rPr>
          <w:rFonts w:hint="eastAsia"/>
          <w:lang w:eastAsia="zh-CN"/>
        </w:rPr>
        <w:t>当固定资产包括若干具有不同使用寿命的重要组成部分时，各组成部分单独确认。折旧按照各项目的估计使用寿命直接计算，酌情考虑到最后残值阶段。资产的残值和使用寿命以及折旧方法在每年结账时需审议并在必要时做出调整。</w:t>
      </w:r>
    </w:p>
    <w:p w14:paraId="7A92F2A0" w14:textId="4A4E5A09" w:rsidR="0085433F" w:rsidRPr="000C156A" w:rsidRDefault="0085433F" w:rsidP="0085433F">
      <w:pPr>
        <w:ind w:firstLineChars="200" w:firstLine="480"/>
        <w:rPr>
          <w:lang w:val="en-US" w:eastAsia="zh-CN"/>
        </w:rPr>
      </w:pPr>
      <w:r w:rsidRPr="000C156A">
        <w:rPr>
          <w:rFonts w:hint="eastAsia"/>
          <w:lang w:val="en-US" w:eastAsia="zh-CN"/>
        </w:rPr>
        <w:t>自</w:t>
      </w:r>
      <w:r w:rsidRPr="000C156A">
        <w:rPr>
          <w:rFonts w:hint="eastAsia"/>
          <w:lang w:val="en-US" w:eastAsia="zh-CN"/>
        </w:rPr>
        <w:t>2020</w:t>
      </w:r>
      <w:r w:rsidRPr="000C156A">
        <w:rPr>
          <w:rFonts w:hint="eastAsia"/>
          <w:lang w:val="en-US" w:eastAsia="zh-CN"/>
        </w:rPr>
        <w:t>年</w:t>
      </w:r>
      <w:r w:rsidRPr="000C156A">
        <w:rPr>
          <w:rFonts w:hint="eastAsia"/>
          <w:lang w:val="en-US" w:eastAsia="zh-CN"/>
        </w:rPr>
        <w:t>1</w:t>
      </w:r>
      <w:r w:rsidRPr="000C156A">
        <w:rPr>
          <w:rFonts w:hint="eastAsia"/>
          <w:lang w:val="en-US" w:eastAsia="zh-CN"/>
        </w:rPr>
        <w:t>月</w:t>
      </w:r>
      <w:r w:rsidRPr="000C156A">
        <w:rPr>
          <w:rFonts w:hint="eastAsia"/>
          <w:lang w:val="en-US" w:eastAsia="zh-CN"/>
        </w:rPr>
        <w:t>1</w:t>
      </w:r>
      <w:r w:rsidRPr="000C156A">
        <w:rPr>
          <w:rFonts w:hint="eastAsia"/>
          <w:lang w:val="en-US" w:eastAsia="zh-CN"/>
        </w:rPr>
        <w:t>日起，针对外部审计员</w:t>
      </w:r>
      <w:r w:rsidRPr="000C156A">
        <w:rPr>
          <w:rFonts w:hint="eastAsia"/>
          <w:lang w:val="en-US" w:eastAsia="zh-CN"/>
        </w:rPr>
        <w:t>02/2015</w:t>
      </w:r>
      <w:r w:rsidRPr="000C156A">
        <w:rPr>
          <w:rFonts w:hint="eastAsia"/>
          <w:lang w:val="en-US" w:eastAsia="zh-CN"/>
        </w:rPr>
        <w:t>号建议，已根据联合国的做法，对建筑相关资产开始采用新的使用寿命。</w:t>
      </w:r>
    </w:p>
    <w:p w14:paraId="7272E7EC" w14:textId="77777777" w:rsidR="0085433F" w:rsidRPr="000C156A" w:rsidRDefault="0085433F" w:rsidP="0085433F">
      <w:pPr>
        <w:keepNext/>
        <w:spacing w:after="120"/>
        <w:ind w:firstLineChars="200" w:firstLine="480"/>
        <w:rPr>
          <w:lang w:eastAsia="zh-CN"/>
        </w:rPr>
      </w:pPr>
      <w:r w:rsidRPr="000C156A">
        <w:rPr>
          <w:rFonts w:hint="eastAsia"/>
          <w:lang w:val="en-US" w:eastAsia="zh-CN"/>
        </w:rPr>
        <w:lastRenderedPageBreak/>
        <w:t>下表说明</w:t>
      </w:r>
      <w:r w:rsidRPr="000C156A">
        <w:rPr>
          <w:rFonts w:hint="eastAsia"/>
          <w:lang w:val="en-US" w:eastAsia="zh-CN"/>
        </w:rPr>
        <w:t>2020</w:t>
      </w:r>
      <w:r w:rsidRPr="000C156A">
        <w:rPr>
          <w:rFonts w:hint="eastAsia"/>
          <w:lang w:val="en-US" w:eastAsia="zh-CN"/>
        </w:rPr>
        <w:t>年财政期前后资产的有效使用寿命。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835"/>
        <w:gridCol w:w="2688"/>
      </w:tblGrid>
      <w:tr w:rsidR="0085433F" w:rsidRPr="000C156A" w14:paraId="0E399F16" w14:textId="77777777" w:rsidTr="003A64C9">
        <w:trPr>
          <w:trHeight w:val="397"/>
        </w:trPr>
        <w:tc>
          <w:tcPr>
            <w:tcW w:w="3998" w:type="dxa"/>
            <w:tcBorders>
              <w:top w:val="single" w:sz="4" w:space="0" w:color="auto"/>
              <w:left w:val="single" w:sz="4" w:space="0" w:color="auto"/>
              <w:bottom w:val="single" w:sz="4" w:space="0" w:color="auto"/>
              <w:right w:val="single" w:sz="4" w:space="0" w:color="auto"/>
            </w:tcBorders>
            <w:vAlign w:val="center"/>
            <w:hideMark/>
          </w:tcPr>
          <w:p w14:paraId="3D38360E" w14:textId="77777777" w:rsidR="0085433F" w:rsidRPr="000C156A" w:rsidRDefault="0085433F" w:rsidP="003A64C9">
            <w:pPr>
              <w:pStyle w:val="Tablehead"/>
              <w:spacing w:before="0" w:after="0"/>
              <w:rPr>
                <w:szCs w:val="18"/>
                <w:lang w:val="en-US" w:eastAsia="zh-CN"/>
              </w:rPr>
            </w:pPr>
            <w:r w:rsidRPr="000C156A">
              <w:rPr>
                <w:rFonts w:hint="eastAsia"/>
                <w:bCs/>
                <w:color w:val="000000"/>
                <w:szCs w:val="18"/>
                <w:lang w:val="en-US" w:eastAsia="zh-CN"/>
              </w:rPr>
              <w:t>资产分类和次级分类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7E9187" w14:textId="77777777" w:rsidR="0085433F" w:rsidRPr="000C156A" w:rsidRDefault="0085433F" w:rsidP="003A64C9">
            <w:pPr>
              <w:pStyle w:val="Tablehead"/>
              <w:spacing w:before="0" w:after="0"/>
              <w:rPr>
                <w:szCs w:val="18"/>
                <w:lang w:val="en-US" w:eastAsia="zh-CN"/>
              </w:rPr>
            </w:pPr>
            <w:r w:rsidRPr="000C156A">
              <w:rPr>
                <w:rFonts w:hint="eastAsia"/>
                <w:bCs/>
                <w:color w:val="000000"/>
                <w:szCs w:val="18"/>
                <w:lang w:val="en-US" w:eastAsia="zh-CN"/>
              </w:rPr>
              <w:t>2</w:t>
            </w:r>
            <w:r w:rsidRPr="000C156A">
              <w:rPr>
                <w:bCs/>
                <w:color w:val="000000"/>
                <w:szCs w:val="18"/>
                <w:lang w:val="en-US" w:eastAsia="zh-CN"/>
              </w:rPr>
              <w:t>019</w:t>
            </w:r>
            <w:r w:rsidRPr="000C156A">
              <w:rPr>
                <w:rFonts w:hint="eastAsia"/>
                <w:bCs/>
                <w:color w:val="000000"/>
                <w:szCs w:val="18"/>
                <w:lang w:val="en-US" w:eastAsia="zh-CN"/>
              </w:rPr>
              <w:t>年</w:t>
            </w:r>
            <w:r w:rsidRPr="000C156A">
              <w:rPr>
                <w:bCs/>
                <w:color w:val="000000"/>
                <w:szCs w:val="18"/>
                <w:lang w:val="en-US" w:eastAsia="zh-CN"/>
              </w:rPr>
              <w:t>12</w:t>
            </w:r>
            <w:r w:rsidRPr="000C156A">
              <w:rPr>
                <w:rFonts w:hint="eastAsia"/>
                <w:bCs/>
                <w:color w:val="000000"/>
                <w:szCs w:val="18"/>
                <w:lang w:val="en-US" w:eastAsia="zh-CN"/>
              </w:rPr>
              <w:t>月</w:t>
            </w:r>
            <w:r w:rsidRPr="000C156A">
              <w:rPr>
                <w:rFonts w:hint="eastAsia"/>
                <w:bCs/>
                <w:color w:val="000000"/>
                <w:szCs w:val="18"/>
                <w:lang w:val="en-US" w:eastAsia="zh-CN"/>
              </w:rPr>
              <w:t>3</w:t>
            </w:r>
            <w:r w:rsidRPr="000C156A">
              <w:rPr>
                <w:bCs/>
                <w:color w:val="000000"/>
                <w:szCs w:val="18"/>
                <w:lang w:val="en-US" w:eastAsia="zh-CN"/>
              </w:rPr>
              <w:t>1</w:t>
            </w:r>
            <w:r w:rsidRPr="000C156A">
              <w:rPr>
                <w:rFonts w:hint="eastAsia"/>
                <w:bCs/>
                <w:color w:val="000000"/>
                <w:szCs w:val="18"/>
                <w:lang w:val="en-US" w:eastAsia="zh-CN"/>
              </w:rPr>
              <w:t>日采用的旧的估计使用寿命（年数）</w:t>
            </w:r>
          </w:p>
        </w:tc>
        <w:tc>
          <w:tcPr>
            <w:tcW w:w="2688" w:type="dxa"/>
            <w:tcBorders>
              <w:top w:val="single" w:sz="4" w:space="0" w:color="auto"/>
              <w:left w:val="single" w:sz="4" w:space="0" w:color="auto"/>
              <w:bottom w:val="single" w:sz="4" w:space="0" w:color="auto"/>
              <w:right w:val="single" w:sz="4" w:space="0" w:color="auto"/>
            </w:tcBorders>
          </w:tcPr>
          <w:p w14:paraId="02A1A4BD" w14:textId="77777777" w:rsidR="0085433F" w:rsidRPr="000C156A" w:rsidRDefault="0085433F" w:rsidP="003A64C9">
            <w:pPr>
              <w:pStyle w:val="Tablehead"/>
              <w:spacing w:before="0" w:after="0"/>
              <w:rPr>
                <w:bCs/>
                <w:color w:val="000000"/>
                <w:szCs w:val="18"/>
                <w:lang w:val="en-US" w:eastAsia="zh-CN"/>
              </w:rPr>
            </w:pPr>
            <w:r w:rsidRPr="000C156A">
              <w:rPr>
                <w:rFonts w:hint="eastAsia"/>
                <w:bCs/>
                <w:color w:val="000000"/>
                <w:szCs w:val="18"/>
                <w:lang w:val="en-US" w:eastAsia="zh-CN"/>
              </w:rPr>
              <w:t>2</w:t>
            </w:r>
            <w:r w:rsidRPr="000C156A">
              <w:rPr>
                <w:bCs/>
                <w:color w:val="000000"/>
                <w:szCs w:val="18"/>
                <w:lang w:val="en-US" w:eastAsia="zh-CN"/>
              </w:rPr>
              <w:t>020</w:t>
            </w:r>
            <w:r w:rsidRPr="000C156A">
              <w:rPr>
                <w:rFonts w:hint="eastAsia"/>
                <w:bCs/>
                <w:color w:val="000000"/>
                <w:szCs w:val="18"/>
                <w:lang w:val="en-US" w:eastAsia="zh-CN"/>
              </w:rPr>
              <w:t>年</w:t>
            </w:r>
            <w:r w:rsidRPr="000C156A">
              <w:rPr>
                <w:bCs/>
                <w:color w:val="000000"/>
                <w:szCs w:val="18"/>
                <w:lang w:val="en-US" w:eastAsia="zh-CN"/>
              </w:rPr>
              <w:t>1</w:t>
            </w:r>
            <w:r w:rsidRPr="000C156A">
              <w:rPr>
                <w:rFonts w:hint="eastAsia"/>
                <w:bCs/>
                <w:color w:val="000000"/>
                <w:szCs w:val="18"/>
                <w:lang w:val="en-US" w:eastAsia="zh-CN"/>
              </w:rPr>
              <w:t>月</w:t>
            </w:r>
            <w:r w:rsidRPr="000C156A">
              <w:rPr>
                <w:bCs/>
                <w:color w:val="000000"/>
                <w:szCs w:val="18"/>
                <w:lang w:val="en-US" w:eastAsia="zh-CN"/>
              </w:rPr>
              <w:t>1</w:t>
            </w:r>
            <w:r w:rsidRPr="000C156A">
              <w:rPr>
                <w:rFonts w:hint="eastAsia"/>
                <w:bCs/>
                <w:color w:val="000000"/>
                <w:szCs w:val="18"/>
                <w:lang w:val="en-US" w:eastAsia="zh-CN"/>
              </w:rPr>
              <w:t>日采用的新的估计使用寿命（年数）</w:t>
            </w:r>
          </w:p>
        </w:tc>
      </w:tr>
      <w:tr w:rsidR="0085433F" w:rsidRPr="000C156A" w14:paraId="7C27BD0E" w14:textId="77777777" w:rsidTr="003A64C9">
        <w:tc>
          <w:tcPr>
            <w:tcW w:w="3998" w:type="dxa"/>
            <w:tcBorders>
              <w:top w:val="single" w:sz="4" w:space="0" w:color="auto"/>
              <w:left w:val="single" w:sz="4" w:space="0" w:color="auto"/>
              <w:bottom w:val="nil"/>
              <w:right w:val="single" w:sz="4" w:space="0" w:color="auto"/>
            </w:tcBorders>
            <w:hideMark/>
          </w:tcPr>
          <w:p w14:paraId="5398B9DA" w14:textId="77777777" w:rsidR="0085433F" w:rsidRPr="000C156A" w:rsidRDefault="0085433F" w:rsidP="003A64C9">
            <w:pPr>
              <w:pStyle w:val="Tabletext"/>
              <w:spacing w:before="20" w:after="20"/>
              <w:rPr>
                <w:szCs w:val="18"/>
                <w:lang w:val="en-US" w:eastAsia="zh-CN"/>
              </w:rPr>
            </w:pPr>
            <w:r w:rsidRPr="000C156A">
              <w:rPr>
                <w:rFonts w:hint="eastAsia"/>
                <w:color w:val="000000"/>
                <w:szCs w:val="18"/>
                <w:lang w:val="en-US" w:eastAsia="zh-CN"/>
              </w:rPr>
              <w:t>建筑物</w:t>
            </w:r>
          </w:p>
        </w:tc>
        <w:tc>
          <w:tcPr>
            <w:tcW w:w="2835" w:type="dxa"/>
            <w:tcBorders>
              <w:top w:val="single" w:sz="4" w:space="0" w:color="auto"/>
              <w:left w:val="single" w:sz="4" w:space="0" w:color="auto"/>
              <w:bottom w:val="nil"/>
              <w:right w:val="single" w:sz="4" w:space="0" w:color="auto"/>
            </w:tcBorders>
          </w:tcPr>
          <w:p w14:paraId="251ECD25" w14:textId="77777777" w:rsidR="0085433F" w:rsidRPr="000C156A" w:rsidRDefault="0085433F" w:rsidP="003A64C9">
            <w:pPr>
              <w:pStyle w:val="Tabletext"/>
              <w:tabs>
                <w:tab w:val="left" w:pos="2628"/>
              </w:tabs>
              <w:spacing w:before="20" w:after="20"/>
              <w:ind w:right="707"/>
              <w:jc w:val="right"/>
              <w:rPr>
                <w:szCs w:val="18"/>
                <w:lang w:val="en-US" w:eastAsia="fr-FR"/>
              </w:rPr>
            </w:pPr>
          </w:p>
        </w:tc>
        <w:tc>
          <w:tcPr>
            <w:tcW w:w="2688" w:type="dxa"/>
            <w:tcBorders>
              <w:top w:val="single" w:sz="4" w:space="0" w:color="auto"/>
              <w:left w:val="single" w:sz="4" w:space="0" w:color="auto"/>
              <w:bottom w:val="nil"/>
              <w:right w:val="single" w:sz="4" w:space="0" w:color="auto"/>
            </w:tcBorders>
          </w:tcPr>
          <w:p w14:paraId="29B0BBF7" w14:textId="77777777" w:rsidR="0085433F" w:rsidRPr="000C156A" w:rsidRDefault="0085433F" w:rsidP="003A64C9">
            <w:pPr>
              <w:pStyle w:val="Tabletext"/>
              <w:tabs>
                <w:tab w:val="left" w:pos="2628"/>
              </w:tabs>
              <w:spacing w:before="20" w:after="20"/>
              <w:ind w:right="707"/>
              <w:jc w:val="right"/>
              <w:rPr>
                <w:szCs w:val="18"/>
                <w:lang w:val="en-US" w:eastAsia="fr-FR"/>
              </w:rPr>
            </w:pPr>
          </w:p>
        </w:tc>
      </w:tr>
      <w:tr w:rsidR="0085433F" w:rsidRPr="000C156A" w14:paraId="1D995468" w14:textId="77777777" w:rsidTr="003A64C9">
        <w:tc>
          <w:tcPr>
            <w:tcW w:w="3998" w:type="dxa"/>
            <w:tcBorders>
              <w:top w:val="nil"/>
              <w:left w:val="single" w:sz="4" w:space="0" w:color="auto"/>
              <w:bottom w:val="nil"/>
              <w:right w:val="single" w:sz="4" w:space="0" w:color="auto"/>
            </w:tcBorders>
            <w:hideMark/>
          </w:tcPr>
          <w:p w14:paraId="1B8CC97C" w14:textId="77777777" w:rsidR="0085433F" w:rsidRPr="000C156A" w:rsidRDefault="0085433F" w:rsidP="003A64C9">
            <w:pPr>
              <w:tabs>
                <w:tab w:val="left" w:pos="459"/>
              </w:tabs>
              <w:spacing w:before="20"/>
              <w:rPr>
                <w:color w:val="000000"/>
                <w:sz w:val="22"/>
                <w:szCs w:val="18"/>
                <w:lang w:val="en-US" w:eastAsia="zh-CN"/>
              </w:rPr>
            </w:pPr>
            <w:r w:rsidRPr="000C156A">
              <w:rPr>
                <w:color w:val="000000"/>
                <w:sz w:val="22"/>
                <w:szCs w:val="18"/>
                <w:lang w:val="en-US"/>
              </w:rPr>
              <w:tab/>
            </w:r>
            <w:r w:rsidRPr="000C156A">
              <w:rPr>
                <w:rFonts w:hint="eastAsia"/>
                <w:color w:val="000000"/>
                <w:sz w:val="22"/>
                <w:szCs w:val="18"/>
                <w:lang w:val="en-US" w:eastAsia="zh-CN"/>
              </w:rPr>
              <w:t>结构</w:t>
            </w:r>
          </w:p>
        </w:tc>
        <w:tc>
          <w:tcPr>
            <w:tcW w:w="2835" w:type="dxa"/>
            <w:tcBorders>
              <w:top w:val="nil"/>
              <w:left w:val="single" w:sz="4" w:space="0" w:color="auto"/>
              <w:bottom w:val="nil"/>
              <w:right w:val="single" w:sz="4" w:space="0" w:color="auto"/>
            </w:tcBorders>
            <w:hideMark/>
          </w:tcPr>
          <w:p w14:paraId="031A5638"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100</w:t>
            </w:r>
          </w:p>
        </w:tc>
        <w:tc>
          <w:tcPr>
            <w:tcW w:w="2688" w:type="dxa"/>
            <w:tcBorders>
              <w:top w:val="nil"/>
              <w:left w:val="single" w:sz="4" w:space="0" w:color="auto"/>
              <w:bottom w:val="nil"/>
              <w:right w:val="single" w:sz="4" w:space="0" w:color="auto"/>
            </w:tcBorders>
          </w:tcPr>
          <w:p w14:paraId="246A505A"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60</w:t>
            </w:r>
          </w:p>
        </w:tc>
      </w:tr>
      <w:tr w:rsidR="0085433F" w:rsidRPr="000C156A" w14:paraId="20EABA80" w14:textId="77777777" w:rsidTr="003A64C9">
        <w:tc>
          <w:tcPr>
            <w:tcW w:w="3998" w:type="dxa"/>
            <w:tcBorders>
              <w:top w:val="nil"/>
              <w:left w:val="single" w:sz="4" w:space="0" w:color="auto"/>
              <w:bottom w:val="nil"/>
              <w:right w:val="single" w:sz="4" w:space="0" w:color="auto"/>
            </w:tcBorders>
            <w:hideMark/>
          </w:tcPr>
          <w:p w14:paraId="1E47DDBE" w14:textId="77777777" w:rsidR="0085433F" w:rsidRPr="000C156A" w:rsidRDefault="0085433F" w:rsidP="003A64C9">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围护（屋顶、保温层、密封</w:t>
            </w:r>
            <w:r w:rsidRPr="000C156A">
              <w:rPr>
                <w:color w:val="000000"/>
                <w:sz w:val="22"/>
                <w:szCs w:val="18"/>
                <w:lang w:val="en-US" w:eastAsia="zh-CN"/>
              </w:rPr>
              <w:t>…</w:t>
            </w:r>
            <w:r w:rsidRPr="000C156A">
              <w:rPr>
                <w:rFonts w:hint="eastAsia"/>
                <w:color w:val="000000"/>
                <w:sz w:val="22"/>
                <w:szCs w:val="18"/>
                <w:lang w:val="en-US" w:eastAsia="zh-CN"/>
              </w:rPr>
              <w:t>）</w:t>
            </w:r>
          </w:p>
        </w:tc>
        <w:tc>
          <w:tcPr>
            <w:tcW w:w="2835" w:type="dxa"/>
            <w:tcBorders>
              <w:top w:val="nil"/>
              <w:left w:val="single" w:sz="4" w:space="0" w:color="auto"/>
              <w:bottom w:val="nil"/>
              <w:right w:val="single" w:sz="4" w:space="0" w:color="auto"/>
            </w:tcBorders>
            <w:hideMark/>
          </w:tcPr>
          <w:p w14:paraId="46129232"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60</w:t>
            </w:r>
          </w:p>
        </w:tc>
        <w:tc>
          <w:tcPr>
            <w:tcW w:w="2688" w:type="dxa"/>
            <w:tcBorders>
              <w:top w:val="nil"/>
              <w:left w:val="single" w:sz="4" w:space="0" w:color="auto"/>
              <w:bottom w:val="nil"/>
              <w:right w:val="single" w:sz="4" w:space="0" w:color="auto"/>
            </w:tcBorders>
          </w:tcPr>
          <w:p w14:paraId="517F6FA4"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r>
      <w:tr w:rsidR="0085433F" w:rsidRPr="000C156A" w14:paraId="32A3FCE7" w14:textId="77777777" w:rsidTr="003A64C9">
        <w:tc>
          <w:tcPr>
            <w:tcW w:w="3998" w:type="dxa"/>
            <w:tcBorders>
              <w:top w:val="nil"/>
              <w:left w:val="single" w:sz="4" w:space="0" w:color="auto"/>
              <w:bottom w:val="nil"/>
              <w:right w:val="single" w:sz="4" w:space="0" w:color="auto"/>
            </w:tcBorders>
            <w:hideMark/>
          </w:tcPr>
          <w:p w14:paraId="680184C2" w14:textId="77777777" w:rsidR="0085433F" w:rsidRPr="000C156A" w:rsidRDefault="0085433F" w:rsidP="003A64C9">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围护（金属外墙、铝合金窗框</w:t>
            </w:r>
            <w:r w:rsidRPr="000C156A">
              <w:rPr>
                <w:color w:val="000000"/>
                <w:sz w:val="22"/>
                <w:szCs w:val="18"/>
                <w:lang w:val="en-US" w:eastAsia="zh-CN"/>
              </w:rPr>
              <w:t>…</w:t>
            </w:r>
            <w:r w:rsidRPr="000C156A">
              <w:rPr>
                <w:rFonts w:hint="eastAsia"/>
                <w:color w:val="000000"/>
                <w:sz w:val="22"/>
                <w:szCs w:val="18"/>
                <w:lang w:val="en-US" w:eastAsia="zh-CN"/>
              </w:rPr>
              <w:t>）</w:t>
            </w:r>
          </w:p>
        </w:tc>
        <w:tc>
          <w:tcPr>
            <w:tcW w:w="2835" w:type="dxa"/>
            <w:tcBorders>
              <w:top w:val="nil"/>
              <w:left w:val="single" w:sz="4" w:space="0" w:color="auto"/>
              <w:bottom w:val="nil"/>
              <w:right w:val="single" w:sz="4" w:space="0" w:color="auto"/>
            </w:tcBorders>
            <w:hideMark/>
          </w:tcPr>
          <w:p w14:paraId="1D4EF287"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50</w:t>
            </w:r>
          </w:p>
        </w:tc>
        <w:tc>
          <w:tcPr>
            <w:tcW w:w="2688" w:type="dxa"/>
            <w:tcBorders>
              <w:top w:val="nil"/>
              <w:left w:val="single" w:sz="4" w:space="0" w:color="auto"/>
              <w:bottom w:val="nil"/>
              <w:right w:val="single" w:sz="4" w:space="0" w:color="auto"/>
            </w:tcBorders>
          </w:tcPr>
          <w:p w14:paraId="78BAD5AB"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r>
      <w:tr w:rsidR="0085433F" w:rsidRPr="000C156A" w14:paraId="099025B1" w14:textId="77777777" w:rsidTr="003A64C9">
        <w:tc>
          <w:tcPr>
            <w:tcW w:w="3998" w:type="dxa"/>
            <w:tcBorders>
              <w:top w:val="nil"/>
              <w:left w:val="single" w:sz="4" w:space="0" w:color="auto"/>
              <w:bottom w:val="nil"/>
              <w:right w:val="single" w:sz="4" w:space="0" w:color="auto"/>
            </w:tcBorders>
            <w:hideMark/>
          </w:tcPr>
          <w:p w14:paraId="582A0674" w14:textId="77777777" w:rsidR="0085433F" w:rsidRPr="000C156A" w:rsidRDefault="0085433F" w:rsidP="003A64C9">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内部装饰（活动地板、隔离</w:t>
            </w:r>
            <w:r w:rsidRPr="000C156A">
              <w:rPr>
                <w:color w:val="000000"/>
                <w:sz w:val="22"/>
                <w:szCs w:val="18"/>
                <w:lang w:val="en-US" w:eastAsia="zh-CN"/>
              </w:rPr>
              <w:t>…</w:t>
            </w:r>
            <w:r w:rsidRPr="000C156A">
              <w:rPr>
                <w:rFonts w:hint="eastAsia"/>
                <w:color w:val="000000"/>
                <w:sz w:val="22"/>
                <w:szCs w:val="18"/>
                <w:lang w:val="en-US" w:eastAsia="zh-CN"/>
              </w:rPr>
              <w:t>）</w:t>
            </w:r>
          </w:p>
        </w:tc>
        <w:tc>
          <w:tcPr>
            <w:tcW w:w="2835" w:type="dxa"/>
            <w:tcBorders>
              <w:top w:val="nil"/>
              <w:left w:val="single" w:sz="4" w:space="0" w:color="auto"/>
              <w:bottom w:val="nil"/>
              <w:right w:val="single" w:sz="4" w:space="0" w:color="auto"/>
            </w:tcBorders>
            <w:hideMark/>
          </w:tcPr>
          <w:p w14:paraId="5F46767E"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50</w:t>
            </w:r>
          </w:p>
        </w:tc>
        <w:tc>
          <w:tcPr>
            <w:tcW w:w="2688" w:type="dxa"/>
            <w:tcBorders>
              <w:top w:val="nil"/>
              <w:left w:val="single" w:sz="4" w:space="0" w:color="auto"/>
              <w:bottom w:val="nil"/>
              <w:right w:val="single" w:sz="4" w:space="0" w:color="auto"/>
            </w:tcBorders>
          </w:tcPr>
          <w:p w14:paraId="2D3C9E42"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25</w:t>
            </w:r>
          </w:p>
        </w:tc>
      </w:tr>
      <w:tr w:rsidR="0085433F" w:rsidRPr="000C156A" w14:paraId="0DC56B4C" w14:textId="77777777" w:rsidTr="003A64C9">
        <w:tc>
          <w:tcPr>
            <w:tcW w:w="3998" w:type="dxa"/>
            <w:tcBorders>
              <w:top w:val="nil"/>
              <w:left w:val="single" w:sz="4" w:space="0" w:color="auto"/>
              <w:bottom w:val="nil"/>
              <w:right w:val="single" w:sz="4" w:space="0" w:color="auto"/>
            </w:tcBorders>
            <w:hideMark/>
          </w:tcPr>
          <w:p w14:paraId="7A02B75C" w14:textId="77777777" w:rsidR="0085433F" w:rsidRPr="000C156A" w:rsidRDefault="0085433F" w:rsidP="003A64C9">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内部装饰（地板、墙面和屋顶涂</w:t>
            </w:r>
            <w:r>
              <w:rPr>
                <w:color w:val="000000"/>
                <w:sz w:val="22"/>
                <w:szCs w:val="18"/>
                <w:lang w:val="en-US" w:eastAsia="zh-CN"/>
              </w:rPr>
              <w:tab/>
            </w:r>
            <w:r w:rsidRPr="000C156A">
              <w:rPr>
                <w:rFonts w:hint="eastAsia"/>
                <w:color w:val="000000"/>
                <w:sz w:val="22"/>
                <w:szCs w:val="18"/>
                <w:lang w:val="en-US" w:eastAsia="zh-CN"/>
              </w:rPr>
              <w:t>层</w:t>
            </w:r>
            <w:r w:rsidRPr="000C156A">
              <w:rPr>
                <w:color w:val="000000"/>
                <w:sz w:val="22"/>
                <w:szCs w:val="18"/>
                <w:lang w:val="en-US" w:eastAsia="zh-CN"/>
              </w:rPr>
              <w:t>…</w:t>
            </w:r>
            <w:r w:rsidRPr="000C156A">
              <w:rPr>
                <w:rFonts w:hint="eastAsia"/>
                <w:color w:val="000000"/>
                <w:sz w:val="22"/>
                <w:szCs w:val="18"/>
                <w:lang w:val="en-US" w:eastAsia="zh-CN"/>
              </w:rPr>
              <w:t>）</w:t>
            </w:r>
          </w:p>
        </w:tc>
        <w:tc>
          <w:tcPr>
            <w:tcW w:w="2835" w:type="dxa"/>
            <w:tcBorders>
              <w:top w:val="nil"/>
              <w:left w:val="single" w:sz="4" w:space="0" w:color="auto"/>
              <w:bottom w:val="nil"/>
              <w:right w:val="single" w:sz="4" w:space="0" w:color="auto"/>
            </w:tcBorders>
            <w:hideMark/>
          </w:tcPr>
          <w:p w14:paraId="5541503D"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c>
          <w:tcPr>
            <w:tcW w:w="2688" w:type="dxa"/>
            <w:tcBorders>
              <w:top w:val="nil"/>
              <w:left w:val="single" w:sz="4" w:space="0" w:color="auto"/>
              <w:bottom w:val="nil"/>
              <w:right w:val="single" w:sz="4" w:space="0" w:color="auto"/>
            </w:tcBorders>
          </w:tcPr>
          <w:p w14:paraId="45B00BE7"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25</w:t>
            </w:r>
          </w:p>
        </w:tc>
      </w:tr>
      <w:tr w:rsidR="0085433F" w:rsidRPr="000C156A" w14:paraId="447199B3" w14:textId="77777777" w:rsidTr="003A64C9">
        <w:tc>
          <w:tcPr>
            <w:tcW w:w="3998" w:type="dxa"/>
            <w:tcBorders>
              <w:top w:val="nil"/>
              <w:left w:val="single" w:sz="4" w:space="0" w:color="auto"/>
              <w:bottom w:val="nil"/>
              <w:right w:val="single" w:sz="4" w:space="0" w:color="auto"/>
            </w:tcBorders>
            <w:hideMark/>
          </w:tcPr>
          <w:p w14:paraId="69B1F5EF" w14:textId="77777777" w:rsidR="0085433F" w:rsidRPr="000C156A" w:rsidRDefault="0085433F" w:rsidP="003A64C9">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专门设备</w:t>
            </w:r>
          </w:p>
        </w:tc>
        <w:tc>
          <w:tcPr>
            <w:tcW w:w="2835" w:type="dxa"/>
            <w:tcBorders>
              <w:top w:val="nil"/>
              <w:left w:val="single" w:sz="4" w:space="0" w:color="auto"/>
              <w:bottom w:val="nil"/>
              <w:right w:val="single" w:sz="4" w:space="0" w:color="auto"/>
            </w:tcBorders>
            <w:hideMark/>
          </w:tcPr>
          <w:p w14:paraId="6B34BBEC"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c>
          <w:tcPr>
            <w:tcW w:w="2688" w:type="dxa"/>
            <w:tcBorders>
              <w:top w:val="nil"/>
              <w:left w:val="single" w:sz="4" w:space="0" w:color="auto"/>
              <w:bottom w:val="nil"/>
              <w:right w:val="single" w:sz="4" w:space="0" w:color="auto"/>
            </w:tcBorders>
          </w:tcPr>
          <w:p w14:paraId="611A2E5D"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25</w:t>
            </w:r>
          </w:p>
        </w:tc>
      </w:tr>
      <w:tr w:rsidR="0085433F" w:rsidRPr="000C156A" w14:paraId="71FBA4BB" w14:textId="77777777" w:rsidTr="003A64C9">
        <w:tc>
          <w:tcPr>
            <w:tcW w:w="3998" w:type="dxa"/>
            <w:tcBorders>
              <w:top w:val="nil"/>
              <w:left w:val="single" w:sz="4" w:space="0" w:color="auto"/>
              <w:bottom w:val="nil"/>
              <w:right w:val="single" w:sz="4" w:space="0" w:color="auto"/>
            </w:tcBorders>
            <w:hideMark/>
          </w:tcPr>
          <w:p w14:paraId="552241CA" w14:textId="77777777" w:rsidR="0085433F" w:rsidRPr="000C156A" w:rsidRDefault="0085433F" w:rsidP="003A64C9">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公共设施（电）</w:t>
            </w:r>
          </w:p>
        </w:tc>
        <w:tc>
          <w:tcPr>
            <w:tcW w:w="2835" w:type="dxa"/>
            <w:tcBorders>
              <w:top w:val="nil"/>
              <w:left w:val="single" w:sz="4" w:space="0" w:color="auto"/>
              <w:bottom w:val="nil"/>
              <w:right w:val="single" w:sz="4" w:space="0" w:color="auto"/>
            </w:tcBorders>
            <w:hideMark/>
          </w:tcPr>
          <w:p w14:paraId="1E42D374"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50</w:t>
            </w:r>
          </w:p>
        </w:tc>
        <w:tc>
          <w:tcPr>
            <w:tcW w:w="2688" w:type="dxa"/>
            <w:tcBorders>
              <w:top w:val="nil"/>
              <w:left w:val="single" w:sz="4" w:space="0" w:color="auto"/>
              <w:bottom w:val="nil"/>
              <w:right w:val="single" w:sz="4" w:space="0" w:color="auto"/>
            </w:tcBorders>
          </w:tcPr>
          <w:p w14:paraId="04B6C04B"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50</w:t>
            </w:r>
          </w:p>
        </w:tc>
      </w:tr>
      <w:tr w:rsidR="0085433F" w:rsidRPr="000C156A" w14:paraId="76903D79" w14:textId="77777777" w:rsidTr="003A64C9">
        <w:tc>
          <w:tcPr>
            <w:tcW w:w="3998" w:type="dxa"/>
            <w:tcBorders>
              <w:top w:val="nil"/>
              <w:left w:val="single" w:sz="4" w:space="0" w:color="auto"/>
              <w:bottom w:val="nil"/>
              <w:right w:val="single" w:sz="4" w:space="0" w:color="auto"/>
            </w:tcBorders>
            <w:hideMark/>
          </w:tcPr>
          <w:p w14:paraId="5DEB8F92" w14:textId="77777777" w:rsidR="0085433F" w:rsidRPr="000C156A" w:rsidRDefault="0085433F" w:rsidP="003A64C9">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公共设施（管道）</w:t>
            </w:r>
          </w:p>
        </w:tc>
        <w:tc>
          <w:tcPr>
            <w:tcW w:w="2835" w:type="dxa"/>
            <w:tcBorders>
              <w:top w:val="nil"/>
              <w:left w:val="single" w:sz="4" w:space="0" w:color="auto"/>
              <w:bottom w:val="nil"/>
              <w:right w:val="single" w:sz="4" w:space="0" w:color="auto"/>
            </w:tcBorders>
            <w:hideMark/>
          </w:tcPr>
          <w:p w14:paraId="30EFB4C6"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c>
          <w:tcPr>
            <w:tcW w:w="2688" w:type="dxa"/>
            <w:tcBorders>
              <w:top w:val="nil"/>
              <w:left w:val="single" w:sz="4" w:space="0" w:color="auto"/>
              <w:bottom w:val="nil"/>
              <w:right w:val="single" w:sz="4" w:space="0" w:color="auto"/>
            </w:tcBorders>
          </w:tcPr>
          <w:p w14:paraId="76F6D682"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r>
      <w:tr w:rsidR="0085433F" w:rsidRPr="000C156A" w14:paraId="7F6E9B85" w14:textId="77777777" w:rsidTr="003A64C9">
        <w:tc>
          <w:tcPr>
            <w:tcW w:w="3998" w:type="dxa"/>
            <w:tcBorders>
              <w:top w:val="nil"/>
              <w:left w:val="single" w:sz="4" w:space="0" w:color="auto"/>
              <w:bottom w:val="nil"/>
              <w:right w:val="single" w:sz="4" w:space="0" w:color="auto"/>
            </w:tcBorders>
            <w:hideMark/>
          </w:tcPr>
          <w:p w14:paraId="16933BBA" w14:textId="77777777" w:rsidR="0085433F" w:rsidRPr="000C156A" w:rsidRDefault="0085433F" w:rsidP="003A64C9">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公共设施（供暖、通风）</w:t>
            </w:r>
          </w:p>
        </w:tc>
        <w:tc>
          <w:tcPr>
            <w:tcW w:w="2835" w:type="dxa"/>
            <w:tcBorders>
              <w:top w:val="nil"/>
              <w:left w:val="single" w:sz="4" w:space="0" w:color="auto"/>
              <w:bottom w:val="nil"/>
              <w:right w:val="single" w:sz="4" w:space="0" w:color="auto"/>
            </w:tcBorders>
            <w:hideMark/>
          </w:tcPr>
          <w:p w14:paraId="29671049"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30</w:t>
            </w:r>
          </w:p>
        </w:tc>
        <w:tc>
          <w:tcPr>
            <w:tcW w:w="2688" w:type="dxa"/>
            <w:tcBorders>
              <w:top w:val="nil"/>
              <w:left w:val="single" w:sz="4" w:space="0" w:color="auto"/>
              <w:bottom w:val="nil"/>
              <w:right w:val="single" w:sz="4" w:space="0" w:color="auto"/>
            </w:tcBorders>
          </w:tcPr>
          <w:p w14:paraId="71E87F75"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30</w:t>
            </w:r>
          </w:p>
        </w:tc>
      </w:tr>
      <w:tr w:rsidR="0085433F" w:rsidRPr="000C156A" w14:paraId="53C152DB" w14:textId="77777777" w:rsidTr="003A64C9">
        <w:tc>
          <w:tcPr>
            <w:tcW w:w="3998" w:type="dxa"/>
            <w:tcBorders>
              <w:top w:val="nil"/>
              <w:left w:val="single" w:sz="4" w:space="0" w:color="auto"/>
              <w:bottom w:val="nil"/>
              <w:right w:val="single" w:sz="4" w:space="0" w:color="auto"/>
            </w:tcBorders>
            <w:hideMark/>
          </w:tcPr>
          <w:p w14:paraId="51512C6F" w14:textId="77777777" w:rsidR="0085433F" w:rsidRPr="000C156A" w:rsidRDefault="0085433F" w:rsidP="003A64C9">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交通设施</w:t>
            </w:r>
          </w:p>
        </w:tc>
        <w:tc>
          <w:tcPr>
            <w:tcW w:w="2835" w:type="dxa"/>
            <w:tcBorders>
              <w:top w:val="nil"/>
              <w:left w:val="single" w:sz="4" w:space="0" w:color="auto"/>
              <w:bottom w:val="nil"/>
              <w:right w:val="single" w:sz="4" w:space="0" w:color="auto"/>
            </w:tcBorders>
            <w:hideMark/>
          </w:tcPr>
          <w:p w14:paraId="3222868D"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c>
          <w:tcPr>
            <w:tcW w:w="2688" w:type="dxa"/>
            <w:tcBorders>
              <w:top w:val="nil"/>
              <w:left w:val="single" w:sz="4" w:space="0" w:color="auto"/>
              <w:bottom w:val="nil"/>
              <w:right w:val="single" w:sz="4" w:space="0" w:color="auto"/>
            </w:tcBorders>
          </w:tcPr>
          <w:p w14:paraId="71909C19"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40</w:t>
            </w:r>
          </w:p>
        </w:tc>
      </w:tr>
      <w:tr w:rsidR="0085433F" w:rsidRPr="000C156A" w14:paraId="4B815248" w14:textId="77777777" w:rsidTr="003A64C9">
        <w:tc>
          <w:tcPr>
            <w:tcW w:w="3998" w:type="dxa"/>
            <w:tcBorders>
              <w:top w:val="nil"/>
              <w:left w:val="single" w:sz="4" w:space="0" w:color="auto"/>
              <w:bottom w:val="nil"/>
              <w:right w:val="single" w:sz="4" w:space="0" w:color="auto"/>
            </w:tcBorders>
          </w:tcPr>
          <w:p w14:paraId="3A948B6D" w14:textId="77777777" w:rsidR="0085433F" w:rsidRPr="000C156A" w:rsidRDefault="0085433F" w:rsidP="003A64C9">
            <w:pPr>
              <w:tabs>
                <w:tab w:val="left" w:pos="459"/>
              </w:tabs>
              <w:spacing w:before="20"/>
              <w:rPr>
                <w:color w:val="000000"/>
                <w:sz w:val="22"/>
                <w:szCs w:val="18"/>
                <w:lang w:val="en-US" w:eastAsia="zh-CN"/>
              </w:rPr>
            </w:pPr>
            <w:r w:rsidRPr="000C156A">
              <w:rPr>
                <w:color w:val="000000"/>
                <w:sz w:val="22"/>
                <w:szCs w:val="18"/>
                <w:lang w:val="en-US" w:eastAsia="zh-CN"/>
              </w:rPr>
              <w:tab/>
            </w:r>
            <w:r w:rsidRPr="000C156A">
              <w:rPr>
                <w:rFonts w:hint="eastAsia"/>
                <w:color w:val="000000"/>
                <w:sz w:val="22"/>
                <w:szCs w:val="18"/>
                <w:lang w:val="en-US" w:eastAsia="zh-CN"/>
              </w:rPr>
              <w:t>其他建筑资产</w:t>
            </w:r>
          </w:p>
        </w:tc>
        <w:tc>
          <w:tcPr>
            <w:tcW w:w="2835" w:type="dxa"/>
            <w:tcBorders>
              <w:top w:val="nil"/>
              <w:left w:val="single" w:sz="4" w:space="0" w:color="auto"/>
              <w:bottom w:val="nil"/>
              <w:right w:val="single" w:sz="4" w:space="0" w:color="auto"/>
            </w:tcBorders>
          </w:tcPr>
          <w:p w14:paraId="6FB5B5B4"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p>
        </w:tc>
        <w:tc>
          <w:tcPr>
            <w:tcW w:w="2688" w:type="dxa"/>
            <w:tcBorders>
              <w:top w:val="nil"/>
              <w:left w:val="single" w:sz="4" w:space="0" w:color="auto"/>
              <w:bottom w:val="nil"/>
              <w:right w:val="single" w:sz="4" w:space="0" w:color="auto"/>
            </w:tcBorders>
          </w:tcPr>
          <w:p w14:paraId="2908A3D1"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10</w:t>
            </w:r>
          </w:p>
        </w:tc>
      </w:tr>
      <w:tr w:rsidR="0085433F" w:rsidRPr="000C156A" w14:paraId="3BF9B789" w14:textId="77777777" w:rsidTr="003A64C9">
        <w:trPr>
          <w:trHeight w:val="170"/>
        </w:trPr>
        <w:tc>
          <w:tcPr>
            <w:tcW w:w="3998" w:type="dxa"/>
            <w:tcBorders>
              <w:top w:val="nil"/>
              <w:left w:val="single" w:sz="4" w:space="0" w:color="auto"/>
              <w:bottom w:val="nil"/>
              <w:right w:val="single" w:sz="4" w:space="0" w:color="auto"/>
            </w:tcBorders>
          </w:tcPr>
          <w:p w14:paraId="3B3E6754" w14:textId="77777777" w:rsidR="0085433F" w:rsidRPr="000C156A" w:rsidRDefault="0085433F" w:rsidP="003A64C9">
            <w:pPr>
              <w:pStyle w:val="Tabletext"/>
              <w:spacing w:before="20" w:after="20"/>
              <w:rPr>
                <w:sz w:val="12"/>
                <w:szCs w:val="8"/>
                <w:lang w:val="en-US" w:eastAsia="fr-FR"/>
              </w:rPr>
            </w:pPr>
          </w:p>
        </w:tc>
        <w:tc>
          <w:tcPr>
            <w:tcW w:w="2835" w:type="dxa"/>
            <w:tcBorders>
              <w:top w:val="nil"/>
              <w:left w:val="single" w:sz="4" w:space="0" w:color="auto"/>
              <w:bottom w:val="nil"/>
              <w:right w:val="single" w:sz="4" w:space="0" w:color="auto"/>
            </w:tcBorders>
          </w:tcPr>
          <w:p w14:paraId="640ECCD1"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p>
        </w:tc>
        <w:tc>
          <w:tcPr>
            <w:tcW w:w="2688" w:type="dxa"/>
            <w:tcBorders>
              <w:top w:val="nil"/>
              <w:left w:val="single" w:sz="4" w:space="0" w:color="auto"/>
              <w:bottom w:val="nil"/>
              <w:right w:val="single" w:sz="4" w:space="0" w:color="auto"/>
            </w:tcBorders>
          </w:tcPr>
          <w:p w14:paraId="26D45CD2"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p>
        </w:tc>
      </w:tr>
      <w:tr w:rsidR="0085433F" w:rsidRPr="000C156A" w14:paraId="3810A60A" w14:textId="77777777" w:rsidTr="003A64C9">
        <w:tc>
          <w:tcPr>
            <w:tcW w:w="3998" w:type="dxa"/>
            <w:tcBorders>
              <w:top w:val="nil"/>
              <w:left w:val="single" w:sz="4" w:space="0" w:color="auto"/>
              <w:bottom w:val="nil"/>
              <w:right w:val="single" w:sz="4" w:space="0" w:color="auto"/>
            </w:tcBorders>
            <w:hideMark/>
          </w:tcPr>
          <w:p w14:paraId="7602D50A" w14:textId="77777777" w:rsidR="0085433F" w:rsidRPr="000C156A" w:rsidRDefault="0085433F" w:rsidP="003A64C9">
            <w:pPr>
              <w:pStyle w:val="Tabletext"/>
              <w:spacing w:before="20" w:after="20"/>
              <w:rPr>
                <w:szCs w:val="18"/>
                <w:lang w:val="en-US" w:eastAsia="zh-CN"/>
              </w:rPr>
            </w:pPr>
            <w:r w:rsidRPr="000C156A">
              <w:rPr>
                <w:rFonts w:hint="eastAsia"/>
                <w:color w:val="000000"/>
                <w:szCs w:val="18"/>
                <w:lang w:val="en-US" w:eastAsia="zh-CN"/>
              </w:rPr>
              <w:t>机械和设备</w:t>
            </w:r>
          </w:p>
        </w:tc>
        <w:tc>
          <w:tcPr>
            <w:tcW w:w="2835" w:type="dxa"/>
            <w:tcBorders>
              <w:top w:val="nil"/>
              <w:left w:val="single" w:sz="4" w:space="0" w:color="auto"/>
              <w:bottom w:val="nil"/>
              <w:right w:val="single" w:sz="4" w:space="0" w:color="auto"/>
            </w:tcBorders>
            <w:hideMark/>
          </w:tcPr>
          <w:p w14:paraId="65B3CB67"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c>
          <w:tcPr>
            <w:tcW w:w="2688" w:type="dxa"/>
            <w:tcBorders>
              <w:top w:val="nil"/>
              <w:left w:val="single" w:sz="4" w:space="0" w:color="auto"/>
              <w:bottom w:val="nil"/>
              <w:right w:val="single" w:sz="4" w:space="0" w:color="auto"/>
            </w:tcBorders>
          </w:tcPr>
          <w:p w14:paraId="3D8F287A"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r>
      <w:tr w:rsidR="0085433F" w:rsidRPr="000C156A" w14:paraId="5F7D339E" w14:textId="77777777" w:rsidTr="003A64C9">
        <w:tc>
          <w:tcPr>
            <w:tcW w:w="3998" w:type="dxa"/>
            <w:tcBorders>
              <w:top w:val="nil"/>
              <w:left w:val="single" w:sz="4" w:space="0" w:color="auto"/>
              <w:bottom w:val="nil"/>
              <w:right w:val="single" w:sz="4" w:space="0" w:color="auto"/>
            </w:tcBorders>
            <w:hideMark/>
          </w:tcPr>
          <w:p w14:paraId="71BE9FAD" w14:textId="77777777" w:rsidR="0085433F" w:rsidRPr="000C156A" w:rsidRDefault="0085433F" w:rsidP="003A64C9">
            <w:pPr>
              <w:pStyle w:val="Tabletext"/>
              <w:spacing w:before="20" w:after="20"/>
              <w:rPr>
                <w:szCs w:val="18"/>
                <w:lang w:val="en-US" w:eastAsia="zh-CN"/>
              </w:rPr>
            </w:pPr>
            <w:r w:rsidRPr="000C156A">
              <w:rPr>
                <w:rFonts w:hint="eastAsia"/>
                <w:color w:val="000000"/>
                <w:szCs w:val="18"/>
                <w:lang w:val="en-US" w:eastAsia="zh-CN"/>
              </w:rPr>
              <w:t>家具和装置</w:t>
            </w:r>
          </w:p>
        </w:tc>
        <w:tc>
          <w:tcPr>
            <w:tcW w:w="2835" w:type="dxa"/>
            <w:tcBorders>
              <w:top w:val="nil"/>
              <w:left w:val="single" w:sz="4" w:space="0" w:color="auto"/>
              <w:bottom w:val="nil"/>
              <w:right w:val="single" w:sz="4" w:space="0" w:color="auto"/>
            </w:tcBorders>
            <w:hideMark/>
          </w:tcPr>
          <w:p w14:paraId="3900AC14"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c>
          <w:tcPr>
            <w:tcW w:w="2688" w:type="dxa"/>
            <w:tcBorders>
              <w:top w:val="nil"/>
              <w:left w:val="single" w:sz="4" w:space="0" w:color="auto"/>
              <w:bottom w:val="nil"/>
              <w:right w:val="single" w:sz="4" w:space="0" w:color="auto"/>
            </w:tcBorders>
          </w:tcPr>
          <w:p w14:paraId="69D65B65"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r>
      <w:tr w:rsidR="0085433F" w:rsidRPr="000C156A" w14:paraId="34308725" w14:textId="77777777" w:rsidTr="003A64C9">
        <w:tc>
          <w:tcPr>
            <w:tcW w:w="3998" w:type="dxa"/>
            <w:tcBorders>
              <w:top w:val="nil"/>
              <w:left w:val="single" w:sz="4" w:space="0" w:color="auto"/>
              <w:bottom w:val="nil"/>
              <w:right w:val="single" w:sz="4" w:space="0" w:color="auto"/>
            </w:tcBorders>
            <w:hideMark/>
          </w:tcPr>
          <w:p w14:paraId="61320CE3" w14:textId="77777777" w:rsidR="0085433F" w:rsidRPr="000C156A" w:rsidRDefault="0085433F" w:rsidP="003A64C9">
            <w:pPr>
              <w:pStyle w:val="Tabletext"/>
              <w:spacing w:before="20" w:after="20"/>
              <w:rPr>
                <w:szCs w:val="18"/>
                <w:lang w:val="en-US" w:eastAsia="zh-CN"/>
              </w:rPr>
            </w:pPr>
            <w:r w:rsidRPr="000C156A">
              <w:rPr>
                <w:rFonts w:hint="eastAsia"/>
                <w:color w:val="000000"/>
                <w:szCs w:val="18"/>
                <w:lang w:val="en-US" w:eastAsia="zh-CN"/>
              </w:rPr>
              <w:t>车辆</w:t>
            </w:r>
          </w:p>
        </w:tc>
        <w:tc>
          <w:tcPr>
            <w:tcW w:w="2835" w:type="dxa"/>
            <w:tcBorders>
              <w:top w:val="nil"/>
              <w:left w:val="single" w:sz="4" w:space="0" w:color="auto"/>
              <w:bottom w:val="nil"/>
              <w:right w:val="single" w:sz="4" w:space="0" w:color="auto"/>
            </w:tcBorders>
            <w:hideMark/>
          </w:tcPr>
          <w:p w14:paraId="58254E29"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c>
          <w:tcPr>
            <w:tcW w:w="2688" w:type="dxa"/>
            <w:tcBorders>
              <w:top w:val="nil"/>
              <w:left w:val="single" w:sz="4" w:space="0" w:color="auto"/>
              <w:bottom w:val="nil"/>
              <w:right w:val="single" w:sz="4" w:space="0" w:color="auto"/>
            </w:tcBorders>
          </w:tcPr>
          <w:p w14:paraId="2A3451BD"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5</w:t>
            </w:r>
          </w:p>
        </w:tc>
      </w:tr>
      <w:tr w:rsidR="0085433F" w:rsidRPr="000C156A" w14:paraId="61D602CB" w14:textId="77777777" w:rsidTr="003A64C9">
        <w:tc>
          <w:tcPr>
            <w:tcW w:w="3998" w:type="dxa"/>
            <w:tcBorders>
              <w:top w:val="nil"/>
              <w:left w:val="single" w:sz="4" w:space="0" w:color="auto"/>
              <w:bottom w:val="nil"/>
              <w:right w:val="single" w:sz="4" w:space="0" w:color="auto"/>
            </w:tcBorders>
            <w:hideMark/>
          </w:tcPr>
          <w:p w14:paraId="44BD54DB" w14:textId="77777777" w:rsidR="0085433F" w:rsidRPr="000C156A" w:rsidRDefault="0085433F" w:rsidP="003A64C9">
            <w:pPr>
              <w:pStyle w:val="Tabletext"/>
              <w:spacing w:before="20" w:after="20"/>
              <w:rPr>
                <w:szCs w:val="18"/>
                <w:lang w:val="en-US" w:eastAsia="zh-CN"/>
              </w:rPr>
            </w:pPr>
            <w:r w:rsidRPr="000C156A">
              <w:rPr>
                <w:rFonts w:hint="eastAsia"/>
                <w:color w:val="000000"/>
                <w:szCs w:val="18"/>
                <w:lang w:val="en-US" w:eastAsia="zh-CN"/>
              </w:rPr>
              <w:t>计算机硬件</w:t>
            </w:r>
          </w:p>
        </w:tc>
        <w:tc>
          <w:tcPr>
            <w:tcW w:w="2835" w:type="dxa"/>
            <w:tcBorders>
              <w:top w:val="nil"/>
              <w:left w:val="single" w:sz="4" w:space="0" w:color="auto"/>
              <w:bottom w:val="nil"/>
              <w:right w:val="single" w:sz="4" w:space="0" w:color="auto"/>
            </w:tcBorders>
            <w:hideMark/>
          </w:tcPr>
          <w:p w14:paraId="2E6D3B2A"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w:t>
            </w:r>
          </w:p>
        </w:tc>
        <w:tc>
          <w:tcPr>
            <w:tcW w:w="2688" w:type="dxa"/>
            <w:tcBorders>
              <w:top w:val="nil"/>
              <w:left w:val="single" w:sz="4" w:space="0" w:color="auto"/>
              <w:bottom w:val="nil"/>
              <w:right w:val="single" w:sz="4" w:space="0" w:color="auto"/>
            </w:tcBorders>
          </w:tcPr>
          <w:p w14:paraId="2F83796C"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w:t>
            </w:r>
          </w:p>
        </w:tc>
      </w:tr>
      <w:tr w:rsidR="0085433F" w:rsidRPr="000C156A" w14:paraId="4EB76175" w14:textId="77777777" w:rsidTr="003A64C9">
        <w:tc>
          <w:tcPr>
            <w:tcW w:w="3998" w:type="dxa"/>
            <w:tcBorders>
              <w:top w:val="nil"/>
              <w:left w:val="single" w:sz="4" w:space="0" w:color="auto"/>
              <w:bottom w:val="nil"/>
              <w:right w:val="single" w:sz="4" w:space="0" w:color="auto"/>
            </w:tcBorders>
          </w:tcPr>
          <w:p w14:paraId="6A36086D" w14:textId="77777777" w:rsidR="0085433F" w:rsidRPr="000C156A" w:rsidRDefault="0085433F" w:rsidP="003A64C9">
            <w:pPr>
              <w:pStyle w:val="TableText0"/>
              <w:spacing w:before="0" w:after="0"/>
              <w:rPr>
                <w:sz w:val="12"/>
                <w:szCs w:val="8"/>
                <w:lang w:val="en-US" w:eastAsia="fr-FR"/>
              </w:rPr>
            </w:pPr>
          </w:p>
        </w:tc>
        <w:tc>
          <w:tcPr>
            <w:tcW w:w="2835" w:type="dxa"/>
            <w:tcBorders>
              <w:top w:val="nil"/>
              <w:left w:val="single" w:sz="4" w:space="0" w:color="auto"/>
              <w:bottom w:val="nil"/>
              <w:right w:val="single" w:sz="4" w:space="0" w:color="auto"/>
            </w:tcBorders>
          </w:tcPr>
          <w:p w14:paraId="35EE1FE8"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p>
        </w:tc>
        <w:tc>
          <w:tcPr>
            <w:tcW w:w="2688" w:type="dxa"/>
            <w:tcBorders>
              <w:top w:val="nil"/>
              <w:left w:val="single" w:sz="4" w:space="0" w:color="auto"/>
              <w:bottom w:val="nil"/>
              <w:right w:val="single" w:sz="4" w:space="0" w:color="auto"/>
            </w:tcBorders>
          </w:tcPr>
          <w:p w14:paraId="0B4AC6C0"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p>
        </w:tc>
      </w:tr>
      <w:tr w:rsidR="0085433F" w:rsidRPr="000C156A" w14:paraId="247723A4" w14:textId="77777777" w:rsidTr="003A64C9">
        <w:tc>
          <w:tcPr>
            <w:tcW w:w="3998" w:type="dxa"/>
            <w:tcBorders>
              <w:top w:val="nil"/>
              <w:left w:val="single" w:sz="4" w:space="0" w:color="auto"/>
              <w:bottom w:val="single" w:sz="4" w:space="0" w:color="auto"/>
              <w:right w:val="single" w:sz="4" w:space="0" w:color="auto"/>
            </w:tcBorders>
            <w:hideMark/>
          </w:tcPr>
          <w:p w14:paraId="6C2297B3" w14:textId="77777777" w:rsidR="0085433F" w:rsidRPr="000C156A" w:rsidRDefault="0085433F" w:rsidP="003A64C9">
            <w:pPr>
              <w:pStyle w:val="Tabletext"/>
              <w:spacing w:before="20" w:after="20"/>
              <w:rPr>
                <w:szCs w:val="18"/>
                <w:lang w:val="en-US" w:eastAsia="zh-CN"/>
              </w:rPr>
            </w:pPr>
            <w:r w:rsidRPr="000C156A">
              <w:rPr>
                <w:rFonts w:hint="eastAsia"/>
                <w:color w:val="000000"/>
                <w:szCs w:val="18"/>
                <w:lang w:val="en-US" w:eastAsia="zh-CN"/>
              </w:rPr>
              <w:t>许可和软件包</w:t>
            </w:r>
          </w:p>
        </w:tc>
        <w:tc>
          <w:tcPr>
            <w:tcW w:w="2835" w:type="dxa"/>
            <w:tcBorders>
              <w:top w:val="nil"/>
              <w:left w:val="single" w:sz="4" w:space="0" w:color="auto"/>
              <w:bottom w:val="single" w:sz="4" w:space="0" w:color="auto"/>
              <w:right w:val="single" w:sz="4" w:space="0" w:color="auto"/>
            </w:tcBorders>
            <w:hideMark/>
          </w:tcPr>
          <w:p w14:paraId="062291D6"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w:t>
            </w:r>
          </w:p>
        </w:tc>
        <w:tc>
          <w:tcPr>
            <w:tcW w:w="2688" w:type="dxa"/>
            <w:tcBorders>
              <w:top w:val="nil"/>
              <w:left w:val="single" w:sz="4" w:space="0" w:color="auto"/>
              <w:bottom w:val="single" w:sz="4" w:space="0" w:color="auto"/>
              <w:right w:val="single" w:sz="4" w:space="0" w:color="auto"/>
            </w:tcBorders>
          </w:tcPr>
          <w:p w14:paraId="7741701E" w14:textId="77777777" w:rsidR="0085433F" w:rsidRPr="000C156A" w:rsidRDefault="0085433F" w:rsidP="003A64C9">
            <w:pPr>
              <w:pStyle w:val="Tabletext"/>
              <w:spacing w:before="20" w:after="0"/>
              <w:ind w:right="424"/>
              <w:jc w:val="right"/>
              <w:rPr>
                <w:rFonts w:asciiTheme="minorHAnsi" w:eastAsiaTheme="minorEastAsia" w:hAnsiTheme="minorHAnsi" w:cstheme="minorHAnsi"/>
                <w:szCs w:val="22"/>
                <w:lang w:val="fr-FR" w:eastAsia="fr-FR"/>
              </w:rPr>
            </w:pPr>
            <w:r w:rsidRPr="000C156A">
              <w:rPr>
                <w:rFonts w:asciiTheme="minorHAnsi" w:eastAsiaTheme="minorEastAsia" w:hAnsiTheme="minorHAnsi" w:cstheme="minorHAnsi"/>
                <w:szCs w:val="22"/>
                <w:lang w:val="fr-FR" w:eastAsia="fr-FR"/>
              </w:rPr>
              <w:t>3</w:t>
            </w:r>
          </w:p>
        </w:tc>
      </w:tr>
    </w:tbl>
    <w:p w14:paraId="099EFE0F" w14:textId="77777777" w:rsidR="0085433F" w:rsidRPr="000C156A" w:rsidRDefault="0085433F" w:rsidP="0085433F">
      <w:pPr>
        <w:ind w:firstLineChars="200" w:firstLine="480"/>
        <w:rPr>
          <w:lang w:eastAsia="zh-CN"/>
        </w:rPr>
      </w:pPr>
      <w:r w:rsidRPr="000C156A">
        <w:rPr>
          <w:rFonts w:hint="eastAsia"/>
          <w:lang w:eastAsia="zh-CN"/>
        </w:rPr>
        <w:t>在每年的结账日，国际电联评估资产是否具有减值迹象。如存在这种情况，估计资产的可收回金额。当账面金额大于可收回金额时，将减值损失记录在财务业绩报表中。</w:t>
      </w:r>
    </w:p>
    <w:p w14:paraId="338530C2" w14:textId="77777777" w:rsidR="0085433F" w:rsidRPr="000C156A" w:rsidRDefault="0085433F" w:rsidP="0085433F">
      <w:pPr>
        <w:ind w:firstLineChars="200" w:firstLine="480"/>
        <w:rPr>
          <w:lang w:eastAsia="zh-CN"/>
        </w:rPr>
      </w:pPr>
      <w:r w:rsidRPr="000C156A">
        <w:rPr>
          <w:rFonts w:hint="eastAsia"/>
          <w:lang w:eastAsia="zh-CN"/>
        </w:rPr>
        <w:t>可收回金额是公允价值减处置费用和使用价值中的较高值。资产的可收回金额单独计算。非商业用途的固定资产的使用价值对应于使用该资产预期得到的服务潜力现值。</w:t>
      </w:r>
    </w:p>
    <w:p w14:paraId="17AC5BDE" w14:textId="77777777" w:rsidR="0085433F" w:rsidRPr="000C156A" w:rsidRDefault="0085433F" w:rsidP="0085433F">
      <w:pPr>
        <w:ind w:firstLineChars="200" w:firstLine="480"/>
        <w:rPr>
          <w:lang w:eastAsia="zh-CN"/>
        </w:rPr>
      </w:pPr>
      <w:r w:rsidRPr="000C156A">
        <w:rPr>
          <w:rFonts w:hint="eastAsia"/>
          <w:lang w:eastAsia="zh-CN"/>
        </w:rPr>
        <w:t>如自上一次估算以来对可收回金额的估算发生变化，以前阶段确认的减值损失转回。资产的净账面金额提升，但不得超过如最初未确认减值损失资产采用的净账面金额。转回记录在财务业绩报表中。</w:t>
      </w:r>
    </w:p>
    <w:p w14:paraId="4A4D21E0" w14:textId="77777777" w:rsidR="0085433F" w:rsidRPr="00012E88" w:rsidRDefault="0085433F" w:rsidP="00012E88">
      <w:pPr>
        <w:pStyle w:val="Heading5"/>
        <w:rPr>
          <w:b/>
          <w:bCs/>
          <w:i w:val="0"/>
          <w:u w:val="single"/>
          <w:lang w:val="fr-FR" w:eastAsia="zh-CN"/>
        </w:rPr>
      </w:pPr>
      <w:bookmarkStart w:id="440" w:name="_Toc482892550"/>
      <w:bookmarkStart w:id="441" w:name="_Toc329011619"/>
      <w:bookmarkStart w:id="442" w:name="_Toc41905851"/>
      <w:bookmarkStart w:id="443" w:name="_Toc110265694"/>
      <w:r w:rsidRPr="00012E88">
        <w:rPr>
          <w:rFonts w:hint="eastAsia"/>
          <w:b/>
          <w:bCs/>
          <w:i w:val="0"/>
          <w:u w:val="single"/>
          <w:lang w:val="fr-FR" w:eastAsia="zh-CN"/>
        </w:rPr>
        <w:t>租赁的固定资产</w:t>
      </w:r>
      <w:bookmarkEnd w:id="440"/>
      <w:bookmarkEnd w:id="441"/>
      <w:bookmarkEnd w:id="442"/>
      <w:bookmarkEnd w:id="443"/>
    </w:p>
    <w:p w14:paraId="0C195A22" w14:textId="35BDAA46" w:rsidR="0085433F" w:rsidRPr="000C156A" w:rsidRDefault="0085433F" w:rsidP="0085433F">
      <w:pPr>
        <w:ind w:firstLineChars="200" w:firstLine="480"/>
        <w:rPr>
          <w:lang w:eastAsia="zh-CN"/>
        </w:rPr>
      </w:pPr>
      <w:r w:rsidRPr="000C156A">
        <w:rPr>
          <w:rFonts w:hint="eastAsia"/>
          <w:lang w:eastAsia="zh-CN"/>
        </w:rPr>
        <w:t>国际电联在其活动框架内可能使用租赁资产。这些租赁资产按照</w:t>
      </w:r>
      <w:r w:rsidRPr="000C156A">
        <w:rPr>
          <w:lang w:eastAsia="zh-CN"/>
        </w:rPr>
        <w:t>IPSAS</w:t>
      </w:r>
      <w:r w:rsidRPr="000C156A">
        <w:rPr>
          <w:rFonts w:hint="eastAsia"/>
          <w:lang w:eastAsia="zh-CN"/>
        </w:rPr>
        <w:t>第</w:t>
      </w:r>
      <w:r w:rsidRPr="000C156A">
        <w:rPr>
          <w:lang w:eastAsia="zh-CN"/>
        </w:rPr>
        <w:t>13</w:t>
      </w:r>
      <w:r w:rsidRPr="000C156A">
        <w:rPr>
          <w:rFonts w:hint="eastAsia"/>
          <w:lang w:eastAsia="zh-CN"/>
        </w:rPr>
        <w:t>号所述情况和指标予以分析，从而确定其属于经营性租赁，还是融资租赁。截至</w:t>
      </w:r>
      <w:r w:rsidRPr="000C156A">
        <w:rPr>
          <w:lang w:eastAsia="zh-CN"/>
        </w:rPr>
        <w:t>20</w:t>
      </w:r>
      <w:r w:rsidR="00012E88">
        <w:rPr>
          <w:lang w:eastAsia="zh-CN"/>
        </w:rPr>
        <w:t>21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日，国际电联进行的租赁符合经营性租赁，因此被确认为经营性租赁。有关这些租赁的缴付在财务业绩报表中直接确认为租赁期内的费用。</w:t>
      </w:r>
    </w:p>
    <w:p w14:paraId="43A36FF7" w14:textId="77777777" w:rsidR="0085433F" w:rsidRPr="00012E88" w:rsidRDefault="0085433F" w:rsidP="00012E88">
      <w:pPr>
        <w:pStyle w:val="Heading5"/>
        <w:rPr>
          <w:b/>
          <w:bCs/>
          <w:i w:val="0"/>
          <w:u w:val="single"/>
          <w:lang w:eastAsia="zh-CN"/>
        </w:rPr>
      </w:pPr>
      <w:bookmarkStart w:id="444" w:name="_Toc482892551"/>
      <w:bookmarkStart w:id="445" w:name="_Toc329011620"/>
      <w:bookmarkStart w:id="446" w:name="_Toc305764071"/>
      <w:bookmarkStart w:id="447" w:name="_Toc41905852"/>
      <w:bookmarkStart w:id="448" w:name="_Toc110265695"/>
      <w:r w:rsidRPr="00012E88">
        <w:rPr>
          <w:rFonts w:hint="eastAsia"/>
          <w:b/>
          <w:bCs/>
          <w:i w:val="0"/>
          <w:u w:val="single"/>
          <w:lang w:val="fr-FR" w:eastAsia="zh-CN"/>
        </w:rPr>
        <w:t>无形资产</w:t>
      </w:r>
      <w:bookmarkEnd w:id="444"/>
      <w:bookmarkEnd w:id="445"/>
      <w:bookmarkEnd w:id="446"/>
      <w:bookmarkEnd w:id="447"/>
      <w:bookmarkEnd w:id="448"/>
    </w:p>
    <w:p w14:paraId="700B379C" w14:textId="77777777" w:rsidR="0085433F" w:rsidRPr="000C156A" w:rsidRDefault="0085433F" w:rsidP="0085433F">
      <w:pPr>
        <w:ind w:firstLineChars="200" w:firstLine="480"/>
        <w:rPr>
          <w:lang w:eastAsia="zh-CN"/>
        </w:rPr>
      </w:pPr>
      <w:r w:rsidRPr="000C156A">
        <w:rPr>
          <w:rFonts w:hint="eastAsia"/>
          <w:lang w:eastAsia="zh-CN"/>
        </w:rPr>
        <w:t>由信息技术（</w:t>
      </w:r>
      <w:r w:rsidRPr="000C156A">
        <w:rPr>
          <w:lang w:eastAsia="zh-CN"/>
        </w:rPr>
        <w:t>IT</w:t>
      </w:r>
      <w:r w:rsidRPr="000C156A">
        <w:rPr>
          <w:lang w:eastAsia="zh-CN"/>
        </w:rPr>
        <w:t>）</w:t>
      </w:r>
      <w:r w:rsidRPr="000C156A">
        <w:rPr>
          <w:rFonts w:hint="eastAsia"/>
          <w:lang w:eastAsia="zh-CN"/>
        </w:rPr>
        <w:t>许可和软件组成、价值超过</w:t>
      </w:r>
      <w:r w:rsidRPr="000C156A">
        <w:rPr>
          <w:lang w:eastAsia="zh-CN"/>
        </w:rPr>
        <w:t>50 000</w:t>
      </w:r>
      <w:r w:rsidRPr="000C156A">
        <w:rPr>
          <w:rFonts w:hint="eastAsia"/>
          <w:lang w:eastAsia="zh-CN"/>
        </w:rPr>
        <w:t>瑞郎的无形资产按照其历史成本减累积折旧和减值损失确认，使用净值的开账余额除外。许可、软件包、专利和权利在三年时间内直接摊消。</w:t>
      </w:r>
    </w:p>
    <w:p w14:paraId="7961568D" w14:textId="77777777" w:rsidR="0085433F" w:rsidRPr="000C156A" w:rsidRDefault="0085433F" w:rsidP="0085433F">
      <w:pPr>
        <w:ind w:firstLineChars="200" w:firstLine="480"/>
        <w:rPr>
          <w:lang w:eastAsia="zh-CN"/>
        </w:rPr>
      </w:pPr>
      <w:r w:rsidRPr="000C156A">
        <w:rPr>
          <w:rFonts w:hint="eastAsia"/>
          <w:lang w:eastAsia="zh-CN"/>
        </w:rPr>
        <w:t>所有成本等于或小于</w:t>
      </w:r>
      <w:r w:rsidRPr="000C156A">
        <w:rPr>
          <w:lang w:eastAsia="zh-CN"/>
        </w:rPr>
        <w:t>50 000</w:t>
      </w:r>
      <w:r w:rsidRPr="000C156A">
        <w:rPr>
          <w:rFonts w:hint="eastAsia"/>
          <w:lang w:eastAsia="zh-CN"/>
        </w:rPr>
        <w:t>瑞郎的货物在收到时予以资本化并在购买后月结账时在财务业绩报表中全部确认为费用。</w:t>
      </w:r>
    </w:p>
    <w:p w14:paraId="26425B3B" w14:textId="77777777" w:rsidR="0085433F" w:rsidRPr="000C156A" w:rsidRDefault="0085433F" w:rsidP="0085433F">
      <w:pPr>
        <w:ind w:firstLineChars="200" w:firstLine="480"/>
        <w:rPr>
          <w:lang w:eastAsia="zh-CN"/>
        </w:rPr>
      </w:pPr>
      <w:r w:rsidRPr="000C156A">
        <w:rPr>
          <w:rFonts w:hint="eastAsia"/>
          <w:lang w:eastAsia="zh-CN"/>
        </w:rPr>
        <w:lastRenderedPageBreak/>
        <w:t>如国际电联可能得益于未来的经济效益或其所归属的服务潜力，内部开发的许可、软件包和专利目前则被资本化。直接分配到国际电联控制的可确定和独一无二的软件产品的设计和测试的开发成本在结账之日满足以下条件时被确认为无形资产：</w:t>
      </w:r>
    </w:p>
    <w:p w14:paraId="5AB2B196"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软件产品的完成在技术上是可行的，因此，可供使用；</w:t>
      </w:r>
    </w:p>
    <w:p w14:paraId="1453A874"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管理层打算完成该软件产品并使用或销售该产品；</w:t>
      </w:r>
    </w:p>
    <w:p w14:paraId="68721F43"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有能力使用或销售该软件产品；</w:t>
      </w:r>
    </w:p>
    <w:p w14:paraId="7D264539"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该软件产品未来如何产生经济效益显而易见；</w:t>
      </w:r>
    </w:p>
    <w:p w14:paraId="403A8D86"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完成该软件产品的开放、使用或销售具有充足的技术、财务和其他资源，分配到属于该软件产品的开发支出可得到可靠衡量。</w:t>
      </w:r>
    </w:p>
    <w:p w14:paraId="21542439" w14:textId="77777777" w:rsidR="0085433F" w:rsidRPr="000C156A" w:rsidRDefault="0085433F" w:rsidP="0085433F">
      <w:pPr>
        <w:ind w:firstLineChars="200" w:firstLine="480"/>
        <w:rPr>
          <w:lang w:eastAsia="zh-CN"/>
        </w:rPr>
      </w:pPr>
      <w:r w:rsidRPr="000C156A">
        <w:rPr>
          <w:rFonts w:hint="eastAsia"/>
          <w:lang w:eastAsia="zh-CN"/>
        </w:rPr>
        <w:t>作为软件产品资本化组成部分的直接可归属成本包括软件开发人员成本和一定比例的相关开销。</w:t>
      </w:r>
    </w:p>
    <w:p w14:paraId="33FE70AE" w14:textId="77777777" w:rsidR="0085433F" w:rsidRPr="000C156A" w:rsidRDefault="0085433F" w:rsidP="0085433F">
      <w:pPr>
        <w:ind w:firstLineChars="200" w:firstLine="480"/>
        <w:rPr>
          <w:lang w:eastAsia="zh-CN"/>
        </w:rPr>
      </w:pPr>
      <w:r w:rsidRPr="000C156A">
        <w:rPr>
          <w:rFonts w:hint="eastAsia"/>
          <w:lang w:eastAsia="zh-CN"/>
        </w:rPr>
        <w:t>其他不满足这些标准的开发支出被视为已发生费用。之前被视为费用的开发成本在以后阶段不被视为资产。</w:t>
      </w:r>
    </w:p>
    <w:p w14:paraId="4335921C" w14:textId="77777777" w:rsidR="0085433F" w:rsidRPr="000C156A" w:rsidRDefault="0085433F" w:rsidP="0085433F">
      <w:pPr>
        <w:ind w:firstLineChars="200" w:firstLine="480"/>
        <w:rPr>
          <w:lang w:eastAsia="zh-CN"/>
        </w:rPr>
      </w:pPr>
      <w:r w:rsidRPr="000C156A">
        <w:rPr>
          <w:rFonts w:hint="eastAsia"/>
          <w:lang w:eastAsia="zh-CN"/>
        </w:rPr>
        <w:t>被视为资产的计算机软件开发成本在所估计的不超过三年的有用寿命内摊销。</w:t>
      </w:r>
    </w:p>
    <w:p w14:paraId="79332046" w14:textId="77777777" w:rsidR="0085433F" w:rsidRPr="000C156A" w:rsidRDefault="0085433F" w:rsidP="0085433F">
      <w:pPr>
        <w:ind w:firstLineChars="200" w:firstLine="480"/>
        <w:rPr>
          <w:lang w:eastAsia="zh-CN"/>
        </w:rPr>
      </w:pPr>
      <w:r w:rsidRPr="000C156A">
        <w:rPr>
          <w:rFonts w:hint="eastAsia"/>
          <w:lang w:eastAsia="zh-CN"/>
        </w:rPr>
        <w:t>计算机软件程序维护相关成本被视为已发生的费用。</w:t>
      </w:r>
    </w:p>
    <w:p w14:paraId="396A110B" w14:textId="77777777" w:rsidR="0085433F" w:rsidRPr="00012E88" w:rsidRDefault="0085433F" w:rsidP="00012E88">
      <w:pPr>
        <w:pStyle w:val="Heading5"/>
        <w:rPr>
          <w:b/>
          <w:bCs/>
          <w:i w:val="0"/>
          <w:u w:val="single"/>
          <w:lang w:eastAsia="zh-CN"/>
        </w:rPr>
      </w:pPr>
      <w:bookmarkStart w:id="449" w:name="_Toc482892552"/>
      <w:bookmarkStart w:id="450" w:name="_Toc329011621"/>
      <w:bookmarkStart w:id="451" w:name="_Toc305764072"/>
      <w:bookmarkStart w:id="452" w:name="_Toc41905853"/>
      <w:bookmarkStart w:id="453" w:name="_Toc110265696"/>
      <w:r w:rsidRPr="00012E88">
        <w:rPr>
          <w:rFonts w:hint="eastAsia"/>
          <w:b/>
          <w:bCs/>
          <w:i w:val="0"/>
          <w:u w:val="single"/>
          <w:lang w:val="fr-FR" w:eastAsia="zh-CN"/>
        </w:rPr>
        <w:t>准备金</w:t>
      </w:r>
      <w:bookmarkEnd w:id="449"/>
      <w:bookmarkEnd w:id="450"/>
      <w:bookmarkEnd w:id="451"/>
      <w:bookmarkEnd w:id="452"/>
      <w:bookmarkEnd w:id="453"/>
    </w:p>
    <w:p w14:paraId="351CB753" w14:textId="77777777" w:rsidR="0085433F" w:rsidRPr="000C156A" w:rsidRDefault="0085433F" w:rsidP="0085433F">
      <w:pPr>
        <w:ind w:firstLineChars="200" w:firstLine="480"/>
        <w:rPr>
          <w:lang w:eastAsia="zh-CN"/>
        </w:rPr>
      </w:pPr>
      <w:r w:rsidRPr="000C156A">
        <w:rPr>
          <w:rFonts w:hint="eastAsia"/>
          <w:lang w:eastAsia="zh-CN"/>
        </w:rPr>
        <w:t>准备金涉及结果、到期日或金额不确定的承付款项。当国际电联因以往事项产生法律或建设性承付款项，为履行该承付款项可能需要资金流出，而且可以可靠地估算该承付款项金额时，将准备金输入财务状况报表。</w:t>
      </w:r>
    </w:p>
    <w:p w14:paraId="29B1CD4F" w14:textId="77777777" w:rsidR="0085433F" w:rsidRPr="000C156A" w:rsidRDefault="0085433F" w:rsidP="0085433F">
      <w:pPr>
        <w:ind w:firstLineChars="200" w:firstLine="480"/>
        <w:rPr>
          <w:lang w:eastAsia="zh-CN"/>
        </w:rPr>
      </w:pPr>
      <w:r w:rsidRPr="000C156A">
        <w:rPr>
          <w:rFonts w:hint="eastAsia"/>
          <w:lang w:eastAsia="zh-CN"/>
        </w:rPr>
        <w:t>当不可能产生资源流出，或无法可靠估算时，不将承付款项记录在财务状况报表中，但披露在说明中。</w:t>
      </w:r>
    </w:p>
    <w:p w14:paraId="251E2798" w14:textId="77777777" w:rsidR="0085433F" w:rsidRPr="0076544D" w:rsidRDefault="0085433F" w:rsidP="0085433F">
      <w:pPr>
        <w:pStyle w:val="Heading5"/>
        <w:rPr>
          <w:b/>
          <w:bCs/>
          <w:i w:val="0"/>
          <w:u w:val="single"/>
          <w:lang w:eastAsia="zh-CN"/>
        </w:rPr>
      </w:pPr>
      <w:bookmarkStart w:id="454" w:name="_Toc482892553"/>
      <w:bookmarkStart w:id="455" w:name="_Toc329011622"/>
      <w:bookmarkStart w:id="456" w:name="_Toc305764073"/>
      <w:bookmarkStart w:id="457" w:name="_Toc41905854"/>
      <w:bookmarkStart w:id="458" w:name="_Toc110265697"/>
      <w:r w:rsidRPr="00B61EBD">
        <w:rPr>
          <w:rFonts w:hint="eastAsia"/>
          <w:b/>
          <w:bCs/>
          <w:i w:val="0"/>
          <w:u w:val="single"/>
          <w:lang w:val="fr-FR" w:eastAsia="zh-CN"/>
        </w:rPr>
        <w:t>备用资产和负债</w:t>
      </w:r>
      <w:bookmarkEnd w:id="454"/>
      <w:bookmarkEnd w:id="455"/>
      <w:bookmarkEnd w:id="456"/>
      <w:bookmarkEnd w:id="457"/>
      <w:bookmarkEnd w:id="458"/>
    </w:p>
    <w:p w14:paraId="10E1A82C" w14:textId="77777777" w:rsidR="0085433F" w:rsidRPr="000C156A" w:rsidRDefault="0085433F" w:rsidP="0085433F">
      <w:pPr>
        <w:ind w:firstLineChars="200" w:firstLine="480"/>
        <w:rPr>
          <w:lang w:eastAsia="zh-CN"/>
        </w:rPr>
      </w:pPr>
      <w:r w:rsidRPr="000C156A">
        <w:rPr>
          <w:rFonts w:hint="eastAsia"/>
          <w:lang w:eastAsia="zh-CN"/>
        </w:rPr>
        <w:t>备用资产和负债是由以往事项产生的潜在权利和承付款项，其存在仅能通过不完全由国际电联控制的一个或多个不确定未来事项的发生或不发生予以证实。这些项目披露在说明中。</w:t>
      </w:r>
    </w:p>
    <w:p w14:paraId="3BFD4B12" w14:textId="77777777" w:rsidR="0085433F" w:rsidRPr="00B61EBD" w:rsidRDefault="0085433F" w:rsidP="0085433F">
      <w:pPr>
        <w:pStyle w:val="Heading5"/>
        <w:rPr>
          <w:b/>
          <w:bCs/>
          <w:i w:val="0"/>
          <w:u w:val="single"/>
          <w:lang w:val="fr-FR" w:eastAsia="zh-CN"/>
        </w:rPr>
      </w:pPr>
      <w:bookmarkStart w:id="459" w:name="_Toc482892554"/>
      <w:bookmarkStart w:id="460" w:name="_Toc41905855"/>
      <w:bookmarkStart w:id="461" w:name="_Toc110265698"/>
      <w:r w:rsidRPr="00B61EBD">
        <w:rPr>
          <w:rFonts w:hint="eastAsia"/>
          <w:b/>
          <w:bCs/>
          <w:i w:val="0"/>
          <w:u w:val="single"/>
          <w:lang w:val="fr-FR" w:eastAsia="zh-CN"/>
        </w:rPr>
        <w:t>职员福利</w:t>
      </w:r>
      <w:bookmarkEnd w:id="459"/>
      <w:bookmarkEnd w:id="460"/>
      <w:bookmarkEnd w:id="461"/>
    </w:p>
    <w:p w14:paraId="7F35B605" w14:textId="77777777" w:rsidR="0085433F" w:rsidRPr="000C156A" w:rsidRDefault="0085433F" w:rsidP="0085433F">
      <w:pPr>
        <w:ind w:firstLineChars="200" w:firstLine="480"/>
        <w:rPr>
          <w:lang w:eastAsia="zh-CN"/>
        </w:rPr>
      </w:pPr>
      <w:r w:rsidRPr="000C156A">
        <w:rPr>
          <w:rFonts w:hint="eastAsia"/>
          <w:lang w:eastAsia="zh-CN"/>
        </w:rPr>
        <w:t>以下职员福利得到确认：</w:t>
      </w:r>
    </w:p>
    <w:p w14:paraId="4A94DEC5"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在职员提供有关服务的阶段结账后十二个月内完全支付的短期福利；</w:t>
      </w:r>
    </w:p>
    <w:p w14:paraId="4C32F645"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因前一阶段或若干阶段可能的福利延期产生的长期福利；</w:t>
      </w:r>
    </w:p>
    <w:p w14:paraId="5A1E9293"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离职后的长期福利。</w:t>
      </w:r>
    </w:p>
    <w:p w14:paraId="61EA059D" w14:textId="77777777" w:rsidR="0085433F" w:rsidRPr="000C156A" w:rsidRDefault="0085433F" w:rsidP="0085433F">
      <w:pPr>
        <w:ind w:firstLineChars="200" w:firstLine="480"/>
        <w:rPr>
          <w:lang w:eastAsia="zh-CN"/>
        </w:rPr>
      </w:pPr>
      <w:r w:rsidRPr="000C156A">
        <w:rPr>
          <w:rFonts w:hint="eastAsia"/>
          <w:lang w:eastAsia="zh-CN"/>
        </w:rPr>
        <w:t>长期福利涉及：</w:t>
      </w:r>
    </w:p>
    <w:p w14:paraId="69E64DAC"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与应计未使用休假的可能性相关的承付款项，在确定退休日时将此考虑在内；</w:t>
      </w:r>
    </w:p>
    <w:p w14:paraId="433EA011"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与归国承付款项相关的承付款项；</w:t>
      </w:r>
    </w:p>
    <w:p w14:paraId="548F8B2F"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与联合国合办职员养恤基金相关的承付款项；</w:t>
      </w:r>
    </w:p>
    <w:p w14:paraId="21DB7034"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联合国离职后健康保险（</w:t>
      </w:r>
      <w:r w:rsidRPr="000C156A">
        <w:rPr>
          <w:lang w:eastAsia="zh-CN"/>
        </w:rPr>
        <w:t>ASHI</w:t>
      </w:r>
      <w:r w:rsidRPr="000C156A">
        <w:rPr>
          <w:rFonts w:hint="eastAsia"/>
          <w:lang w:eastAsia="zh-CN"/>
        </w:rPr>
        <w:t>）计划规定的有关离职后健康保险的承付款项；</w:t>
      </w:r>
    </w:p>
    <w:p w14:paraId="7A6C4478"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与原养恤金计划相关的承付款项，以便确定国际电联在该阶段结束日的承付款项。</w:t>
      </w:r>
    </w:p>
    <w:p w14:paraId="268B97AC" w14:textId="77777777" w:rsidR="0085433F" w:rsidRPr="000C156A" w:rsidRDefault="0085433F" w:rsidP="0085433F">
      <w:pPr>
        <w:ind w:firstLineChars="200" w:firstLine="480"/>
        <w:rPr>
          <w:lang w:eastAsia="zh-CN"/>
        </w:rPr>
      </w:pPr>
      <w:r w:rsidRPr="000C156A">
        <w:rPr>
          <w:rFonts w:hint="eastAsia"/>
          <w:lang w:eastAsia="zh-CN"/>
        </w:rPr>
        <w:lastRenderedPageBreak/>
        <w:t>最后两项福利放在设定受益计划标题下，归国承付款项亦如此，这两项均为精算研究的主题。</w:t>
      </w:r>
    </w:p>
    <w:p w14:paraId="54466080" w14:textId="77777777" w:rsidR="0085433F" w:rsidRPr="000C156A" w:rsidRDefault="0085433F" w:rsidP="0085433F">
      <w:pPr>
        <w:ind w:firstLineChars="200" w:firstLine="480"/>
        <w:rPr>
          <w:lang w:eastAsia="zh-CN"/>
        </w:rPr>
      </w:pPr>
      <w:r w:rsidRPr="000C156A">
        <w:rPr>
          <w:rFonts w:hint="eastAsia"/>
          <w:lang w:eastAsia="zh-CN"/>
        </w:rPr>
        <w:t>国际电联是联合国大会成立的联合国合办职员养恤基金（</w:t>
      </w:r>
      <w:r w:rsidRPr="000C156A">
        <w:rPr>
          <w:lang w:eastAsia="zh-CN"/>
        </w:rPr>
        <w:t>UNJSPF</w:t>
      </w:r>
      <w:r w:rsidRPr="000C156A">
        <w:rPr>
          <w:rFonts w:hint="eastAsia"/>
          <w:lang w:eastAsia="zh-CN"/>
        </w:rPr>
        <w:t>）的成员组织。该基金旨在为职员提供退休、死亡、残疾和相关福利。养恤基金是资金源于多家雇主的</w:t>
      </w:r>
      <w:r w:rsidRPr="000C156A">
        <w:rPr>
          <w:lang w:eastAsia="zh-CN"/>
        </w:rPr>
        <w:t>固定收益计</w:t>
      </w:r>
      <w:r w:rsidRPr="000C156A">
        <w:rPr>
          <w:rFonts w:hint="eastAsia"/>
          <w:lang w:eastAsia="zh-CN"/>
        </w:rPr>
        <w:t>划。依据基金规则第</w:t>
      </w:r>
      <w:r w:rsidRPr="000C156A">
        <w:rPr>
          <w:lang w:eastAsia="zh-CN"/>
        </w:rPr>
        <w:t>3</w:t>
      </w:r>
      <w:r w:rsidRPr="000C156A">
        <w:rPr>
          <w:rFonts w:hint="eastAsia"/>
          <w:lang w:eastAsia="zh-CN"/>
        </w:rPr>
        <w:t>条</w:t>
      </w:r>
      <w:r w:rsidRPr="000C156A">
        <w:rPr>
          <w:lang w:eastAsia="zh-CN"/>
        </w:rPr>
        <w:t>(b)</w:t>
      </w:r>
      <w:r w:rsidRPr="000C156A">
        <w:rPr>
          <w:rFonts w:hint="eastAsia"/>
          <w:lang w:eastAsia="zh-CN"/>
        </w:rPr>
        <w:t>段，基金须向加入了联合国和专门机构薪酬、补贴和其他服务条件共同制度的专门机构和所有其他国际、政府间组织开放。</w:t>
      </w:r>
    </w:p>
    <w:p w14:paraId="2AF0DF20" w14:textId="77777777" w:rsidR="0085433F" w:rsidRPr="000C156A" w:rsidRDefault="0085433F" w:rsidP="0085433F">
      <w:pPr>
        <w:ind w:firstLineChars="200" w:firstLine="480"/>
        <w:rPr>
          <w:lang w:eastAsia="zh-CN"/>
        </w:rPr>
      </w:pPr>
      <w:r w:rsidRPr="000C156A">
        <w:rPr>
          <w:rFonts w:hint="eastAsia"/>
          <w:lang w:eastAsia="zh-CN"/>
        </w:rPr>
        <w:t>计划使成员组织面临与参加基金的其他组织现有和原有职员相关的精算风险，因此，向参加计划的各组织分配承付款项、计划资产和成本缺乏统一和可靠的基础。国际电联和</w:t>
      </w:r>
      <w:r w:rsidRPr="000C156A">
        <w:rPr>
          <w:lang w:eastAsia="zh-CN"/>
        </w:rPr>
        <w:t>UNJSPF</w:t>
      </w:r>
      <w:r w:rsidRPr="000C156A">
        <w:rPr>
          <w:rFonts w:hint="eastAsia"/>
          <w:lang w:eastAsia="zh-CN"/>
        </w:rPr>
        <w:t>与其他参加基金的组织一样，无法确定本机构在充分保证会计可靠性的情况的固定收益承付款项、计划资产和计划相关成本中的相应份额。因此，本机构按照</w:t>
      </w:r>
      <w:r w:rsidRPr="000C156A">
        <w:rPr>
          <w:lang w:eastAsia="zh-CN"/>
        </w:rPr>
        <w:t>IPSAS</w:t>
      </w:r>
      <w:r w:rsidRPr="000C156A">
        <w:rPr>
          <w:rFonts w:hint="eastAsia"/>
          <w:lang w:eastAsia="zh-CN"/>
        </w:rPr>
        <w:t xml:space="preserve"> 39</w:t>
      </w:r>
      <w:r w:rsidRPr="000C156A">
        <w:rPr>
          <w:rFonts w:hint="eastAsia"/>
          <w:lang w:eastAsia="zh-CN"/>
        </w:rPr>
        <w:t>的职员福利要求，把此计划当作固定供款计划予以处理。本机构在相关财务期内为该基金缴款在财务业绩报表中被确定为费用。</w:t>
      </w:r>
    </w:p>
    <w:p w14:paraId="75AC932E" w14:textId="77777777" w:rsidR="0085433F" w:rsidRPr="000C156A" w:rsidRDefault="0085433F" w:rsidP="0085433F">
      <w:pPr>
        <w:ind w:firstLineChars="200" w:firstLine="480"/>
        <w:rPr>
          <w:lang w:eastAsia="zh-CN"/>
        </w:rPr>
      </w:pPr>
      <w:r w:rsidRPr="000C156A">
        <w:rPr>
          <w:rFonts w:hint="eastAsia"/>
          <w:iCs/>
          <w:lang w:eastAsia="zh-CN"/>
        </w:rPr>
        <w:t>自</w:t>
      </w:r>
      <w:r w:rsidRPr="000C156A">
        <w:rPr>
          <w:rFonts w:hint="eastAsia"/>
          <w:iCs/>
          <w:lang w:eastAsia="zh-CN"/>
        </w:rPr>
        <w:t>2020</w:t>
      </w:r>
      <w:r w:rsidRPr="000C156A">
        <w:rPr>
          <w:rFonts w:hint="eastAsia"/>
          <w:iCs/>
          <w:lang w:eastAsia="zh-CN"/>
        </w:rPr>
        <w:t>年</w:t>
      </w:r>
      <w:r w:rsidRPr="000C156A">
        <w:rPr>
          <w:rFonts w:hint="eastAsia"/>
          <w:iCs/>
          <w:lang w:eastAsia="zh-CN"/>
        </w:rPr>
        <w:t>1</w:t>
      </w:r>
      <w:r w:rsidRPr="000C156A">
        <w:rPr>
          <w:rFonts w:hint="eastAsia"/>
          <w:iCs/>
          <w:lang w:eastAsia="zh-CN"/>
        </w:rPr>
        <w:t>月</w:t>
      </w:r>
      <w:r w:rsidRPr="000C156A">
        <w:rPr>
          <w:rFonts w:hint="eastAsia"/>
          <w:iCs/>
          <w:lang w:eastAsia="zh-CN"/>
        </w:rPr>
        <w:t>1</w:t>
      </w:r>
      <w:r w:rsidRPr="000C156A">
        <w:rPr>
          <w:rFonts w:hint="eastAsia"/>
          <w:iCs/>
          <w:lang w:eastAsia="zh-CN"/>
        </w:rPr>
        <w:t>日起，国际电联加入了</w:t>
      </w:r>
      <w:r w:rsidRPr="000C156A">
        <w:rPr>
          <w:lang w:eastAsia="zh-CN"/>
        </w:rPr>
        <w:t>联合国工作人员互助保险协</w:t>
      </w:r>
      <w:r w:rsidRPr="000C156A">
        <w:rPr>
          <w:rFonts w:hint="eastAsia"/>
          <w:lang w:eastAsia="zh-CN"/>
        </w:rPr>
        <w:t>会（</w:t>
      </w:r>
      <w:r w:rsidRPr="000C156A">
        <w:rPr>
          <w:iCs/>
          <w:lang w:eastAsia="zh-CN"/>
        </w:rPr>
        <w:t>UNSMIS</w:t>
      </w:r>
      <w:r w:rsidRPr="000C156A">
        <w:rPr>
          <w:rFonts w:hint="eastAsia"/>
          <w:iCs/>
          <w:lang w:eastAsia="zh-CN"/>
        </w:rPr>
        <w:t>）。该计划汇集了总部设在日内瓦的若干联合国组织和专门机构，包括联合国日内瓦办事处、难民署和气象组织。</w:t>
      </w:r>
      <w:r w:rsidRPr="000C156A">
        <w:rPr>
          <w:lang w:eastAsia="zh-CN"/>
        </w:rPr>
        <w:t>ASHI</w:t>
      </w:r>
      <w:r w:rsidRPr="000C156A">
        <w:rPr>
          <w:rFonts w:hint="eastAsia"/>
          <w:lang w:eastAsia="zh-CN"/>
        </w:rPr>
        <w:t>承付款项是按照</w:t>
      </w:r>
      <w:r w:rsidRPr="000C156A">
        <w:rPr>
          <w:lang w:eastAsia="zh-CN"/>
        </w:rPr>
        <w:t>IPSAS</w:t>
      </w:r>
      <w:r w:rsidRPr="000C156A">
        <w:rPr>
          <w:rFonts w:hint="eastAsia"/>
          <w:lang w:eastAsia="zh-CN"/>
        </w:rPr>
        <w:t>第</w:t>
      </w:r>
      <w:r w:rsidRPr="000C156A">
        <w:rPr>
          <w:rFonts w:hint="eastAsia"/>
          <w:lang w:eastAsia="zh-CN"/>
        </w:rPr>
        <w:t>39</w:t>
      </w:r>
      <w:r w:rsidRPr="000C156A">
        <w:rPr>
          <w:rFonts w:hint="eastAsia"/>
          <w:lang w:eastAsia="zh-CN"/>
        </w:rPr>
        <w:t>号要求开展的精算研究的主题，从而确定并确认国际电联针对各项福利的未来负债金额。此项独立的精算估值是由国际电联委托进行的以便估算截至</w:t>
      </w:r>
      <w:r w:rsidRPr="000C156A">
        <w:rPr>
          <w:lang w:eastAsia="zh-CN"/>
        </w:rPr>
        <w:t>12</w:t>
      </w:r>
      <w:r w:rsidRPr="000C156A">
        <w:rPr>
          <w:rFonts w:hint="eastAsia"/>
          <w:lang w:eastAsia="zh-CN"/>
        </w:rPr>
        <w:t>月底的</w:t>
      </w:r>
      <w:r w:rsidRPr="000C156A">
        <w:rPr>
          <w:lang w:eastAsia="zh-CN"/>
        </w:rPr>
        <w:t>ASHI</w:t>
      </w:r>
      <w:r w:rsidRPr="000C156A">
        <w:rPr>
          <w:rFonts w:hint="eastAsia"/>
          <w:lang w:eastAsia="zh-CN"/>
        </w:rPr>
        <w:t>承付款项。该计划采用其他全面收益（</w:t>
      </w:r>
      <w:r w:rsidRPr="000C156A">
        <w:rPr>
          <w:lang w:eastAsia="zh-CN"/>
        </w:rPr>
        <w:t>OCI</w:t>
      </w:r>
      <w:r w:rsidRPr="000C156A">
        <w:rPr>
          <w:rFonts w:hint="eastAsia"/>
          <w:lang w:eastAsia="zh-CN"/>
        </w:rPr>
        <w:t>）方法确认精算损益，</w:t>
      </w:r>
      <w:r w:rsidRPr="000C156A">
        <w:rPr>
          <w:lang w:val="en-US" w:eastAsia="zh-CN"/>
        </w:rPr>
        <w:t>OCI</w:t>
      </w:r>
      <w:r w:rsidRPr="000C156A">
        <w:rPr>
          <w:rFonts w:hint="eastAsia"/>
          <w:lang w:eastAsia="zh-CN"/>
        </w:rPr>
        <w:t>要求将有关阶段的精算损益在财务状况报表中确认为净资产。</w:t>
      </w:r>
    </w:p>
    <w:p w14:paraId="789753A1" w14:textId="77777777" w:rsidR="0085433F" w:rsidRPr="000C156A" w:rsidRDefault="0085433F" w:rsidP="0085433F">
      <w:pPr>
        <w:ind w:firstLineChars="200" w:firstLine="480"/>
        <w:rPr>
          <w:lang w:eastAsia="zh-CN"/>
        </w:rPr>
      </w:pPr>
      <w:r w:rsidRPr="000C156A">
        <w:rPr>
          <w:rFonts w:hint="eastAsia"/>
          <w:lang w:eastAsia="zh-CN"/>
        </w:rPr>
        <w:t>有关国际电联的假设见有关职员福利的说明。</w:t>
      </w:r>
    </w:p>
    <w:p w14:paraId="60703482" w14:textId="77777777" w:rsidR="0085433F" w:rsidRPr="00B61EBD" w:rsidRDefault="0085433F" w:rsidP="00B61EBD">
      <w:pPr>
        <w:pStyle w:val="Heading5"/>
        <w:rPr>
          <w:b/>
          <w:bCs/>
          <w:i w:val="0"/>
          <w:u w:val="single"/>
          <w:lang w:eastAsia="zh-CN"/>
        </w:rPr>
      </w:pPr>
      <w:bookmarkStart w:id="462" w:name="_Toc482892555"/>
      <w:bookmarkStart w:id="463" w:name="_Toc329011624"/>
      <w:bookmarkStart w:id="464" w:name="_Toc41905856"/>
      <w:bookmarkStart w:id="465" w:name="_Toc110265699"/>
      <w:r w:rsidRPr="00B61EBD">
        <w:rPr>
          <w:rFonts w:hint="eastAsia"/>
          <w:b/>
          <w:bCs/>
          <w:i w:val="0"/>
          <w:u w:val="single"/>
          <w:lang w:val="fr-FR" w:eastAsia="zh-CN"/>
        </w:rPr>
        <w:t>资金的确认</w:t>
      </w:r>
      <w:bookmarkEnd w:id="462"/>
      <w:bookmarkEnd w:id="463"/>
      <w:bookmarkEnd w:id="464"/>
      <w:bookmarkEnd w:id="465"/>
    </w:p>
    <w:p w14:paraId="4B9B4428" w14:textId="77777777" w:rsidR="0085433F" w:rsidRPr="000C156A" w:rsidRDefault="0085433F" w:rsidP="00B61EBD">
      <w:pPr>
        <w:pStyle w:val="headingb1"/>
        <w:keepNext/>
        <w:keepLines/>
        <w:outlineLvl w:val="0"/>
      </w:pPr>
      <w:bookmarkStart w:id="466" w:name="_Toc73518672"/>
      <w:bookmarkStart w:id="467" w:name="_Toc73518819"/>
      <w:bookmarkStart w:id="468" w:name="_Toc73519219"/>
      <w:bookmarkStart w:id="469" w:name="_Toc73636256"/>
      <w:bookmarkStart w:id="470" w:name="_Toc110263989"/>
      <w:bookmarkStart w:id="471" w:name="_Toc110264068"/>
      <w:bookmarkStart w:id="472" w:name="_Toc110265234"/>
      <w:bookmarkStart w:id="473" w:name="_Toc110265700"/>
      <w:bookmarkStart w:id="474" w:name="_Toc110330077"/>
      <w:bookmarkStart w:id="475" w:name="_Toc110330242"/>
      <w:r w:rsidRPr="000C156A">
        <w:rPr>
          <w:rFonts w:hint="eastAsia"/>
        </w:rPr>
        <w:t>已划拨第三方资金</w:t>
      </w:r>
      <w:bookmarkEnd w:id="466"/>
      <w:bookmarkEnd w:id="467"/>
      <w:bookmarkEnd w:id="468"/>
      <w:bookmarkEnd w:id="469"/>
      <w:bookmarkEnd w:id="470"/>
      <w:bookmarkEnd w:id="471"/>
      <w:bookmarkEnd w:id="472"/>
      <w:bookmarkEnd w:id="473"/>
      <w:bookmarkEnd w:id="474"/>
      <w:bookmarkEnd w:id="475"/>
    </w:p>
    <w:p w14:paraId="1E927FB6" w14:textId="77777777" w:rsidR="0085433F" w:rsidRPr="000C156A" w:rsidRDefault="0085433F" w:rsidP="0085433F">
      <w:pPr>
        <w:ind w:firstLineChars="200" w:firstLine="480"/>
        <w:rPr>
          <w:lang w:eastAsia="zh-CN"/>
        </w:rPr>
      </w:pPr>
      <w:r w:rsidRPr="000C156A">
        <w:rPr>
          <w:rFonts w:hint="eastAsia"/>
          <w:lang w:eastAsia="zh-CN"/>
        </w:rPr>
        <w:t>划拨的第三方资金指第三方为支持国际电联实施第三世界国家发展项目提供的资金。这些供款受契约条件限制。这种资金只有在捐赠方以书面形式做出承诺在费用发生时确认为收入。所资助的项目只有在资金已支付给国际电联的情况下方能开始。在财务期结账时，未用余额在财务状况报表中确认为划拨资金余额。在一些具体情况下，该资金作为已发生费用的补偿支付给国际电联。</w:t>
      </w:r>
    </w:p>
    <w:p w14:paraId="753A2009" w14:textId="77777777" w:rsidR="0085433F" w:rsidRPr="000C156A" w:rsidRDefault="0085433F" w:rsidP="0085433F">
      <w:pPr>
        <w:ind w:firstLineChars="200" w:firstLine="480"/>
        <w:rPr>
          <w:lang w:eastAsia="zh-CN"/>
        </w:rPr>
      </w:pPr>
      <w:r w:rsidRPr="000C156A">
        <w:rPr>
          <w:rFonts w:hint="eastAsia"/>
          <w:lang w:eastAsia="zh-CN"/>
        </w:rPr>
        <w:t>这种划拨的第三方资金分配如下：</w:t>
      </w:r>
    </w:p>
    <w:p w14:paraId="51EBFEF1" w14:textId="77777777" w:rsidR="0085433F" w:rsidRPr="000C156A" w:rsidRDefault="0085433F" w:rsidP="0085433F">
      <w:pPr>
        <w:pStyle w:val="enumlev1"/>
        <w:rPr>
          <w:b/>
          <w:bCs/>
          <w:lang w:eastAsia="zh-CN"/>
        </w:rPr>
      </w:pPr>
      <w:r w:rsidRPr="000C156A">
        <w:rPr>
          <w:b/>
          <w:bCs/>
          <w:lang w:eastAsia="zh-CN"/>
        </w:rPr>
        <w:t>–</w:t>
      </w:r>
      <w:r w:rsidRPr="000C156A">
        <w:rPr>
          <w:b/>
          <w:bCs/>
          <w:lang w:eastAsia="zh-CN"/>
        </w:rPr>
        <w:tab/>
      </w:r>
      <w:r w:rsidRPr="000C156A">
        <w:rPr>
          <w:rFonts w:hint="eastAsia"/>
          <w:b/>
          <w:bCs/>
          <w:lang w:eastAsia="zh-CN"/>
        </w:rPr>
        <w:t>联合国开发计划署</w:t>
      </w:r>
    </w:p>
    <w:p w14:paraId="65A03F30" w14:textId="77777777" w:rsidR="0085433F" w:rsidRPr="000C156A" w:rsidRDefault="0085433F" w:rsidP="0085433F">
      <w:pPr>
        <w:ind w:firstLineChars="200" w:firstLine="480"/>
        <w:rPr>
          <w:lang w:eastAsia="zh-CN"/>
        </w:rPr>
      </w:pPr>
      <w:r w:rsidRPr="000C156A">
        <w:rPr>
          <w:rFonts w:hint="eastAsia"/>
          <w:lang w:eastAsia="zh-CN"/>
        </w:rPr>
        <w:t>国际电联与联合国开发计划署（</w:t>
      </w:r>
      <w:r w:rsidRPr="000C156A">
        <w:rPr>
          <w:lang w:eastAsia="zh-CN"/>
        </w:rPr>
        <w:t>UNDP</w:t>
      </w:r>
      <w:r w:rsidRPr="000C156A">
        <w:rPr>
          <w:rFonts w:hint="eastAsia"/>
          <w:lang w:eastAsia="zh-CN"/>
        </w:rPr>
        <w:t>）已达成协议。国际电联可能是不同项目的唯一执行机构，或与</w:t>
      </w:r>
      <w:r w:rsidRPr="000C156A">
        <w:rPr>
          <w:lang w:eastAsia="zh-CN"/>
        </w:rPr>
        <w:t>UNDP</w:t>
      </w:r>
      <w:r w:rsidRPr="000C156A">
        <w:rPr>
          <w:rFonts w:hint="eastAsia"/>
          <w:lang w:eastAsia="zh-CN"/>
        </w:rPr>
        <w:t>共同担任的联合执行机构。对于部分或全部由国际电联执行的项目，国际电联从</w:t>
      </w:r>
      <w:r w:rsidRPr="000C156A">
        <w:rPr>
          <w:lang w:eastAsia="zh-CN"/>
        </w:rPr>
        <w:t>UNDP</w:t>
      </w:r>
      <w:r w:rsidRPr="000C156A">
        <w:rPr>
          <w:rFonts w:hint="eastAsia"/>
          <w:lang w:eastAsia="zh-CN"/>
        </w:rPr>
        <w:t>获得预算拨款。</w:t>
      </w:r>
      <w:r w:rsidRPr="000C156A">
        <w:rPr>
          <w:lang w:eastAsia="zh-CN"/>
        </w:rPr>
        <w:t>UNDP</w:t>
      </w:r>
      <w:r w:rsidRPr="000C156A">
        <w:rPr>
          <w:rFonts w:hint="eastAsia"/>
          <w:lang w:eastAsia="zh-CN"/>
        </w:rPr>
        <w:t>项目通常分为两类：国际电联执行的项目和各国政府执行的项目。</w:t>
      </w:r>
    </w:p>
    <w:p w14:paraId="4FA4F3E5" w14:textId="77777777" w:rsidR="0085433F" w:rsidRPr="000C156A" w:rsidRDefault="0085433F" w:rsidP="0085433F">
      <w:pPr>
        <w:ind w:firstLineChars="200" w:firstLine="480"/>
        <w:rPr>
          <w:lang w:eastAsia="zh-CN"/>
        </w:rPr>
      </w:pPr>
      <w:r w:rsidRPr="000C156A">
        <w:rPr>
          <w:rFonts w:hint="eastAsia"/>
          <w:lang w:eastAsia="zh-CN"/>
        </w:rPr>
        <w:t>每年底，根据项目交付报告（</w:t>
      </w:r>
      <w:r w:rsidRPr="000C156A">
        <w:rPr>
          <w:lang w:eastAsia="zh-CN"/>
        </w:rPr>
        <w:t>PDR</w:t>
      </w:r>
      <w:r w:rsidRPr="000C156A">
        <w:rPr>
          <w:rFonts w:hint="eastAsia"/>
          <w:lang w:eastAsia="zh-CN"/>
        </w:rPr>
        <w:t>），</w:t>
      </w:r>
      <w:r w:rsidRPr="000C156A">
        <w:rPr>
          <w:lang w:eastAsia="zh-CN"/>
        </w:rPr>
        <w:t>UNDP</w:t>
      </w:r>
      <w:r w:rsidRPr="000C156A">
        <w:rPr>
          <w:rFonts w:hint="eastAsia"/>
          <w:lang w:eastAsia="zh-CN"/>
        </w:rPr>
        <w:t>为国际电联补偿所有在划拨款内发生的费用。对于国际电联为项目提供的支持，国际电联根据记录在</w:t>
      </w:r>
      <w:r w:rsidRPr="000C156A">
        <w:rPr>
          <w:lang w:eastAsia="zh-CN"/>
        </w:rPr>
        <w:t>PDR</w:t>
      </w:r>
      <w:r w:rsidRPr="000C156A">
        <w:rPr>
          <w:rFonts w:hint="eastAsia"/>
          <w:lang w:eastAsia="zh-CN"/>
        </w:rPr>
        <w:t>中的费用按比例获得划拨。</w:t>
      </w:r>
    </w:p>
    <w:p w14:paraId="062D81C5" w14:textId="77777777" w:rsidR="0085433F" w:rsidRPr="000C156A" w:rsidRDefault="0085433F" w:rsidP="0085433F">
      <w:pPr>
        <w:pStyle w:val="enumlev1"/>
        <w:keepNext/>
        <w:keepLines/>
        <w:rPr>
          <w:b/>
          <w:bCs/>
          <w:lang w:eastAsia="zh-CN"/>
        </w:rPr>
      </w:pPr>
      <w:r w:rsidRPr="000C156A">
        <w:rPr>
          <w:b/>
          <w:bCs/>
          <w:lang w:eastAsia="zh-CN"/>
        </w:rPr>
        <w:t>–</w:t>
      </w:r>
      <w:r w:rsidRPr="000C156A">
        <w:rPr>
          <w:b/>
          <w:bCs/>
          <w:lang w:eastAsia="zh-CN"/>
        </w:rPr>
        <w:tab/>
      </w:r>
      <w:r w:rsidRPr="000C156A">
        <w:rPr>
          <w:rFonts w:hint="eastAsia"/>
          <w:b/>
          <w:bCs/>
          <w:lang w:eastAsia="zh-CN"/>
        </w:rPr>
        <w:t>信托基金</w:t>
      </w:r>
    </w:p>
    <w:p w14:paraId="1AD8136C" w14:textId="77777777" w:rsidR="0085433F" w:rsidRPr="000C156A" w:rsidRDefault="0085433F" w:rsidP="0085433F">
      <w:pPr>
        <w:ind w:firstLineChars="200" w:firstLine="480"/>
        <w:rPr>
          <w:lang w:eastAsia="zh-CN"/>
        </w:rPr>
      </w:pPr>
      <w:r w:rsidRPr="000C156A">
        <w:rPr>
          <w:rFonts w:hint="eastAsia"/>
          <w:lang w:eastAsia="zh-CN"/>
        </w:rPr>
        <w:t>信托基金用来执行通过</w:t>
      </w:r>
      <w:r w:rsidRPr="000C156A">
        <w:rPr>
          <w:lang w:eastAsia="zh-CN"/>
        </w:rPr>
        <w:t>ICT</w:t>
      </w:r>
      <w:r w:rsidRPr="000C156A">
        <w:rPr>
          <w:rFonts w:hint="eastAsia"/>
          <w:lang w:eastAsia="zh-CN"/>
        </w:rPr>
        <w:t>发展基金（</w:t>
      </w:r>
      <w:r w:rsidRPr="000C156A">
        <w:rPr>
          <w:lang w:eastAsia="zh-CN"/>
        </w:rPr>
        <w:t>ICTDF</w:t>
      </w:r>
      <w:r w:rsidRPr="000C156A">
        <w:rPr>
          <w:rFonts w:hint="eastAsia"/>
          <w:lang w:eastAsia="zh-CN"/>
        </w:rPr>
        <w:t>）或政府提供的专项捐款运作的项目。在所有情况下，在承诺费用之前资金均须先转入项目。信托基金属专款专用的自愿捐款。这些捐款在项目执行和实施中产生支持成本。</w:t>
      </w:r>
    </w:p>
    <w:p w14:paraId="6E6DDA31" w14:textId="77777777" w:rsidR="0085433F" w:rsidRPr="000C156A" w:rsidRDefault="0085433F" w:rsidP="0085433F">
      <w:pPr>
        <w:pStyle w:val="enumlev1"/>
        <w:keepNext/>
        <w:keepLines/>
        <w:rPr>
          <w:b/>
          <w:bCs/>
          <w:lang w:eastAsia="zh-CN"/>
        </w:rPr>
      </w:pPr>
      <w:r w:rsidRPr="000C156A">
        <w:rPr>
          <w:b/>
          <w:bCs/>
          <w:lang w:eastAsia="zh-CN"/>
        </w:rPr>
        <w:lastRenderedPageBreak/>
        <w:t>–</w:t>
      </w:r>
      <w:r w:rsidRPr="000C156A">
        <w:rPr>
          <w:b/>
          <w:bCs/>
          <w:lang w:eastAsia="zh-CN"/>
        </w:rPr>
        <w:tab/>
      </w:r>
      <w:r w:rsidRPr="000C156A">
        <w:rPr>
          <w:rFonts w:hint="eastAsia"/>
          <w:b/>
          <w:bCs/>
          <w:lang w:eastAsia="zh-CN"/>
        </w:rPr>
        <w:t>自愿捐款</w:t>
      </w:r>
    </w:p>
    <w:p w14:paraId="07588057" w14:textId="77777777" w:rsidR="0085433F" w:rsidRPr="000C156A" w:rsidRDefault="0085433F" w:rsidP="0085433F">
      <w:pPr>
        <w:ind w:firstLineChars="200" w:firstLine="480"/>
        <w:rPr>
          <w:lang w:eastAsia="zh-CN"/>
        </w:rPr>
      </w:pPr>
      <w:r w:rsidRPr="000C156A">
        <w:rPr>
          <w:rFonts w:hint="eastAsia"/>
          <w:lang w:eastAsia="zh-CN"/>
        </w:rPr>
        <w:t>从捐助方收到的自愿捐款用于辅助研讨会、工作组、研究组、培训和与会补贴等具体的正常预算活动。自愿捐款可用于长期活动。自愿捐款不产生任何支持成本。</w:t>
      </w:r>
    </w:p>
    <w:p w14:paraId="69404ADE" w14:textId="77777777" w:rsidR="0085433F" w:rsidRPr="000C156A" w:rsidRDefault="0085433F" w:rsidP="0085433F">
      <w:pPr>
        <w:ind w:firstLineChars="200" w:firstLine="480"/>
        <w:rPr>
          <w:lang w:eastAsia="zh-CN"/>
        </w:rPr>
      </w:pPr>
      <w:r w:rsidRPr="000C156A">
        <w:rPr>
          <w:rFonts w:hint="eastAsia"/>
          <w:lang w:eastAsia="zh-CN"/>
        </w:rPr>
        <w:t>国际电联使用会费货币为自愿捐款记账并基于使用捐赠货币划拨的预算管理项目，除非另有规定。</w:t>
      </w:r>
    </w:p>
    <w:p w14:paraId="62850881" w14:textId="77777777" w:rsidR="0085433F" w:rsidRPr="000C156A" w:rsidRDefault="0085433F" w:rsidP="0085433F">
      <w:pPr>
        <w:pStyle w:val="Headingi"/>
        <w:keepNext w:val="0"/>
        <w:keepLines w:val="0"/>
        <w:spacing w:before="120"/>
        <w:outlineLvl w:val="9"/>
        <w:rPr>
          <w:rFonts w:eastAsia="STKaiti"/>
          <w:b/>
          <w:bCs/>
          <w:i w:val="0"/>
          <w:lang w:eastAsia="zh-CN"/>
        </w:rPr>
      </w:pPr>
      <w:r w:rsidRPr="000C156A">
        <w:rPr>
          <w:rFonts w:eastAsia="STKaiti" w:hAnsi="Microsoft YaHei" w:cs="Microsoft YaHei" w:hint="eastAsia"/>
          <w:b/>
          <w:bCs/>
          <w:i w:val="0"/>
          <w:lang w:val="fr-FR" w:eastAsia="zh-CN"/>
        </w:rPr>
        <w:t>划拨中的第三方资金</w:t>
      </w:r>
    </w:p>
    <w:p w14:paraId="24A41F3F" w14:textId="77777777" w:rsidR="0085433F" w:rsidRPr="000C156A" w:rsidRDefault="0085433F" w:rsidP="0085433F">
      <w:pPr>
        <w:ind w:firstLineChars="200" w:firstLine="480"/>
        <w:rPr>
          <w:lang w:eastAsia="zh-CN"/>
        </w:rPr>
      </w:pPr>
      <w:r w:rsidRPr="000C156A">
        <w:rPr>
          <w:rFonts w:hint="eastAsia"/>
          <w:lang w:eastAsia="zh-CN"/>
        </w:rPr>
        <w:t>这些是从第三方收到的资金，但尚未全部划拨，因此也尚未使用。</w:t>
      </w:r>
    </w:p>
    <w:p w14:paraId="474F7A52" w14:textId="77777777" w:rsidR="0085433F" w:rsidRPr="00B61EBD" w:rsidRDefault="0085433F" w:rsidP="00B61EBD">
      <w:pPr>
        <w:pStyle w:val="Heading5"/>
        <w:rPr>
          <w:b/>
          <w:bCs/>
          <w:i w:val="0"/>
          <w:u w:val="single"/>
          <w:lang w:eastAsia="zh-CN"/>
        </w:rPr>
      </w:pPr>
      <w:bookmarkStart w:id="476" w:name="_Toc482892556"/>
      <w:bookmarkStart w:id="477" w:name="_Toc41905857"/>
      <w:bookmarkStart w:id="478" w:name="_Toc73518673"/>
      <w:bookmarkStart w:id="479" w:name="_Toc73518820"/>
      <w:bookmarkStart w:id="480" w:name="_Toc73519220"/>
      <w:bookmarkStart w:id="481" w:name="_Toc110265701"/>
      <w:r w:rsidRPr="00B61EBD">
        <w:rPr>
          <w:rFonts w:hint="eastAsia"/>
          <w:b/>
          <w:bCs/>
          <w:i w:val="0"/>
          <w:u w:val="single"/>
          <w:lang w:val="fr-FR" w:eastAsia="zh-CN"/>
        </w:rPr>
        <w:t>储备金账目</w:t>
      </w:r>
      <w:bookmarkEnd w:id="476"/>
      <w:bookmarkEnd w:id="477"/>
      <w:bookmarkEnd w:id="478"/>
      <w:bookmarkEnd w:id="479"/>
      <w:bookmarkEnd w:id="480"/>
      <w:bookmarkEnd w:id="481"/>
    </w:p>
    <w:p w14:paraId="4F146BBD" w14:textId="77777777" w:rsidR="0085433F" w:rsidRPr="000C156A" w:rsidRDefault="0085433F" w:rsidP="0085433F">
      <w:pPr>
        <w:ind w:firstLineChars="200" w:firstLine="480"/>
        <w:rPr>
          <w:lang w:eastAsia="zh-CN"/>
        </w:rPr>
      </w:pPr>
      <w:r w:rsidRPr="000C156A">
        <w:rPr>
          <w:rFonts w:hint="eastAsia"/>
          <w:lang w:eastAsia="zh-CN"/>
        </w:rPr>
        <w:t>按照《公约》第</w:t>
      </w:r>
      <w:r w:rsidRPr="000C156A">
        <w:rPr>
          <w:lang w:eastAsia="zh-CN"/>
        </w:rPr>
        <w:t>485</w:t>
      </w:r>
      <w:r w:rsidRPr="000C156A">
        <w:rPr>
          <w:rFonts w:hint="eastAsia"/>
          <w:lang w:eastAsia="zh-CN"/>
        </w:rPr>
        <w:t>款和《财务规则》第</w:t>
      </w:r>
      <w:r w:rsidRPr="000C156A">
        <w:rPr>
          <w:lang w:eastAsia="zh-CN"/>
        </w:rPr>
        <w:t>27</w:t>
      </w:r>
      <w:r w:rsidRPr="000C156A">
        <w:rPr>
          <w:rFonts w:hint="eastAsia"/>
          <w:lang w:eastAsia="zh-CN"/>
        </w:rPr>
        <w:t>条的规定，储备金账目资金主要源自未使用的预算拨款。储备金账目的变动详情见国际电联净资产变动表。储备金账目包含：</w:t>
      </w:r>
    </w:p>
    <w:p w14:paraId="5D76043B" w14:textId="77777777" w:rsidR="0085433F" w:rsidRPr="000C156A" w:rsidRDefault="0085433F" w:rsidP="0085433F">
      <w:pPr>
        <w:pStyle w:val="enumlev1"/>
        <w:rPr>
          <w:lang w:eastAsia="zh-CN"/>
        </w:rPr>
      </w:pPr>
      <w:r w:rsidRPr="000C156A">
        <w:rPr>
          <w:lang w:eastAsia="zh-CN"/>
        </w:rPr>
        <w:t>a)</w:t>
      </w:r>
      <w:r w:rsidRPr="000C156A">
        <w:rPr>
          <w:lang w:eastAsia="zh-CN"/>
        </w:rPr>
        <w:tab/>
      </w:r>
      <w:r w:rsidRPr="000C156A">
        <w:rPr>
          <w:rFonts w:hint="eastAsia"/>
          <w:lang w:eastAsia="zh-CN"/>
        </w:rPr>
        <w:t>每财年正常预算执行的正负净余额；</w:t>
      </w:r>
    </w:p>
    <w:p w14:paraId="138D2BB8" w14:textId="77777777" w:rsidR="0085433F" w:rsidRPr="000C156A" w:rsidRDefault="0085433F" w:rsidP="0085433F">
      <w:pPr>
        <w:pStyle w:val="enumlev1"/>
        <w:rPr>
          <w:lang w:eastAsia="zh-CN"/>
        </w:rPr>
      </w:pPr>
      <w:r w:rsidRPr="000C156A">
        <w:rPr>
          <w:lang w:eastAsia="zh-CN"/>
        </w:rPr>
        <w:t>b)</w:t>
      </w:r>
      <w:r w:rsidRPr="000C156A">
        <w:rPr>
          <w:lang w:eastAsia="zh-CN"/>
        </w:rPr>
        <w:tab/>
      </w:r>
      <w:r w:rsidRPr="000C156A">
        <w:rPr>
          <w:rFonts w:hint="eastAsia"/>
          <w:lang w:eastAsia="zh-CN"/>
        </w:rPr>
        <w:t>按照理事会决定从其它储备金</w:t>
      </w:r>
      <w:r w:rsidRPr="000C156A">
        <w:rPr>
          <w:lang w:eastAsia="zh-CN"/>
        </w:rPr>
        <w:t>/</w:t>
      </w:r>
      <w:r w:rsidRPr="000C156A">
        <w:rPr>
          <w:rFonts w:hint="eastAsia"/>
          <w:lang w:eastAsia="zh-CN"/>
        </w:rPr>
        <w:t>基金的转账；</w:t>
      </w:r>
    </w:p>
    <w:p w14:paraId="29D2F4FB" w14:textId="77777777" w:rsidR="0085433F" w:rsidRPr="000C156A" w:rsidRDefault="0085433F" w:rsidP="0085433F">
      <w:pPr>
        <w:pStyle w:val="enumlev1"/>
        <w:rPr>
          <w:lang w:eastAsia="zh-CN"/>
        </w:rPr>
      </w:pPr>
      <w:r w:rsidRPr="000C156A">
        <w:rPr>
          <w:lang w:eastAsia="zh-CN"/>
        </w:rPr>
        <w:t>c)</w:t>
      </w:r>
      <w:r w:rsidRPr="000C156A">
        <w:rPr>
          <w:lang w:eastAsia="zh-CN"/>
        </w:rPr>
        <w:tab/>
      </w:r>
      <w:r w:rsidRPr="000C156A">
        <w:rPr>
          <w:rFonts w:hint="eastAsia"/>
          <w:lang w:eastAsia="zh-CN"/>
        </w:rPr>
        <w:t>按照联合国系统各组织共用会计准则规定贷记至储备金账目的金额。</w:t>
      </w:r>
    </w:p>
    <w:p w14:paraId="1D0D116F" w14:textId="77777777" w:rsidR="0085433F" w:rsidRPr="000C156A" w:rsidRDefault="0085433F" w:rsidP="0085433F">
      <w:pPr>
        <w:ind w:firstLineChars="200" w:firstLine="480"/>
        <w:rPr>
          <w:lang w:eastAsia="zh-CN"/>
        </w:rPr>
      </w:pPr>
      <w:r w:rsidRPr="000C156A">
        <w:rPr>
          <w:rFonts w:hint="eastAsia"/>
          <w:lang w:eastAsia="zh-CN"/>
        </w:rPr>
        <w:t>储备金账目还包括国际电联根据理事会第</w:t>
      </w:r>
      <w:r w:rsidRPr="000C156A">
        <w:rPr>
          <w:lang w:eastAsia="zh-CN"/>
        </w:rPr>
        <w:t>1113</w:t>
      </w:r>
      <w:r w:rsidRPr="000C156A">
        <w:rPr>
          <w:rFonts w:hint="eastAsia"/>
          <w:lang w:eastAsia="zh-CN"/>
        </w:rPr>
        <w:t>号决议（</w:t>
      </w:r>
      <w:r w:rsidRPr="000C156A">
        <w:rPr>
          <w:lang w:eastAsia="zh-CN"/>
        </w:rPr>
        <w:t>C97/133</w:t>
      </w:r>
      <w:r w:rsidRPr="000C156A">
        <w:rPr>
          <w:rFonts w:hint="eastAsia"/>
          <w:lang w:eastAsia="zh-CN"/>
        </w:rPr>
        <w:t>号文件）执行成本回收原则开展的活动所获得的资金。目前，国际电联实行成本回收的产品和服务涉及：</w:t>
      </w:r>
    </w:p>
    <w:p w14:paraId="19629768"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国际通用免费电话号码（</w:t>
      </w:r>
      <w:r w:rsidRPr="000C156A">
        <w:rPr>
          <w:lang w:eastAsia="zh-CN"/>
        </w:rPr>
        <w:t>UIFN</w:t>
      </w:r>
      <w:r w:rsidRPr="000C156A">
        <w:rPr>
          <w:rFonts w:hint="eastAsia"/>
          <w:lang w:eastAsia="zh-CN"/>
        </w:rPr>
        <w:t>）的注册；</w:t>
      </w:r>
    </w:p>
    <w:p w14:paraId="76574094"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全球个人移动通信系统谅解备忘录（</w:t>
      </w:r>
      <w:r w:rsidRPr="000C156A">
        <w:rPr>
          <w:lang w:eastAsia="zh-CN"/>
        </w:rPr>
        <w:t>GMPCS-MoU</w:t>
      </w:r>
      <w:r w:rsidRPr="000C156A">
        <w:rPr>
          <w:rFonts w:hint="eastAsia"/>
          <w:lang w:eastAsia="zh-CN"/>
        </w:rPr>
        <w:t>）；</w:t>
      </w:r>
    </w:p>
    <w:p w14:paraId="0C5558C4"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卫星网络申报的处理；</w:t>
      </w:r>
    </w:p>
    <w:p w14:paraId="413B195D"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国际通用加价特种服务号码（</w:t>
      </w:r>
      <w:r w:rsidRPr="000C156A">
        <w:rPr>
          <w:lang w:eastAsia="zh-CN"/>
        </w:rPr>
        <w:t>UIPRN</w:t>
      </w:r>
      <w:r w:rsidRPr="000C156A">
        <w:rPr>
          <w:rFonts w:hint="eastAsia"/>
          <w:lang w:eastAsia="zh-CN"/>
        </w:rPr>
        <w:t>）和国际通用成本分摊号码（</w:t>
      </w:r>
      <w:r w:rsidRPr="000C156A">
        <w:rPr>
          <w:lang w:eastAsia="zh-CN"/>
        </w:rPr>
        <w:t>UISCN</w:t>
      </w:r>
      <w:r w:rsidRPr="000C156A">
        <w:rPr>
          <w:rFonts w:hint="eastAsia"/>
          <w:lang w:eastAsia="zh-CN"/>
        </w:rPr>
        <w:t>）的注册；</w:t>
      </w:r>
    </w:p>
    <w:p w14:paraId="1348ED8A"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电信展览部；</w:t>
      </w:r>
    </w:p>
    <w:p w14:paraId="6FCD780F"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出版物销售；</w:t>
      </w:r>
    </w:p>
    <w:p w14:paraId="3883C8BE" w14:textId="77777777" w:rsidR="0085433F" w:rsidRPr="000C156A" w:rsidRDefault="0085433F" w:rsidP="0085433F">
      <w:pPr>
        <w:pStyle w:val="enumlev1"/>
        <w:rPr>
          <w:lang w:val="en-US" w:eastAsia="zh-CN"/>
        </w:rPr>
      </w:pPr>
      <w:r w:rsidRPr="000C156A">
        <w:rPr>
          <w:lang w:eastAsia="zh-CN"/>
        </w:rPr>
        <w:t>–</w:t>
      </w:r>
      <w:r w:rsidRPr="000C156A">
        <w:rPr>
          <w:lang w:eastAsia="zh-CN"/>
        </w:rPr>
        <w:tab/>
      </w:r>
      <w:r w:rsidRPr="000C156A">
        <w:rPr>
          <w:rFonts w:hint="eastAsia"/>
          <w:lang w:eastAsia="zh-CN"/>
        </w:rPr>
        <w:t>项目支持收入。</w:t>
      </w:r>
    </w:p>
    <w:p w14:paraId="32B8ED14" w14:textId="77777777" w:rsidR="0085433F" w:rsidRPr="000C156A" w:rsidRDefault="0085433F" w:rsidP="0085433F">
      <w:pPr>
        <w:ind w:firstLineChars="200" w:firstLine="480"/>
        <w:rPr>
          <w:lang w:eastAsia="zh-CN"/>
        </w:rPr>
      </w:pPr>
      <w:r w:rsidRPr="000C156A">
        <w:rPr>
          <w:rFonts w:hint="eastAsia"/>
          <w:lang w:eastAsia="zh-CN"/>
        </w:rPr>
        <w:t>尽管国际电联《财务规则》第</w:t>
      </w:r>
      <w:r w:rsidRPr="000C156A">
        <w:rPr>
          <w:lang w:eastAsia="zh-CN"/>
        </w:rPr>
        <w:t>13</w:t>
      </w:r>
      <w:r w:rsidRPr="000C156A">
        <w:rPr>
          <w:rFonts w:hint="eastAsia"/>
          <w:lang w:eastAsia="zh-CN"/>
        </w:rPr>
        <w:t>条</w:t>
      </w:r>
      <w:r w:rsidRPr="000C156A">
        <w:rPr>
          <w:lang w:eastAsia="zh-CN"/>
        </w:rPr>
        <w:t>4 b)</w:t>
      </w:r>
      <w:r w:rsidRPr="000C156A">
        <w:rPr>
          <w:rFonts w:hint="eastAsia"/>
          <w:lang w:eastAsia="zh-CN"/>
        </w:rPr>
        <w:t>段有所规定，铭记有必要保持全权代表大会确定的储备金账目最低水平，但是，根据理事会的特别决定，可以</w:t>
      </w:r>
      <w:r w:rsidRPr="000C156A">
        <w:rPr>
          <w:rFonts w:eastAsia="STKaiti" w:hint="eastAsia"/>
          <w:lang w:eastAsia="zh-CN"/>
        </w:rPr>
        <w:t>特别</w:t>
      </w:r>
      <w:r w:rsidRPr="000C156A">
        <w:rPr>
          <w:rFonts w:hint="eastAsia"/>
          <w:lang w:eastAsia="zh-CN"/>
        </w:rPr>
        <w:t>因以下原因从储备金账目中提款：</w:t>
      </w:r>
    </w:p>
    <w:p w14:paraId="7B6BD9C0" w14:textId="77777777" w:rsidR="0085433F" w:rsidRPr="000C156A" w:rsidRDefault="0085433F" w:rsidP="0085433F">
      <w:pPr>
        <w:pStyle w:val="enumlev1"/>
        <w:rPr>
          <w:lang w:eastAsia="zh-CN"/>
        </w:rPr>
      </w:pPr>
      <w:r w:rsidRPr="000C156A">
        <w:rPr>
          <w:lang w:eastAsia="zh-CN"/>
        </w:rPr>
        <w:t>a)</w:t>
      </w:r>
      <w:r w:rsidRPr="000C156A">
        <w:rPr>
          <w:lang w:eastAsia="zh-CN"/>
        </w:rPr>
        <w:tab/>
      </w:r>
      <w:r w:rsidRPr="000C156A">
        <w:rPr>
          <w:rFonts w:hint="eastAsia"/>
          <w:lang w:eastAsia="zh-CN"/>
        </w:rPr>
        <w:t>降低会费单位金额；</w:t>
      </w:r>
    </w:p>
    <w:p w14:paraId="738D9182" w14:textId="77777777" w:rsidR="0085433F" w:rsidRPr="000C156A" w:rsidRDefault="0085433F" w:rsidP="0085433F">
      <w:pPr>
        <w:pStyle w:val="enumlev1"/>
        <w:rPr>
          <w:lang w:eastAsia="zh-CN"/>
        </w:rPr>
      </w:pPr>
      <w:r w:rsidRPr="000C156A">
        <w:rPr>
          <w:lang w:eastAsia="zh-CN"/>
        </w:rPr>
        <w:t>b)</w:t>
      </w:r>
      <w:r w:rsidRPr="000C156A">
        <w:rPr>
          <w:lang w:eastAsia="zh-CN"/>
        </w:rPr>
        <w:tab/>
      </w:r>
      <w:r w:rsidRPr="000C156A">
        <w:rPr>
          <w:rFonts w:hint="eastAsia"/>
          <w:lang w:eastAsia="zh-CN"/>
        </w:rPr>
        <w:t>平衡国际电联的预算；</w:t>
      </w:r>
    </w:p>
    <w:p w14:paraId="191424AF" w14:textId="77777777" w:rsidR="0085433F" w:rsidRPr="000C156A" w:rsidRDefault="0085433F" w:rsidP="0085433F">
      <w:pPr>
        <w:pStyle w:val="enumlev1"/>
        <w:rPr>
          <w:lang w:eastAsia="zh-CN"/>
        </w:rPr>
      </w:pPr>
      <w:r w:rsidRPr="000C156A">
        <w:rPr>
          <w:lang w:eastAsia="zh-CN"/>
        </w:rPr>
        <w:t>c)</w:t>
      </w:r>
      <w:r w:rsidRPr="000C156A">
        <w:rPr>
          <w:lang w:eastAsia="zh-CN"/>
        </w:rPr>
        <w:tab/>
      </w:r>
      <w:r w:rsidRPr="000C156A">
        <w:rPr>
          <w:rFonts w:hint="eastAsia"/>
          <w:lang w:eastAsia="zh-CN"/>
        </w:rPr>
        <w:t>向其它储备金</w:t>
      </w:r>
      <w:r w:rsidRPr="000C156A">
        <w:rPr>
          <w:lang w:eastAsia="zh-CN"/>
        </w:rPr>
        <w:t>/</w:t>
      </w:r>
      <w:r w:rsidRPr="000C156A">
        <w:rPr>
          <w:rFonts w:hint="eastAsia"/>
          <w:lang w:eastAsia="zh-CN"/>
        </w:rPr>
        <w:t>基金转账；</w:t>
      </w:r>
    </w:p>
    <w:p w14:paraId="34D01C2D" w14:textId="77777777" w:rsidR="0085433F" w:rsidRPr="000C156A" w:rsidRDefault="0085433F" w:rsidP="0085433F">
      <w:pPr>
        <w:pStyle w:val="enumlev1"/>
        <w:rPr>
          <w:lang w:val="en-US" w:eastAsia="zh-CN"/>
        </w:rPr>
      </w:pPr>
      <w:r w:rsidRPr="000C156A">
        <w:rPr>
          <w:lang w:eastAsia="zh-CN"/>
        </w:rPr>
        <w:t>d)</w:t>
      </w:r>
      <w:r w:rsidRPr="000C156A">
        <w:rPr>
          <w:lang w:eastAsia="zh-CN"/>
        </w:rPr>
        <w:tab/>
      </w:r>
      <w:r w:rsidRPr="000C156A">
        <w:rPr>
          <w:rFonts w:hint="eastAsia"/>
          <w:lang w:eastAsia="zh-CN"/>
        </w:rPr>
        <w:t>按照联合国系统各组织共用会计准则的规定借记至储备金账目的金额。</w:t>
      </w:r>
    </w:p>
    <w:p w14:paraId="2ED5B294" w14:textId="77777777" w:rsidR="0085433F" w:rsidRPr="00B61EBD" w:rsidRDefault="0085433F" w:rsidP="00B61EBD">
      <w:pPr>
        <w:pStyle w:val="Heading5"/>
        <w:rPr>
          <w:b/>
          <w:bCs/>
          <w:i w:val="0"/>
          <w:u w:val="single"/>
          <w:lang w:val="en-US" w:eastAsia="zh-CN"/>
        </w:rPr>
      </w:pPr>
      <w:bookmarkStart w:id="482" w:name="_Toc482892557"/>
      <w:bookmarkStart w:id="483" w:name="_Toc41905858"/>
      <w:bookmarkStart w:id="484" w:name="_Toc73518674"/>
      <w:bookmarkStart w:id="485" w:name="_Toc73518821"/>
      <w:bookmarkStart w:id="486" w:name="_Toc73519221"/>
      <w:bookmarkStart w:id="487" w:name="_Toc110265702"/>
      <w:bookmarkStart w:id="488" w:name="_Toc329011626"/>
      <w:bookmarkStart w:id="489" w:name="_Toc305764075"/>
      <w:r w:rsidRPr="00B61EBD">
        <w:rPr>
          <w:rFonts w:hint="eastAsia"/>
          <w:b/>
          <w:bCs/>
          <w:i w:val="0"/>
          <w:u w:val="single"/>
          <w:lang w:val="fr-FR" w:eastAsia="zh-CN"/>
        </w:rPr>
        <w:t>其他资金</w:t>
      </w:r>
      <w:bookmarkEnd w:id="482"/>
      <w:bookmarkEnd w:id="483"/>
      <w:bookmarkEnd w:id="484"/>
      <w:bookmarkEnd w:id="485"/>
      <w:bookmarkEnd w:id="486"/>
      <w:bookmarkEnd w:id="487"/>
    </w:p>
    <w:p w14:paraId="5730B580" w14:textId="77777777" w:rsidR="0085433F" w:rsidRPr="000C156A" w:rsidRDefault="0085433F" w:rsidP="0085433F">
      <w:pPr>
        <w:ind w:firstLineChars="200" w:firstLine="480"/>
        <w:rPr>
          <w:lang w:val="en-US" w:eastAsia="zh-CN"/>
        </w:rPr>
      </w:pPr>
      <w:r w:rsidRPr="000C156A">
        <w:rPr>
          <w:rFonts w:hint="eastAsia"/>
          <w:lang w:val="en-US" w:eastAsia="zh-CN"/>
        </w:rPr>
        <w:t>其他资金包括</w:t>
      </w:r>
      <w:r w:rsidRPr="000C156A">
        <w:rPr>
          <w:rFonts w:hint="eastAsia"/>
          <w:lang w:eastAsia="zh-CN"/>
        </w:rPr>
        <w:t>国际电联职员退休和福利基金、退休和干预基金以及离职后健康保险（</w:t>
      </w:r>
      <w:r w:rsidRPr="000C156A">
        <w:rPr>
          <w:lang w:val="en-US" w:eastAsia="zh-CN"/>
        </w:rPr>
        <w:t>ASHI</w:t>
      </w:r>
      <w:r w:rsidRPr="000C156A">
        <w:rPr>
          <w:rFonts w:hint="eastAsia"/>
          <w:lang w:val="en-US" w:eastAsia="zh-CN"/>
        </w:rPr>
        <w:t>）</w:t>
      </w:r>
      <w:r w:rsidRPr="000C156A">
        <w:rPr>
          <w:rFonts w:hint="eastAsia"/>
          <w:lang w:eastAsia="zh-CN"/>
        </w:rPr>
        <w:t>基金。</w:t>
      </w:r>
    </w:p>
    <w:p w14:paraId="02AFD242" w14:textId="77777777" w:rsidR="0085433F" w:rsidRPr="000C156A" w:rsidRDefault="0085433F" w:rsidP="0085433F">
      <w:pPr>
        <w:ind w:firstLineChars="200" w:firstLine="480"/>
        <w:rPr>
          <w:lang w:eastAsia="zh-CN"/>
        </w:rPr>
      </w:pPr>
      <w:r w:rsidRPr="000C156A">
        <w:rPr>
          <w:rFonts w:hint="eastAsia"/>
          <w:lang w:eastAsia="zh-CN"/>
        </w:rPr>
        <w:t>国际电联职员退休和福利基金包括两个基金：</w:t>
      </w:r>
    </w:p>
    <w:p w14:paraId="2E21F0E4"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公积金；</w:t>
      </w:r>
    </w:p>
    <w:p w14:paraId="6723162C" w14:textId="77777777" w:rsidR="0085433F" w:rsidRPr="000C156A" w:rsidRDefault="0085433F" w:rsidP="0085433F">
      <w:pPr>
        <w:pStyle w:val="enumlev1"/>
        <w:rPr>
          <w:lang w:val="en-US" w:eastAsia="zh-CN"/>
        </w:rPr>
      </w:pPr>
      <w:r w:rsidRPr="000C156A">
        <w:rPr>
          <w:lang w:eastAsia="zh-CN"/>
        </w:rPr>
        <w:t>–</w:t>
      </w:r>
      <w:r w:rsidRPr="000C156A">
        <w:rPr>
          <w:lang w:eastAsia="zh-CN"/>
        </w:rPr>
        <w:tab/>
      </w:r>
      <w:r w:rsidRPr="000C156A">
        <w:rPr>
          <w:rFonts w:hint="eastAsia"/>
          <w:lang w:eastAsia="zh-CN"/>
        </w:rPr>
        <w:t>援助基金。</w:t>
      </w:r>
    </w:p>
    <w:p w14:paraId="4816816E" w14:textId="0AAC85AD" w:rsidR="0085433F" w:rsidRPr="000C156A" w:rsidRDefault="0085433F" w:rsidP="0085433F">
      <w:pPr>
        <w:ind w:firstLineChars="200" w:firstLine="480"/>
        <w:rPr>
          <w:lang w:eastAsia="zh-CN"/>
        </w:rPr>
      </w:pPr>
      <w:r w:rsidRPr="000C156A">
        <w:rPr>
          <w:rFonts w:hint="eastAsia"/>
          <w:lang w:eastAsia="zh-CN"/>
        </w:rPr>
        <w:lastRenderedPageBreak/>
        <w:t>国际电联职员退休和福利基金是由保障</w:t>
      </w:r>
      <w:r w:rsidRPr="000C156A">
        <w:rPr>
          <w:lang w:eastAsia="zh-CN"/>
        </w:rPr>
        <w:t>1960</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日（即国际电联参加联合国合办职员养恤基金之日）前任职职员退休金的一系列基金组成。</w:t>
      </w:r>
      <w:r w:rsidRPr="000C156A">
        <w:rPr>
          <w:lang w:eastAsia="zh-CN"/>
        </w:rPr>
        <w:t>202</w:t>
      </w:r>
      <w:r w:rsidR="00B61EBD">
        <w:rPr>
          <w:lang w:eastAsia="zh-CN"/>
        </w:rPr>
        <w:t>1</w:t>
      </w:r>
      <w:r w:rsidRPr="000C156A">
        <w:rPr>
          <w:rFonts w:hint="eastAsia"/>
          <w:lang w:eastAsia="zh-CN"/>
        </w:rPr>
        <w:t>年，储备与补充基金负担了</w:t>
      </w:r>
      <w:r w:rsidR="00B61EBD">
        <w:rPr>
          <w:lang w:eastAsia="zh-CN"/>
        </w:rPr>
        <w:t>15</w:t>
      </w:r>
      <w:r w:rsidRPr="000C156A">
        <w:rPr>
          <w:rFonts w:hint="eastAsia"/>
          <w:lang w:eastAsia="zh-CN"/>
        </w:rPr>
        <w:t>份退休金和</w:t>
      </w:r>
      <w:r w:rsidRPr="000C156A">
        <w:rPr>
          <w:lang w:eastAsia="zh-CN"/>
        </w:rPr>
        <w:t>16</w:t>
      </w:r>
      <w:r w:rsidRPr="000C156A">
        <w:rPr>
          <w:rFonts w:hint="eastAsia"/>
          <w:lang w:eastAsia="zh-CN"/>
        </w:rPr>
        <w:t>位遗属养恤金，援助基金用于帮助处于财务困境的职员或养恤金领取人员。针对国际电联退休和福利基金受益人的承付款项的最后一次计算是在</w:t>
      </w:r>
      <w:r w:rsidRPr="000C156A">
        <w:rPr>
          <w:lang w:eastAsia="zh-CN"/>
        </w:rPr>
        <w:t>2011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日进行的。</w:t>
      </w:r>
    </w:p>
    <w:p w14:paraId="227044EF" w14:textId="77777777" w:rsidR="0085433F" w:rsidRPr="000C156A" w:rsidRDefault="0085433F" w:rsidP="0085433F">
      <w:pPr>
        <w:ind w:firstLineChars="200" w:firstLine="480"/>
        <w:rPr>
          <w:lang w:eastAsia="zh-CN"/>
        </w:rPr>
      </w:pPr>
      <w:r w:rsidRPr="000C156A">
        <w:rPr>
          <w:rFonts w:hint="eastAsia"/>
          <w:lang w:eastAsia="zh-CN"/>
        </w:rPr>
        <w:t>根据全权代表大会第</w:t>
      </w:r>
      <w:r w:rsidRPr="000C156A">
        <w:rPr>
          <w:lang w:eastAsia="zh-CN"/>
        </w:rPr>
        <w:t>7</w:t>
      </w:r>
      <w:r w:rsidRPr="000C156A">
        <w:rPr>
          <w:rFonts w:hint="eastAsia"/>
          <w:lang w:eastAsia="zh-CN"/>
        </w:rPr>
        <w:t>号决议（</w:t>
      </w:r>
      <w:r w:rsidRPr="000C156A">
        <w:rPr>
          <w:lang w:eastAsia="zh-CN"/>
        </w:rPr>
        <w:t>1959</w:t>
      </w:r>
      <w:r w:rsidRPr="000C156A">
        <w:rPr>
          <w:rFonts w:hint="eastAsia"/>
          <w:lang w:eastAsia="zh-CN"/>
        </w:rPr>
        <w:t>年，日内瓦），国际电联职员从</w:t>
      </w:r>
      <w:r w:rsidRPr="000C156A">
        <w:rPr>
          <w:lang w:eastAsia="zh-CN"/>
        </w:rPr>
        <w:t>1960</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日起参加联合国合办职员养恤基金。根据“国际电联职员退休和福利基金规则”第</w:t>
      </w:r>
      <w:r w:rsidRPr="000C156A">
        <w:rPr>
          <w:lang w:eastAsia="zh-CN"/>
        </w:rPr>
        <w:t>86</w:t>
      </w:r>
      <w:r w:rsidRPr="000C156A">
        <w:rPr>
          <w:rFonts w:hint="eastAsia"/>
          <w:lang w:eastAsia="zh-CN"/>
        </w:rPr>
        <w:t>条，这些基金由国际电联管理。基金资产必须投资于信托证券。该基金的账目由外部审计员在定期审计国际电联账目时进行审查。</w:t>
      </w:r>
    </w:p>
    <w:p w14:paraId="481154D9" w14:textId="77777777" w:rsidR="0085433F" w:rsidRPr="000C156A" w:rsidRDefault="0085433F" w:rsidP="0085433F">
      <w:pPr>
        <w:ind w:firstLineChars="200" w:firstLine="480"/>
        <w:rPr>
          <w:lang w:eastAsia="zh-CN"/>
        </w:rPr>
      </w:pPr>
      <w:r w:rsidRPr="000C156A">
        <w:rPr>
          <w:rFonts w:hint="eastAsia"/>
          <w:lang w:eastAsia="zh-CN"/>
        </w:rPr>
        <w:t>其他基金还包括自</w:t>
      </w:r>
      <w:r w:rsidRPr="000C156A">
        <w:rPr>
          <w:lang w:eastAsia="zh-CN"/>
        </w:rPr>
        <w:t>2013</w:t>
      </w:r>
      <w:r w:rsidRPr="000C156A">
        <w:rPr>
          <w:rFonts w:hint="eastAsia"/>
          <w:lang w:eastAsia="zh-CN"/>
        </w:rPr>
        <w:t>年启用的长期针对</w:t>
      </w:r>
      <w:r w:rsidRPr="000C156A">
        <w:rPr>
          <w:lang w:eastAsia="zh-CN"/>
        </w:rPr>
        <w:t>ASHI</w:t>
      </w:r>
      <w:r w:rsidRPr="000C156A">
        <w:rPr>
          <w:rFonts w:hint="eastAsia"/>
          <w:lang w:eastAsia="zh-CN"/>
        </w:rPr>
        <w:t>未偿债务的基金和新的健康保险基金，构成自</w:t>
      </w:r>
      <w:r w:rsidRPr="000C156A">
        <w:rPr>
          <w:lang w:eastAsia="zh-CN"/>
        </w:rPr>
        <w:t>2014</w:t>
      </w:r>
      <w:r w:rsidRPr="000C156A">
        <w:rPr>
          <w:rFonts w:hint="eastAsia"/>
          <w:lang w:eastAsia="zh-CN"/>
        </w:rPr>
        <w:t>年启用的新的健康保险方案的保障基金。</w:t>
      </w:r>
    </w:p>
    <w:p w14:paraId="5BF0E25F" w14:textId="77777777" w:rsidR="0085433F" w:rsidRPr="00B61EBD" w:rsidRDefault="0085433F" w:rsidP="00B61EBD">
      <w:pPr>
        <w:pStyle w:val="Heading5"/>
        <w:rPr>
          <w:b/>
          <w:bCs/>
          <w:i w:val="0"/>
          <w:u w:val="single"/>
          <w:lang w:eastAsia="zh-CN"/>
        </w:rPr>
      </w:pPr>
      <w:bookmarkStart w:id="490" w:name="_Toc41905859"/>
      <w:bookmarkStart w:id="491" w:name="_Toc73518675"/>
      <w:bookmarkStart w:id="492" w:name="_Toc73518822"/>
      <w:bookmarkStart w:id="493" w:name="_Toc73519222"/>
      <w:bookmarkStart w:id="494" w:name="_Toc110265237"/>
      <w:bookmarkStart w:id="495" w:name="_Toc110265703"/>
      <w:bookmarkStart w:id="496" w:name="_Toc482892558"/>
      <w:r w:rsidRPr="00B61EBD">
        <w:rPr>
          <w:rFonts w:hint="eastAsia"/>
          <w:b/>
          <w:bCs/>
          <w:i w:val="0"/>
          <w:u w:val="single"/>
          <w:lang w:val="fr-FR" w:eastAsia="zh-CN"/>
        </w:rPr>
        <w:t>新办公楼基金</w:t>
      </w:r>
      <w:bookmarkEnd w:id="490"/>
      <w:bookmarkEnd w:id="491"/>
      <w:bookmarkEnd w:id="492"/>
      <w:bookmarkEnd w:id="493"/>
      <w:bookmarkEnd w:id="494"/>
      <w:bookmarkEnd w:id="495"/>
    </w:p>
    <w:p w14:paraId="432932AC" w14:textId="1BD4B67B" w:rsidR="0085433F" w:rsidRPr="000C156A" w:rsidRDefault="00650722" w:rsidP="0085433F">
      <w:pPr>
        <w:ind w:firstLineChars="200" w:firstLine="480"/>
        <w:jc w:val="both"/>
        <w:rPr>
          <w:b/>
          <w:sz w:val="22"/>
          <w:szCs w:val="24"/>
          <w:lang w:eastAsia="zh-CN"/>
        </w:rPr>
      </w:pPr>
      <w:r w:rsidRPr="00650722">
        <w:rPr>
          <w:rFonts w:asciiTheme="minorHAnsi" w:hAnsiTheme="minorHAnsi" w:hint="eastAsia"/>
          <w:lang w:eastAsia="zh-CN"/>
        </w:rPr>
        <w:t>理事会</w:t>
      </w:r>
      <w:r w:rsidRPr="00650722">
        <w:rPr>
          <w:rFonts w:asciiTheme="minorHAnsi" w:hAnsiTheme="minorHAnsi" w:hint="eastAsia"/>
          <w:lang w:eastAsia="zh-CN"/>
        </w:rPr>
        <w:t>2016</w:t>
      </w:r>
      <w:r w:rsidRPr="00650722">
        <w:rPr>
          <w:rFonts w:asciiTheme="minorHAnsi" w:hAnsiTheme="minorHAnsi" w:hint="eastAsia"/>
          <w:lang w:eastAsia="zh-CN"/>
        </w:rPr>
        <w:t>年会议通过</w:t>
      </w:r>
      <w:hyperlink r:id="rId37" w:history="1">
        <w:r w:rsidRPr="00AC15CC">
          <w:rPr>
            <w:rStyle w:val="Hyperlink"/>
            <w:rFonts w:asciiTheme="minorHAnsi" w:hAnsiTheme="minorHAnsi" w:hint="eastAsia"/>
            <w:lang w:eastAsia="zh-CN"/>
          </w:rPr>
          <w:t>第</w:t>
        </w:r>
        <w:r w:rsidRPr="00AC15CC">
          <w:rPr>
            <w:rStyle w:val="Hyperlink"/>
            <w:rFonts w:asciiTheme="minorHAnsi" w:hAnsiTheme="minorHAnsi"/>
            <w:lang w:eastAsia="zh-CN"/>
          </w:rPr>
          <w:t>588</w:t>
        </w:r>
        <w:r w:rsidRPr="00AC15CC">
          <w:rPr>
            <w:rStyle w:val="Hyperlink"/>
            <w:rFonts w:asciiTheme="minorHAnsi" w:hAnsiTheme="minorHAnsi" w:hint="eastAsia"/>
            <w:lang w:eastAsia="zh-CN"/>
          </w:rPr>
          <w:t>号决定</w:t>
        </w:r>
      </w:hyperlink>
      <w:r w:rsidRPr="00650722">
        <w:rPr>
          <w:rFonts w:asciiTheme="minorHAnsi" w:hAnsiTheme="minorHAnsi" w:hint="eastAsia"/>
          <w:lang w:eastAsia="zh-CN"/>
        </w:rPr>
        <w:t>，决定建造一座可容纳塔楼办公室及设施的新建筑（在此称作“新</w:t>
      </w:r>
      <w:r>
        <w:rPr>
          <w:rFonts w:asciiTheme="minorHAnsi" w:hAnsiTheme="minorHAnsi" w:hint="eastAsia"/>
          <w:lang w:eastAsia="zh-CN"/>
        </w:rPr>
        <w:t>办公</w:t>
      </w:r>
      <w:r w:rsidRPr="00650722">
        <w:rPr>
          <w:rFonts w:asciiTheme="minorHAnsi" w:hAnsiTheme="minorHAnsi" w:hint="eastAsia"/>
          <w:lang w:eastAsia="zh-CN"/>
        </w:rPr>
        <w:t>楼”）以替代</w:t>
      </w:r>
      <w:r w:rsidRPr="00650722">
        <w:rPr>
          <w:rFonts w:asciiTheme="minorHAnsi" w:hAnsiTheme="minorHAnsi" w:hint="eastAsia"/>
          <w:lang w:eastAsia="zh-CN"/>
        </w:rPr>
        <w:t>Varemb</w:t>
      </w:r>
      <w:r w:rsidRPr="00650722">
        <w:rPr>
          <w:rFonts w:asciiTheme="minorHAnsi" w:hAnsiTheme="minorHAnsi" w:hint="eastAsia"/>
          <w:lang w:eastAsia="zh-CN"/>
        </w:rPr>
        <w:t>é办公楼，并作为对将予保留和翻修的</w:t>
      </w:r>
      <w:r w:rsidRPr="00650722">
        <w:rPr>
          <w:rFonts w:asciiTheme="minorHAnsi" w:hAnsiTheme="minorHAnsi" w:hint="eastAsia"/>
          <w:lang w:eastAsia="zh-CN"/>
        </w:rPr>
        <w:t>Montbrillant</w:t>
      </w:r>
      <w:r w:rsidRPr="00650722">
        <w:rPr>
          <w:rFonts w:asciiTheme="minorHAnsi" w:hAnsiTheme="minorHAnsi" w:hint="eastAsia"/>
          <w:lang w:eastAsia="zh-CN"/>
        </w:rPr>
        <w:t>楼的补充。</w:t>
      </w:r>
    </w:p>
    <w:p w14:paraId="4B048877" w14:textId="58DE5D2B" w:rsidR="00E558E8" w:rsidRDefault="0085433F" w:rsidP="00E558E8">
      <w:pPr>
        <w:ind w:firstLineChars="200" w:firstLine="480"/>
        <w:rPr>
          <w:rFonts w:cstheme="minorHAnsi"/>
          <w:lang w:eastAsia="zh-CN"/>
        </w:rPr>
      </w:pPr>
      <w:r w:rsidRPr="000C156A">
        <w:rPr>
          <w:rFonts w:hint="eastAsia"/>
          <w:szCs w:val="24"/>
          <w:lang w:eastAsia="zh-CN"/>
        </w:rPr>
        <w:t>瑞士联邦</w:t>
      </w:r>
      <w:r w:rsidR="0063526C">
        <w:rPr>
          <w:rFonts w:hint="eastAsia"/>
          <w:szCs w:val="24"/>
          <w:lang w:eastAsia="zh-CN"/>
        </w:rPr>
        <w:t>为</w:t>
      </w:r>
      <w:r w:rsidR="0063526C" w:rsidRPr="000C156A">
        <w:rPr>
          <w:rFonts w:hint="eastAsia"/>
          <w:szCs w:val="24"/>
          <w:lang w:eastAsia="zh-CN"/>
        </w:rPr>
        <w:t>资助该项目</w:t>
      </w:r>
      <w:r w:rsidR="0063526C">
        <w:rPr>
          <w:rFonts w:hint="eastAsia"/>
          <w:szCs w:val="24"/>
          <w:lang w:eastAsia="zh-CN"/>
        </w:rPr>
        <w:t>，</w:t>
      </w:r>
      <w:r w:rsidRPr="000C156A">
        <w:rPr>
          <w:rFonts w:hint="eastAsia"/>
          <w:szCs w:val="24"/>
          <w:lang w:eastAsia="zh-CN"/>
        </w:rPr>
        <w:t>提供了</w:t>
      </w:r>
      <w:r w:rsidR="0063526C">
        <w:rPr>
          <w:rFonts w:hint="eastAsia"/>
          <w:szCs w:val="24"/>
          <w:lang w:eastAsia="zh-CN"/>
        </w:rPr>
        <w:t>一笔</w:t>
      </w:r>
      <w:r w:rsidR="0063526C" w:rsidRPr="000C156A">
        <w:rPr>
          <w:rFonts w:hint="eastAsia"/>
          <w:szCs w:val="24"/>
          <w:lang w:eastAsia="zh-CN"/>
        </w:rPr>
        <w:t>1.5</w:t>
      </w:r>
      <w:r w:rsidR="0063526C" w:rsidRPr="000C156A">
        <w:rPr>
          <w:rFonts w:hint="eastAsia"/>
          <w:szCs w:val="24"/>
          <w:lang w:eastAsia="zh-CN"/>
        </w:rPr>
        <w:t>亿瑞郎</w:t>
      </w:r>
      <w:r w:rsidRPr="000C156A">
        <w:rPr>
          <w:rFonts w:hint="eastAsia"/>
          <w:szCs w:val="24"/>
          <w:lang w:eastAsia="zh-CN"/>
        </w:rPr>
        <w:t>的无息贷款。</w:t>
      </w:r>
      <w:r w:rsidRPr="000C156A">
        <w:rPr>
          <w:szCs w:val="24"/>
          <w:lang w:eastAsia="zh-CN"/>
        </w:rPr>
        <w:t>在理事会</w:t>
      </w:r>
      <w:r w:rsidRPr="000C156A">
        <w:rPr>
          <w:szCs w:val="24"/>
          <w:lang w:eastAsia="zh-CN"/>
        </w:rPr>
        <w:t>2019</w:t>
      </w:r>
      <w:r w:rsidRPr="000C156A">
        <w:rPr>
          <w:szCs w:val="24"/>
          <w:lang w:eastAsia="zh-CN"/>
        </w:rPr>
        <w:t>年特别会议之后，第</w:t>
      </w:r>
      <w:r w:rsidRPr="000C156A">
        <w:rPr>
          <w:szCs w:val="24"/>
          <w:lang w:eastAsia="zh-CN"/>
        </w:rPr>
        <w:t>619</w:t>
      </w:r>
      <w:r w:rsidRPr="000C156A">
        <w:rPr>
          <w:szCs w:val="24"/>
          <w:lang w:eastAsia="zh-CN"/>
        </w:rPr>
        <w:t>号决定将新</w:t>
      </w:r>
      <w:r w:rsidRPr="000C156A">
        <w:rPr>
          <w:rFonts w:hint="eastAsia"/>
          <w:szCs w:val="24"/>
          <w:lang w:eastAsia="zh-CN"/>
        </w:rPr>
        <w:t>办公楼</w:t>
      </w:r>
      <w:r w:rsidRPr="000C156A">
        <w:rPr>
          <w:szCs w:val="24"/>
          <w:lang w:eastAsia="zh-CN"/>
        </w:rPr>
        <w:t>的预算定为</w:t>
      </w:r>
      <w:r w:rsidRPr="000C156A">
        <w:rPr>
          <w:szCs w:val="24"/>
          <w:lang w:eastAsia="zh-CN"/>
        </w:rPr>
        <w:t>170 139 000</w:t>
      </w:r>
      <w:r w:rsidRPr="000C156A">
        <w:rPr>
          <w:szCs w:val="24"/>
          <w:lang w:eastAsia="zh-CN"/>
        </w:rPr>
        <w:t>瑞郎。</w:t>
      </w:r>
      <w:r w:rsidR="003A08D1" w:rsidRPr="000C156A">
        <w:rPr>
          <w:szCs w:val="24"/>
          <w:lang w:eastAsia="zh-CN"/>
        </w:rPr>
        <w:t>1.5</w:t>
      </w:r>
      <w:r w:rsidR="003A08D1" w:rsidRPr="000C156A">
        <w:rPr>
          <w:szCs w:val="24"/>
          <w:lang w:eastAsia="zh-CN"/>
        </w:rPr>
        <w:t>亿瑞郎来自东道国提供的贷款，</w:t>
      </w:r>
      <w:r w:rsidR="003A08D1" w:rsidRPr="000C156A">
        <w:rPr>
          <w:szCs w:val="24"/>
          <w:lang w:eastAsia="zh-CN"/>
        </w:rPr>
        <w:t>2 014</w:t>
      </w:r>
      <w:r w:rsidR="003A08D1" w:rsidRPr="000C156A">
        <w:rPr>
          <w:szCs w:val="24"/>
          <w:lang w:eastAsia="zh-CN"/>
        </w:rPr>
        <w:t>万瑞郎来自赞助</w:t>
      </w:r>
      <w:r w:rsidR="00B53975">
        <w:rPr>
          <w:rFonts w:hint="eastAsia"/>
          <w:szCs w:val="24"/>
          <w:lang w:eastAsia="zh-CN"/>
        </w:rPr>
        <w:t>方</w:t>
      </w:r>
      <w:r w:rsidR="003A08D1" w:rsidRPr="000C156A">
        <w:rPr>
          <w:szCs w:val="24"/>
          <w:lang w:eastAsia="zh-CN"/>
        </w:rPr>
        <w:t>、捐款和</w:t>
      </w:r>
      <w:r w:rsidR="003A08D1" w:rsidRPr="000C156A">
        <w:rPr>
          <w:szCs w:val="24"/>
          <w:lang w:eastAsia="zh-CN"/>
        </w:rPr>
        <w:t>2018</w:t>
      </w:r>
      <w:r w:rsidR="003A08D1" w:rsidRPr="000C156A">
        <w:rPr>
          <w:szCs w:val="24"/>
          <w:lang w:eastAsia="zh-CN"/>
        </w:rPr>
        <w:t>年</w:t>
      </w:r>
      <w:r w:rsidR="003A08D1" w:rsidRPr="000C156A">
        <w:rPr>
          <w:rFonts w:hint="eastAsia"/>
          <w:szCs w:val="24"/>
          <w:lang w:eastAsia="zh-CN"/>
        </w:rPr>
        <w:t>实现</w:t>
      </w:r>
      <w:r w:rsidR="003A08D1" w:rsidRPr="000C156A">
        <w:rPr>
          <w:szCs w:val="24"/>
          <w:lang w:eastAsia="zh-CN"/>
        </w:rPr>
        <w:t>盈余</w:t>
      </w:r>
      <w:r w:rsidR="003A08D1" w:rsidRPr="000C156A">
        <w:rPr>
          <w:rFonts w:hint="eastAsia"/>
          <w:szCs w:val="24"/>
          <w:lang w:eastAsia="zh-CN"/>
        </w:rPr>
        <w:t>后</w:t>
      </w:r>
      <w:r w:rsidR="003A08D1" w:rsidRPr="000C156A">
        <w:rPr>
          <w:szCs w:val="24"/>
          <w:lang w:eastAsia="zh-CN"/>
        </w:rPr>
        <w:t>进一步</w:t>
      </w:r>
      <w:r w:rsidR="003A08D1" w:rsidRPr="000C156A">
        <w:rPr>
          <w:rFonts w:hint="eastAsia"/>
          <w:szCs w:val="24"/>
          <w:lang w:eastAsia="zh-CN"/>
        </w:rPr>
        <w:t>划拨的节余款</w:t>
      </w:r>
      <w:r w:rsidR="003A08D1">
        <w:rPr>
          <w:rFonts w:hint="eastAsia"/>
          <w:szCs w:val="24"/>
          <w:lang w:eastAsia="zh-CN"/>
        </w:rPr>
        <w:t>。</w:t>
      </w:r>
      <w:r w:rsidR="003A08D1">
        <w:rPr>
          <w:rFonts w:hint="eastAsia"/>
          <w:szCs w:val="24"/>
          <w:lang w:eastAsia="zh-CN"/>
        </w:rPr>
        <w:t>2</w:t>
      </w:r>
      <w:r w:rsidR="003A08D1">
        <w:rPr>
          <w:szCs w:val="24"/>
          <w:lang w:eastAsia="zh-CN"/>
        </w:rPr>
        <w:t>021</w:t>
      </w:r>
      <w:r w:rsidR="003A08D1">
        <w:rPr>
          <w:rFonts w:hint="eastAsia"/>
          <w:szCs w:val="24"/>
          <w:lang w:eastAsia="zh-CN"/>
        </w:rPr>
        <w:t>年</w:t>
      </w:r>
      <w:r w:rsidR="003A08D1" w:rsidRPr="003A08D1">
        <w:rPr>
          <w:rFonts w:hint="eastAsia"/>
          <w:szCs w:val="24"/>
          <w:lang w:eastAsia="zh-CN"/>
        </w:rPr>
        <w:t>理事会磋商会虚拟会议（</w:t>
      </w:r>
      <w:r w:rsidR="003A08D1" w:rsidRPr="003A08D1">
        <w:rPr>
          <w:rFonts w:hint="eastAsia"/>
          <w:szCs w:val="24"/>
          <w:lang w:eastAsia="zh-CN"/>
        </w:rPr>
        <w:t>VCC</w:t>
      </w:r>
      <w:r w:rsidR="003A08D1" w:rsidRPr="003A08D1">
        <w:rPr>
          <w:rFonts w:hint="eastAsia"/>
          <w:szCs w:val="24"/>
          <w:lang w:eastAsia="zh-CN"/>
        </w:rPr>
        <w:t>）</w:t>
      </w:r>
      <w:r w:rsidR="00022201" w:rsidRPr="00022201">
        <w:rPr>
          <w:rFonts w:hint="eastAsia"/>
          <w:szCs w:val="24"/>
          <w:lang w:eastAsia="zh-CN"/>
        </w:rPr>
        <w:t>修订了第</w:t>
      </w:r>
      <w:r w:rsidR="00022201" w:rsidRPr="00022201">
        <w:rPr>
          <w:rFonts w:hint="eastAsia"/>
          <w:szCs w:val="24"/>
          <w:lang w:eastAsia="zh-CN"/>
        </w:rPr>
        <w:t>619</w:t>
      </w:r>
      <w:r w:rsidR="00022201" w:rsidRPr="00022201">
        <w:rPr>
          <w:rFonts w:hint="eastAsia"/>
          <w:szCs w:val="24"/>
          <w:lang w:eastAsia="zh-CN"/>
        </w:rPr>
        <w:t>号决定的</w:t>
      </w:r>
      <w:r w:rsidR="00022201" w:rsidRPr="00022201">
        <w:rPr>
          <w:rFonts w:ascii="STKaiti" w:eastAsia="STKaiti" w:hAnsi="STKaiti" w:cs="STKaiti" w:hint="eastAsia"/>
          <w:color w:val="000000" w:themeColor="text1"/>
          <w:lang w:val="en-US" w:eastAsia="zh-CN"/>
        </w:rPr>
        <w:t>做出决定4</w:t>
      </w:r>
      <w:r w:rsidR="00022201" w:rsidRPr="00022201">
        <w:rPr>
          <w:rFonts w:hint="eastAsia"/>
          <w:szCs w:val="24"/>
          <w:lang w:eastAsia="zh-CN"/>
        </w:rPr>
        <w:t>，</w:t>
      </w:r>
      <w:r w:rsidR="00022201">
        <w:rPr>
          <w:rFonts w:hint="eastAsia"/>
          <w:szCs w:val="24"/>
          <w:lang w:eastAsia="zh-CN"/>
        </w:rPr>
        <w:t>以接纳</w:t>
      </w:r>
      <w:r w:rsidR="00022201" w:rsidRPr="00022201">
        <w:rPr>
          <w:rFonts w:hint="eastAsia"/>
          <w:szCs w:val="24"/>
          <w:lang w:eastAsia="zh-CN"/>
        </w:rPr>
        <w:t>未来根据预定条件提供的赞助或捐赠。</w:t>
      </w:r>
    </w:p>
    <w:p w14:paraId="3A0EE03F" w14:textId="22CAA14F" w:rsidR="00E558E8" w:rsidRPr="00F528E7" w:rsidRDefault="00F91430" w:rsidP="00E558E8">
      <w:pPr>
        <w:ind w:firstLineChars="200" w:firstLine="480"/>
        <w:rPr>
          <w:rFonts w:cs="Calibri"/>
          <w:b/>
          <w:color w:val="800000"/>
          <w:sz w:val="22"/>
          <w:highlight w:val="yellow"/>
          <w:lang w:eastAsia="zh-CN"/>
        </w:rPr>
      </w:pPr>
      <w:r>
        <w:rPr>
          <w:rFonts w:asciiTheme="minorHAnsi" w:hAnsiTheme="minorHAnsi" w:cstheme="minorHAnsi"/>
          <w:color w:val="000000" w:themeColor="text1"/>
          <w:lang w:eastAsia="zh-CN"/>
        </w:rPr>
        <w:t>此后，国际电联签署了额外的赞助协议，项目</w:t>
      </w:r>
      <w:r>
        <w:rPr>
          <w:rFonts w:asciiTheme="minorHAnsi" w:hAnsiTheme="minorHAnsi" w:cstheme="minorHAnsi" w:hint="eastAsia"/>
          <w:color w:val="000000" w:themeColor="text1"/>
          <w:lang w:val="en-US" w:eastAsia="zh-CN"/>
        </w:rPr>
        <w:t>成本</w:t>
      </w:r>
      <w:r>
        <w:rPr>
          <w:rFonts w:asciiTheme="minorHAnsi" w:hAnsiTheme="minorHAnsi" w:cstheme="minorHAnsi"/>
          <w:color w:val="000000" w:themeColor="text1"/>
          <w:lang w:eastAsia="zh-CN"/>
        </w:rPr>
        <w:t>总额为</w:t>
      </w:r>
      <w:r>
        <w:rPr>
          <w:rFonts w:asciiTheme="minorHAnsi" w:hAnsiTheme="minorHAnsi" w:cstheme="minorHAnsi"/>
          <w:color w:val="000000" w:themeColor="text1"/>
          <w:lang w:eastAsia="zh-CN"/>
        </w:rPr>
        <w:t>172 640 000</w:t>
      </w:r>
      <w:r>
        <w:rPr>
          <w:rFonts w:asciiTheme="minorHAnsi" w:hAnsiTheme="minorHAnsi" w:cstheme="minorHAnsi" w:hint="eastAsia"/>
          <w:color w:val="000000" w:themeColor="text1"/>
          <w:lang w:eastAsia="zh-CN"/>
        </w:rPr>
        <w:t>瑞郎</w:t>
      </w:r>
      <w:r>
        <w:rPr>
          <w:rFonts w:asciiTheme="minorHAnsi" w:hAnsiTheme="minorHAnsi" w:cstheme="minorHAnsi"/>
          <w:color w:val="000000" w:themeColor="text1"/>
          <w:lang w:eastAsia="zh-CN"/>
        </w:rPr>
        <w:t>。</w:t>
      </w:r>
    </w:p>
    <w:p w14:paraId="1E89DA5C" w14:textId="5E93EFF8" w:rsidR="0085433F" w:rsidRPr="000C156A" w:rsidRDefault="00022201" w:rsidP="00E558E8">
      <w:pPr>
        <w:ind w:firstLineChars="200" w:firstLine="480"/>
        <w:rPr>
          <w:b/>
          <w:color w:val="800000"/>
          <w:sz w:val="22"/>
          <w:szCs w:val="24"/>
          <w:lang w:eastAsia="zh-CN"/>
        </w:rPr>
      </w:pPr>
      <w:r w:rsidRPr="00022201">
        <w:rPr>
          <w:rFonts w:hint="eastAsia"/>
          <w:szCs w:val="24"/>
          <w:lang w:eastAsia="zh-CN"/>
        </w:rPr>
        <w:t>此外，一笔</w:t>
      </w:r>
      <w:r w:rsidRPr="00022201">
        <w:rPr>
          <w:rFonts w:hint="eastAsia"/>
          <w:szCs w:val="24"/>
          <w:lang w:eastAsia="zh-CN"/>
        </w:rPr>
        <w:t>1 260</w:t>
      </w:r>
      <w:r w:rsidRPr="00022201">
        <w:rPr>
          <w:rFonts w:hint="eastAsia"/>
          <w:szCs w:val="24"/>
          <w:lang w:eastAsia="zh-CN"/>
        </w:rPr>
        <w:t>万瑞郎的应急基金可在必要时用于意外超支</w:t>
      </w:r>
      <w:r w:rsidR="005836E1">
        <w:rPr>
          <w:rFonts w:hint="eastAsia"/>
          <w:szCs w:val="24"/>
          <w:lang w:eastAsia="zh-CN"/>
        </w:rPr>
        <w:t>，并</w:t>
      </w:r>
      <w:r w:rsidRPr="00022201">
        <w:rPr>
          <w:rFonts w:hint="eastAsia"/>
          <w:szCs w:val="24"/>
          <w:lang w:eastAsia="zh-CN"/>
        </w:rPr>
        <w:t>为此设立了风险登记基金。截至</w:t>
      </w:r>
      <w:r w:rsidRPr="00022201">
        <w:rPr>
          <w:rFonts w:hint="eastAsia"/>
          <w:szCs w:val="24"/>
          <w:lang w:eastAsia="zh-CN"/>
        </w:rPr>
        <w:t>2021</w:t>
      </w:r>
      <w:r w:rsidRPr="00022201">
        <w:rPr>
          <w:rFonts w:hint="eastAsia"/>
          <w:szCs w:val="24"/>
          <w:lang w:eastAsia="zh-CN"/>
        </w:rPr>
        <w:t>年</w:t>
      </w:r>
      <w:r w:rsidRPr="00022201">
        <w:rPr>
          <w:rFonts w:hint="eastAsia"/>
          <w:szCs w:val="24"/>
          <w:lang w:eastAsia="zh-CN"/>
        </w:rPr>
        <w:t>12</w:t>
      </w:r>
      <w:r w:rsidRPr="00022201">
        <w:rPr>
          <w:rFonts w:hint="eastAsia"/>
          <w:szCs w:val="24"/>
          <w:lang w:eastAsia="zh-CN"/>
        </w:rPr>
        <w:t>月</w:t>
      </w:r>
      <w:r w:rsidRPr="00022201">
        <w:rPr>
          <w:rFonts w:hint="eastAsia"/>
          <w:szCs w:val="24"/>
          <w:lang w:eastAsia="zh-CN"/>
        </w:rPr>
        <w:t>31</w:t>
      </w:r>
      <w:r w:rsidRPr="00022201">
        <w:rPr>
          <w:rFonts w:hint="eastAsia"/>
          <w:szCs w:val="24"/>
          <w:lang w:eastAsia="zh-CN"/>
        </w:rPr>
        <w:t>日，风险登记基金总额为</w:t>
      </w:r>
      <w:r w:rsidRPr="00022201">
        <w:rPr>
          <w:rFonts w:hint="eastAsia"/>
          <w:szCs w:val="24"/>
          <w:lang w:eastAsia="zh-CN"/>
        </w:rPr>
        <w:t>343</w:t>
      </w:r>
      <w:r w:rsidRPr="00022201">
        <w:rPr>
          <w:rFonts w:hint="eastAsia"/>
          <w:szCs w:val="24"/>
          <w:lang w:eastAsia="zh-CN"/>
        </w:rPr>
        <w:t>万瑞郎。</w:t>
      </w:r>
    </w:p>
    <w:p w14:paraId="298AC826" w14:textId="0BA0492F" w:rsidR="0085433F" w:rsidRPr="000C156A" w:rsidRDefault="005836E1" w:rsidP="0085433F">
      <w:pPr>
        <w:ind w:firstLineChars="200" w:firstLine="480"/>
        <w:rPr>
          <w:rFonts w:ascii="SimSun" w:hAnsi="SimSun" w:cs="SimSun"/>
          <w:color w:val="000000"/>
          <w:lang w:eastAsia="zh-CN"/>
        </w:rPr>
      </w:pPr>
      <w:r w:rsidRPr="005836E1">
        <w:rPr>
          <w:rFonts w:asciiTheme="minorHAnsi" w:hAnsiTheme="minorHAnsi" w:hint="eastAsia"/>
          <w:szCs w:val="24"/>
          <w:lang w:eastAsia="zh-CN"/>
        </w:rPr>
        <w:t>秘书长向瑞士申请了用于项目第一阶段的首期贷款，用于诸如</w:t>
      </w:r>
      <w:r w:rsidRPr="005836E1">
        <w:rPr>
          <w:rFonts w:asciiTheme="minorHAnsi" w:hAnsiTheme="minorHAnsi" w:hint="eastAsia"/>
          <w:szCs w:val="24"/>
          <w:lang w:eastAsia="zh-CN"/>
        </w:rPr>
        <w:t>2021</w:t>
      </w:r>
      <w:r w:rsidRPr="005836E1">
        <w:rPr>
          <w:rFonts w:asciiTheme="minorHAnsi" w:hAnsiTheme="minorHAnsi" w:hint="eastAsia"/>
          <w:szCs w:val="24"/>
          <w:lang w:eastAsia="zh-CN"/>
        </w:rPr>
        <w:t>年</w:t>
      </w:r>
      <w:r w:rsidRPr="005836E1">
        <w:rPr>
          <w:rFonts w:asciiTheme="minorHAnsi" w:hAnsiTheme="minorHAnsi" w:hint="eastAsia"/>
          <w:szCs w:val="24"/>
          <w:lang w:eastAsia="zh-CN"/>
        </w:rPr>
        <w:t>6</w:t>
      </w:r>
      <w:r w:rsidRPr="005836E1">
        <w:rPr>
          <w:rFonts w:asciiTheme="minorHAnsi" w:hAnsiTheme="minorHAnsi" w:hint="eastAsia"/>
          <w:szCs w:val="24"/>
          <w:lang w:eastAsia="zh-CN"/>
        </w:rPr>
        <w:t>月</w:t>
      </w:r>
      <w:r w:rsidRPr="005836E1">
        <w:rPr>
          <w:rFonts w:asciiTheme="minorHAnsi" w:hAnsiTheme="minorHAnsi" w:hint="eastAsia"/>
          <w:szCs w:val="24"/>
          <w:lang w:eastAsia="zh-CN"/>
        </w:rPr>
        <w:t>30</w:t>
      </w:r>
      <w:r w:rsidRPr="005836E1">
        <w:rPr>
          <w:rFonts w:asciiTheme="minorHAnsi" w:hAnsiTheme="minorHAnsi" w:hint="eastAsia"/>
          <w:szCs w:val="24"/>
          <w:lang w:eastAsia="zh-CN"/>
        </w:rPr>
        <w:t>日之前的建筑设计竞标、建筑设计研究和相关费用。申请的贷款金额为</w:t>
      </w:r>
      <w:r w:rsidRPr="005836E1">
        <w:rPr>
          <w:rFonts w:asciiTheme="minorHAnsi" w:hAnsiTheme="minorHAnsi" w:hint="eastAsia"/>
          <w:szCs w:val="24"/>
          <w:lang w:eastAsia="zh-CN"/>
        </w:rPr>
        <w:t>1 200</w:t>
      </w:r>
      <w:r w:rsidRPr="005836E1">
        <w:rPr>
          <w:rFonts w:asciiTheme="minorHAnsi" w:hAnsiTheme="minorHAnsi" w:hint="eastAsia"/>
          <w:szCs w:val="24"/>
          <w:lang w:eastAsia="zh-CN"/>
        </w:rPr>
        <w:t>万瑞郎，</w:t>
      </w:r>
      <w:r w:rsidR="00B53975">
        <w:rPr>
          <w:rFonts w:asciiTheme="minorHAnsi" w:hAnsiTheme="minorHAnsi" w:hint="eastAsia"/>
          <w:szCs w:val="24"/>
          <w:lang w:eastAsia="zh-CN"/>
        </w:rPr>
        <w:t>只有</w:t>
      </w:r>
      <w:r w:rsidRPr="005836E1">
        <w:rPr>
          <w:rFonts w:asciiTheme="minorHAnsi" w:hAnsiTheme="minorHAnsi" w:hint="eastAsia"/>
          <w:szCs w:val="24"/>
          <w:lang w:eastAsia="zh-CN"/>
        </w:rPr>
        <w:t>在办公楼成功验收后（最早为</w:t>
      </w:r>
      <w:r w:rsidRPr="005836E1">
        <w:rPr>
          <w:rFonts w:asciiTheme="minorHAnsi" w:hAnsiTheme="minorHAnsi" w:hint="eastAsia"/>
          <w:szCs w:val="24"/>
          <w:lang w:eastAsia="zh-CN"/>
        </w:rPr>
        <w:t>2026</w:t>
      </w:r>
      <w:r w:rsidRPr="005836E1">
        <w:rPr>
          <w:rFonts w:asciiTheme="minorHAnsi" w:hAnsiTheme="minorHAnsi" w:hint="eastAsia"/>
          <w:szCs w:val="24"/>
          <w:lang w:eastAsia="zh-CN"/>
        </w:rPr>
        <w:t>年）才进行首次年度还款。瑞士议会于</w:t>
      </w:r>
      <w:r w:rsidRPr="005836E1">
        <w:rPr>
          <w:rFonts w:asciiTheme="minorHAnsi" w:hAnsiTheme="minorHAnsi" w:hint="eastAsia"/>
          <w:szCs w:val="24"/>
          <w:lang w:eastAsia="zh-CN"/>
        </w:rPr>
        <w:t>2016</w:t>
      </w:r>
      <w:r w:rsidRPr="005836E1">
        <w:rPr>
          <w:rFonts w:asciiTheme="minorHAnsi" w:hAnsiTheme="minorHAnsi" w:hint="eastAsia"/>
          <w:szCs w:val="24"/>
          <w:lang w:eastAsia="zh-CN"/>
        </w:rPr>
        <w:t>年</w:t>
      </w:r>
      <w:r w:rsidRPr="005836E1">
        <w:rPr>
          <w:rFonts w:asciiTheme="minorHAnsi" w:hAnsiTheme="minorHAnsi" w:hint="eastAsia"/>
          <w:szCs w:val="24"/>
          <w:lang w:eastAsia="zh-CN"/>
        </w:rPr>
        <w:t>12</w:t>
      </w:r>
      <w:r w:rsidRPr="005836E1">
        <w:rPr>
          <w:rFonts w:asciiTheme="minorHAnsi" w:hAnsiTheme="minorHAnsi" w:hint="eastAsia"/>
          <w:szCs w:val="24"/>
          <w:lang w:eastAsia="zh-CN"/>
        </w:rPr>
        <w:t>月批准该笔贷款后，国际电联与国际组织不动产基金会（</w:t>
      </w:r>
      <w:r w:rsidRPr="005836E1">
        <w:rPr>
          <w:rFonts w:asciiTheme="minorHAnsi" w:hAnsiTheme="minorHAnsi" w:hint="eastAsia"/>
          <w:szCs w:val="24"/>
          <w:lang w:eastAsia="zh-CN"/>
        </w:rPr>
        <w:t>FIPOI</w:t>
      </w:r>
      <w:r w:rsidRPr="005836E1">
        <w:rPr>
          <w:rFonts w:asciiTheme="minorHAnsi" w:hAnsiTheme="minorHAnsi" w:hint="eastAsia"/>
          <w:szCs w:val="24"/>
          <w:lang w:eastAsia="zh-CN"/>
        </w:rPr>
        <w:t>）签署了这笔贷款的管理合同，并于</w:t>
      </w:r>
      <w:r w:rsidRPr="005836E1">
        <w:rPr>
          <w:rFonts w:asciiTheme="minorHAnsi" w:hAnsiTheme="minorHAnsi" w:hint="eastAsia"/>
          <w:szCs w:val="24"/>
          <w:lang w:eastAsia="zh-CN"/>
        </w:rPr>
        <w:t>2017</w:t>
      </w:r>
      <w:r w:rsidRPr="005836E1">
        <w:rPr>
          <w:rFonts w:asciiTheme="minorHAnsi" w:hAnsiTheme="minorHAnsi" w:hint="eastAsia"/>
          <w:szCs w:val="24"/>
          <w:lang w:eastAsia="zh-CN"/>
        </w:rPr>
        <w:t>年初开始供款。</w:t>
      </w:r>
      <w:r w:rsidRPr="000C156A">
        <w:rPr>
          <w:rFonts w:ascii="SimSun" w:hAnsi="SimSun" w:cs="SimSun"/>
          <w:color w:val="000000"/>
          <w:lang w:eastAsia="zh-CN"/>
        </w:rPr>
        <w:t xml:space="preserve"> </w:t>
      </w:r>
    </w:p>
    <w:p w14:paraId="4C2D33A5" w14:textId="047CC0F6" w:rsidR="0085433F" w:rsidRPr="000C156A" w:rsidRDefault="002163EA" w:rsidP="0085433F">
      <w:pPr>
        <w:ind w:firstLineChars="200" w:firstLine="480"/>
        <w:rPr>
          <w:rFonts w:cs="Calibri"/>
          <w:color w:val="000000"/>
          <w:lang w:eastAsia="zh-CN"/>
        </w:rPr>
      </w:pPr>
      <w:bookmarkStart w:id="497" w:name="_Hlk109767846"/>
      <w:r w:rsidRPr="000C156A">
        <w:rPr>
          <w:rFonts w:cs="Calibri" w:hint="eastAsia"/>
          <w:color w:val="000000"/>
          <w:lang w:eastAsia="zh-CN"/>
        </w:rPr>
        <w:t>总额为</w:t>
      </w:r>
      <w:r w:rsidRPr="000C156A">
        <w:rPr>
          <w:rFonts w:cs="Calibri" w:hint="eastAsia"/>
          <w:color w:val="000000"/>
          <w:lang w:eastAsia="zh-CN"/>
        </w:rPr>
        <w:t>1.38</w:t>
      </w:r>
      <w:r w:rsidRPr="000C156A">
        <w:rPr>
          <w:rFonts w:cs="Calibri" w:hint="eastAsia"/>
          <w:color w:val="000000"/>
          <w:lang w:eastAsia="zh-CN"/>
        </w:rPr>
        <w:t>亿瑞郎</w:t>
      </w:r>
      <w:r>
        <w:rPr>
          <w:rFonts w:cs="Calibri" w:hint="eastAsia"/>
          <w:color w:val="000000"/>
          <w:lang w:eastAsia="zh-CN"/>
        </w:rPr>
        <w:t>的</w:t>
      </w:r>
      <w:r w:rsidR="0085433F" w:rsidRPr="000C156A">
        <w:rPr>
          <w:rFonts w:cs="Calibri" w:hint="eastAsia"/>
          <w:color w:val="000000"/>
          <w:lang w:eastAsia="zh-CN"/>
        </w:rPr>
        <w:t>第二批贷</w:t>
      </w:r>
      <w:bookmarkEnd w:id="497"/>
      <w:r w:rsidR="008555D7">
        <w:rPr>
          <w:rFonts w:cs="Calibri" w:hint="eastAsia"/>
          <w:color w:val="000000"/>
          <w:lang w:eastAsia="zh-CN"/>
        </w:rPr>
        <w:t>款</w:t>
      </w:r>
      <w:r w:rsidR="0085433F" w:rsidRPr="000C156A">
        <w:rPr>
          <w:rFonts w:cs="Calibri" w:hint="eastAsia"/>
          <w:color w:val="000000"/>
          <w:lang w:eastAsia="zh-CN"/>
        </w:rPr>
        <w:t>于</w:t>
      </w:r>
      <w:r w:rsidR="0085433F" w:rsidRPr="000C156A">
        <w:rPr>
          <w:rFonts w:cs="Calibri" w:hint="eastAsia"/>
          <w:color w:val="000000"/>
          <w:lang w:eastAsia="zh-CN"/>
        </w:rPr>
        <w:t>2021</w:t>
      </w:r>
      <w:r w:rsidR="0085433F" w:rsidRPr="000C156A">
        <w:rPr>
          <w:rFonts w:cs="Calibri" w:hint="eastAsia"/>
          <w:color w:val="000000"/>
          <w:lang w:eastAsia="zh-CN"/>
        </w:rPr>
        <w:t>年初获得批准</w:t>
      </w:r>
      <w:r w:rsidR="00E544CF">
        <w:rPr>
          <w:rFonts w:cs="Calibri" w:hint="eastAsia"/>
          <w:color w:val="000000"/>
          <w:lang w:eastAsia="zh-CN"/>
        </w:rPr>
        <w:t>，</w:t>
      </w:r>
      <w:r w:rsidR="008555D7">
        <w:rPr>
          <w:rFonts w:cs="Calibri" w:hint="eastAsia"/>
          <w:color w:val="000000"/>
          <w:lang w:eastAsia="zh-CN"/>
        </w:rPr>
        <w:t>并于</w:t>
      </w:r>
      <w:r w:rsidR="00E544CF">
        <w:rPr>
          <w:rFonts w:cs="Calibri" w:hint="eastAsia"/>
          <w:color w:val="000000"/>
          <w:lang w:eastAsia="zh-CN"/>
        </w:rPr>
        <w:t>同年从</w:t>
      </w:r>
      <w:r>
        <w:rPr>
          <w:rFonts w:cs="Calibri" w:hint="eastAsia"/>
          <w:color w:val="000000"/>
          <w:lang w:eastAsia="zh-CN"/>
        </w:rPr>
        <w:t>这</w:t>
      </w:r>
      <w:r w:rsidR="00E544CF" w:rsidRPr="00E544CF">
        <w:rPr>
          <w:rFonts w:cs="Calibri" w:hint="eastAsia"/>
          <w:color w:val="000000"/>
          <w:lang w:eastAsia="zh-CN"/>
        </w:rPr>
        <w:t>批贷款</w:t>
      </w:r>
      <w:r w:rsidR="00E544CF">
        <w:rPr>
          <w:rFonts w:cs="Calibri" w:hint="eastAsia"/>
          <w:color w:val="000000"/>
          <w:lang w:eastAsia="zh-CN"/>
        </w:rPr>
        <w:t>中</w:t>
      </w:r>
      <w:r>
        <w:rPr>
          <w:rFonts w:cs="Calibri" w:hint="eastAsia"/>
          <w:color w:val="000000"/>
          <w:lang w:eastAsia="zh-CN"/>
        </w:rPr>
        <w:t>申请了</w:t>
      </w:r>
      <w:r>
        <w:rPr>
          <w:rFonts w:cs="Calibri" w:hint="eastAsia"/>
          <w:color w:val="000000"/>
          <w:lang w:eastAsia="zh-CN"/>
        </w:rPr>
        <w:t>4</w:t>
      </w:r>
      <w:r>
        <w:rPr>
          <w:rFonts w:cs="Calibri"/>
          <w:color w:val="000000"/>
          <w:lang w:eastAsia="zh-CN"/>
        </w:rPr>
        <w:t>90</w:t>
      </w:r>
      <w:r>
        <w:rPr>
          <w:rFonts w:cs="Calibri" w:hint="eastAsia"/>
          <w:color w:val="000000"/>
          <w:lang w:eastAsia="zh-CN"/>
        </w:rPr>
        <w:t>万瑞郎</w:t>
      </w:r>
      <w:r w:rsidR="00C55E62">
        <w:rPr>
          <w:rFonts w:cs="Calibri" w:hint="eastAsia"/>
          <w:color w:val="000000"/>
          <w:lang w:eastAsia="zh-CN"/>
        </w:rPr>
        <w:t>。</w:t>
      </w:r>
    </w:p>
    <w:p w14:paraId="7D23129C" w14:textId="77777777" w:rsidR="0085433F" w:rsidRPr="000C156A" w:rsidRDefault="0085433F" w:rsidP="0085433F">
      <w:pPr>
        <w:ind w:firstLineChars="200" w:firstLine="480"/>
        <w:jc w:val="both"/>
        <w:rPr>
          <w:rFonts w:asciiTheme="minorHAnsi" w:hAnsiTheme="minorHAnsi"/>
          <w:szCs w:val="24"/>
          <w:lang w:eastAsia="zh-CN"/>
        </w:rPr>
      </w:pPr>
      <w:r w:rsidRPr="000C156A">
        <w:rPr>
          <w:rFonts w:asciiTheme="minorHAnsi" w:hAnsiTheme="minorHAnsi" w:hint="eastAsia"/>
          <w:szCs w:val="24"/>
          <w:lang w:eastAsia="zh-CN"/>
        </w:rPr>
        <w:t>为跟踪项目和会计政策的实施情况，新成立了两个为新办公楼项目确定融资渠道的基金。这两个基金的情况在“分部门报告”部分及附件</w:t>
      </w:r>
      <w:r w:rsidRPr="000C156A">
        <w:rPr>
          <w:rFonts w:asciiTheme="minorHAnsi" w:hAnsiTheme="minorHAnsi" w:hint="eastAsia"/>
          <w:szCs w:val="24"/>
          <w:lang w:eastAsia="zh-CN"/>
        </w:rPr>
        <w:t>B2</w:t>
      </w:r>
      <w:r w:rsidRPr="000C156A">
        <w:rPr>
          <w:rFonts w:asciiTheme="minorHAnsi" w:hAnsiTheme="minorHAnsi" w:hint="eastAsia"/>
          <w:szCs w:val="24"/>
          <w:lang w:eastAsia="zh-CN"/>
        </w:rPr>
        <w:t>中披露。</w:t>
      </w:r>
    </w:p>
    <w:p w14:paraId="458DEA6D" w14:textId="77777777" w:rsidR="0085433F" w:rsidRPr="00F94FFA" w:rsidRDefault="0085433F" w:rsidP="00F94FFA">
      <w:pPr>
        <w:pStyle w:val="Heading5"/>
        <w:rPr>
          <w:b/>
          <w:bCs/>
          <w:i w:val="0"/>
          <w:u w:val="single"/>
          <w:lang w:eastAsia="zh-CN"/>
        </w:rPr>
      </w:pPr>
      <w:bookmarkStart w:id="498" w:name="_Toc41905860"/>
      <w:bookmarkStart w:id="499" w:name="_Toc73518676"/>
      <w:bookmarkStart w:id="500" w:name="_Toc73518823"/>
      <w:bookmarkStart w:id="501" w:name="_Toc73519223"/>
      <w:bookmarkStart w:id="502" w:name="_Toc110265704"/>
      <w:r w:rsidRPr="00F94FFA">
        <w:rPr>
          <w:rFonts w:hint="eastAsia"/>
          <w:b/>
          <w:bCs/>
          <w:i w:val="0"/>
          <w:u w:val="single"/>
          <w:lang w:val="fr-FR" w:eastAsia="zh-CN"/>
        </w:rPr>
        <w:t>预算外活动相关基金</w:t>
      </w:r>
      <w:bookmarkEnd w:id="496"/>
      <w:bookmarkEnd w:id="498"/>
      <w:bookmarkEnd w:id="499"/>
      <w:bookmarkEnd w:id="500"/>
      <w:bookmarkEnd w:id="501"/>
      <w:bookmarkEnd w:id="502"/>
    </w:p>
    <w:p w14:paraId="706725E5" w14:textId="77777777" w:rsidR="0085433F" w:rsidRPr="000C156A" w:rsidRDefault="0085433F" w:rsidP="0085433F">
      <w:pPr>
        <w:pStyle w:val="enumlev1"/>
        <w:keepNext/>
        <w:keepLines/>
        <w:rPr>
          <w:b/>
          <w:bCs/>
          <w:lang w:eastAsia="zh-CN"/>
        </w:rPr>
      </w:pPr>
      <w:r w:rsidRPr="000C156A">
        <w:rPr>
          <w:b/>
          <w:bCs/>
          <w:lang w:eastAsia="zh-CN"/>
        </w:rPr>
        <w:t>–</w:t>
      </w:r>
      <w:r w:rsidRPr="000C156A">
        <w:rPr>
          <w:b/>
          <w:bCs/>
          <w:lang w:eastAsia="zh-CN"/>
        </w:rPr>
        <w:tab/>
        <w:t>ICT</w:t>
      </w:r>
      <w:r w:rsidRPr="000C156A">
        <w:rPr>
          <w:rFonts w:hint="eastAsia"/>
          <w:b/>
          <w:bCs/>
          <w:lang w:eastAsia="zh-CN"/>
        </w:rPr>
        <w:t>发展基金</w:t>
      </w:r>
    </w:p>
    <w:p w14:paraId="4025BB47" w14:textId="77777777" w:rsidR="0085433F" w:rsidRPr="000C156A" w:rsidRDefault="0085433F" w:rsidP="0085433F">
      <w:pPr>
        <w:ind w:firstLineChars="200" w:firstLine="480"/>
        <w:rPr>
          <w:lang w:eastAsia="zh-CN"/>
        </w:rPr>
      </w:pPr>
      <w:r w:rsidRPr="000C156A">
        <w:rPr>
          <w:rFonts w:hint="eastAsia"/>
          <w:lang w:eastAsia="zh-CN"/>
        </w:rPr>
        <w:t>为实现国际电联促进在全球范围内扩大现代通信服务的使命，理事会将国际电联电信展活动的一部分盈余收入分配给</w:t>
      </w:r>
      <w:r w:rsidRPr="000C156A">
        <w:rPr>
          <w:lang w:eastAsia="zh-CN"/>
        </w:rPr>
        <w:t>ICT</w:t>
      </w:r>
      <w:r w:rsidRPr="000C156A">
        <w:rPr>
          <w:rFonts w:hint="eastAsia"/>
          <w:lang w:eastAsia="zh-CN"/>
        </w:rPr>
        <w:t>发展基金（</w:t>
      </w:r>
      <w:r w:rsidRPr="000C156A">
        <w:rPr>
          <w:lang w:eastAsia="zh-CN"/>
        </w:rPr>
        <w:t>ICTDF</w:t>
      </w:r>
      <w:r w:rsidRPr="000C156A">
        <w:rPr>
          <w:rFonts w:hint="eastAsia"/>
          <w:lang w:eastAsia="zh-CN"/>
        </w:rPr>
        <w:t>），为不同国家和区域的发展项目提供资金。通过</w:t>
      </w:r>
      <w:r w:rsidRPr="000C156A">
        <w:rPr>
          <w:lang w:eastAsia="zh-CN"/>
        </w:rPr>
        <w:t>ICTDF</w:t>
      </w:r>
      <w:r w:rsidRPr="000C156A">
        <w:rPr>
          <w:rFonts w:hint="eastAsia"/>
          <w:lang w:eastAsia="zh-CN"/>
        </w:rPr>
        <w:t>融资的项目只在财务业绩报表中确认费用。在各阶段结账时，资产负债表上划拨的自有资金减去在此阶段内发生的费用总额。这一原则同样适用于按照发展行动计划融资的项目。用于这些项目的资金已在以往阶段确认为收入。</w:t>
      </w:r>
    </w:p>
    <w:p w14:paraId="028E5AA7" w14:textId="77777777" w:rsidR="0085433F" w:rsidRPr="000C156A" w:rsidRDefault="0085433F" w:rsidP="0085433F">
      <w:pPr>
        <w:ind w:firstLineChars="200" w:firstLine="480"/>
        <w:rPr>
          <w:lang w:eastAsia="zh-CN"/>
        </w:rPr>
      </w:pPr>
      <w:r w:rsidRPr="000C156A">
        <w:rPr>
          <w:lang w:eastAsia="zh-CN"/>
        </w:rPr>
        <w:t>ICTDF</w:t>
      </w:r>
      <w:r w:rsidRPr="000C156A">
        <w:rPr>
          <w:rFonts w:hint="eastAsia"/>
          <w:lang w:eastAsia="zh-CN"/>
        </w:rPr>
        <w:t>还记录成员国或第三方为向</w:t>
      </w:r>
      <w:r w:rsidRPr="000C156A">
        <w:rPr>
          <w:lang w:eastAsia="zh-CN"/>
        </w:rPr>
        <w:t>ICT</w:t>
      </w:r>
      <w:r w:rsidRPr="000C156A">
        <w:rPr>
          <w:rFonts w:hint="eastAsia"/>
          <w:lang w:eastAsia="zh-CN"/>
        </w:rPr>
        <w:t>发展项目提供资金而做出的贡献。</w:t>
      </w:r>
    </w:p>
    <w:p w14:paraId="2A387390" w14:textId="77777777" w:rsidR="0085433F" w:rsidRPr="000C156A" w:rsidRDefault="0085433F" w:rsidP="0085433F">
      <w:pPr>
        <w:pStyle w:val="enumlev1"/>
        <w:keepNext/>
        <w:rPr>
          <w:b/>
          <w:bCs/>
          <w:lang w:eastAsia="zh-CN"/>
        </w:rPr>
      </w:pPr>
      <w:r w:rsidRPr="000C156A">
        <w:rPr>
          <w:b/>
          <w:bCs/>
          <w:lang w:eastAsia="zh-CN"/>
        </w:rPr>
        <w:lastRenderedPageBreak/>
        <w:t>–</w:t>
      </w:r>
      <w:r w:rsidRPr="000C156A">
        <w:rPr>
          <w:b/>
          <w:bCs/>
          <w:lang w:eastAsia="zh-CN"/>
        </w:rPr>
        <w:tab/>
      </w:r>
      <w:r w:rsidRPr="000C156A">
        <w:rPr>
          <w:rFonts w:hint="eastAsia"/>
          <w:b/>
          <w:bCs/>
          <w:lang w:eastAsia="zh-CN"/>
        </w:rPr>
        <w:t>国际电联电信展周转资本基金</w:t>
      </w:r>
    </w:p>
    <w:p w14:paraId="52B62C50" w14:textId="77777777" w:rsidR="0085433F" w:rsidRPr="000C156A" w:rsidRDefault="0085433F" w:rsidP="0085433F">
      <w:pPr>
        <w:ind w:firstLineChars="200" w:firstLine="480"/>
        <w:jc w:val="both"/>
        <w:rPr>
          <w:lang w:val="en-US" w:eastAsia="zh-CN"/>
        </w:rPr>
      </w:pPr>
      <w:r w:rsidRPr="000C156A">
        <w:rPr>
          <w:rFonts w:hint="eastAsia"/>
          <w:lang w:val="en-US" w:eastAsia="zh-CN"/>
        </w:rPr>
        <w:t>国际电联电信展活动为政府、公司及中小企业（</w:t>
      </w:r>
      <w:r w:rsidRPr="000C156A">
        <w:rPr>
          <w:lang w:val="en-US" w:eastAsia="zh-CN"/>
        </w:rPr>
        <w:t>SME</w:t>
      </w:r>
      <w:r w:rsidRPr="000C156A">
        <w:rPr>
          <w:rFonts w:hint="eastAsia"/>
          <w:lang w:val="en-US" w:eastAsia="zh-CN"/>
        </w:rPr>
        <w:t>）提供了全球性平台，以加快促进社会和经济发展的</w:t>
      </w:r>
      <w:r w:rsidRPr="000C156A">
        <w:rPr>
          <w:lang w:val="en-US" w:eastAsia="zh-CN"/>
        </w:rPr>
        <w:t>ICT</w:t>
      </w:r>
      <w:r w:rsidRPr="000C156A">
        <w:rPr>
          <w:rFonts w:hint="eastAsia"/>
          <w:lang w:val="en-US" w:eastAsia="zh-CN"/>
        </w:rPr>
        <w:t>创新。展会包括创新服务、应用和解决方案的展示以及世界各地的投资和合作机会；就</w:t>
      </w:r>
      <w:r w:rsidRPr="000C156A">
        <w:rPr>
          <w:lang w:val="en-US" w:eastAsia="zh-CN"/>
        </w:rPr>
        <w:t>ICT</w:t>
      </w:r>
      <w:r w:rsidRPr="000C156A">
        <w:rPr>
          <w:rFonts w:hint="eastAsia"/>
          <w:lang w:val="en-US" w:eastAsia="zh-CN"/>
        </w:rPr>
        <w:t>行业的最新问题开展最高层对话的世界级领袖峰会和论坛，同时深入探讨数字经济的技术、政策和监管问题、战略和商业模式的动向。国际电联电信展活动还汇集了最高级别的与会者，包括国家首脑、部长、监管机构、公司高管及其他有影响的领袖。</w:t>
      </w:r>
    </w:p>
    <w:p w14:paraId="31CED11B" w14:textId="77777777" w:rsidR="0085433F" w:rsidRPr="000C156A" w:rsidRDefault="0085433F" w:rsidP="0085433F">
      <w:pPr>
        <w:ind w:firstLineChars="200" w:firstLine="480"/>
        <w:jc w:val="both"/>
        <w:rPr>
          <w:lang w:val="en-US" w:eastAsia="zh-CN"/>
        </w:rPr>
      </w:pPr>
      <w:r w:rsidRPr="000C156A">
        <w:rPr>
          <w:rFonts w:hint="eastAsia"/>
          <w:lang w:val="en-US" w:eastAsia="zh-CN"/>
        </w:rPr>
        <w:t>每次国际电联电信展活动结账后，所有结余收入或额外支出都会转入电信展周转资本基金，余额计入国际电联财务报表。经理事会批准后，可能将基金从电信展周转资本基金转入</w:t>
      </w:r>
      <w:r w:rsidRPr="000C156A">
        <w:rPr>
          <w:lang w:val="en-US" w:eastAsia="zh-CN"/>
        </w:rPr>
        <w:t>ICT</w:t>
      </w:r>
      <w:r w:rsidRPr="000C156A">
        <w:rPr>
          <w:rFonts w:hint="eastAsia"/>
          <w:lang w:val="en-US" w:eastAsia="zh-CN"/>
        </w:rPr>
        <w:t>发展基金。</w:t>
      </w:r>
    </w:p>
    <w:p w14:paraId="6638BCB1" w14:textId="77777777" w:rsidR="0085433F" w:rsidRPr="000C156A" w:rsidRDefault="0085433F" w:rsidP="0085433F">
      <w:pPr>
        <w:pStyle w:val="enumlev1"/>
        <w:keepNext/>
        <w:rPr>
          <w:b/>
          <w:bCs/>
          <w:lang w:eastAsia="zh-CN"/>
        </w:rPr>
      </w:pPr>
      <w:r w:rsidRPr="000C156A">
        <w:rPr>
          <w:b/>
          <w:bCs/>
          <w:lang w:eastAsia="zh-CN"/>
        </w:rPr>
        <w:t>–</w:t>
      </w:r>
      <w:r w:rsidRPr="000C156A">
        <w:rPr>
          <w:b/>
          <w:bCs/>
          <w:lang w:eastAsia="zh-CN"/>
        </w:rPr>
        <w:tab/>
      </w:r>
      <w:r w:rsidRPr="000C156A">
        <w:rPr>
          <w:rFonts w:hint="eastAsia"/>
          <w:b/>
          <w:bCs/>
          <w:lang w:val="en-US" w:eastAsia="zh-CN"/>
        </w:rPr>
        <w:t>预算外项目储备金</w:t>
      </w:r>
    </w:p>
    <w:p w14:paraId="29ABC1DF" w14:textId="77777777" w:rsidR="0085433F" w:rsidRPr="000C156A" w:rsidRDefault="0085433F" w:rsidP="0085433F">
      <w:pPr>
        <w:ind w:firstLineChars="200" w:firstLine="480"/>
        <w:rPr>
          <w:lang w:eastAsia="zh-CN"/>
        </w:rPr>
      </w:pPr>
      <w:r w:rsidRPr="000C156A">
        <w:rPr>
          <w:rFonts w:hint="eastAsia"/>
          <w:lang w:eastAsia="zh-CN"/>
        </w:rPr>
        <w:t>国际电联设立了储备金账目，接收完成项目的余额。该储备金用来为新的项目或区域性举措提供资金，同时弥补某些亏损项目。</w:t>
      </w:r>
    </w:p>
    <w:p w14:paraId="3D394D3F" w14:textId="77777777" w:rsidR="0085433F" w:rsidRPr="00473856" w:rsidRDefault="0085433F" w:rsidP="00473856">
      <w:pPr>
        <w:pStyle w:val="Heading5"/>
        <w:rPr>
          <w:b/>
          <w:bCs/>
          <w:i w:val="0"/>
          <w:u w:val="single"/>
          <w:lang w:eastAsia="zh-CN"/>
        </w:rPr>
      </w:pPr>
      <w:bookmarkStart w:id="503" w:name="_Toc305426934"/>
      <w:bookmarkStart w:id="504" w:name="_Toc482892559"/>
      <w:bookmarkStart w:id="505" w:name="_Toc41905861"/>
      <w:bookmarkStart w:id="506" w:name="_Toc73518677"/>
      <w:bookmarkStart w:id="507" w:name="_Toc73518824"/>
      <w:bookmarkStart w:id="508" w:name="_Toc73519224"/>
      <w:bookmarkStart w:id="509" w:name="_Toc110265705"/>
      <w:bookmarkEnd w:id="488"/>
      <w:bookmarkEnd w:id="489"/>
      <w:r w:rsidRPr="00473856">
        <w:rPr>
          <w:rFonts w:hint="eastAsia"/>
          <w:b/>
          <w:bCs/>
          <w:i w:val="0"/>
          <w:u w:val="single"/>
          <w:lang w:val="fr-FR" w:eastAsia="zh-CN"/>
        </w:rPr>
        <w:t>收入的确</w:t>
      </w:r>
      <w:bookmarkEnd w:id="503"/>
      <w:r w:rsidRPr="00473856">
        <w:rPr>
          <w:rFonts w:hint="eastAsia"/>
          <w:b/>
          <w:bCs/>
          <w:i w:val="0"/>
          <w:u w:val="single"/>
          <w:lang w:val="fr-FR" w:eastAsia="zh-CN"/>
        </w:rPr>
        <w:t>认</w:t>
      </w:r>
      <w:bookmarkEnd w:id="504"/>
      <w:bookmarkEnd w:id="505"/>
      <w:bookmarkEnd w:id="506"/>
      <w:bookmarkEnd w:id="507"/>
      <w:bookmarkEnd w:id="508"/>
      <w:bookmarkEnd w:id="509"/>
    </w:p>
    <w:p w14:paraId="5A553D6E" w14:textId="77777777" w:rsidR="0085433F" w:rsidRPr="000C156A" w:rsidRDefault="0085433F" w:rsidP="0085433F">
      <w:pPr>
        <w:ind w:firstLineChars="200" w:firstLine="480"/>
        <w:rPr>
          <w:lang w:eastAsia="zh-CN"/>
        </w:rPr>
      </w:pPr>
      <w:r w:rsidRPr="000C156A">
        <w:rPr>
          <w:rFonts w:hint="eastAsia"/>
          <w:lang w:eastAsia="zh-CN"/>
        </w:rPr>
        <w:t>财务报表是在应计合算的基础上制定的，其收入在每个成员会费缴纳期之初（正常预算）或缴费得到书面确认（自愿捐款）后得到认可。</w:t>
      </w:r>
    </w:p>
    <w:p w14:paraId="1322931C" w14:textId="77777777" w:rsidR="0085433F" w:rsidRPr="000C156A" w:rsidRDefault="0085433F" w:rsidP="0085433F">
      <w:pPr>
        <w:ind w:firstLineChars="200" w:firstLine="480"/>
        <w:rPr>
          <w:lang w:eastAsia="zh-CN"/>
        </w:rPr>
      </w:pPr>
      <w:r w:rsidRPr="000C156A">
        <w:rPr>
          <w:rFonts w:hint="eastAsia"/>
          <w:lang w:eastAsia="zh-CN"/>
        </w:rPr>
        <w:t>收入包括分摊会费、自愿捐赠和其它收回的收入。</w:t>
      </w:r>
    </w:p>
    <w:p w14:paraId="30724D19" w14:textId="77777777" w:rsidR="0085433F" w:rsidRPr="000C156A" w:rsidRDefault="0085433F" w:rsidP="0085433F">
      <w:pPr>
        <w:ind w:firstLineChars="200" w:firstLine="480"/>
        <w:rPr>
          <w:lang w:eastAsia="zh-CN"/>
        </w:rPr>
      </w:pPr>
      <w:r w:rsidRPr="000C156A">
        <w:rPr>
          <w:rFonts w:hint="eastAsia"/>
          <w:u w:val="single"/>
          <w:lang w:eastAsia="zh-CN"/>
        </w:rPr>
        <w:t>分摊会费</w:t>
      </w:r>
      <w:r w:rsidRPr="000C156A">
        <w:rPr>
          <w:rFonts w:hint="eastAsia"/>
          <w:lang w:eastAsia="zh-CN"/>
        </w:rPr>
        <w:t>：主要指各成员国、部门成员和部门准成员缴纳的会费。全权代表大会规定将会费单位上限，作为计算国际电联在大会后四年内双年度预算收入的基础。按照国际电联《组织法》相关规定，成员国和部门成员自由选择为摊付国际电联费用而缴纳的会费等级，同时根据加入或被接纳的年份，自加入或被接纳之月份的第一日缴纳计算得出的会费。该收入用来实施国际电联按照全权代表大会确定的各项活动。</w:t>
      </w:r>
    </w:p>
    <w:p w14:paraId="2C048D34" w14:textId="77777777" w:rsidR="0085433F" w:rsidRPr="000C156A" w:rsidRDefault="0085433F" w:rsidP="0085433F">
      <w:pPr>
        <w:ind w:firstLineChars="200" w:firstLine="480"/>
        <w:rPr>
          <w:lang w:eastAsia="zh-CN"/>
        </w:rPr>
      </w:pPr>
      <w:r w:rsidRPr="000C156A">
        <w:rPr>
          <w:rFonts w:hint="eastAsia"/>
          <w:u w:val="single"/>
          <w:lang w:eastAsia="zh-CN"/>
        </w:rPr>
        <w:t>其它收回的收入</w:t>
      </w:r>
      <w:r w:rsidRPr="000C156A">
        <w:rPr>
          <w:rFonts w:hint="eastAsia"/>
          <w:lang w:eastAsia="zh-CN"/>
        </w:rPr>
        <w:t>包括国际电联采用成本回收原则的产品和服务，即：</w:t>
      </w:r>
    </w:p>
    <w:p w14:paraId="45A9C48E"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国际通用免费电话号码（</w:t>
      </w:r>
      <w:r w:rsidRPr="000C156A">
        <w:rPr>
          <w:lang w:eastAsia="zh-CN"/>
        </w:rPr>
        <w:t>UIFN</w:t>
      </w:r>
      <w:r w:rsidRPr="000C156A">
        <w:rPr>
          <w:rFonts w:hint="eastAsia"/>
          <w:lang w:eastAsia="zh-CN"/>
        </w:rPr>
        <w:t>）的注册；</w:t>
      </w:r>
    </w:p>
    <w:p w14:paraId="1CE64C10"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全球卫星个人移动通信系统谅解备忘录（</w:t>
      </w:r>
      <w:r w:rsidRPr="000C156A">
        <w:rPr>
          <w:lang w:eastAsia="zh-CN"/>
        </w:rPr>
        <w:t>GMPCS-MoU</w:t>
      </w:r>
      <w:r w:rsidRPr="000C156A">
        <w:rPr>
          <w:rFonts w:hint="eastAsia"/>
          <w:lang w:eastAsia="zh-CN"/>
        </w:rPr>
        <w:t>）；</w:t>
      </w:r>
    </w:p>
    <w:p w14:paraId="4A00B86F"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卫星网络申报处理；</w:t>
      </w:r>
    </w:p>
    <w:p w14:paraId="18B06420"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出版物销售；</w:t>
      </w:r>
    </w:p>
    <w:p w14:paraId="41FDE562"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项目支持收入。</w:t>
      </w:r>
    </w:p>
    <w:p w14:paraId="4455BE90" w14:textId="77777777" w:rsidR="0085433F" w:rsidRPr="000C156A" w:rsidRDefault="0085433F" w:rsidP="0085433F">
      <w:pPr>
        <w:ind w:firstLineChars="200" w:firstLine="480"/>
        <w:rPr>
          <w:lang w:eastAsia="zh-CN"/>
        </w:rPr>
      </w:pPr>
      <w:r w:rsidRPr="000C156A">
        <w:rPr>
          <w:rFonts w:hint="eastAsia"/>
          <w:lang w:eastAsia="zh-CN"/>
        </w:rPr>
        <w:t>国际电联首先收到用来提供国际通用免费电话号码（</w:t>
      </w:r>
      <w:r w:rsidRPr="000C156A">
        <w:rPr>
          <w:lang w:eastAsia="zh-CN"/>
        </w:rPr>
        <w:t>UIFN</w:t>
      </w:r>
      <w:r w:rsidRPr="000C156A">
        <w:rPr>
          <w:rFonts w:hint="eastAsia"/>
          <w:lang w:eastAsia="zh-CN"/>
        </w:rPr>
        <w:t>）、国际通用加价特种服务号码（</w:t>
      </w:r>
      <w:r w:rsidRPr="000C156A">
        <w:rPr>
          <w:lang w:eastAsia="zh-CN"/>
        </w:rPr>
        <w:t>UIPRN</w:t>
      </w:r>
      <w:r w:rsidRPr="000C156A">
        <w:rPr>
          <w:rFonts w:hint="eastAsia"/>
          <w:lang w:eastAsia="zh-CN"/>
        </w:rPr>
        <w:t>）和国际通用成本分摊号码（</w:t>
      </w:r>
      <w:r w:rsidRPr="000C156A">
        <w:rPr>
          <w:lang w:eastAsia="zh-CN"/>
        </w:rPr>
        <w:t>UISCN</w:t>
      </w:r>
      <w:r w:rsidRPr="000C156A">
        <w:rPr>
          <w:rFonts w:hint="eastAsia"/>
          <w:lang w:eastAsia="zh-CN"/>
        </w:rPr>
        <w:t>）注册服务的前期会费。</w:t>
      </w:r>
    </w:p>
    <w:p w14:paraId="287C6B9D" w14:textId="77777777" w:rsidR="0085433F" w:rsidRPr="000C156A" w:rsidRDefault="0085433F" w:rsidP="0085433F">
      <w:pPr>
        <w:ind w:firstLineChars="200" w:firstLine="480"/>
        <w:rPr>
          <w:lang w:eastAsia="zh-CN"/>
        </w:rPr>
      </w:pPr>
      <w:r w:rsidRPr="000C156A">
        <w:rPr>
          <w:rFonts w:hint="eastAsia"/>
          <w:lang w:eastAsia="zh-CN"/>
        </w:rPr>
        <w:t>要求提供这些服务的各方必须为每个号码向国际电联账户先期缴纳</w:t>
      </w:r>
      <w:r w:rsidRPr="000C156A">
        <w:rPr>
          <w:rFonts w:hint="eastAsia"/>
          <w:lang w:eastAsia="zh-CN"/>
        </w:rPr>
        <w:t>3</w:t>
      </w:r>
      <w:r w:rsidRPr="000C156A">
        <w:rPr>
          <w:lang w:eastAsia="zh-CN"/>
        </w:rPr>
        <w:t>00</w:t>
      </w:r>
      <w:r w:rsidRPr="000C156A">
        <w:rPr>
          <w:rFonts w:hint="eastAsia"/>
          <w:lang w:eastAsia="zh-CN"/>
        </w:rPr>
        <w:t>瑞郎的订金。</w:t>
      </w:r>
      <w:r w:rsidRPr="000C156A">
        <w:rPr>
          <w:color w:val="000000"/>
          <w:lang w:eastAsia="zh-CN"/>
        </w:rPr>
        <w:t>向非</w:t>
      </w:r>
      <w:r w:rsidRPr="000C156A">
        <w:rPr>
          <w:color w:val="000000"/>
          <w:lang w:eastAsia="zh-CN"/>
        </w:rPr>
        <w:t>ITU-T</w:t>
      </w:r>
      <w:r w:rsidRPr="000C156A">
        <w:rPr>
          <w:color w:val="000000"/>
          <w:lang w:eastAsia="zh-CN"/>
        </w:rPr>
        <w:t>和</w:t>
      </w:r>
      <w:r w:rsidRPr="000C156A">
        <w:rPr>
          <w:rFonts w:hint="eastAsia"/>
          <w:color w:val="000000"/>
          <w:lang w:eastAsia="zh-CN"/>
        </w:rPr>
        <w:t>非</w:t>
      </w:r>
      <w:r w:rsidRPr="000C156A">
        <w:rPr>
          <w:color w:val="000000"/>
          <w:lang w:eastAsia="zh-CN"/>
        </w:rPr>
        <w:t>ITU-R</w:t>
      </w:r>
      <w:r w:rsidRPr="000C156A">
        <w:rPr>
          <w:color w:val="000000"/>
          <w:lang w:eastAsia="zh-CN"/>
        </w:rPr>
        <w:t>成员征收</w:t>
      </w:r>
      <w:r w:rsidRPr="000C156A">
        <w:rPr>
          <w:rFonts w:hint="eastAsia"/>
          <w:color w:val="000000"/>
          <w:lang w:eastAsia="zh-CN"/>
        </w:rPr>
        <w:t>每个号码</w:t>
      </w:r>
      <w:r w:rsidRPr="000C156A">
        <w:rPr>
          <w:color w:val="000000"/>
          <w:lang w:eastAsia="zh-CN"/>
        </w:rPr>
        <w:t>100</w:t>
      </w:r>
      <w:r w:rsidRPr="000C156A">
        <w:rPr>
          <w:color w:val="000000"/>
          <w:lang w:eastAsia="zh-CN"/>
        </w:rPr>
        <w:t>瑞</w:t>
      </w:r>
      <w:r w:rsidRPr="000C156A">
        <w:rPr>
          <w:rFonts w:ascii="SimSun" w:hAnsi="SimSun" w:cs="SimSun" w:hint="eastAsia"/>
          <w:color w:val="000000"/>
          <w:lang w:eastAsia="zh-CN"/>
        </w:rPr>
        <w:t>郎的</w:t>
      </w:r>
      <w:r w:rsidRPr="000C156A">
        <w:rPr>
          <w:color w:val="000000"/>
          <w:lang w:eastAsia="zh-CN"/>
        </w:rPr>
        <w:t>维护年费，</w:t>
      </w:r>
      <w:r w:rsidRPr="000C156A">
        <w:rPr>
          <w:rFonts w:hint="eastAsia"/>
          <w:color w:val="000000"/>
          <w:lang w:eastAsia="zh-CN"/>
        </w:rPr>
        <w:t>缴入国际电联账户。</w:t>
      </w:r>
      <w:r w:rsidRPr="000C156A">
        <w:rPr>
          <w:rFonts w:hint="eastAsia"/>
          <w:lang w:eastAsia="zh-CN"/>
        </w:rPr>
        <w:t>在号码使用后，国际电联出具服务发票。在号码使用时，国际电联在账目中确认收入。相应的发票通过客户订金账户结付。每年向所有</w:t>
      </w:r>
      <w:r w:rsidRPr="000C156A">
        <w:rPr>
          <w:color w:val="000000"/>
          <w:lang w:eastAsia="zh-CN"/>
        </w:rPr>
        <w:t>非</w:t>
      </w:r>
      <w:r w:rsidRPr="000C156A">
        <w:rPr>
          <w:color w:val="000000"/>
          <w:lang w:eastAsia="zh-CN"/>
        </w:rPr>
        <w:t>ITU-T</w:t>
      </w:r>
      <w:r w:rsidRPr="000C156A">
        <w:rPr>
          <w:color w:val="000000"/>
          <w:lang w:eastAsia="zh-CN"/>
        </w:rPr>
        <w:t>和</w:t>
      </w:r>
      <w:r w:rsidRPr="000C156A">
        <w:rPr>
          <w:rFonts w:hint="eastAsia"/>
          <w:color w:val="000000"/>
          <w:lang w:eastAsia="zh-CN"/>
        </w:rPr>
        <w:t>非</w:t>
      </w:r>
      <w:r w:rsidRPr="000C156A">
        <w:rPr>
          <w:color w:val="000000"/>
          <w:lang w:eastAsia="zh-CN"/>
        </w:rPr>
        <w:t>ITU-R</w:t>
      </w:r>
      <w:r w:rsidRPr="000C156A">
        <w:rPr>
          <w:color w:val="000000"/>
          <w:lang w:eastAsia="zh-CN"/>
        </w:rPr>
        <w:t>成员</w:t>
      </w:r>
      <w:r w:rsidRPr="000C156A">
        <w:rPr>
          <w:rFonts w:hint="eastAsia"/>
          <w:color w:val="000000"/>
          <w:lang w:eastAsia="zh-CN"/>
        </w:rPr>
        <w:t>寄发所有在用号码的维护年费发票。</w:t>
      </w:r>
    </w:p>
    <w:p w14:paraId="48391C95" w14:textId="77777777" w:rsidR="0085433F" w:rsidRPr="000C156A" w:rsidRDefault="0085433F" w:rsidP="0085433F">
      <w:pPr>
        <w:ind w:firstLineChars="200" w:firstLine="480"/>
        <w:rPr>
          <w:lang w:eastAsia="zh-CN"/>
        </w:rPr>
      </w:pPr>
      <w:r w:rsidRPr="000C156A">
        <w:rPr>
          <w:rFonts w:hint="eastAsia"/>
          <w:lang w:eastAsia="zh-CN"/>
        </w:rPr>
        <w:t>自愿捐赠在与捐赠方达成协议后得到确认。收到的有关未来财务期的捐赠确认为递延收入。在结账日尚未使用的自愿捐赠余额确认在第三方资金下。其它有关未来财务期的收入确认在递延收入下。</w:t>
      </w:r>
    </w:p>
    <w:p w14:paraId="520A62F5" w14:textId="77777777" w:rsidR="0085433F" w:rsidRPr="000C156A" w:rsidRDefault="0085433F" w:rsidP="0085433F">
      <w:pPr>
        <w:ind w:firstLineChars="200" w:firstLine="480"/>
        <w:rPr>
          <w:lang w:eastAsia="zh-CN"/>
        </w:rPr>
      </w:pPr>
      <w:r w:rsidRPr="000C156A">
        <w:rPr>
          <w:rFonts w:hint="eastAsia"/>
          <w:lang w:eastAsia="zh-CN"/>
        </w:rPr>
        <w:t>出版物销售收入在出版物发货时确认，涉及获取国际电联统计数据和电子数据的服务销售收入在数据可获取时确认。</w:t>
      </w:r>
    </w:p>
    <w:p w14:paraId="7383413E" w14:textId="77777777" w:rsidR="0085433F" w:rsidRPr="00473856" w:rsidRDefault="0085433F" w:rsidP="00473856">
      <w:pPr>
        <w:pStyle w:val="Heading5"/>
        <w:rPr>
          <w:b/>
          <w:bCs/>
          <w:i w:val="0"/>
          <w:u w:val="single"/>
          <w:lang w:eastAsia="zh-CN"/>
        </w:rPr>
      </w:pPr>
      <w:bookmarkStart w:id="510" w:name="_Toc482892560"/>
      <w:bookmarkStart w:id="511" w:name="_Toc41905862"/>
      <w:bookmarkStart w:id="512" w:name="_Toc110265706"/>
      <w:r w:rsidRPr="00473856">
        <w:rPr>
          <w:rFonts w:hint="eastAsia"/>
          <w:b/>
          <w:bCs/>
          <w:i w:val="0"/>
          <w:u w:val="single"/>
          <w:lang w:val="fr-FR" w:eastAsia="zh-CN"/>
        </w:rPr>
        <w:lastRenderedPageBreak/>
        <w:t>分部门报告</w:t>
      </w:r>
      <w:bookmarkEnd w:id="510"/>
      <w:bookmarkEnd w:id="511"/>
      <w:bookmarkEnd w:id="512"/>
    </w:p>
    <w:p w14:paraId="0D6AEB7A" w14:textId="3036EB33" w:rsidR="0085433F" w:rsidRPr="000C156A" w:rsidRDefault="0085433F" w:rsidP="0085433F">
      <w:pPr>
        <w:ind w:firstLineChars="200" w:firstLine="480"/>
        <w:rPr>
          <w:lang w:eastAsia="zh-CN"/>
        </w:rPr>
      </w:pPr>
      <w:r w:rsidRPr="000C156A">
        <w:rPr>
          <w:rFonts w:hint="eastAsia"/>
          <w:lang w:eastAsia="zh-CN"/>
        </w:rPr>
        <w:t>分部门报告以国际电联的主要活动和资金来源为基础，采用向财务主任报告财务信息的结构。有关部分反映出国际电联</w:t>
      </w:r>
      <w:r w:rsidRPr="000C156A">
        <w:rPr>
          <w:lang w:eastAsia="zh-CN"/>
        </w:rPr>
        <w:t>20</w:t>
      </w:r>
      <w:r w:rsidR="00473856">
        <w:rPr>
          <w:lang w:eastAsia="zh-CN"/>
        </w:rPr>
        <w:t>20</w:t>
      </w:r>
      <w:r w:rsidRPr="000C156A">
        <w:rPr>
          <w:rFonts w:hint="eastAsia"/>
          <w:lang w:eastAsia="zh-CN"/>
        </w:rPr>
        <w:t>-202</w:t>
      </w:r>
      <w:r w:rsidR="00473856">
        <w:rPr>
          <w:lang w:eastAsia="zh-CN"/>
        </w:rPr>
        <w:t>1</w:t>
      </w:r>
      <w:r w:rsidRPr="000C156A">
        <w:rPr>
          <w:rFonts w:hint="eastAsia"/>
          <w:lang w:eastAsia="zh-CN"/>
        </w:rPr>
        <w:t>年的工作计划：</w:t>
      </w:r>
    </w:p>
    <w:p w14:paraId="59D855D9"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总秘书处；</w:t>
      </w:r>
    </w:p>
    <w:p w14:paraId="5B625E51"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无线电通信部门（</w:t>
      </w:r>
      <w:r w:rsidRPr="000C156A">
        <w:rPr>
          <w:lang w:eastAsia="zh-CN"/>
        </w:rPr>
        <w:t>ITU-R</w:t>
      </w:r>
      <w:r w:rsidRPr="000C156A">
        <w:rPr>
          <w:rFonts w:hint="eastAsia"/>
          <w:lang w:eastAsia="zh-CN"/>
        </w:rPr>
        <w:t>）：国际资源（即，无线电频谱和卫星轨道）的管理；</w:t>
      </w:r>
    </w:p>
    <w:p w14:paraId="67C92643"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电信标准化部门（</w:t>
      </w:r>
      <w:r w:rsidRPr="000C156A">
        <w:rPr>
          <w:lang w:eastAsia="zh-CN"/>
        </w:rPr>
        <w:t>ITU-T</w:t>
      </w:r>
      <w:r w:rsidRPr="000C156A">
        <w:rPr>
          <w:rFonts w:hint="eastAsia"/>
          <w:lang w:eastAsia="zh-CN"/>
        </w:rPr>
        <w:t>）：制定统一的工作方法并确定满足市场需求的灵活的合作机制；</w:t>
      </w:r>
    </w:p>
    <w:p w14:paraId="2ACDB434"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电信发展部门（</w:t>
      </w:r>
      <w:r w:rsidRPr="000C156A">
        <w:rPr>
          <w:lang w:eastAsia="zh-CN"/>
        </w:rPr>
        <w:t>ITU-D</w:t>
      </w:r>
      <w:r w:rsidRPr="000C156A">
        <w:rPr>
          <w:rFonts w:hint="eastAsia"/>
          <w:lang w:eastAsia="zh-CN"/>
        </w:rPr>
        <w:t>）：在价格可承受的条件下，提供对信息通信技术公平和可持续的获取；</w:t>
      </w:r>
    </w:p>
    <w:p w14:paraId="3086FCE4"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代表</w:t>
      </w:r>
      <w:r w:rsidRPr="000C156A">
        <w:rPr>
          <w:rFonts w:hint="eastAsia"/>
          <w:color w:val="000000"/>
          <w:lang w:eastAsia="zh-CN"/>
        </w:rPr>
        <w:t>新</w:t>
      </w:r>
      <w:r w:rsidRPr="000C156A">
        <w:rPr>
          <w:color w:val="000000"/>
          <w:lang w:eastAsia="zh-CN"/>
        </w:rPr>
        <w:t>总部办公场</w:t>
      </w:r>
      <w:r w:rsidRPr="000C156A">
        <w:rPr>
          <w:rFonts w:ascii="SimSun" w:hAnsi="SimSun" w:cs="SimSun" w:hint="eastAsia"/>
          <w:color w:val="000000"/>
          <w:lang w:eastAsia="zh-CN"/>
        </w:rPr>
        <w:t>所建设</w:t>
      </w:r>
      <w:r w:rsidRPr="000C156A">
        <w:rPr>
          <w:rFonts w:hint="eastAsia"/>
          <w:color w:val="000000"/>
          <w:lang w:eastAsia="zh-CN"/>
        </w:rPr>
        <w:t>项目的</w:t>
      </w:r>
      <w:r w:rsidRPr="000C156A">
        <w:rPr>
          <w:rFonts w:hint="eastAsia"/>
          <w:lang w:eastAsia="zh-CN"/>
        </w:rPr>
        <w:t>新办公楼基金；</w:t>
      </w:r>
    </w:p>
    <w:p w14:paraId="45A0940A"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综合了公积金和援助基金的</w:t>
      </w:r>
      <w:r w:rsidRPr="000C156A">
        <w:rPr>
          <w:color w:val="000000"/>
          <w:lang w:eastAsia="zh-CN"/>
        </w:rPr>
        <w:t>旧养恤基</w:t>
      </w:r>
      <w:r w:rsidRPr="000C156A">
        <w:rPr>
          <w:rFonts w:ascii="SimSun" w:hAnsi="SimSun" w:cs="SimSun" w:hint="eastAsia"/>
          <w:color w:val="000000"/>
          <w:lang w:eastAsia="zh-CN"/>
        </w:rPr>
        <w:t>金；</w:t>
      </w:r>
    </w:p>
    <w:p w14:paraId="3C5C1BF9"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项目：</w:t>
      </w:r>
      <w:r w:rsidRPr="000C156A">
        <w:rPr>
          <w:lang w:eastAsia="zh-CN"/>
        </w:rPr>
        <w:t>UNDP</w:t>
      </w:r>
      <w:r w:rsidRPr="000C156A">
        <w:rPr>
          <w:rFonts w:hint="eastAsia"/>
          <w:lang w:eastAsia="zh-CN"/>
        </w:rPr>
        <w:t>基金、信托基金、</w:t>
      </w:r>
      <w:r w:rsidRPr="000C156A">
        <w:rPr>
          <w:lang w:eastAsia="zh-CN"/>
        </w:rPr>
        <w:t>ICT</w:t>
      </w:r>
      <w:r w:rsidRPr="000C156A">
        <w:rPr>
          <w:rFonts w:hint="eastAsia"/>
          <w:lang w:eastAsia="zh-CN"/>
        </w:rPr>
        <w:t>发展基金和自愿捐赠；</w:t>
      </w:r>
    </w:p>
    <w:p w14:paraId="34A9FF37"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国际电联电信展览部。</w:t>
      </w:r>
    </w:p>
    <w:p w14:paraId="78B0C010" w14:textId="77777777" w:rsidR="0085433F" w:rsidRPr="000C156A" w:rsidRDefault="0085433F" w:rsidP="0085433F">
      <w:pPr>
        <w:ind w:firstLineChars="200" w:firstLine="480"/>
        <w:rPr>
          <w:lang w:eastAsia="zh-CN"/>
        </w:rPr>
      </w:pPr>
      <w:r w:rsidRPr="000C156A">
        <w:rPr>
          <w:rFonts w:hint="eastAsia"/>
          <w:lang w:eastAsia="zh-CN"/>
        </w:rPr>
        <w:t>根据国际电联活动的性质，国际电联的有形和无形固定资产由各部门联合使用，但不由各部门单独管理。代表国际电联净资产以外的资产和负债属该组织所有或负责，不构成各组成部分的资产和负债。预算外资金没有任何固定资产。资产和负债代表国际电联各组成部分大量共同参与的活动。资产和负债在不同部门之间的分配不可避免地具任意性和不一致性。因此，这种做法违背</w:t>
      </w:r>
      <w:r w:rsidRPr="000C156A">
        <w:rPr>
          <w:lang w:eastAsia="zh-CN"/>
        </w:rPr>
        <w:t>IPSAS</w:t>
      </w:r>
      <w:r w:rsidRPr="000C156A">
        <w:rPr>
          <w:rFonts w:hint="eastAsia"/>
          <w:lang w:eastAsia="zh-CN"/>
        </w:rPr>
        <w:t>第</w:t>
      </w:r>
      <w:r w:rsidRPr="000C156A">
        <w:rPr>
          <w:lang w:eastAsia="zh-CN"/>
        </w:rPr>
        <w:t>18</w:t>
      </w:r>
      <w:r w:rsidRPr="000C156A">
        <w:rPr>
          <w:rFonts w:hint="eastAsia"/>
          <w:lang w:eastAsia="zh-CN"/>
        </w:rPr>
        <w:t>号要求的原则。基于该原因，将不对单独的资产和债务进行分部处理。</w:t>
      </w:r>
    </w:p>
    <w:p w14:paraId="2FC512E9" w14:textId="77777777" w:rsidR="0085433F" w:rsidRPr="00473856" w:rsidRDefault="0085433F" w:rsidP="00473856">
      <w:pPr>
        <w:pStyle w:val="Heading5"/>
        <w:rPr>
          <w:b/>
          <w:bCs/>
          <w:i w:val="0"/>
          <w:u w:val="single"/>
          <w:lang w:eastAsia="zh-CN"/>
        </w:rPr>
      </w:pPr>
      <w:bookmarkStart w:id="513" w:name="_Toc482892561"/>
      <w:bookmarkStart w:id="514" w:name="_Toc305426935"/>
      <w:bookmarkStart w:id="515" w:name="_Toc41905863"/>
      <w:bookmarkStart w:id="516" w:name="_Toc110265707"/>
      <w:r w:rsidRPr="00473856">
        <w:rPr>
          <w:rFonts w:hint="eastAsia"/>
          <w:b/>
          <w:bCs/>
          <w:i w:val="0"/>
          <w:u w:val="single"/>
          <w:lang w:val="fr-FR" w:eastAsia="zh-CN"/>
        </w:rPr>
        <w:t>预算比较</w:t>
      </w:r>
      <w:bookmarkEnd w:id="513"/>
      <w:bookmarkEnd w:id="514"/>
      <w:bookmarkEnd w:id="515"/>
      <w:bookmarkEnd w:id="516"/>
    </w:p>
    <w:p w14:paraId="36733A1B" w14:textId="77777777" w:rsidR="0085433F" w:rsidRPr="000C156A" w:rsidRDefault="0085433F" w:rsidP="0085433F">
      <w:pPr>
        <w:ind w:firstLineChars="200" w:firstLine="480"/>
        <w:rPr>
          <w:lang w:eastAsia="zh-CN"/>
        </w:rPr>
      </w:pPr>
      <w:r w:rsidRPr="000C156A">
        <w:rPr>
          <w:rFonts w:hint="eastAsia"/>
          <w:lang w:eastAsia="zh-CN"/>
        </w:rPr>
        <w:t>国际电联</w:t>
      </w:r>
      <w:r w:rsidRPr="000C156A">
        <w:rPr>
          <w:rFonts w:hint="eastAsia"/>
          <w:lang w:eastAsia="zh-CN"/>
        </w:rPr>
        <w:t>2020-2021</w:t>
      </w:r>
      <w:r w:rsidRPr="000C156A">
        <w:rPr>
          <w:rFonts w:hint="eastAsia"/>
          <w:lang w:eastAsia="zh-CN"/>
        </w:rPr>
        <w:t>年预算以题为“国际电联</w:t>
      </w:r>
      <w:r w:rsidRPr="000C156A">
        <w:rPr>
          <w:rFonts w:hint="eastAsia"/>
          <w:lang w:eastAsia="zh-CN"/>
        </w:rPr>
        <w:t>2020-2023</w:t>
      </w:r>
      <w:r w:rsidRPr="000C156A">
        <w:rPr>
          <w:rFonts w:hint="eastAsia"/>
          <w:lang w:eastAsia="zh-CN"/>
        </w:rPr>
        <w:t>年阶段的收入和支出”的第</w:t>
      </w:r>
      <w:r w:rsidRPr="000C156A">
        <w:rPr>
          <w:lang w:eastAsia="zh-CN"/>
        </w:rPr>
        <w:t>5</w:t>
      </w:r>
      <w:r w:rsidRPr="000C156A">
        <w:rPr>
          <w:rFonts w:hint="eastAsia"/>
          <w:lang w:eastAsia="zh-CN"/>
        </w:rPr>
        <w:t>号决定（</w:t>
      </w:r>
      <w:r w:rsidRPr="000C156A">
        <w:rPr>
          <w:lang w:eastAsia="zh-CN"/>
        </w:rPr>
        <w:t>2018</w:t>
      </w:r>
      <w:r w:rsidRPr="000C156A">
        <w:rPr>
          <w:rFonts w:hint="eastAsia"/>
          <w:lang w:eastAsia="zh-CN"/>
        </w:rPr>
        <w:t>年，迪拜，修订版）和全权代表大会第</w:t>
      </w:r>
      <w:r w:rsidRPr="000C156A">
        <w:rPr>
          <w:lang w:eastAsia="zh-CN"/>
        </w:rPr>
        <w:t>71</w:t>
      </w:r>
      <w:r w:rsidRPr="000C156A">
        <w:rPr>
          <w:rFonts w:hint="eastAsia"/>
          <w:lang w:eastAsia="zh-CN"/>
        </w:rPr>
        <w:t>号决议（</w:t>
      </w:r>
      <w:r w:rsidRPr="000C156A">
        <w:rPr>
          <w:lang w:eastAsia="zh-CN"/>
        </w:rPr>
        <w:t>2018</w:t>
      </w:r>
      <w:r w:rsidRPr="000C156A">
        <w:rPr>
          <w:rFonts w:hint="eastAsia"/>
          <w:lang w:eastAsia="zh-CN"/>
        </w:rPr>
        <w:t>年，迪拜，修订版）确定的国际电联</w:t>
      </w:r>
      <w:r w:rsidRPr="000C156A">
        <w:rPr>
          <w:rFonts w:hint="eastAsia"/>
          <w:lang w:eastAsia="zh-CN"/>
        </w:rPr>
        <w:t>2020-2023</w:t>
      </w:r>
      <w:r w:rsidRPr="000C156A">
        <w:rPr>
          <w:rFonts w:hint="eastAsia"/>
          <w:lang w:eastAsia="zh-CN"/>
        </w:rPr>
        <w:t>年战略规划为基础。</w:t>
      </w:r>
    </w:p>
    <w:p w14:paraId="7D88DFE4" w14:textId="77777777" w:rsidR="0085433F" w:rsidRPr="000C156A" w:rsidRDefault="0085433F" w:rsidP="0085433F">
      <w:pPr>
        <w:ind w:firstLineChars="200" w:firstLine="480"/>
        <w:rPr>
          <w:lang w:eastAsia="zh-CN"/>
        </w:rPr>
      </w:pPr>
      <w:r w:rsidRPr="000C156A">
        <w:rPr>
          <w:rFonts w:hint="eastAsia"/>
          <w:lang w:eastAsia="zh-CN"/>
        </w:rPr>
        <w:t>此外，项目预算已经过与各部门和总秘书处的运作规划的协调。</w:t>
      </w:r>
    </w:p>
    <w:p w14:paraId="070235FA" w14:textId="77777777" w:rsidR="0085433F" w:rsidRPr="000C156A" w:rsidRDefault="0085433F" w:rsidP="0085433F">
      <w:pPr>
        <w:ind w:firstLineChars="200" w:firstLine="480"/>
        <w:rPr>
          <w:lang w:eastAsia="zh-CN"/>
        </w:rPr>
      </w:pPr>
      <w:r w:rsidRPr="000C156A">
        <w:rPr>
          <w:rFonts w:hint="eastAsia"/>
          <w:lang w:eastAsia="zh-CN"/>
        </w:rPr>
        <w:t>根据</w:t>
      </w:r>
      <w:r w:rsidRPr="000C156A">
        <w:rPr>
          <w:lang w:eastAsia="zh-CN"/>
        </w:rPr>
        <w:t>IPSAS</w:t>
      </w:r>
      <w:r w:rsidRPr="000C156A">
        <w:rPr>
          <w:rFonts w:hint="eastAsia"/>
          <w:lang w:eastAsia="zh-CN"/>
        </w:rPr>
        <w:t>第</w:t>
      </w:r>
      <w:r w:rsidRPr="000C156A">
        <w:rPr>
          <w:lang w:eastAsia="zh-CN"/>
        </w:rPr>
        <w:t>24</w:t>
      </w:r>
      <w:r w:rsidRPr="000C156A">
        <w:rPr>
          <w:rFonts w:hint="eastAsia"/>
          <w:lang w:eastAsia="zh-CN"/>
        </w:rPr>
        <w:t>号要求，年度财务报表中必须包括预算金额与实际发生金额的比较。国际电联</w:t>
      </w:r>
      <w:r w:rsidRPr="000C156A">
        <w:rPr>
          <w:rFonts w:hint="eastAsia"/>
          <w:lang w:eastAsia="zh-CN"/>
        </w:rPr>
        <w:t>2020-2021</w:t>
      </w:r>
      <w:r w:rsidRPr="000C156A">
        <w:rPr>
          <w:rFonts w:hint="eastAsia"/>
          <w:lang w:eastAsia="zh-CN"/>
        </w:rPr>
        <w:t>年预算草案包括两个年度预算。各财年均有预算估算。</w:t>
      </w:r>
    </w:p>
    <w:p w14:paraId="7ADD6CF1" w14:textId="33BC606A" w:rsidR="0085433F" w:rsidRPr="000C156A" w:rsidRDefault="0085433F" w:rsidP="0085433F">
      <w:pPr>
        <w:ind w:firstLineChars="200" w:firstLine="480"/>
        <w:rPr>
          <w:lang w:eastAsia="zh-CN"/>
        </w:rPr>
      </w:pPr>
      <w:r w:rsidRPr="000C156A">
        <w:rPr>
          <w:rFonts w:hint="eastAsia"/>
          <w:lang w:eastAsia="zh-CN"/>
        </w:rPr>
        <w:t>202</w:t>
      </w:r>
      <w:r w:rsidR="00473856">
        <w:rPr>
          <w:lang w:eastAsia="zh-CN"/>
        </w:rPr>
        <w:t>1</w:t>
      </w:r>
      <w:r w:rsidRPr="000C156A">
        <w:rPr>
          <w:rFonts w:hint="eastAsia"/>
          <w:lang w:eastAsia="zh-CN"/>
        </w:rPr>
        <w:t>年最终预算得到理事会</w:t>
      </w:r>
      <w:r w:rsidRPr="000C156A">
        <w:rPr>
          <w:rFonts w:hint="eastAsia"/>
          <w:lang w:eastAsia="zh-CN"/>
        </w:rPr>
        <w:t>2019</w:t>
      </w:r>
      <w:r w:rsidRPr="000C156A">
        <w:rPr>
          <w:rFonts w:hint="eastAsia"/>
          <w:lang w:eastAsia="zh-CN"/>
        </w:rPr>
        <w:t>年会议第</w:t>
      </w:r>
      <w:r w:rsidRPr="000C156A">
        <w:rPr>
          <w:rFonts w:hint="eastAsia"/>
          <w:lang w:eastAsia="zh-CN"/>
        </w:rPr>
        <w:t>1396</w:t>
      </w:r>
      <w:r w:rsidRPr="000C156A">
        <w:rPr>
          <w:rFonts w:hint="eastAsia"/>
          <w:lang w:eastAsia="zh-CN"/>
        </w:rPr>
        <w:t>号决议的批准。报表五包含最终预算和实际金额的比较。由于预算和财务报表不是在相同基础上编制的，报表五包含预算金额和报表二（财务业绩报表）金额的调节。周边差额体现出在国际电联财务报表中加入的预算外资金。</w:t>
      </w:r>
    </w:p>
    <w:p w14:paraId="1BA95170" w14:textId="77777777" w:rsidR="0085433F" w:rsidRPr="000C156A" w:rsidRDefault="0085433F" w:rsidP="0085433F">
      <w:pPr>
        <w:pStyle w:val="Heading1"/>
        <w:spacing w:before="240"/>
        <w:rPr>
          <w:sz w:val="24"/>
          <w:szCs w:val="24"/>
          <w:lang w:eastAsia="zh-CN"/>
        </w:rPr>
      </w:pPr>
      <w:bookmarkStart w:id="517" w:name="_Toc482892562"/>
      <w:bookmarkStart w:id="518" w:name="_Toc482870827"/>
      <w:bookmarkStart w:id="519" w:name="_Toc329165779"/>
      <w:bookmarkStart w:id="520" w:name="_Toc305426936"/>
      <w:bookmarkStart w:id="521" w:name="_Toc511813745"/>
      <w:bookmarkStart w:id="522" w:name="_Toc511817828"/>
      <w:bookmarkStart w:id="523" w:name="_Toc520280728"/>
      <w:bookmarkStart w:id="524" w:name="_Toc10536823"/>
      <w:bookmarkStart w:id="525" w:name="_Toc41905864"/>
      <w:bookmarkStart w:id="526" w:name="_Toc41906893"/>
      <w:bookmarkStart w:id="527" w:name="_Toc41907974"/>
      <w:bookmarkStart w:id="528" w:name="_Toc41908042"/>
      <w:bookmarkStart w:id="529" w:name="_Toc73518678"/>
      <w:bookmarkStart w:id="530" w:name="_Toc73518825"/>
      <w:bookmarkStart w:id="531" w:name="_Toc73519225"/>
      <w:bookmarkStart w:id="532" w:name="_Toc110263990"/>
      <w:bookmarkStart w:id="533" w:name="_Toc110264069"/>
      <w:bookmarkStart w:id="534" w:name="_Toc110265708"/>
      <w:bookmarkStart w:id="535" w:name="_Toc110330078"/>
      <w:bookmarkStart w:id="536" w:name="_Toc110330243"/>
      <w:r w:rsidRPr="000C156A">
        <w:rPr>
          <w:rFonts w:cs="Microsoft YaHei" w:hint="eastAsia"/>
          <w:sz w:val="24"/>
          <w:szCs w:val="24"/>
          <w:lang w:val="fr-FR" w:eastAsia="zh-CN"/>
        </w:rPr>
        <w:t>说明</w:t>
      </w:r>
      <w:r w:rsidRPr="000C156A">
        <w:rPr>
          <w:sz w:val="24"/>
          <w:szCs w:val="24"/>
          <w:lang w:eastAsia="zh-CN"/>
        </w:rPr>
        <w:t>3</w:t>
      </w:r>
      <w:r w:rsidRPr="000C156A">
        <w:rPr>
          <w:sz w:val="24"/>
          <w:szCs w:val="24"/>
          <w:lang w:eastAsia="zh-CN"/>
        </w:rPr>
        <w:tab/>
      </w:r>
      <w:r w:rsidRPr="000C156A">
        <w:rPr>
          <w:rFonts w:cs="Microsoft YaHei" w:hint="eastAsia"/>
          <w:sz w:val="24"/>
          <w:szCs w:val="24"/>
          <w:lang w:val="fr-FR" w:eastAsia="zh-CN"/>
        </w:rPr>
        <w:t>净资产的管理</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49A60124" w14:textId="77777777" w:rsidR="0085433F" w:rsidRPr="000C156A" w:rsidRDefault="0085433F" w:rsidP="0085433F">
      <w:pPr>
        <w:ind w:firstLineChars="200" w:firstLine="480"/>
        <w:rPr>
          <w:lang w:eastAsia="zh-CN"/>
        </w:rPr>
      </w:pPr>
      <w:r w:rsidRPr="000C156A">
        <w:rPr>
          <w:rFonts w:hint="eastAsia"/>
          <w:lang w:eastAsia="zh-CN"/>
        </w:rPr>
        <w:t>国际电联的净资产包括划拨给该组织或为项目预留的自有资金以及为项目预留的未划拨的自有资金。</w:t>
      </w:r>
    </w:p>
    <w:p w14:paraId="0086988D" w14:textId="4F7FAEB6" w:rsidR="0085433F" w:rsidRPr="000C156A" w:rsidRDefault="00C55E62" w:rsidP="0085433F">
      <w:pPr>
        <w:ind w:firstLineChars="200" w:firstLine="480"/>
        <w:rPr>
          <w:lang w:eastAsia="zh-CN"/>
        </w:rPr>
      </w:pPr>
      <w:bookmarkStart w:id="537" w:name="_Toc305594746"/>
      <w:bookmarkStart w:id="538" w:name="_Toc329165787"/>
      <w:r w:rsidRPr="00C55E62">
        <w:rPr>
          <w:rFonts w:hint="eastAsia"/>
          <w:lang w:val="en-US" w:eastAsia="zh-CN"/>
        </w:rPr>
        <w:t>截至</w:t>
      </w:r>
      <w:r w:rsidRPr="00C55E62">
        <w:rPr>
          <w:rFonts w:hint="eastAsia"/>
          <w:lang w:val="en-US" w:eastAsia="zh-CN"/>
        </w:rPr>
        <w:t>2021</w:t>
      </w:r>
      <w:r w:rsidRPr="00C55E62">
        <w:rPr>
          <w:rFonts w:hint="eastAsia"/>
          <w:lang w:val="en-US" w:eastAsia="zh-CN"/>
        </w:rPr>
        <w:t>年</w:t>
      </w:r>
      <w:r w:rsidRPr="00C55E62">
        <w:rPr>
          <w:rFonts w:hint="eastAsia"/>
          <w:lang w:val="en-US" w:eastAsia="zh-CN"/>
        </w:rPr>
        <w:t>12</w:t>
      </w:r>
      <w:r w:rsidRPr="00C55E62">
        <w:rPr>
          <w:rFonts w:hint="eastAsia"/>
          <w:lang w:val="en-US" w:eastAsia="zh-CN"/>
        </w:rPr>
        <w:t>月</w:t>
      </w:r>
      <w:r w:rsidRPr="00C55E62">
        <w:rPr>
          <w:rFonts w:hint="eastAsia"/>
          <w:lang w:val="en-US" w:eastAsia="zh-CN"/>
        </w:rPr>
        <w:t>31</w:t>
      </w:r>
      <w:r w:rsidRPr="00C55E62">
        <w:rPr>
          <w:rFonts w:hint="eastAsia"/>
          <w:lang w:val="en-US" w:eastAsia="zh-CN"/>
        </w:rPr>
        <w:t>日，储备金账目的资产为</w:t>
      </w:r>
      <w:r w:rsidRPr="00C55E62">
        <w:rPr>
          <w:rFonts w:hint="eastAsia"/>
          <w:lang w:val="en-US" w:eastAsia="zh-CN"/>
        </w:rPr>
        <w:t>2 750</w:t>
      </w:r>
      <w:r w:rsidRPr="00C55E62">
        <w:rPr>
          <w:rFonts w:hint="eastAsia"/>
          <w:lang w:val="en-US" w:eastAsia="zh-CN"/>
        </w:rPr>
        <w:t>万瑞郎，相当于</w:t>
      </w:r>
      <w:r w:rsidRPr="00C55E62">
        <w:rPr>
          <w:rFonts w:hint="eastAsia"/>
          <w:lang w:val="en-US" w:eastAsia="zh-CN"/>
        </w:rPr>
        <w:t>2021</w:t>
      </w:r>
      <w:r w:rsidRPr="00C55E62">
        <w:rPr>
          <w:rFonts w:hint="eastAsia"/>
          <w:lang w:val="en-US" w:eastAsia="zh-CN"/>
        </w:rPr>
        <w:t>年预算的</w:t>
      </w:r>
      <w:r w:rsidRPr="00C55E62">
        <w:rPr>
          <w:rFonts w:hint="eastAsia"/>
          <w:lang w:val="en-US" w:eastAsia="zh-CN"/>
        </w:rPr>
        <w:t>16.88%</w:t>
      </w:r>
      <w:r w:rsidRPr="00C55E62">
        <w:rPr>
          <w:rFonts w:hint="eastAsia"/>
          <w:lang w:val="en-US" w:eastAsia="zh-CN"/>
        </w:rPr>
        <w:t>，远高于全权代表大会第</w:t>
      </w:r>
      <w:r w:rsidRPr="00C55E62">
        <w:rPr>
          <w:rFonts w:hint="eastAsia"/>
          <w:lang w:val="en-US" w:eastAsia="zh-CN"/>
        </w:rPr>
        <w:t>5</w:t>
      </w:r>
      <w:r w:rsidRPr="00C55E62">
        <w:rPr>
          <w:rFonts w:hint="eastAsia"/>
          <w:lang w:val="en-US" w:eastAsia="zh-CN"/>
        </w:rPr>
        <w:t>号决定（</w:t>
      </w:r>
      <w:r w:rsidRPr="00C55E62">
        <w:rPr>
          <w:rFonts w:hint="eastAsia"/>
          <w:lang w:val="en-US" w:eastAsia="zh-CN"/>
        </w:rPr>
        <w:t>2018</w:t>
      </w:r>
      <w:r w:rsidRPr="00C55E62">
        <w:rPr>
          <w:rFonts w:hint="eastAsia"/>
          <w:lang w:val="en-US" w:eastAsia="zh-CN"/>
        </w:rPr>
        <w:t>年，迪拜，修订版）规定的</w:t>
      </w:r>
      <w:r w:rsidRPr="00C55E62">
        <w:rPr>
          <w:rFonts w:hint="eastAsia"/>
          <w:lang w:val="en-US" w:eastAsia="zh-CN"/>
        </w:rPr>
        <w:t>6%</w:t>
      </w:r>
      <w:r w:rsidRPr="00C55E62">
        <w:rPr>
          <w:rFonts w:hint="eastAsia"/>
          <w:lang w:val="en-US" w:eastAsia="zh-CN"/>
        </w:rPr>
        <w:t>的限额。</w:t>
      </w:r>
    </w:p>
    <w:p w14:paraId="4696FDDD" w14:textId="77777777" w:rsidR="0085433F" w:rsidRPr="000C156A" w:rsidRDefault="0085433F" w:rsidP="0085433F">
      <w:pPr>
        <w:pStyle w:val="Heading1"/>
        <w:spacing w:before="240"/>
        <w:rPr>
          <w:rFonts w:cs="Microsoft YaHei"/>
          <w:sz w:val="24"/>
          <w:szCs w:val="24"/>
          <w:lang w:eastAsia="zh-CN"/>
        </w:rPr>
      </w:pPr>
      <w:bookmarkStart w:id="539" w:name="_Toc482892563"/>
      <w:bookmarkStart w:id="540" w:name="_Toc482870828"/>
      <w:bookmarkStart w:id="541" w:name="_Toc511813746"/>
      <w:bookmarkStart w:id="542" w:name="_Toc511817829"/>
      <w:bookmarkStart w:id="543" w:name="_Toc520280729"/>
      <w:bookmarkStart w:id="544" w:name="_Toc10536824"/>
      <w:bookmarkStart w:id="545" w:name="_Toc41905865"/>
      <w:bookmarkStart w:id="546" w:name="_Toc41906894"/>
      <w:bookmarkStart w:id="547" w:name="_Toc41907975"/>
      <w:bookmarkStart w:id="548" w:name="_Toc41908043"/>
      <w:bookmarkStart w:id="549" w:name="_Toc73518679"/>
      <w:bookmarkStart w:id="550" w:name="_Toc73518826"/>
      <w:bookmarkStart w:id="551" w:name="_Toc73519226"/>
      <w:bookmarkStart w:id="552" w:name="_Toc110263991"/>
      <w:bookmarkStart w:id="553" w:name="_Toc110264070"/>
      <w:bookmarkStart w:id="554" w:name="_Toc110265709"/>
      <w:bookmarkStart w:id="555" w:name="_Toc110330079"/>
      <w:bookmarkStart w:id="556" w:name="_Toc110330244"/>
      <w:r w:rsidRPr="000C156A">
        <w:rPr>
          <w:rFonts w:cs="Microsoft YaHei" w:hint="eastAsia"/>
          <w:sz w:val="24"/>
          <w:szCs w:val="24"/>
          <w:lang w:val="fr-FR" w:eastAsia="zh-CN"/>
        </w:rPr>
        <w:lastRenderedPageBreak/>
        <w:t>说明</w:t>
      </w:r>
      <w:r w:rsidRPr="000C156A">
        <w:rPr>
          <w:rFonts w:cs="Microsoft YaHei"/>
          <w:sz w:val="24"/>
          <w:szCs w:val="24"/>
          <w:lang w:eastAsia="zh-CN"/>
        </w:rPr>
        <w:t>4</w:t>
      </w:r>
      <w:r w:rsidRPr="000C156A">
        <w:rPr>
          <w:rFonts w:cs="Microsoft YaHei"/>
          <w:sz w:val="24"/>
          <w:szCs w:val="24"/>
          <w:lang w:eastAsia="zh-CN"/>
        </w:rPr>
        <w:tab/>
      </w:r>
      <w:r w:rsidRPr="000C156A">
        <w:rPr>
          <w:rFonts w:cs="Microsoft YaHei" w:hint="eastAsia"/>
          <w:sz w:val="24"/>
          <w:szCs w:val="24"/>
          <w:lang w:val="fr-FR" w:eastAsia="zh-CN"/>
        </w:rPr>
        <w:t>财务风险的管理</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2995DA4F" w14:textId="77777777" w:rsidR="0085433F" w:rsidRPr="000C156A" w:rsidRDefault="0085433F" w:rsidP="0085433F">
      <w:pPr>
        <w:ind w:firstLineChars="200" w:firstLine="480"/>
        <w:rPr>
          <w:lang w:val="en-US" w:eastAsia="zh-CN"/>
        </w:rPr>
      </w:pPr>
      <w:r w:rsidRPr="000C156A">
        <w:rPr>
          <w:rFonts w:hint="eastAsia"/>
          <w:lang w:eastAsia="zh-CN"/>
        </w:rPr>
        <w:t>国际电联在工作中面临多种财务风险，其中包括信用风险、市场风险（外汇货币风险）、利率风险和流动性风险。该说明列出了国际电联面临上述风险的情况以及为应对财务风险和保护其资本采取的原则。财务风险管理集中掌握在秘书长手中。</w:t>
      </w:r>
    </w:p>
    <w:p w14:paraId="74E4D187" w14:textId="77777777" w:rsidR="0085433F" w:rsidRPr="000C156A" w:rsidRDefault="0085433F" w:rsidP="0085433F">
      <w:pPr>
        <w:pStyle w:val="Headingb"/>
        <w:rPr>
          <w:lang w:val="en-US" w:eastAsia="zh-CN"/>
        </w:rPr>
      </w:pPr>
      <w:bookmarkStart w:id="557" w:name="_Toc73518680"/>
      <w:bookmarkStart w:id="558" w:name="_Toc73518827"/>
      <w:bookmarkStart w:id="559" w:name="_Toc73519227"/>
      <w:bookmarkStart w:id="560" w:name="_Toc73636266"/>
      <w:r w:rsidRPr="000C156A">
        <w:rPr>
          <w:rFonts w:hint="eastAsia"/>
          <w:lang w:val="en-US" w:eastAsia="zh-CN"/>
        </w:rPr>
        <w:t>公允价值</w:t>
      </w:r>
      <w:bookmarkEnd w:id="557"/>
      <w:bookmarkEnd w:id="558"/>
      <w:bookmarkEnd w:id="559"/>
      <w:bookmarkEnd w:id="560"/>
    </w:p>
    <w:p w14:paraId="0947172A" w14:textId="77777777" w:rsidR="0085433F" w:rsidRPr="000C156A" w:rsidRDefault="0085433F" w:rsidP="0085433F">
      <w:pPr>
        <w:spacing w:after="240"/>
        <w:ind w:firstLineChars="200" w:firstLine="480"/>
        <w:rPr>
          <w:b/>
          <w:bCs/>
          <w:lang w:val="en-US" w:eastAsia="zh-CN"/>
        </w:rPr>
      </w:pPr>
      <w:r w:rsidRPr="000C156A">
        <w:rPr>
          <w:rFonts w:hint="eastAsia"/>
          <w:lang w:val="en-US" w:eastAsia="zh-CN"/>
        </w:rPr>
        <w:t>以下是国际电联各种金融工具</w:t>
      </w:r>
      <w:r w:rsidRPr="000C156A">
        <w:rPr>
          <w:rFonts w:hint="eastAsia"/>
          <w:lang w:eastAsia="zh-CN"/>
        </w:rPr>
        <w:t>账面</w:t>
      </w:r>
      <w:r w:rsidRPr="000C156A">
        <w:rPr>
          <w:rFonts w:hint="eastAsia"/>
          <w:lang w:val="en-US" w:eastAsia="zh-CN"/>
        </w:rPr>
        <w:t>金额和公允价值的比较：</w:t>
      </w:r>
    </w:p>
    <w:tbl>
      <w:tblPr>
        <w:tblStyle w:val="TableGrid"/>
        <w:tblW w:w="0" w:type="auto"/>
        <w:tblLook w:val="04A0" w:firstRow="1" w:lastRow="0" w:firstColumn="1" w:lastColumn="0" w:noHBand="0" w:noVBand="1"/>
      </w:tblPr>
      <w:tblGrid>
        <w:gridCol w:w="5264"/>
        <w:gridCol w:w="1032"/>
        <w:gridCol w:w="1032"/>
        <w:gridCol w:w="1150"/>
        <w:gridCol w:w="1151"/>
      </w:tblGrid>
      <w:tr w:rsidR="0085433F" w:rsidRPr="00473856" w14:paraId="000A0335" w14:textId="77777777" w:rsidTr="003A64C9">
        <w:trPr>
          <w:trHeight w:val="394"/>
        </w:trPr>
        <w:tc>
          <w:tcPr>
            <w:tcW w:w="5264" w:type="dxa"/>
            <w:tcBorders>
              <w:top w:val="single" w:sz="4" w:space="0" w:color="auto"/>
              <w:left w:val="single" w:sz="4" w:space="0" w:color="auto"/>
              <w:bottom w:val="single" w:sz="4" w:space="0" w:color="auto"/>
              <w:right w:val="single" w:sz="4" w:space="0" w:color="auto"/>
            </w:tcBorders>
            <w:hideMark/>
          </w:tcPr>
          <w:p w14:paraId="07506820" w14:textId="77777777" w:rsidR="0085433F" w:rsidRPr="00473856" w:rsidRDefault="0085433F" w:rsidP="003A64C9">
            <w:pPr>
              <w:pStyle w:val="Tablehead"/>
              <w:rPr>
                <w:rFonts w:eastAsia="SimSun" w:cs="Calibri"/>
                <w:lang w:val="fr-FR"/>
              </w:rPr>
            </w:pPr>
            <w:r w:rsidRPr="00473856">
              <w:rPr>
                <w:rFonts w:eastAsia="SimSun" w:cs="Calibri" w:hint="eastAsia"/>
                <w:lang w:val="fr-FR"/>
              </w:rPr>
              <w:t>单位：千瑞郎</w:t>
            </w:r>
          </w:p>
        </w:tc>
        <w:tc>
          <w:tcPr>
            <w:tcW w:w="2064" w:type="dxa"/>
            <w:gridSpan w:val="2"/>
            <w:tcBorders>
              <w:top w:val="single" w:sz="4" w:space="0" w:color="auto"/>
              <w:left w:val="single" w:sz="4" w:space="0" w:color="auto"/>
              <w:bottom w:val="single" w:sz="4" w:space="0" w:color="auto"/>
              <w:right w:val="single" w:sz="4" w:space="0" w:color="auto"/>
            </w:tcBorders>
            <w:hideMark/>
          </w:tcPr>
          <w:p w14:paraId="32B73A24" w14:textId="77777777" w:rsidR="0085433F" w:rsidRPr="00473856" w:rsidRDefault="0085433F" w:rsidP="003A64C9">
            <w:pPr>
              <w:pStyle w:val="Tablehead"/>
              <w:rPr>
                <w:rFonts w:eastAsia="SimSun" w:cs="Calibri"/>
                <w:lang w:val="fr-FR"/>
              </w:rPr>
            </w:pPr>
            <w:r w:rsidRPr="00473856">
              <w:rPr>
                <w:rFonts w:eastAsia="SimSun" w:cs="Calibri" w:hint="eastAsia"/>
                <w:lang w:val="fr-FR"/>
              </w:rPr>
              <w:t>账面金额</w:t>
            </w:r>
          </w:p>
        </w:tc>
        <w:tc>
          <w:tcPr>
            <w:tcW w:w="2301" w:type="dxa"/>
            <w:gridSpan w:val="2"/>
            <w:tcBorders>
              <w:top w:val="single" w:sz="4" w:space="0" w:color="auto"/>
              <w:left w:val="single" w:sz="4" w:space="0" w:color="auto"/>
              <w:bottom w:val="single" w:sz="4" w:space="0" w:color="auto"/>
              <w:right w:val="single" w:sz="4" w:space="0" w:color="auto"/>
            </w:tcBorders>
            <w:hideMark/>
          </w:tcPr>
          <w:p w14:paraId="3A3E387E" w14:textId="77777777" w:rsidR="0085433F" w:rsidRPr="00473856" w:rsidRDefault="0085433F" w:rsidP="003A64C9">
            <w:pPr>
              <w:pStyle w:val="Tablehead"/>
              <w:rPr>
                <w:rFonts w:eastAsia="SimSun" w:cs="Calibri"/>
                <w:lang w:val="fr-FR"/>
              </w:rPr>
            </w:pPr>
            <w:r w:rsidRPr="00473856">
              <w:rPr>
                <w:rFonts w:eastAsia="SimSun" w:cs="Calibri" w:hint="eastAsia"/>
                <w:lang w:val="fr-FR"/>
              </w:rPr>
              <w:t>公允价值</w:t>
            </w:r>
          </w:p>
        </w:tc>
      </w:tr>
      <w:tr w:rsidR="0085433F" w:rsidRPr="00473856" w14:paraId="36D025A8" w14:textId="77777777" w:rsidTr="003A64C9">
        <w:tc>
          <w:tcPr>
            <w:tcW w:w="5264" w:type="dxa"/>
            <w:tcBorders>
              <w:top w:val="single" w:sz="4" w:space="0" w:color="auto"/>
              <w:left w:val="single" w:sz="4" w:space="0" w:color="auto"/>
              <w:bottom w:val="single" w:sz="4" w:space="0" w:color="auto"/>
              <w:right w:val="single" w:sz="4" w:space="0" w:color="auto"/>
            </w:tcBorders>
            <w:hideMark/>
          </w:tcPr>
          <w:p w14:paraId="1B29BC08" w14:textId="77777777" w:rsidR="0085433F" w:rsidRPr="00473856" w:rsidRDefault="0085433F" w:rsidP="003A64C9">
            <w:pPr>
              <w:pStyle w:val="Tabletext"/>
              <w:rPr>
                <w:rFonts w:eastAsia="SimSun" w:cs="Calibri"/>
                <w:lang w:eastAsia="zh-CN"/>
              </w:rPr>
            </w:pPr>
            <w:r w:rsidRPr="00473856">
              <w:rPr>
                <w:rFonts w:eastAsia="SimSun" w:cs="Calibri" w:hint="eastAsia"/>
                <w:lang w:eastAsia="zh-CN"/>
              </w:rPr>
              <w:t>金融资产</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B1F4617" w14:textId="602A9D31" w:rsidR="0085433F" w:rsidRPr="00473856" w:rsidRDefault="0085433F" w:rsidP="003A64C9">
            <w:pPr>
              <w:overflowPunct/>
              <w:autoSpaceDE/>
              <w:autoSpaceDN/>
              <w:adjustRightInd/>
              <w:spacing w:before="0"/>
              <w:jc w:val="center"/>
              <w:textAlignment w:val="auto"/>
              <w:rPr>
                <w:rFonts w:eastAsia="SimSun" w:cs="Calibri"/>
                <w:b/>
                <w:bCs/>
                <w:sz w:val="22"/>
                <w:lang w:val="en-US" w:eastAsia="zh-CN"/>
              </w:rPr>
            </w:pPr>
            <w:r w:rsidRPr="00473856">
              <w:rPr>
                <w:rFonts w:eastAsia="SimSun" w:cs="Calibri"/>
                <w:b/>
                <w:bCs/>
                <w:sz w:val="22"/>
                <w:lang w:val="en-US" w:eastAsia="zh-CN"/>
              </w:rPr>
              <w:t>202</w:t>
            </w:r>
            <w:r w:rsidR="00473856" w:rsidRPr="00473856">
              <w:rPr>
                <w:rFonts w:eastAsia="SimSun" w:cs="Calibri"/>
                <w:b/>
                <w:bCs/>
                <w:sz w:val="22"/>
                <w:lang w:val="en-US" w:eastAsia="zh-CN"/>
              </w:rPr>
              <w:t>1</w:t>
            </w:r>
            <w:r w:rsidRPr="00473856">
              <w:rPr>
                <w:rFonts w:eastAsia="SimSun" w:cs="Calibri"/>
                <w:b/>
                <w:bCs/>
                <w:sz w:val="22"/>
                <w:lang w:val="en-US" w:eastAsia="zh-CN"/>
              </w:rPr>
              <w:t>年</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9D0B6E5" w14:textId="30BB5B88" w:rsidR="0085433F" w:rsidRPr="00473856" w:rsidRDefault="0085433F" w:rsidP="003A64C9">
            <w:pPr>
              <w:overflowPunct/>
              <w:autoSpaceDE/>
              <w:autoSpaceDN/>
              <w:adjustRightInd/>
              <w:spacing w:before="0"/>
              <w:jc w:val="center"/>
              <w:textAlignment w:val="auto"/>
              <w:rPr>
                <w:rFonts w:eastAsia="SimSun" w:cs="Calibri"/>
                <w:b/>
                <w:bCs/>
                <w:sz w:val="22"/>
                <w:lang w:val="en-US" w:eastAsia="zh-CN"/>
              </w:rPr>
            </w:pPr>
            <w:r w:rsidRPr="00473856">
              <w:rPr>
                <w:rFonts w:eastAsia="SimSun" w:cs="Calibri"/>
                <w:b/>
                <w:sz w:val="22"/>
                <w:lang w:val="en-US"/>
              </w:rPr>
              <w:t>20</w:t>
            </w:r>
            <w:r w:rsidR="00473856" w:rsidRPr="00473856">
              <w:rPr>
                <w:rFonts w:eastAsia="SimSun" w:cs="Calibri"/>
                <w:b/>
                <w:sz w:val="22"/>
                <w:lang w:val="en-US"/>
              </w:rPr>
              <w:t>20</w:t>
            </w:r>
            <w:r w:rsidRPr="00473856">
              <w:rPr>
                <w:rFonts w:eastAsia="SimSun" w:cs="Calibri"/>
                <w:b/>
                <w:bCs/>
                <w:sz w:val="22"/>
                <w:lang w:val="en-US" w:eastAsia="zh-CN"/>
              </w:rPr>
              <w:t>年</w:t>
            </w:r>
          </w:p>
        </w:tc>
        <w:tc>
          <w:tcPr>
            <w:tcW w:w="1150" w:type="dxa"/>
            <w:tcBorders>
              <w:top w:val="single" w:sz="4" w:space="0" w:color="auto"/>
              <w:left w:val="single" w:sz="4" w:space="0" w:color="auto"/>
              <w:bottom w:val="single" w:sz="4" w:space="0" w:color="auto"/>
              <w:right w:val="single" w:sz="4" w:space="0" w:color="auto"/>
            </w:tcBorders>
            <w:vAlign w:val="center"/>
            <w:hideMark/>
          </w:tcPr>
          <w:p w14:paraId="07056788" w14:textId="5F50E344" w:rsidR="0085433F" w:rsidRPr="00473856" w:rsidRDefault="0085433F" w:rsidP="003A64C9">
            <w:pPr>
              <w:overflowPunct/>
              <w:autoSpaceDE/>
              <w:autoSpaceDN/>
              <w:adjustRightInd/>
              <w:spacing w:before="0"/>
              <w:jc w:val="center"/>
              <w:textAlignment w:val="auto"/>
              <w:rPr>
                <w:rFonts w:eastAsia="SimSun" w:cs="Calibri"/>
                <w:b/>
                <w:bCs/>
                <w:sz w:val="22"/>
                <w:lang w:val="en-US" w:eastAsia="zh-CN"/>
              </w:rPr>
            </w:pPr>
            <w:r w:rsidRPr="00473856">
              <w:rPr>
                <w:rFonts w:eastAsia="SimSun" w:cs="Calibri"/>
                <w:b/>
                <w:bCs/>
                <w:sz w:val="22"/>
                <w:lang w:val="en-US" w:eastAsia="zh-CN"/>
              </w:rPr>
              <w:t>202</w:t>
            </w:r>
            <w:r w:rsidR="00473856" w:rsidRPr="00473856">
              <w:rPr>
                <w:rFonts w:eastAsia="SimSun" w:cs="Calibri"/>
                <w:b/>
                <w:bCs/>
                <w:sz w:val="22"/>
                <w:lang w:val="en-US" w:eastAsia="zh-CN"/>
              </w:rPr>
              <w:t>1</w:t>
            </w:r>
            <w:r w:rsidRPr="00473856">
              <w:rPr>
                <w:rFonts w:eastAsia="SimSun" w:cs="Calibri"/>
                <w:b/>
                <w:bCs/>
                <w:sz w:val="22"/>
                <w:lang w:val="en-US" w:eastAsia="zh-CN"/>
              </w:rPr>
              <w:t>年</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56174F1" w14:textId="3DAE9265" w:rsidR="0085433F" w:rsidRPr="00473856" w:rsidRDefault="0085433F" w:rsidP="003A64C9">
            <w:pPr>
              <w:overflowPunct/>
              <w:autoSpaceDE/>
              <w:autoSpaceDN/>
              <w:adjustRightInd/>
              <w:spacing w:before="0"/>
              <w:jc w:val="center"/>
              <w:textAlignment w:val="auto"/>
              <w:rPr>
                <w:rFonts w:eastAsia="SimSun" w:cs="Calibri"/>
                <w:b/>
                <w:sz w:val="22"/>
                <w:lang w:val="en-US"/>
              </w:rPr>
            </w:pPr>
            <w:r w:rsidRPr="00473856">
              <w:rPr>
                <w:rFonts w:eastAsia="SimSun" w:cs="Calibri"/>
                <w:b/>
                <w:sz w:val="22"/>
                <w:lang w:val="en-US"/>
              </w:rPr>
              <w:t>2</w:t>
            </w:r>
            <w:r w:rsidRPr="00473856">
              <w:rPr>
                <w:rFonts w:eastAsia="SimSun" w:cs="Calibri"/>
                <w:b/>
                <w:bCs/>
                <w:sz w:val="22"/>
                <w:lang w:val="en-US" w:eastAsia="zh-CN"/>
              </w:rPr>
              <w:t>0</w:t>
            </w:r>
            <w:r w:rsidR="00473856" w:rsidRPr="00473856">
              <w:rPr>
                <w:rFonts w:eastAsia="SimSun" w:cs="Calibri"/>
                <w:b/>
                <w:bCs/>
                <w:sz w:val="22"/>
                <w:lang w:val="en-US" w:eastAsia="zh-CN"/>
              </w:rPr>
              <w:t>20</w:t>
            </w:r>
            <w:r w:rsidRPr="00473856">
              <w:rPr>
                <w:rFonts w:eastAsia="SimSun" w:cs="Calibri"/>
                <w:b/>
                <w:bCs/>
                <w:sz w:val="22"/>
                <w:lang w:val="en-US" w:eastAsia="zh-CN"/>
              </w:rPr>
              <w:t>年</w:t>
            </w:r>
          </w:p>
        </w:tc>
      </w:tr>
      <w:tr w:rsidR="00473856" w:rsidRPr="00473856" w14:paraId="6575CA2B" w14:textId="77777777" w:rsidTr="003A64C9">
        <w:tc>
          <w:tcPr>
            <w:tcW w:w="5264" w:type="dxa"/>
            <w:tcBorders>
              <w:top w:val="single" w:sz="4" w:space="0" w:color="auto"/>
              <w:left w:val="single" w:sz="4" w:space="0" w:color="auto"/>
              <w:bottom w:val="single" w:sz="4" w:space="0" w:color="auto"/>
              <w:right w:val="single" w:sz="4" w:space="0" w:color="auto"/>
            </w:tcBorders>
            <w:hideMark/>
          </w:tcPr>
          <w:p w14:paraId="6A416B48" w14:textId="77777777" w:rsidR="00473856" w:rsidRPr="00473856" w:rsidRDefault="00473856" w:rsidP="00473856">
            <w:pPr>
              <w:pStyle w:val="Tabletext"/>
              <w:rPr>
                <w:rFonts w:eastAsia="SimSun" w:cs="Calibri"/>
                <w:lang w:eastAsia="zh-CN"/>
              </w:rPr>
            </w:pPr>
            <w:r w:rsidRPr="00473856">
              <w:rPr>
                <w:rFonts w:eastAsia="SimSun" w:cs="Calibri" w:hint="eastAsia"/>
                <w:lang w:eastAsia="zh-CN"/>
              </w:rPr>
              <w:t>现金和现金等价物</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ABD8D68" w14:textId="3FAE09EB"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130 392</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4E6D056" w14:textId="4E58C9F3"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99 406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5D328E5" w14:textId="51E22450"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130 392</w:t>
            </w:r>
          </w:p>
        </w:tc>
        <w:tc>
          <w:tcPr>
            <w:tcW w:w="1151" w:type="dxa"/>
            <w:tcBorders>
              <w:top w:val="single" w:sz="4" w:space="0" w:color="auto"/>
              <w:left w:val="single" w:sz="4" w:space="0" w:color="auto"/>
              <w:bottom w:val="single" w:sz="4" w:space="0" w:color="auto"/>
              <w:right w:val="single" w:sz="4" w:space="0" w:color="auto"/>
            </w:tcBorders>
            <w:vAlign w:val="center"/>
            <w:hideMark/>
          </w:tcPr>
          <w:p w14:paraId="30D48EC4" w14:textId="3F746212"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99 406</w:t>
            </w:r>
          </w:p>
        </w:tc>
      </w:tr>
      <w:tr w:rsidR="00473856" w:rsidRPr="00473856" w14:paraId="60FF6647" w14:textId="77777777" w:rsidTr="003A64C9">
        <w:tc>
          <w:tcPr>
            <w:tcW w:w="5264" w:type="dxa"/>
            <w:tcBorders>
              <w:top w:val="single" w:sz="4" w:space="0" w:color="auto"/>
              <w:left w:val="single" w:sz="4" w:space="0" w:color="auto"/>
              <w:bottom w:val="single" w:sz="4" w:space="0" w:color="auto"/>
              <w:right w:val="single" w:sz="4" w:space="0" w:color="auto"/>
            </w:tcBorders>
            <w:hideMark/>
          </w:tcPr>
          <w:p w14:paraId="72D9D312" w14:textId="77777777" w:rsidR="00473856" w:rsidRPr="00473856" w:rsidRDefault="00473856" w:rsidP="00473856">
            <w:pPr>
              <w:pStyle w:val="Tabletext"/>
              <w:rPr>
                <w:rFonts w:eastAsia="SimSun" w:cs="Calibri"/>
                <w:lang w:eastAsia="zh-CN"/>
              </w:rPr>
            </w:pPr>
            <w:r w:rsidRPr="00473856">
              <w:rPr>
                <w:rFonts w:eastAsia="SimSun" w:cs="Calibri" w:hint="eastAsia"/>
                <w:lang w:eastAsia="zh-CN"/>
              </w:rPr>
              <w:t>按公允价值通过盈余</w:t>
            </w:r>
            <w:r w:rsidRPr="00473856">
              <w:rPr>
                <w:rFonts w:eastAsia="SimSun" w:cs="Calibri"/>
                <w:lang w:eastAsia="zh-CN"/>
              </w:rPr>
              <w:t>/</w:t>
            </w:r>
            <w:r w:rsidRPr="00473856">
              <w:rPr>
                <w:rFonts w:eastAsia="SimSun" w:cs="Calibri" w:hint="eastAsia"/>
                <w:lang w:eastAsia="zh-CN"/>
              </w:rPr>
              <w:t>赤字记账的金融工具</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983589E" w14:textId="1BD9A230"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95 033</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EEB81A3" w14:textId="5011CDC7"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95 516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BD914B2" w14:textId="4821F058"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95 033</w:t>
            </w:r>
          </w:p>
        </w:tc>
        <w:tc>
          <w:tcPr>
            <w:tcW w:w="1151" w:type="dxa"/>
            <w:tcBorders>
              <w:top w:val="single" w:sz="4" w:space="0" w:color="auto"/>
              <w:left w:val="single" w:sz="4" w:space="0" w:color="auto"/>
              <w:bottom w:val="single" w:sz="4" w:space="0" w:color="auto"/>
              <w:right w:val="single" w:sz="4" w:space="0" w:color="auto"/>
            </w:tcBorders>
            <w:vAlign w:val="center"/>
            <w:hideMark/>
          </w:tcPr>
          <w:p w14:paraId="71FBB944" w14:textId="14E5E82E"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95 516</w:t>
            </w:r>
          </w:p>
        </w:tc>
      </w:tr>
      <w:tr w:rsidR="00473856" w:rsidRPr="00473856" w14:paraId="60803CAC" w14:textId="77777777" w:rsidTr="003A64C9">
        <w:tc>
          <w:tcPr>
            <w:tcW w:w="5264" w:type="dxa"/>
            <w:tcBorders>
              <w:top w:val="single" w:sz="4" w:space="0" w:color="auto"/>
              <w:left w:val="single" w:sz="4" w:space="0" w:color="auto"/>
              <w:bottom w:val="single" w:sz="4" w:space="0" w:color="auto"/>
              <w:right w:val="single" w:sz="4" w:space="0" w:color="auto"/>
            </w:tcBorders>
            <w:hideMark/>
          </w:tcPr>
          <w:p w14:paraId="4103A64F" w14:textId="77777777" w:rsidR="00473856" w:rsidRPr="00473856" w:rsidRDefault="00473856" w:rsidP="00473856">
            <w:pPr>
              <w:pStyle w:val="Tabletext"/>
              <w:rPr>
                <w:rFonts w:eastAsia="SimSun" w:cs="Calibri"/>
                <w:lang w:eastAsia="zh-CN"/>
              </w:rPr>
            </w:pPr>
            <w:r w:rsidRPr="00473856">
              <w:rPr>
                <w:rFonts w:eastAsia="SimSun" w:cs="Calibri" w:hint="eastAsia"/>
                <w:lang w:eastAsia="zh-CN"/>
              </w:rPr>
              <w:t>兑换交易应收款项</w:t>
            </w:r>
            <w:r w:rsidRPr="00473856">
              <w:rPr>
                <w:rFonts w:eastAsia="SimSun" w:cs="Calibri"/>
                <w:lang w:eastAsia="zh-CN"/>
              </w:rPr>
              <w:t xml:space="preserve"> – </w:t>
            </w:r>
            <w:r w:rsidRPr="00473856">
              <w:rPr>
                <w:rFonts w:eastAsia="SimSun" w:cs="Calibri" w:hint="eastAsia"/>
                <w:lang w:eastAsia="zh-CN"/>
              </w:rPr>
              <w:t>活期</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40FE97C" w14:textId="18818C9C"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10 989</w:t>
            </w:r>
          </w:p>
        </w:tc>
        <w:tc>
          <w:tcPr>
            <w:tcW w:w="1032" w:type="dxa"/>
            <w:tcBorders>
              <w:top w:val="single" w:sz="4" w:space="0" w:color="auto"/>
              <w:left w:val="single" w:sz="4" w:space="0" w:color="auto"/>
              <w:bottom w:val="single" w:sz="4" w:space="0" w:color="auto"/>
              <w:right w:val="single" w:sz="4" w:space="0" w:color="auto"/>
            </w:tcBorders>
            <w:vAlign w:val="center"/>
            <w:hideMark/>
          </w:tcPr>
          <w:p w14:paraId="317D0A25" w14:textId="29ED9FD2"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8 481</w:t>
            </w:r>
          </w:p>
        </w:tc>
        <w:tc>
          <w:tcPr>
            <w:tcW w:w="1150" w:type="dxa"/>
            <w:tcBorders>
              <w:top w:val="single" w:sz="4" w:space="0" w:color="auto"/>
              <w:left w:val="single" w:sz="4" w:space="0" w:color="auto"/>
              <w:bottom w:val="single" w:sz="4" w:space="0" w:color="auto"/>
              <w:right w:val="single" w:sz="4" w:space="0" w:color="auto"/>
            </w:tcBorders>
            <w:vAlign w:val="center"/>
            <w:hideMark/>
          </w:tcPr>
          <w:p w14:paraId="24FB0DF3" w14:textId="07583B2B"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10 989</w:t>
            </w:r>
          </w:p>
        </w:tc>
        <w:tc>
          <w:tcPr>
            <w:tcW w:w="1151" w:type="dxa"/>
            <w:tcBorders>
              <w:top w:val="single" w:sz="4" w:space="0" w:color="auto"/>
              <w:left w:val="single" w:sz="4" w:space="0" w:color="auto"/>
              <w:bottom w:val="single" w:sz="4" w:space="0" w:color="auto"/>
              <w:right w:val="single" w:sz="4" w:space="0" w:color="auto"/>
            </w:tcBorders>
            <w:vAlign w:val="center"/>
            <w:hideMark/>
          </w:tcPr>
          <w:p w14:paraId="4E52FB51" w14:textId="3380E9F7"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8 481</w:t>
            </w:r>
          </w:p>
        </w:tc>
      </w:tr>
      <w:tr w:rsidR="00473856" w:rsidRPr="00473856" w14:paraId="24A9669B" w14:textId="77777777" w:rsidTr="003A64C9">
        <w:tc>
          <w:tcPr>
            <w:tcW w:w="5264" w:type="dxa"/>
            <w:tcBorders>
              <w:top w:val="single" w:sz="4" w:space="0" w:color="auto"/>
              <w:left w:val="single" w:sz="4" w:space="0" w:color="auto"/>
              <w:bottom w:val="single" w:sz="4" w:space="0" w:color="auto"/>
              <w:right w:val="single" w:sz="4" w:space="0" w:color="auto"/>
            </w:tcBorders>
            <w:hideMark/>
          </w:tcPr>
          <w:p w14:paraId="32A4820E" w14:textId="77777777" w:rsidR="00473856" w:rsidRPr="00473856" w:rsidRDefault="00473856" w:rsidP="00473856">
            <w:pPr>
              <w:pStyle w:val="Tabletext"/>
              <w:rPr>
                <w:rFonts w:eastAsia="SimSun" w:cs="Calibri"/>
                <w:lang w:eastAsia="zh-CN"/>
              </w:rPr>
            </w:pPr>
            <w:r w:rsidRPr="00473856">
              <w:rPr>
                <w:rFonts w:eastAsia="SimSun" w:cs="Calibri" w:hint="eastAsia"/>
                <w:lang w:eastAsia="zh-CN"/>
              </w:rPr>
              <w:t>非兑换交易应收款项</w:t>
            </w:r>
            <w:r w:rsidRPr="00473856">
              <w:rPr>
                <w:rFonts w:eastAsia="SimSun" w:cs="Calibri"/>
                <w:lang w:eastAsia="zh-CN"/>
              </w:rPr>
              <w:t xml:space="preserve"> – </w:t>
            </w:r>
            <w:r w:rsidRPr="00473856">
              <w:rPr>
                <w:rFonts w:eastAsia="SimSun" w:cs="Calibri" w:hint="eastAsia"/>
                <w:lang w:eastAsia="zh-CN"/>
              </w:rPr>
              <w:t>活期</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C1E1851" w14:textId="540546D5"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76 931</w:t>
            </w:r>
          </w:p>
        </w:tc>
        <w:tc>
          <w:tcPr>
            <w:tcW w:w="1032" w:type="dxa"/>
            <w:tcBorders>
              <w:top w:val="single" w:sz="4" w:space="0" w:color="auto"/>
              <w:left w:val="single" w:sz="4" w:space="0" w:color="auto"/>
              <w:bottom w:val="single" w:sz="4" w:space="0" w:color="auto"/>
              <w:right w:val="single" w:sz="4" w:space="0" w:color="auto"/>
            </w:tcBorders>
            <w:vAlign w:val="center"/>
            <w:hideMark/>
          </w:tcPr>
          <w:p w14:paraId="5997D555" w14:textId="3A5C8F7E"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sidRPr="00CE08B8">
              <w:rPr>
                <w:rFonts w:cs="Arial"/>
                <w:color w:val="000000"/>
                <w:sz w:val="22"/>
                <w:szCs w:val="22"/>
                <w:lang w:val="en-US" w:eastAsia="zh-CN"/>
              </w:rPr>
              <w:t>8</w:t>
            </w:r>
            <w:r>
              <w:rPr>
                <w:rFonts w:cs="Arial"/>
                <w:color w:val="000000"/>
                <w:sz w:val="22"/>
                <w:szCs w:val="22"/>
                <w:lang w:val="en-US" w:eastAsia="zh-CN"/>
              </w:rPr>
              <w:t>9 306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0E00C1A" w14:textId="05AF4312"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76 931</w:t>
            </w:r>
          </w:p>
        </w:tc>
        <w:tc>
          <w:tcPr>
            <w:tcW w:w="1151" w:type="dxa"/>
            <w:tcBorders>
              <w:top w:val="single" w:sz="4" w:space="0" w:color="auto"/>
              <w:left w:val="single" w:sz="4" w:space="0" w:color="auto"/>
              <w:bottom w:val="single" w:sz="4" w:space="0" w:color="auto"/>
              <w:right w:val="single" w:sz="4" w:space="0" w:color="auto"/>
            </w:tcBorders>
            <w:vAlign w:val="center"/>
            <w:hideMark/>
          </w:tcPr>
          <w:p w14:paraId="1E3CFC57" w14:textId="12B37EEB"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sidRPr="00CE08B8">
              <w:rPr>
                <w:rFonts w:cs="Arial"/>
                <w:color w:val="000000"/>
                <w:sz w:val="22"/>
                <w:szCs w:val="22"/>
                <w:lang w:val="en-US" w:eastAsia="zh-CN"/>
              </w:rPr>
              <w:t>8</w:t>
            </w:r>
            <w:r>
              <w:rPr>
                <w:rFonts w:cs="Arial"/>
                <w:color w:val="000000"/>
                <w:sz w:val="22"/>
                <w:szCs w:val="22"/>
                <w:lang w:val="en-US" w:eastAsia="zh-CN"/>
              </w:rPr>
              <w:t>9 306</w:t>
            </w:r>
          </w:p>
        </w:tc>
      </w:tr>
    </w:tbl>
    <w:p w14:paraId="11D20959" w14:textId="77777777" w:rsidR="0085433F" w:rsidRPr="000C156A" w:rsidRDefault="0085433F" w:rsidP="0085433F"/>
    <w:tbl>
      <w:tblPr>
        <w:tblStyle w:val="TableGrid"/>
        <w:tblW w:w="0" w:type="auto"/>
        <w:tblLook w:val="04A0" w:firstRow="1" w:lastRow="0" w:firstColumn="1" w:lastColumn="0" w:noHBand="0" w:noVBand="1"/>
      </w:tblPr>
      <w:tblGrid>
        <w:gridCol w:w="5264"/>
        <w:gridCol w:w="1032"/>
        <w:gridCol w:w="1032"/>
        <w:gridCol w:w="1150"/>
        <w:gridCol w:w="1151"/>
      </w:tblGrid>
      <w:tr w:rsidR="0085433F" w:rsidRPr="00473856" w14:paraId="0E690296" w14:textId="77777777" w:rsidTr="003A64C9">
        <w:tc>
          <w:tcPr>
            <w:tcW w:w="5264" w:type="dxa"/>
            <w:tcBorders>
              <w:top w:val="single" w:sz="4" w:space="0" w:color="auto"/>
              <w:left w:val="single" w:sz="4" w:space="0" w:color="auto"/>
              <w:bottom w:val="single" w:sz="4" w:space="0" w:color="auto"/>
              <w:right w:val="single" w:sz="4" w:space="0" w:color="auto"/>
            </w:tcBorders>
            <w:hideMark/>
          </w:tcPr>
          <w:p w14:paraId="41BD6849" w14:textId="77777777" w:rsidR="0085433F" w:rsidRPr="00473856" w:rsidRDefault="0085433F" w:rsidP="003A64C9">
            <w:pPr>
              <w:pStyle w:val="Tablehead"/>
              <w:rPr>
                <w:rFonts w:eastAsia="SimSun" w:cs="Calibri"/>
              </w:rPr>
            </w:pPr>
            <w:r w:rsidRPr="00473856">
              <w:rPr>
                <w:rFonts w:eastAsia="SimSun" w:cs="Calibri" w:hint="eastAsia"/>
              </w:rPr>
              <w:t>单位：千瑞郎</w:t>
            </w:r>
          </w:p>
        </w:tc>
        <w:tc>
          <w:tcPr>
            <w:tcW w:w="2064" w:type="dxa"/>
            <w:gridSpan w:val="2"/>
            <w:tcBorders>
              <w:top w:val="single" w:sz="4" w:space="0" w:color="auto"/>
              <w:left w:val="single" w:sz="4" w:space="0" w:color="auto"/>
              <w:bottom w:val="single" w:sz="4" w:space="0" w:color="auto"/>
              <w:right w:val="single" w:sz="4" w:space="0" w:color="auto"/>
            </w:tcBorders>
            <w:hideMark/>
          </w:tcPr>
          <w:p w14:paraId="1A5680E7" w14:textId="77777777" w:rsidR="0085433F" w:rsidRPr="00473856" w:rsidRDefault="0085433F" w:rsidP="003A64C9">
            <w:pPr>
              <w:pStyle w:val="Tablehead"/>
              <w:rPr>
                <w:rFonts w:eastAsia="SimSun" w:cs="Calibri"/>
              </w:rPr>
            </w:pPr>
            <w:r w:rsidRPr="00473856">
              <w:rPr>
                <w:rFonts w:eastAsia="SimSun" w:cs="Calibri" w:hint="eastAsia"/>
              </w:rPr>
              <w:t>账面金额</w:t>
            </w:r>
          </w:p>
        </w:tc>
        <w:tc>
          <w:tcPr>
            <w:tcW w:w="2301" w:type="dxa"/>
            <w:gridSpan w:val="2"/>
            <w:tcBorders>
              <w:top w:val="single" w:sz="4" w:space="0" w:color="auto"/>
              <w:left w:val="single" w:sz="4" w:space="0" w:color="auto"/>
              <w:bottom w:val="single" w:sz="4" w:space="0" w:color="auto"/>
              <w:right w:val="single" w:sz="4" w:space="0" w:color="auto"/>
            </w:tcBorders>
            <w:hideMark/>
          </w:tcPr>
          <w:p w14:paraId="039BE33B" w14:textId="77777777" w:rsidR="0085433F" w:rsidRPr="00473856" w:rsidRDefault="0085433F" w:rsidP="003A64C9">
            <w:pPr>
              <w:pStyle w:val="Tablehead"/>
              <w:rPr>
                <w:rFonts w:eastAsia="SimSun" w:cs="Calibri"/>
              </w:rPr>
            </w:pPr>
            <w:r w:rsidRPr="00473856">
              <w:rPr>
                <w:rFonts w:eastAsia="SimSun" w:cs="Calibri" w:hint="eastAsia"/>
              </w:rPr>
              <w:t>公允价值</w:t>
            </w:r>
          </w:p>
        </w:tc>
      </w:tr>
      <w:tr w:rsidR="00473856" w:rsidRPr="00473856" w14:paraId="6A01E9CB" w14:textId="77777777" w:rsidTr="003A64C9">
        <w:tc>
          <w:tcPr>
            <w:tcW w:w="5264" w:type="dxa"/>
            <w:tcBorders>
              <w:top w:val="single" w:sz="4" w:space="0" w:color="auto"/>
              <w:left w:val="single" w:sz="4" w:space="0" w:color="auto"/>
              <w:bottom w:val="single" w:sz="4" w:space="0" w:color="auto"/>
              <w:right w:val="single" w:sz="4" w:space="0" w:color="auto"/>
            </w:tcBorders>
            <w:hideMark/>
          </w:tcPr>
          <w:p w14:paraId="6D94F826" w14:textId="77777777" w:rsidR="00473856" w:rsidRPr="00473856" w:rsidRDefault="00473856" w:rsidP="00473856">
            <w:pPr>
              <w:pStyle w:val="Tabletext"/>
              <w:rPr>
                <w:rFonts w:eastAsia="SimSun" w:cs="Calibri"/>
              </w:rPr>
            </w:pPr>
            <w:r w:rsidRPr="00473856">
              <w:rPr>
                <w:rFonts w:eastAsia="SimSun" w:cs="Calibri" w:hint="eastAsia"/>
              </w:rPr>
              <w:t>金融负债</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700CAD6" w14:textId="68D2EFEA" w:rsidR="00473856" w:rsidRPr="00473856" w:rsidRDefault="00473856" w:rsidP="00473856">
            <w:pPr>
              <w:overflowPunct/>
              <w:autoSpaceDE/>
              <w:autoSpaceDN/>
              <w:adjustRightInd/>
              <w:spacing w:before="0"/>
              <w:jc w:val="center"/>
              <w:textAlignment w:val="auto"/>
              <w:rPr>
                <w:rFonts w:eastAsia="SimSun" w:cs="Calibri"/>
                <w:b/>
                <w:bCs/>
                <w:sz w:val="22"/>
                <w:lang w:val="en-US" w:eastAsia="zh-CN"/>
              </w:rPr>
            </w:pPr>
            <w:r w:rsidRPr="00473856">
              <w:rPr>
                <w:rFonts w:eastAsia="SimSun" w:cs="Calibri"/>
                <w:b/>
                <w:bCs/>
                <w:sz w:val="22"/>
                <w:lang w:val="en-US" w:eastAsia="zh-CN"/>
              </w:rPr>
              <w:t>2021</w:t>
            </w:r>
            <w:r w:rsidRPr="00473856">
              <w:rPr>
                <w:rFonts w:eastAsia="SimSun" w:cs="Calibri"/>
                <w:b/>
                <w:bCs/>
                <w:sz w:val="22"/>
                <w:lang w:val="en-US" w:eastAsia="zh-CN"/>
              </w:rPr>
              <w:t>年</w:t>
            </w:r>
          </w:p>
        </w:tc>
        <w:tc>
          <w:tcPr>
            <w:tcW w:w="1032" w:type="dxa"/>
            <w:tcBorders>
              <w:top w:val="single" w:sz="4" w:space="0" w:color="auto"/>
              <w:left w:val="single" w:sz="4" w:space="0" w:color="auto"/>
              <w:bottom w:val="single" w:sz="4" w:space="0" w:color="auto"/>
              <w:right w:val="single" w:sz="4" w:space="0" w:color="auto"/>
            </w:tcBorders>
            <w:vAlign w:val="center"/>
            <w:hideMark/>
          </w:tcPr>
          <w:p w14:paraId="44721F20" w14:textId="71EBF94B" w:rsidR="00473856" w:rsidRPr="00473856" w:rsidRDefault="00473856" w:rsidP="00473856">
            <w:pPr>
              <w:overflowPunct/>
              <w:autoSpaceDE/>
              <w:autoSpaceDN/>
              <w:adjustRightInd/>
              <w:spacing w:before="0"/>
              <w:jc w:val="center"/>
              <w:textAlignment w:val="auto"/>
              <w:rPr>
                <w:rFonts w:eastAsia="SimSun" w:cs="Calibri"/>
                <w:b/>
                <w:bCs/>
                <w:sz w:val="22"/>
                <w:lang w:val="en-US" w:eastAsia="zh-CN"/>
              </w:rPr>
            </w:pPr>
            <w:r w:rsidRPr="00473856">
              <w:rPr>
                <w:rFonts w:eastAsia="SimSun" w:cs="Calibri"/>
                <w:b/>
                <w:sz w:val="22"/>
                <w:lang w:val="en-US"/>
              </w:rPr>
              <w:t>2020</w:t>
            </w:r>
            <w:r w:rsidRPr="00473856">
              <w:rPr>
                <w:rFonts w:eastAsia="SimSun" w:cs="Calibri"/>
                <w:b/>
                <w:bCs/>
                <w:sz w:val="22"/>
                <w:lang w:val="en-US" w:eastAsia="zh-CN"/>
              </w:rPr>
              <w:t>年</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920EEFB" w14:textId="7B244262" w:rsidR="00473856" w:rsidRPr="00473856" w:rsidRDefault="00473856" w:rsidP="00473856">
            <w:pPr>
              <w:overflowPunct/>
              <w:autoSpaceDE/>
              <w:autoSpaceDN/>
              <w:adjustRightInd/>
              <w:spacing w:before="0"/>
              <w:jc w:val="center"/>
              <w:textAlignment w:val="auto"/>
              <w:rPr>
                <w:rFonts w:eastAsia="SimSun" w:cs="Calibri"/>
                <w:b/>
                <w:bCs/>
                <w:sz w:val="22"/>
                <w:lang w:val="en-US" w:eastAsia="zh-CN"/>
              </w:rPr>
            </w:pPr>
            <w:r w:rsidRPr="00473856">
              <w:rPr>
                <w:rFonts w:eastAsia="SimSun" w:cs="Calibri"/>
                <w:b/>
                <w:bCs/>
                <w:sz w:val="22"/>
                <w:lang w:val="en-US" w:eastAsia="zh-CN"/>
              </w:rPr>
              <w:t>2021</w:t>
            </w:r>
            <w:r w:rsidRPr="00473856">
              <w:rPr>
                <w:rFonts w:eastAsia="SimSun" w:cs="Calibri"/>
                <w:b/>
                <w:bCs/>
                <w:sz w:val="22"/>
                <w:lang w:val="en-US" w:eastAsia="zh-CN"/>
              </w:rPr>
              <w:t>年</w:t>
            </w:r>
          </w:p>
        </w:tc>
        <w:tc>
          <w:tcPr>
            <w:tcW w:w="1151" w:type="dxa"/>
            <w:tcBorders>
              <w:top w:val="single" w:sz="4" w:space="0" w:color="auto"/>
              <w:left w:val="single" w:sz="4" w:space="0" w:color="auto"/>
              <w:bottom w:val="single" w:sz="4" w:space="0" w:color="auto"/>
              <w:right w:val="single" w:sz="4" w:space="0" w:color="auto"/>
            </w:tcBorders>
            <w:vAlign w:val="center"/>
            <w:hideMark/>
          </w:tcPr>
          <w:p w14:paraId="2F7D03A7" w14:textId="4382A8DB" w:rsidR="00473856" w:rsidRPr="00473856" w:rsidRDefault="00473856" w:rsidP="00473856">
            <w:pPr>
              <w:overflowPunct/>
              <w:autoSpaceDE/>
              <w:autoSpaceDN/>
              <w:adjustRightInd/>
              <w:spacing w:before="0"/>
              <w:jc w:val="center"/>
              <w:textAlignment w:val="auto"/>
              <w:rPr>
                <w:rFonts w:eastAsia="SimSun" w:cs="Calibri"/>
                <w:b/>
                <w:sz w:val="22"/>
                <w:lang w:val="en-US"/>
              </w:rPr>
            </w:pPr>
            <w:r w:rsidRPr="00473856">
              <w:rPr>
                <w:rFonts w:eastAsia="SimSun" w:cs="Calibri"/>
                <w:b/>
                <w:sz w:val="22"/>
                <w:lang w:val="en-US"/>
              </w:rPr>
              <w:t>2</w:t>
            </w:r>
            <w:r w:rsidRPr="00473856">
              <w:rPr>
                <w:rFonts w:eastAsia="SimSun" w:cs="Calibri"/>
                <w:b/>
                <w:bCs/>
                <w:sz w:val="22"/>
                <w:lang w:val="en-US" w:eastAsia="zh-CN"/>
              </w:rPr>
              <w:t>020</w:t>
            </w:r>
            <w:r w:rsidRPr="00473856">
              <w:rPr>
                <w:rFonts w:eastAsia="SimSun" w:cs="Calibri"/>
                <w:b/>
                <w:bCs/>
                <w:sz w:val="22"/>
                <w:lang w:val="en-US" w:eastAsia="zh-CN"/>
              </w:rPr>
              <w:t>年</w:t>
            </w:r>
          </w:p>
        </w:tc>
      </w:tr>
      <w:tr w:rsidR="00473856" w:rsidRPr="00473856" w14:paraId="51D277AD" w14:textId="77777777" w:rsidTr="003A64C9">
        <w:tc>
          <w:tcPr>
            <w:tcW w:w="5264" w:type="dxa"/>
            <w:tcBorders>
              <w:top w:val="single" w:sz="4" w:space="0" w:color="auto"/>
              <w:left w:val="single" w:sz="4" w:space="0" w:color="auto"/>
              <w:bottom w:val="single" w:sz="4" w:space="0" w:color="auto"/>
              <w:right w:val="single" w:sz="4" w:space="0" w:color="auto"/>
            </w:tcBorders>
            <w:hideMark/>
          </w:tcPr>
          <w:p w14:paraId="6672FF90" w14:textId="77777777" w:rsidR="00473856" w:rsidRPr="00473856" w:rsidRDefault="00473856" w:rsidP="00473856">
            <w:pPr>
              <w:pStyle w:val="Tabletext"/>
              <w:rPr>
                <w:rFonts w:eastAsia="SimSun" w:cs="Calibri"/>
              </w:rPr>
            </w:pPr>
            <w:r w:rsidRPr="00473856">
              <w:rPr>
                <w:rFonts w:eastAsia="SimSun" w:cs="Calibri" w:hint="eastAsia"/>
              </w:rPr>
              <w:t>借款</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4C329F3" w14:textId="4F676DEE"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47 110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E2D4C09" w14:textId="3950BE5D"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47 110</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ACAB94F" w14:textId="4D7AB21F"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sidRPr="00CE08B8">
              <w:rPr>
                <w:rFonts w:cs="Arial"/>
                <w:color w:val="000000"/>
                <w:sz w:val="22"/>
                <w:szCs w:val="22"/>
                <w:lang w:val="en-US" w:eastAsia="zh-CN"/>
              </w:rPr>
              <w:t>4</w:t>
            </w:r>
            <w:r>
              <w:rPr>
                <w:rFonts w:cs="Arial"/>
                <w:color w:val="000000"/>
                <w:sz w:val="22"/>
                <w:szCs w:val="22"/>
                <w:lang w:val="en-US" w:eastAsia="zh-CN"/>
              </w:rPr>
              <w:t>7 110</w:t>
            </w:r>
          </w:p>
        </w:tc>
        <w:tc>
          <w:tcPr>
            <w:tcW w:w="1151" w:type="dxa"/>
            <w:tcBorders>
              <w:top w:val="single" w:sz="4" w:space="0" w:color="auto"/>
              <w:left w:val="single" w:sz="4" w:space="0" w:color="auto"/>
              <w:bottom w:val="single" w:sz="4" w:space="0" w:color="auto"/>
              <w:right w:val="single" w:sz="4" w:space="0" w:color="auto"/>
            </w:tcBorders>
            <w:vAlign w:val="center"/>
            <w:hideMark/>
          </w:tcPr>
          <w:p w14:paraId="6E33BC7A" w14:textId="44ABFD99"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sidRPr="00CE08B8">
              <w:rPr>
                <w:rFonts w:cs="Arial"/>
                <w:color w:val="000000"/>
                <w:sz w:val="22"/>
                <w:szCs w:val="22"/>
                <w:lang w:val="en-US" w:eastAsia="zh-CN"/>
              </w:rPr>
              <w:t>4</w:t>
            </w:r>
            <w:r>
              <w:rPr>
                <w:rFonts w:cs="Arial"/>
                <w:color w:val="000000"/>
                <w:sz w:val="22"/>
                <w:szCs w:val="22"/>
                <w:lang w:val="en-US" w:eastAsia="zh-CN"/>
              </w:rPr>
              <w:t>7 110</w:t>
            </w:r>
          </w:p>
        </w:tc>
      </w:tr>
      <w:tr w:rsidR="00473856" w:rsidRPr="00473856" w14:paraId="2A45F3AE" w14:textId="77777777" w:rsidTr="003A64C9">
        <w:tc>
          <w:tcPr>
            <w:tcW w:w="5264" w:type="dxa"/>
            <w:tcBorders>
              <w:top w:val="single" w:sz="4" w:space="0" w:color="auto"/>
              <w:left w:val="single" w:sz="4" w:space="0" w:color="auto"/>
              <w:bottom w:val="single" w:sz="4" w:space="0" w:color="auto"/>
              <w:right w:val="single" w:sz="4" w:space="0" w:color="auto"/>
            </w:tcBorders>
            <w:hideMark/>
          </w:tcPr>
          <w:p w14:paraId="1245FC4C" w14:textId="77777777" w:rsidR="00473856" w:rsidRPr="00473856" w:rsidRDefault="00473856" w:rsidP="00473856">
            <w:pPr>
              <w:pStyle w:val="Tabletext"/>
              <w:rPr>
                <w:rFonts w:eastAsia="SimSun" w:cs="Calibri"/>
              </w:rPr>
            </w:pPr>
            <w:r w:rsidRPr="00473856">
              <w:rPr>
                <w:rFonts w:eastAsia="SimSun" w:cs="Calibri" w:hint="eastAsia"/>
              </w:rPr>
              <w:t>兑换交易应付账款</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1EC97EC" w14:textId="6C6808B3"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1 396</w:t>
            </w:r>
          </w:p>
        </w:tc>
        <w:tc>
          <w:tcPr>
            <w:tcW w:w="1032" w:type="dxa"/>
            <w:tcBorders>
              <w:top w:val="single" w:sz="4" w:space="0" w:color="auto"/>
              <w:left w:val="single" w:sz="4" w:space="0" w:color="auto"/>
              <w:bottom w:val="single" w:sz="4" w:space="0" w:color="auto"/>
              <w:right w:val="single" w:sz="4" w:space="0" w:color="auto"/>
            </w:tcBorders>
            <w:vAlign w:val="center"/>
            <w:hideMark/>
          </w:tcPr>
          <w:p w14:paraId="0C8D07F0" w14:textId="440B687A"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2 768</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9763571" w14:textId="037BCBF8"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1 396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66ECECD1" w14:textId="79B4D7FC" w:rsidR="00473856" w:rsidRPr="00473856" w:rsidRDefault="00473856" w:rsidP="00473856">
            <w:pPr>
              <w:overflowPunct/>
              <w:autoSpaceDE/>
              <w:autoSpaceDN/>
              <w:adjustRightInd/>
              <w:spacing w:before="0"/>
              <w:jc w:val="right"/>
              <w:textAlignment w:val="auto"/>
              <w:rPr>
                <w:rFonts w:eastAsia="SimSun" w:cs="Calibri"/>
                <w:color w:val="000000"/>
                <w:sz w:val="22"/>
                <w:lang w:val="en-US" w:eastAsia="zh-CN"/>
              </w:rPr>
            </w:pPr>
            <w:r>
              <w:rPr>
                <w:rFonts w:cs="Arial"/>
                <w:color w:val="000000"/>
                <w:sz w:val="22"/>
                <w:szCs w:val="22"/>
                <w:lang w:val="en-US" w:eastAsia="zh-CN"/>
              </w:rPr>
              <w:t>2 768</w:t>
            </w:r>
          </w:p>
        </w:tc>
      </w:tr>
    </w:tbl>
    <w:p w14:paraId="58A22750" w14:textId="77777777" w:rsidR="0085433F" w:rsidRPr="000C156A" w:rsidRDefault="0085433F" w:rsidP="0085433F">
      <w:pPr>
        <w:spacing w:before="240"/>
        <w:ind w:firstLineChars="200" w:firstLine="480"/>
        <w:rPr>
          <w:lang w:val="en-US" w:eastAsia="zh-CN"/>
        </w:rPr>
      </w:pPr>
      <w:r w:rsidRPr="000C156A">
        <w:rPr>
          <w:rFonts w:hint="eastAsia"/>
          <w:lang w:val="en-US" w:eastAsia="zh-CN"/>
        </w:rPr>
        <w:t>金融资产和债务的公允价值包含在各方之间愿意达成的可交换工具的当前交易金额中，而非强制销售或清算金额内。</w:t>
      </w:r>
    </w:p>
    <w:p w14:paraId="5FCAFE61" w14:textId="77777777" w:rsidR="0085433F" w:rsidRPr="000C156A" w:rsidRDefault="0085433F" w:rsidP="0085433F">
      <w:pPr>
        <w:ind w:firstLineChars="200" w:firstLine="480"/>
        <w:rPr>
          <w:lang w:val="en-US" w:eastAsia="zh-CN"/>
        </w:rPr>
      </w:pPr>
      <w:r w:rsidRPr="000C156A">
        <w:rPr>
          <w:rFonts w:hint="eastAsia"/>
          <w:lang w:val="en-US" w:eastAsia="zh-CN"/>
        </w:rPr>
        <w:t>用来估计公允价值的</w:t>
      </w:r>
      <w:r w:rsidRPr="000C156A">
        <w:rPr>
          <w:rFonts w:hint="eastAsia"/>
          <w:lang w:eastAsia="zh-CN"/>
        </w:rPr>
        <w:t>方法</w:t>
      </w:r>
      <w:r w:rsidRPr="000C156A">
        <w:rPr>
          <w:rFonts w:hint="eastAsia"/>
          <w:lang w:val="en-US" w:eastAsia="zh-CN"/>
        </w:rPr>
        <w:t>和假设如下：</w:t>
      </w:r>
    </w:p>
    <w:p w14:paraId="098DB2AC" w14:textId="77777777" w:rsidR="0085433F" w:rsidRPr="000C156A" w:rsidRDefault="0085433F" w:rsidP="0085433F">
      <w:pPr>
        <w:pStyle w:val="enumlev1"/>
        <w:rPr>
          <w:lang w:val="en-US" w:eastAsia="zh-CN"/>
        </w:rPr>
      </w:pPr>
      <w:r w:rsidRPr="000C156A">
        <w:rPr>
          <w:lang w:val="en-US" w:eastAsia="zh-CN"/>
        </w:rPr>
        <w:t>–</w:t>
      </w:r>
      <w:r w:rsidRPr="000C156A">
        <w:rPr>
          <w:lang w:val="en-US" w:eastAsia="zh-CN"/>
        </w:rPr>
        <w:tab/>
      </w:r>
      <w:r w:rsidRPr="000C156A">
        <w:rPr>
          <w:rFonts w:hint="eastAsia"/>
          <w:lang w:val="en-US" w:eastAsia="zh-CN"/>
        </w:rPr>
        <w:t>现金和现金等价物、短期存款、兑换交易的应收款项、其他应收款项、兑换交易的应付账款和其他主要因为上述投资期限短造成的接近账面金额的应付款；</w:t>
      </w:r>
    </w:p>
    <w:p w14:paraId="1C0C2563" w14:textId="77777777" w:rsidR="0085433F" w:rsidRPr="000C156A" w:rsidRDefault="0085433F" w:rsidP="0085433F">
      <w:pPr>
        <w:pStyle w:val="enumlev1"/>
        <w:rPr>
          <w:lang w:val="en-US" w:eastAsia="zh-CN"/>
        </w:rPr>
      </w:pPr>
      <w:r w:rsidRPr="000C156A">
        <w:rPr>
          <w:lang w:val="en-US" w:eastAsia="zh-CN"/>
        </w:rPr>
        <w:t>–</w:t>
      </w:r>
      <w:r w:rsidRPr="000C156A">
        <w:rPr>
          <w:lang w:val="en-US" w:eastAsia="zh-CN"/>
        </w:rPr>
        <w:tab/>
      </w:r>
      <w:r w:rsidRPr="000C156A">
        <w:rPr>
          <w:rFonts w:hint="eastAsia"/>
          <w:lang w:val="en-US" w:eastAsia="zh-CN"/>
        </w:rPr>
        <w:t>按照说明</w:t>
      </w:r>
      <w:r w:rsidRPr="000C156A">
        <w:rPr>
          <w:lang w:val="en-US" w:eastAsia="zh-CN"/>
        </w:rPr>
        <w:t>2</w:t>
      </w:r>
      <w:r w:rsidRPr="000C156A">
        <w:rPr>
          <w:rFonts w:hint="eastAsia"/>
          <w:lang w:val="en-US" w:eastAsia="zh-CN"/>
        </w:rPr>
        <w:t>计价的短期和长期应收款项；</w:t>
      </w:r>
    </w:p>
    <w:p w14:paraId="19030396" w14:textId="77777777" w:rsidR="0085433F" w:rsidRPr="000C156A" w:rsidRDefault="0085433F" w:rsidP="0085433F">
      <w:pPr>
        <w:pStyle w:val="enumlev1"/>
        <w:rPr>
          <w:b/>
          <w:bCs/>
          <w:lang w:val="en-US" w:eastAsia="zh-CN"/>
        </w:rPr>
      </w:pPr>
      <w:r w:rsidRPr="000C156A">
        <w:rPr>
          <w:lang w:val="en-US" w:eastAsia="zh-CN"/>
        </w:rPr>
        <w:t>–</w:t>
      </w:r>
      <w:r w:rsidRPr="000C156A">
        <w:rPr>
          <w:lang w:val="en-US" w:eastAsia="zh-CN"/>
        </w:rPr>
        <w:tab/>
      </w:r>
      <w:r w:rsidRPr="000C156A">
        <w:rPr>
          <w:rFonts w:hint="eastAsia"/>
          <w:lang w:val="en-US" w:eastAsia="zh-CN"/>
        </w:rPr>
        <w:t>按照说明</w:t>
      </w:r>
      <w:r w:rsidRPr="000C156A">
        <w:rPr>
          <w:lang w:val="en-US" w:eastAsia="zh-CN"/>
        </w:rPr>
        <w:t>2</w:t>
      </w:r>
      <w:r w:rsidRPr="000C156A">
        <w:rPr>
          <w:rFonts w:hint="eastAsia"/>
          <w:lang w:val="en-US" w:eastAsia="zh-CN"/>
        </w:rPr>
        <w:t>计价的借款；</w:t>
      </w:r>
    </w:p>
    <w:p w14:paraId="23AD42F2" w14:textId="77777777" w:rsidR="0085433F" w:rsidRPr="000C156A" w:rsidRDefault="0085433F" w:rsidP="0085433F">
      <w:pPr>
        <w:pStyle w:val="Headingb"/>
        <w:rPr>
          <w:lang w:val="en-US" w:eastAsia="zh-CN"/>
        </w:rPr>
      </w:pPr>
      <w:bookmarkStart w:id="561" w:name="_Toc73518681"/>
      <w:bookmarkStart w:id="562" w:name="_Toc73518828"/>
      <w:bookmarkStart w:id="563" w:name="_Toc73519228"/>
      <w:bookmarkStart w:id="564" w:name="_Toc73636267"/>
      <w:r w:rsidRPr="000C156A">
        <w:rPr>
          <w:rFonts w:hint="eastAsia"/>
          <w:lang w:val="en-US" w:eastAsia="zh-CN"/>
        </w:rPr>
        <w:t>公允价值的分层结构</w:t>
      </w:r>
      <w:bookmarkEnd w:id="561"/>
      <w:bookmarkEnd w:id="562"/>
      <w:bookmarkEnd w:id="563"/>
      <w:bookmarkEnd w:id="564"/>
    </w:p>
    <w:p w14:paraId="48EE1342" w14:textId="77777777" w:rsidR="0085433F" w:rsidRPr="000C156A" w:rsidRDefault="0085433F" w:rsidP="0085433F">
      <w:pPr>
        <w:ind w:firstLineChars="200" w:firstLine="480"/>
        <w:rPr>
          <w:lang w:val="en-US" w:eastAsia="zh-CN"/>
        </w:rPr>
      </w:pPr>
      <w:r w:rsidRPr="000C156A">
        <w:rPr>
          <w:rFonts w:hint="eastAsia"/>
          <w:lang w:val="en-US" w:eastAsia="zh-CN"/>
        </w:rPr>
        <w:t>国际电联采用以下分层结构</w:t>
      </w:r>
      <w:r w:rsidRPr="000C156A">
        <w:rPr>
          <w:rFonts w:hint="eastAsia"/>
          <w:lang w:eastAsia="zh-CN"/>
        </w:rPr>
        <w:t>决定</w:t>
      </w:r>
      <w:r w:rsidRPr="000C156A">
        <w:rPr>
          <w:rFonts w:hint="eastAsia"/>
          <w:lang w:val="en-US" w:eastAsia="zh-CN"/>
        </w:rPr>
        <w:t>并披露采用估值技巧确定的金融工具的公允价值：</w:t>
      </w:r>
    </w:p>
    <w:p w14:paraId="7065A08B" w14:textId="77777777" w:rsidR="0085433F" w:rsidRPr="000C156A" w:rsidRDefault="0085433F" w:rsidP="0085433F">
      <w:pPr>
        <w:spacing w:before="100"/>
        <w:ind w:firstLineChars="200" w:firstLine="480"/>
        <w:rPr>
          <w:lang w:val="en-US" w:eastAsia="zh-CN"/>
        </w:rPr>
      </w:pPr>
      <w:r w:rsidRPr="000C156A">
        <w:rPr>
          <w:rFonts w:hint="eastAsia"/>
          <w:lang w:val="en-US" w:eastAsia="zh-CN"/>
        </w:rPr>
        <w:t>第</w:t>
      </w:r>
      <w:r w:rsidRPr="000C156A">
        <w:rPr>
          <w:lang w:val="en-US" w:eastAsia="zh-CN"/>
        </w:rPr>
        <w:t>1</w:t>
      </w:r>
      <w:r w:rsidRPr="000C156A">
        <w:rPr>
          <w:rFonts w:hint="eastAsia"/>
          <w:lang w:val="en-US" w:eastAsia="zh-CN"/>
        </w:rPr>
        <w:t>级：相同资产和负债的实际市场报价；</w:t>
      </w:r>
    </w:p>
    <w:p w14:paraId="05CCDEF9" w14:textId="77777777" w:rsidR="0085433F" w:rsidRPr="000C156A" w:rsidRDefault="0085433F" w:rsidP="0085433F">
      <w:pPr>
        <w:spacing w:before="100"/>
        <w:ind w:firstLineChars="200" w:firstLine="480"/>
        <w:rPr>
          <w:lang w:val="en-US" w:eastAsia="zh-CN"/>
        </w:rPr>
      </w:pPr>
      <w:r w:rsidRPr="000C156A">
        <w:rPr>
          <w:rFonts w:hint="eastAsia"/>
          <w:lang w:val="en-US" w:eastAsia="zh-CN"/>
        </w:rPr>
        <w:t>第</w:t>
      </w:r>
      <w:r w:rsidRPr="000C156A">
        <w:rPr>
          <w:lang w:val="en-US" w:eastAsia="zh-CN"/>
        </w:rPr>
        <w:t>2</w:t>
      </w:r>
      <w:r w:rsidRPr="000C156A">
        <w:rPr>
          <w:rFonts w:hint="eastAsia"/>
          <w:lang w:val="en-US" w:eastAsia="zh-CN"/>
        </w:rPr>
        <w:t>级：可直接或间接从资产或负债中看到的包含在第</w:t>
      </w:r>
      <w:r w:rsidRPr="000C156A">
        <w:rPr>
          <w:lang w:val="en-US" w:eastAsia="zh-CN"/>
        </w:rPr>
        <w:t>1</w:t>
      </w:r>
      <w:r w:rsidRPr="000C156A">
        <w:rPr>
          <w:rFonts w:hint="eastAsia"/>
          <w:lang w:val="en-US" w:eastAsia="zh-CN"/>
        </w:rPr>
        <w:t>级报价以外的输入；</w:t>
      </w:r>
    </w:p>
    <w:p w14:paraId="1F92AE48" w14:textId="77777777" w:rsidR="0085433F" w:rsidRPr="000C156A" w:rsidRDefault="0085433F" w:rsidP="0085433F">
      <w:pPr>
        <w:spacing w:before="100"/>
        <w:ind w:firstLineChars="200" w:firstLine="480"/>
        <w:rPr>
          <w:lang w:val="en-US" w:eastAsia="zh-CN"/>
        </w:rPr>
      </w:pPr>
      <w:r w:rsidRPr="000C156A">
        <w:rPr>
          <w:rFonts w:hint="eastAsia"/>
          <w:lang w:val="en-US" w:eastAsia="zh-CN"/>
        </w:rPr>
        <w:t>第</w:t>
      </w:r>
      <w:r w:rsidRPr="000C156A">
        <w:rPr>
          <w:lang w:val="en-US" w:eastAsia="zh-CN"/>
        </w:rPr>
        <w:t>3</w:t>
      </w:r>
      <w:r w:rsidRPr="000C156A">
        <w:rPr>
          <w:rFonts w:hint="eastAsia"/>
          <w:lang w:val="en-US" w:eastAsia="zh-CN"/>
        </w:rPr>
        <w:t>级：使用输入的技巧，对记录的公允价值具有重大影响，不以观察到的市场数据为依据；</w:t>
      </w:r>
      <w:bookmarkEnd w:id="537"/>
      <w:bookmarkEnd w:id="538"/>
    </w:p>
    <w:p w14:paraId="5934BFFE" w14:textId="7CD4A511" w:rsidR="0085433F" w:rsidRPr="000C156A" w:rsidRDefault="0085433F" w:rsidP="0085433F">
      <w:pPr>
        <w:ind w:firstLineChars="200" w:firstLine="480"/>
        <w:rPr>
          <w:lang w:val="en-US" w:eastAsia="zh-CN"/>
        </w:rPr>
      </w:pPr>
      <w:r w:rsidRPr="000C156A">
        <w:rPr>
          <w:rFonts w:hint="eastAsia"/>
          <w:lang w:val="en-US" w:eastAsia="zh-CN"/>
        </w:rPr>
        <w:t>截至</w:t>
      </w:r>
      <w:r w:rsidRPr="000C156A">
        <w:rPr>
          <w:lang w:val="en-US" w:eastAsia="zh-CN"/>
        </w:rPr>
        <w:t>20</w:t>
      </w:r>
      <w:r w:rsidRPr="000C156A">
        <w:rPr>
          <w:rFonts w:hint="eastAsia"/>
          <w:lang w:val="en-US" w:eastAsia="zh-CN"/>
        </w:rPr>
        <w:t>2</w:t>
      </w:r>
      <w:r w:rsidR="00473856">
        <w:rPr>
          <w:lang w:val="en-US" w:eastAsia="zh-CN"/>
        </w:rPr>
        <w:t>1</w:t>
      </w:r>
      <w:r w:rsidRPr="000C156A">
        <w:rPr>
          <w:rFonts w:hint="eastAsia"/>
          <w:lang w:val="en-US" w:eastAsia="zh-CN"/>
        </w:rPr>
        <w:t>年</w:t>
      </w:r>
      <w:r w:rsidRPr="000C156A">
        <w:rPr>
          <w:lang w:val="en-US" w:eastAsia="zh-CN"/>
        </w:rPr>
        <w:t>12</w:t>
      </w:r>
      <w:r w:rsidRPr="000C156A">
        <w:rPr>
          <w:rFonts w:hint="eastAsia"/>
          <w:lang w:val="en-US" w:eastAsia="zh-CN"/>
        </w:rPr>
        <w:t>月</w:t>
      </w:r>
      <w:r w:rsidRPr="000C156A">
        <w:rPr>
          <w:lang w:val="en-US" w:eastAsia="zh-CN"/>
        </w:rPr>
        <w:t>31</w:t>
      </w:r>
      <w:r w:rsidRPr="000C156A">
        <w:rPr>
          <w:rFonts w:hint="eastAsia"/>
          <w:lang w:val="en-US" w:eastAsia="zh-CN"/>
        </w:rPr>
        <w:t>日，财务</w:t>
      </w:r>
      <w:r w:rsidRPr="000C156A">
        <w:rPr>
          <w:rFonts w:hint="eastAsia"/>
          <w:lang w:eastAsia="zh-CN"/>
        </w:rPr>
        <w:t>状况</w:t>
      </w:r>
      <w:r w:rsidRPr="000C156A">
        <w:rPr>
          <w:rFonts w:hint="eastAsia"/>
          <w:lang w:val="en-US" w:eastAsia="zh-CN"/>
        </w:rPr>
        <w:t>报表中的所有投资都是银行存款和短期银行投资，均以其公允价值计价。</w:t>
      </w:r>
    </w:p>
    <w:p w14:paraId="57B66A2F" w14:textId="77777777" w:rsidR="0085433F" w:rsidRPr="000C156A" w:rsidRDefault="0085433F" w:rsidP="0085433F">
      <w:pPr>
        <w:pStyle w:val="enumlev1"/>
        <w:rPr>
          <w:lang w:val="en-US" w:eastAsia="zh-CN"/>
        </w:rPr>
      </w:pPr>
      <w:r w:rsidRPr="000C156A">
        <w:rPr>
          <w:lang w:val="en-US" w:eastAsia="zh-CN"/>
        </w:rPr>
        <w:t>a)</w:t>
      </w:r>
      <w:r w:rsidRPr="000C156A">
        <w:rPr>
          <w:lang w:val="en-US" w:eastAsia="zh-CN"/>
        </w:rPr>
        <w:tab/>
      </w:r>
      <w:r w:rsidRPr="000C156A">
        <w:rPr>
          <w:rFonts w:hint="eastAsia"/>
          <w:lang w:val="en-US" w:eastAsia="zh-CN"/>
        </w:rPr>
        <w:t>信用风险</w:t>
      </w:r>
    </w:p>
    <w:p w14:paraId="0C147108" w14:textId="77777777" w:rsidR="0085433F" w:rsidRPr="000C156A" w:rsidRDefault="0085433F" w:rsidP="0085433F">
      <w:pPr>
        <w:pStyle w:val="enumlev1"/>
        <w:spacing w:after="120"/>
        <w:rPr>
          <w:lang w:val="en-US" w:eastAsia="zh-CN"/>
        </w:rPr>
      </w:pPr>
      <w:r w:rsidRPr="000C156A">
        <w:rPr>
          <w:lang w:val="en-US" w:eastAsia="zh-CN"/>
        </w:rPr>
        <w:lastRenderedPageBreak/>
        <w:tab/>
      </w:r>
      <w:r w:rsidRPr="000C156A">
        <w:rPr>
          <w:rFonts w:hint="eastAsia"/>
          <w:lang w:val="en-US" w:eastAsia="zh-CN"/>
        </w:rPr>
        <w:t>信用风险是当国际电联客户或金融工具合作方未履行其合同义务时对国际电联造成的财务损失风险，它主要源于投资、应收款项以及现金和现金等价物。金融资产的账面金额代表最大信用风险。截至</w:t>
      </w:r>
      <w:r w:rsidRPr="000C156A">
        <w:rPr>
          <w:lang w:val="en-US" w:eastAsia="zh-CN"/>
        </w:rPr>
        <w:t>12</w:t>
      </w:r>
      <w:r w:rsidRPr="000C156A">
        <w:rPr>
          <w:rFonts w:hint="eastAsia"/>
          <w:lang w:val="en-US" w:eastAsia="zh-CN"/>
        </w:rPr>
        <w:t>月</w:t>
      </w:r>
      <w:r w:rsidRPr="000C156A">
        <w:rPr>
          <w:lang w:val="en-US" w:eastAsia="zh-CN"/>
        </w:rPr>
        <w:t>31</w:t>
      </w:r>
      <w:r w:rsidRPr="000C156A">
        <w:rPr>
          <w:rFonts w:hint="eastAsia"/>
          <w:lang w:val="en-US" w:eastAsia="zh-CN"/>
        </w:rPr>
        <w:t>日的最大信用风险包括：</w:t>
      </w:r>
    </w:p>
    <w:tbl>
      <w:tblPr>
        <w:tblStyle w:val="TableGrid"/>
        <w:tblW w:w="0" w:type="auto"/>
        <w:jc w:val="center"/>
        <w:tblLook w:val="04A0" w:firstRow="1" w:lastRow="0" w:firstColumn="1" w:lastColumn="0" w:noHBand="0" w:noVBand="1"/>
      </w:tblPr>
      <w:tblGrid>
        <w:gridCol w:w="4287"/>
        <w:gridCol w:w="2197"/>
        <w:gridCol w:w="2299"/>
      </w:tblGrid>
      <w:tr w:rsidR="0085433F" w:rsidRPr="00C41C94" w14:paraId="73760C8C" w14:textId="77777777" w:rsidTr="003A64C9">
        <w:trPr>
          <w:jc w:val="center"/>
        </w:trPr>
        <w:tc>
          <w:tcPr>
            <w:tcW w:w="4287" w:type="dxa"/>
            <w:tcBorders>
              <w:top w:val="single" w:sz="4" w:space="0" w:color="auto"/>
              <w:left w:val="single" w:sz="4" w:space="0" w:color="auto"/>
              <w:bottom w:val="single" w:sz="4" w:space="0" w:color="auto"/>
              <w:right w:val="single" w:sz="4" w:space="0" w:color="auto"/>
            </w:tcBorders>
            <w:hideMark/>
          </w:tcPr>
          <w:p w14:paraId="0740FF39" w14:textId="77777777" w:rsidR="0085433F" w:rsidRPr="00C41C94" w:rsidRDefault="0085433F" w:rsidP="003A64C9">
            <w:pPr>
              <w:pStyle w:val="Tablehead"/>
              <w:rPr>
                <w:rFonts w:eastAsia="SimSun" w:cs="Calibri"/>
                <w:lang w:val="en-US" w:eastAsia="zh-CN"/>
              </w:rPr>
            </w:pPr>
            <w:r w:rsidRPr="00C41C94">
              <w:rPr>
                <w:rFonts w:eastAsia="SimSun" w:cs="Calibri" w:hint="eastAsia"/>
                <w:lang w:val="en-US" w:eastAsia="zh-CN"/>
              </w:rPr>
              <w:t>单位：千瑞郎</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38BF3D7" w14:textId="0FCD2AF8" w:rsidR="0085433F" w:rsidRPr="00C41C94" w:rsidRDefault="0085433F" w:rsidP="003A64C9">
            <w:pPr>
              <w:pStyle w:val="Tablehead"/>
              <w:jc w:val="right"/>
              <w:rPr>
                <w:rFonts w:eastAsia="SimSun" w:cs="Calibri"/>
                <w:lang w:val="en-US" w:eastAsia="zh-CN"/>
              </w:rPr>
            </w:pPr>
            <w:r w:rsidRPr="00C41C94">
              <w:rPr>
                <w:rFonts w:eastAsia="SimSun" w:cs="Calibri"/>
                <w:lang w:val="en-US" w:eastAsia="zh-CN"/>
              </w:rPr>
              <w:t>20</w:t>
            </w:r>
            <w:r w:rsidRPr="00C41C94">
              <w:rPr>
                <w:rFonts w:eastAsia="SimSun" w:cs="Calibri" w:hint="eastAsia"/>
                <w:lang w:val="en-US" w:eastAsia="zh-CN"/>
              </w:rPr>
              <w:t>2</w:t>
            </w:r>
            <w:r w:rsidR="00C41C94">
              <w:rPr>
                <w:rFonts w:eastAsia="SimSun" w:cs="Calibri"/>
                <w:lang w:val="en-US" w:eastAsia="zh-CN"/>
              </w:rPr>
              <w:t>1</w:t>
            </w:r>
            <w:r w:rsidRPr="00C41C94">
              <w:rPr>
                <w:rFonts w:eastAsia="SimSun" w:cs="Calibri" w:hint="eastAsia"/>
                <w:lang w:val="en-US" w:eastAsia="zh-CN"/>
              </w:rPr>
              <w:t>年</w:t>
            </w:r>
            <w:r w:rsidRPr="00C41C94">
              <w:rPr>
                <w:rFonts w:eastAsia="SimSun" w:cs="Calibri"/>
                <w:lang w:val="en-US" w:eastAsia="zh-CN"/>
              </w:rPr>
              <w:t>12</w:t>
            </w:r>
            <w:r w:rsidRPr="00C41C94">
              <w:rPr>
                <w:rFonts w:eastAsia="SimSun" w:cs="Calibri" w:hint="eastAsia"/>
                <w:lang w:val="en-US" w:eastAsia="zh-CN"/>
              </w:rPr>
              <w:t>月</w:t>
            </w:r>
            <w:r w:rsidRPr="00C41C94">
              <w:rPr>
                <w:rFonts w:eastAsia="SimSun" w:cs="Calibri"/>
                <w:lang w:val="en-US" w:eastAsia="zh-CN"/>
              </w:rPr>
              <w:t>31</w:t>
            </w:r>
            <w:r w:rsidRPr="00C41C94">
              <w:rPr>
                <w:rFonts w:eastAsia="SimSun" w:cs="Calibri" w:hint="eastAsia"/>
                <w:lang w:val="en-US" w:eastAsia="zh-CN"/>
              </w:rPr>
              <w:t>日</w:t>
            </w:r>
          </w:p>
        </w:tc>
        <w:tc>
          <w:tcPr>
            <w:tcW w:w="2299" w:type="dxa"/>
            <w:tcBorders>
              <w:top w:val="single" w:sz="4" w:space="0" w:color="auto"/>
              <w:left w:val="single" w:sz="4" w:space="0" w:color="auto"/>
              <w:bottom w:val="single" w:sz="4" w:space="0" w:color="auto"/>
              <w:right w:val="single" w:sz="4" w:space="0" w:color="auto"/>
            </w:tcBorders>
            <w:vAlign w:val="center"/>
            <w:hideMark/>
          </w:tcPr>
          <w:p w14:paraId="0B16598C" w14:textId="65BA7F5E" w:rsidR="0085433F" w:rsidRPr="00C41C94" w:rsidRDefault="0085433F" w:rsidP="003A64C9">
            <w:pPr>
              <w:pStyle w:val="Tablehead"/>
              <w:jc w:val="right"/>
              <w:rPr>
                <w:rFonts w:eastAsia="SimSun" w:cs="Calibri"/>
                <w:lang w:val="en-US" w:eastAsia="zh-CN"/>
              </w:rPr>
            </w:pPr>
            <w:r w:rsidRPr="00C41C94">
              <w:rPr>
                <w:rFonts w:eastAsia="SimSun" w:cs="Calibri"/>
                <w:lang w:val="en-US" w:eastAsia="zh-CN"/>
              </w:rPr>
              <w:t>20</w:t>
            </w:r>
            <w:r w:rsidR="00C41C94">
              <w:rPr>
                <w:rFonts w:eastAsia="SimSun" w:cs="Calibri"/>
                <w:lang w:val="en-US" w:eastAsia="zh-CN"/>
              </w:rPr>
              <w:t>20</w:t>
            </w:r>
            <w:r w:rsidRPr="00C41C94">
              <w:rPr>
                <w:rFonts w:eastAsia="SimSun" w:cs="Calibri" w:hint="eastAsia"/>
                <w:lang w:val="en-US" w:eastAsia="zh-CN"/>
              </w:rPr>
              <w:t>年</w:t>
            </w:r>
            <w:r w:rsidRPr="00C41C94">
              <w:rPr>
                <w:rFonts w:eastAsia="SimSun" w:cs="Calibri"/>
                <w:lang w:val="en-US" w:eastAsia="zh-CN"/>
              </w:rPr>
              <w:t>12</w:t>
            </w:r>
            <w:r w:rsidRPr="00C41C94">
              <w:rPr>
                <w:rFonts w:eastAsia="SimSun" w:cs="Calibri" w:hint="eastAsia"/>
                <w:lang w:val="en-US" w:eastAsia="zh-CN"/>
              </w:rPr>
              <w:t>月</w:t>
            </w:r>
            <w:r w:rsidRPr="00C41C94">
              <w:rPr>
                <w:rFonts w:eastAsia="SimSun" w:cs="Calibri"/>
                <w:lang w:val="en-US" w:eastAsia="zh-CN"/>
              </w:rPr>
              <w:t>31</w:t>
            </w:r>
            <w:r w:rsidRPr="00C41C94">
              <w:rPr>
                <w:rFonts w:eastAsia="SimSun" w:cs="Calibri" w:hint="eastAsia"/>
                <w:lang w:val="en-US" w:eastAsia="zh-CN"/>
              </w:rPr>
              <w:t>日</w:t>
            </w:r>
          </w:p>
        </w:tc>
      </w:tr>
      <w:tr w:rsidR="00C41C94" w:rsidRPr="00C41C94" w14:paraId="22528630" w14:textId="77777777" w:rsidTr="003A64C9">
        <w:trPr>
          <w:jc w:val="center"/>
        </w:trPr>
        <w:tc>
          <w:tcPr>
            <w:tcW w:w="4287" w:type="dxa"/>
            <w:tcBorders>
              <w:top w:val="single" w:sz="4" w:space="0" w:color="auto"/>
              <w:left w:val="single" w:sz="4" w:space="0" w:color="auto"/>
              <w:bottom w:val="single" w:sz="4" w:space="0" w:color="auto"/>
              <w:right w:val="single" w:sz="4" w:space="0" w:color="auto"/>
            </w:tcBorders>
            <w:hideMark/>
          </w:tcPr>
          <w:p w14:paraId="12CC5C03" w14:textId="77777777" w:rsidR="00C41C94" w:rsidRPr="00C41C94" w:rsidRDefault="00C41C94" w:rsidP="00C41C94">
            <w:pPr>
              <w:pStyle w:val="Tabletext"/>
              <w:keepNext/>
              <w:keepLines/>
              <w:spacing w:before="20" w:after="20"/>
              <w:rPr>
                <w:rFonts w:eastAsia="SimSun" w:cs="Calibri"/>
              </w:rPr>
            </w:pPr>
            <w:r w:rsidRPr="00C41C94">
              <w:rPr>
                <w:rFonts w:eastAsia="SimSun" w:cs="Calibri" w:hint="eastAsia"/>
              </w:rPr>
              <w:t>投资</w:t>
            </w:r>
          </w:p>
        </w:tc>
        <w:tc>
          <w:tcPr>
            <w:tcW w:w="2197" w:type="dxa"/>
            <w:tcBorders>
              <w:top w:val="single" w:sz="4" w:space="0" w:color="auto"/>
              <w:left w:val="single" w:sz="4" w:space="0" w:color="auto"/>
              <w:bottom w:val="single" w:sz="4" w:space="0" w:color="auto"/>
              <w:right w:val="single" w:sz="4" w:space="0" w:color="auto"/>
            </w:tcBorders>
            <w:hideMark/>
          </w:tcPr>
          <w:p w14:paraId="44F28A06" w14:textId="3FB533EA" w:rsidR="00C41C94" w:rsidRPr="00C41C94" w:rsidRDefault="00C41C94" w:rsidP="00C41C94">
            <w:pPr>
              <w:pStyle w:val="enumlev1"/>
              <w:keepNext/>
              <w:keepLines/>
              <w:ind w:left="0" w:firstLine="0"/>
              <w:jc w:val="right"/>
              <w:rPr>
                <w:rFonts w:eastAsia="SimSun" w:cs="Calibri"/>
                <w:sz w:val="22"/>
                <w:lang w:val="en-US"/>
              </w:rPr>
            </w:pPr>
            <w:r>
              <w:rPr>
                <w:sz w:val="22"/>
                <w:lang w:val="en-US"/>
              </w:rPr>
              <w:t>95 033</w:t>
            </w:r>
          </w:p>
        </w:tc>
        <w:tc>
          <w:tcPr>
            <w:tcW w:w="2299" w:type="dxa"/>
            <w:tcBorders>
              <w:top w:val="single" w:sz="4" w:space="0" w:color="auto"/>
              <w:left w:val="single" w:sz="4" w:space="0" w:color="auto"/>
              <w:bottom w:val="single" w:sz="4" w:space="0" w:color="auto"/>
              <w:right w:val="single" w:sz="4" w:space="0" w:color="auto"/>
            </w:tcBorders>
            <w:hideMark/>
          </w:tcPr>
          <w:p w14:paraId="27A5E518" w14:textId="70C788CE" w:rsidR="00C41C94" w:rsidRPr="00C41C94" w:rsidRDefault="00C41C94" w:rsidP="00C41C94">
            <w:pPr>
              <w:pStyle w:val="enumlev1"/>
              <w:keepNext/>
              <w:keepLines/>
              <w:ind w:left="0" w:firstLine="0"/>
              <w:jc w:val="right"/>
              <w:rPr>
                <w:rFonts w:eastAsia="SimSun" w:cs="Calibri"/>
                <w:sz w:val="22"/>
                <w:lang w:val="en-US"/>
              </w:rPr>
            </w:pPr>
            <w:r>
              <w:rPr>
                <w:sz w:val="22"/>
                <w:lang w:val="en-US"/>
              </w:rPr>
              <w:t>95 516</w:t>
            </w:r>
          </w:p>
        </w:tc>
      </w:tr>
      <w:tr w:rsidR="00C41C94" w:rsidRPr="00C41C94" w14:paraId="60B096CC" w14:textId="77777777" w:rsidTr="003A64C9">
        <w:trPr>
          <w:jc w:val="center"/>
        </w:trPr>
        <w:tc>
          <w:tcPr>
            <w:tcW w:w="4287" w:type="dxa"/>
            <w:tcBorders>
              <w:top w:val="single" w:sz="4" w:space="0" w:color="auto"/>
              <w:left w:val="single" w:sz="4" w:space="0" w:color="auto"/>
              <w:bottom w:val="single" w:sz="4" w:space="0" w:color="auto"/>
              <w:right w:val="single" w:sz="4" w:space="0" w:color="auto"/>
            </w:tcBorders>
            <w:hideMark/>
          </w:tcPr>
          <w:p w14:paraId="52F2A951" w14:textId="77777777" w:rsidR="00C41C94" w:rsidRPr="00C41C94" w:rsidRDefault="00C41C94" w:rsidP="00C41C94">
            <w:pPr>
              <w:pStyle w:val="Tabletext"/>
              <w:spacing w:before="20" w:after="20"/>
              <w:rPr>
                <w:rFonts w:eastAsia="SimSun" w:cs="Calibri"/>
              </w:rPr>
            </w:pPr>
            <w:r w:rsidRPr="00C41C94">
              <w:rPr>
                <w:rFonts w:eastAsia="SimSun" w:cs="Calibri" w:hint="eastAsia"/>
              </w:rPr>
              <w:t>应收款项</w:t>
            </w:r>
          </w:p>
        </w:tc>
        <w:tc>
          <w:tcPr>
            <w:tcW w:w="2197" w:type="dxa"/>
            <w:tcBorders>
              <w:top w:val="single" w:sz="4" w:space="0" w:color="auto"/>
              <w:left w:val="single" w:sz="4" w:space="0" w:color="auto"/>
              <w:bottom w:val="single" w:sz="4" w:space="0" w:color="auto"/>
              <w:right w:val="single" w:sz="4" w:space="0" w:color="auto"/>
            </w:tcBorders>
            <w:hideMark/>
          </w:tcPr>
          <w:p w14:paraId="42566603" w14:textId="4DAC2486" w:rsidR="00C41C94" w:rsidRPr="00C41C94" w:rsidRDefault="00C41C94" w:rsidP="00C41C94">
            <w:pPr>
              <w:pStyle w:val="enumlev1"/>
              <w:ind w:left="0" w:firstLine="0"/>
              <w:jc w:val="right"/>
              <w:rPr>
                <w:rFonts w:eastAsia="SimSun" w:cs="Calibri"/>
                <w:sz w:val="22"/>
                <w:lang w:val="en-US"/>
              </w:rPr>
            </w:pPr>
            <w:r>
              <w:rPr>
                <w:sz w:val="22"/>
                <w:lang w:val="en-US"/>
              </w:rPr>
              <w:t>95 038</w:t>
            </w:r>
          </w:p>
        </w:tc>
        <w:tc>
          <w:tcPr>
            <w:tcW w:w="2299" w:type="dxa"/>
            <w:tcBorders>
              <w:top w:val="single" w:sz="4" w:space="0" w:color="auto"/>
              <w:left w:val="single" w:sz="4" w:space="0" w:color="auto"/>
              <w:bottom w:val="single" w:sz="4" w:space="0" w:color="auto"/>
              <w:right w:val="single" w:sz="4" w:space="0" w:color="auto"/>
            </w:tcBorders>
            <w:hideMark/>
          </w:tcPr>
          <w:p w14:paraId="079455EA" w14:textId="4A6EFFBC" w:rsidR="00C41C94" w:rsidRPr="00C41C94" w:rsidRDefault="00C41C94" w:rsidP="00C41C94">
            <w:pPr>
              <w:pStyle w:val="enumlev1"/>
              <w:ind w:left="0" w:firstLine="0"/>
              <w:jc w:val="right"/>
              <w:rPr>
                <w:rFonts w:eastAsia="SimSun" w:cs="Calibri"/>
                <w:sz w:val="22"/>
                <w:lang w:val="en-US"/>
              </w:rPr>
            </w:pPr>
            <w:r>
              <w:rPr>
                <w:sz w:val="22"/>
                <w:lang w:val="en-US"/>
              </w:rPr>
              <w:t>107 226</w:t>
            </w:r>
          </w:p>
        </w:tc>
      </w:tr>
      <w:tr w:rsidR="00C41C94" w:rsidRPr="00C41C94" w14:paraId="1D7E487B" w14:textId="77777777" w:rsidTr="003A64C9">
        <w:trPr>
          <w:jc w:val="center"/>
        </w:trPr>
        <w:tc>
          <w:tcPr>
            <w:tcW w:w="4287" w:type="dxa"/>
            <w:tcBorders>
              <w:top w:val="single" w:sz="4" w:space="0" w:color="auto"/>
              <w:left w:val="single" w:sz="4" w:space="0" w:color="auto"/>
              <w:bottom w:val="single" w:sz="4" w:space="0" w:color="auto"/>
              <w:right w:val="single" w:sz="4" w:space="0" w:color="auto"/>
            </w:tcBorders>
            <w:hideMark/>
          </w:tcPr>
          <w:p w14:paraId="7195F110" w14:textId="77777777" w:rsidR="00C41C94" w:rsidRPr="00C41C94" w:rsidRDefault="00C41C94" w:rsidP="00C41C94">
            <w:pPr>
              <w:pStyle w:val="Tabletext"/>
              <w:spacing w:before="20" w:after="20"/>
              <w:rPr>
                <w:rFonts w:eastAsia="SimSun" w:cs="Calibri"/>
              </w:rPr>
            </w:pPr>
            <w:r w:rsidRPr="00C41C94">
              <w:rPr>
                <w:rFonts w:eastAsia="SimSun" w:cs="Calibri" w:hint="eastAsia"/>
              </w:rPr>
              <w:t>现金和现金等价物</w:t>
            </w:r>
          </w:p>
        </w:tc>
        <w:tc>
          <w:tcPr>
            <w:tcW w:w="2197" w:type="dxa"/>
            <w:tcBorders>
              <w:top w:val="single" w:sz="4" w:space="0" w:color="auto"/>
              <w:left w:val="single" w:sz="4" w:space="0" w:color="auto"/>
              <w:bottom w:val="single" w:sz="4" w:space="0" w:color="auto"/>
              <w:right w:val="single" w:sz="4" w:space="0" w:color="auto"/>
            </w:tcBorders>
            <w:hideMark/>
          </w:tcPr>
          <w:p w14:paraId="204DF4AA" w14:textId="3551C95C" w:rsidR="00C41C94" w:rsidRPr="00C41C94" w:rsidRDefault="00C41C94" w:rsidP="00C41C94">
            <w:pPr>
              <w:pStyle w:val="enumlev1"/>
              <w:ind w:left="0" w:firstLine="0"/>
              <w:jc w:val="right"/>
              <w:rPr>
                <w:rFonts w:eastAsia="SimSun" w:cs="Calibri"/>
                <w:sz w:val="22"/>
                <w:lang w:val="en-US"/>
              </w:rPr>
            </w:pPr>
            <w:r>
              <w:rPr>
                <w:sz w:val="22"/>
                <w:lang w:val="en-US"/>
              </w:rPr>
              <w:t>130 392</w:t>
            </w:r>
          </w:p>
        </w:tc>
        <w:tc>
          <w:tcPr>
            <w:tcW w:w="2299" w:type="dxa"/>
            <w:tcBorders>
              <w:top w:val="single" w:sz="4" w:space="0" w:color="auto"/>
              <w:left w:val="single" w:sz="4" w:space="0" w:color="auto"/>
              <w:bottom w:val="single" w:sz="4" w:space="0" w:color="auto"/>
              <w:right w:val="single" w:sz="4" w:space="0" w:color="auto"/>
            </w:tcBorders>
            <w:hideMark/>
          </w:tcPr>
          <w:p w14:paraId="69AFEF5A" w14:textId="1D8F0425" w:rsidR="00C41C94" w:rsidRPr="00C41C94" w:rsidRDefault="00C41C94" w:rsidP="00C41C94">
            <w:pPr>
              <w:pStyle w:val="enumlev1"/>
              <w:ind w:left="0" w:firstLine="0"/>
              <w:jc w:val="right"/>
              <w:rPr>
                <w:rFonts w:eastAsia="SimSun" w:cs="Calibri"/>
                <w:sz w:val="22"/>
                <w:lang w:val="en-US"/>
              </w:rPr>
            </w:pPr>
            <w:r>
              <w:rPr>
                <w:sz w:val="22"/>
                <w:lang w:val="en-US"/>
              </w:rPr>
              <w:t>99 406</w:t>
            </w:r>
          </w:p>
        </w:tc>
      </w:tr>
      <w:tr w:rsidR="00C41C94" w:rsidRPr="00C41C94" w14:paraId="7625C9F0" w14:textId="77777777" w:rsidTr="003A64C9">
        <w:trPr>
          <w:jc w:val="center"/>
        </w:trPr>
        <w:tc>
          <w:tcPr>
            <w:tcW w:w="4287" w:type="dxa"/>
            <w:tcBorders>
              <w:top w:val="single" w:sz="4" w:space="0" w:color="auto"/>
              <w:left w:val="single" w:sz="4" w:space="0" w:color="auto"/>
              <w:bottom w:val="single" w:sz="4" w:space="0" w:color="auto"/>
              <w:right w:val="single" w:sz="4" w:space="0" w:color="auto"/>
            </w:tcBorders>
            <w:hideMark/>
          </w:tcPr>
          <w:p w14:paraId="10AF6908" w14:textId="77777777" w:rsidR="00C41C94" w:rsidRPr="00C41C94" w:rsidRDefault="00C41C94" w:rsidP="00C41C94">
            <w:pPr>
              <w:pStyle w:val="Tabletext"/>
              <w:spacing w:before="20" w:after="20"/>
              <w:rPr>
                <w:rFonts w:eastAsia="SimSun" w:cs="Calibri"/>
              </w:rPr>
            </w:pPr>
            <w:r w:rsidRPr="00C41C94">
              <w:rPr>
                <w:rFonts w:eastAsia="SimSun" w:cs="Calibri" w:hint="eastAsia"/>
              </w:rPr>
              <w:t>最大信用风险</w:t>
            </w:r>
          </w:p>
        </w:tc>
        <w:tc>
          <w:tcPr>
            <w:tcW w:w="2197" w:type="dxa"/>
            <w:tcBorders>
              <w:top w:val="single" w:sz="4" w:space="0" w:color="auto"/>
              <w:left w:val="single" w:sz="4" w:space="0" w:color="auto"/>
              <w:bottom w:val="single" w:sz="4" w:space="0" w:color="auto"/>
              <w:right w:val="single" w:sz="4" w:space="0" w:color="auto"/>
            </w:tcBorders>
            <w:hideMark/>
          </w:tcPr>
          <w:p w14:paraId="345D2349" w14:textId="6DCF8CB4" w:rsidR="00C41C94" w:rsidRPr="00C41C94" w:rsidRDefault="00C41C94" w:rsidP="00C41C94">
            <w:pPr>
              <w:pStyle w:val="enumlev1"/>
              <w:ind w:left="0" w:firstLine="0"/>
              <w:jc w:val="right"/>
              <w:rPr>
                <w:rFonts w:eastAsia="SimSun" w:cs="Calibri"/>
                <w:sz w:val="22"/>
                <w:lang w:val="en-US"/>
              </w:rPr>
            </w:pPr>
            <w:r>
              <w:rPr>
                <w:sz w:val="22"/>
                <w:lang w:val="en-US"/>
              </w:rPr>
              <w:t>320 463</w:t>
            </w:r>
          </w:p>
        </w:tc>
        <w:tc>
          <w:tcPr>
            <w:tcW w:w="2299" w:type="dxa"/>
            <w:tcBorders>
              <w:top w:val="single" w:sz="4" w:space="0" w:color="auto"/>
              <w:left w:val="single" w:sz="4" w:space="0" w:color="auto"/>
              <w:bottom w:val="single" w:sz="4" w:space="0" w:color="auto"/>
              <w:right w:val="single" w:sz="4" w:space="0" w:color="auto"/>
            </w:tcBorders>
            <w:hideMark/>
          </w:tcPr>
          <w:p w14:paraId="741F7704" w14:textId="4C5AAC46" w:rsidR="00C41C94" w:rsidRPr="00C41C94" w:rsidRDefault="00C41C94" w:rsidP="00C41C94">
            <w:pPr>
              <w:pStyle w:val="enumlev1"/>
              <w:ind w:left="0" w:firstLine="0"/>
              <w:jc w:val="right"/>
              <w:rPr>
                <w:rFonts w:eastAsia="SimSun" w:cs="Calibri"/>
                <w:sz w:val="22"/>
                <w:lang w:val="en-US"/>
              </w:rPr>
            </w:pPr>
            <w:r>
              <w:rPr>
                <w:sz w:val="22"/>
                <w:lang w:val="en-US"/>
              </w:rPr>
              <w:t>302 148</w:t>
            </w:r>
          </w:p>
        </w:tc>
      </w:tr>
    </w:tbl>
    <w:p w14:paraId="22C0F533" w14:textId="77777777" w:rsidR="0085433F" w:rsidRPr="000C156A" w:rsidRDefault="0085433F" w:rsidP="0085433F">
      <w:pPr>
        <w:pStyle w:val="enumlev1"/>
        <w:spacing w:before="120"/>
        <w:rPr>
          <w:lang w:val="en-US" w:eastAsia="zh-CN"/>
        </w:rPr>
      </w:pPr>
      <w:r w:rsidRPr="000C156A">
        <w:rPr>
          <w:lang w:val="en-US"/>
        </w:rPr>
        <w:t>b)</w:t>
      </w:r>
      <w:r w:rsidRPr="000C156A">
        <w:rPr>
          <w:lang w:val="en-US"/>
        </w:rPr>
        <w:tab/>
      </w:r>
      <w:r w:rsidRPr="000C156A">
        <w:rPr>
          <w:rFonts w:hint="eastAsia"/>
          <w:lang w:val="en-US" w:eastAsia="zh-CN"/>
        </w:rPr>
        <w:t>信用质量</w:t>
      </w:r>
    </w:p>
    <w:p w14:paraId="5F8B667D" w14:textId="77777777" w:rsidR="0085433F" w:rsidRPr="000C156A" w:rsidRDefault="0085433F" w:rsidP="0085433F">
      <w:pPr>
        <w:pStyle w:val="enumlev1"/>
        <w:rPr>
          <w:lang w:val="en-US" w:eastAsia="zh-CN"/>
        </w:rPr>
      </w:pPr>
      <w:r w:rsidRPr="000C156A">
        <w:rPr>
          <w:lang w:val="en-US" w:eastAsia="zh-CN"/>
        </w:rPr>
        <w:tab/>
      </w:r>
      <w:r w:rsidRPr="000C156A">
        <w:rPr>
          <w:rFonts w:hint="eastAsia"/>
          <w:lang w:val="en-US" w:eastAsia="zh-CN"/>
        </w:rPr>
        <w:t>信用质量指国际电联信用延伸到的和所投资的各方被评定的违约风险。</w:t>
      </w:r>
    </w:p>
    <w:p w14:paraId="01E7B5C3" w14:textId="77777777" w:rsidR="0085433F" w:rsidRPr="000C156A" w:rsidRDefault="0085433F" w:rsidP="0085433F">
      <w:pPr>
        <w:pStyle w:val="enumlev1"/>
        <w:rPr>
          <w:lang w:val="en-US" w:eastAsia="zh-CN"/>
        </w:rPr>
      </w:pPr>
      <w:r w:rsidRPr="000C156A">
        <w:rPr>
          <w:lang w:val="en-US" w:eastAsia="zh-CN"/>
        </w:rPr>
        <w:tab/>
      </w:r>
      <w:r w:rsidRPr="000C156A">
        <w:rPr>
          <w:rFonts w:hint="eastAsia"/>
          <w:lang w:eastAsia="zh-CN"/>
        </w:rPr>
        <w:t>发送季度报表和暂停对国际电联工作的参与等措施的采用旨在确保成员国、部门成员和部门准成员付清欠款。此外，为鼓励成员国及时付清欠款，对其采取了丧失表决权的措施。</w:t>
      </w:r>
    </w:p>
    <w:p w14:paraId="31349FFB" w14:textId="77777777" w:rsidR="0085433F" w:rsidRPr="000C156A" w:rsidRDefault="0085433F" w:rsidP="0085433F">
      <w:pPr>
        <w:pStyle w:val="enumlev1"/>
        <w:rPr>
          <w:lang w:val="en-US" w:eastAsia="zh-CN"/>
        </w:rPr>
      </w:pPr>
      <w:r w:rsidRPr="000C156A">
        <w:rPr>
          <w:lang w:val="en-US" w:eastAsia="zh-CN"/>
        </w:rPr>
        <w:tab/>
      </w:r>
      <w:r w:rsidRPr="000C156A">
        <w:rPr>
          <w:rFonts w:hint="eastAsia"/>
          <w:lang w:val="en-US" w:eastAsia="zh-CN"/>
        </w:rPr>
        <w:t>国际电联通过将现金和现金等价物以及投资分散在若干信用评级较高的金融机构缓解信用风险。根据《财务规则和财务细则》第</w:t>
      </w:r>
      <w:r w:rsidRPr="000C156A">
        <w:rPr>
          <w:lang w:val="en-US" w:eastAsia="zh-CN"/>
        </w:rPr>
        <w:t>16</w:t>
      </w:r>
      <w:r w:rsidRPr="000C156A">
        <w:rPr>
          <w:rFonts w:hint="eastAsia"/>
          <w:lang w:val="en-US" w:eastAsia="zh-CN"/>
        </w:rPr>
        <w:t>条，由</w:t>
      </w:r>
      <w:r w:rsidRPr="000C156A">
        <w:rPr>
          <w:rFonts w:hint="eastAsia"/>
          <w:lang w:eastAsia="zh-CN"/>
        </w:rPr>
        <w:t>秘书长选择国际电联存放资金的银行或其它机构。为此，秘书长须确保所做投资首先侧重最大限度地降低本金的风险，同时为满足国际电联对现金流的需求，保障资金的流动性。国际电联不在信用评级低于</w:t>
      </w:r>
      <w:r w:rsidRPr="000C156A">
        <w:rPr>
          <w:lang w:val="en-US" w:eastAsia="zh-CN"/>
        </w:rPr>
        <w:t>A3</w:t>
      </w:r>
      <w:r w:rsidRPr="000C156A">
        <w:rPr>
          <w:rFonts w:hint="eastAsia"/>
          <w:lang w:val="en-US" w:eastAsia="zh-CN"/>
        </w:rPr>
        <w:t>的银行存放资金。</w:t>
      </w:r>
    </w:p>
    <w:p w14:paraId="4AEA251F" w14:textId="77777777" w:rsidR="0085433F" w:rsidRPr="000C156A" w:rsidRDefault="0085433F" w:rsidP="0085433F">
      <w:pPr>
        <w:pStyle w:val="enumlev1"/>
        <w:rPr>
          <w:lang w:val="en-US" w:eastAsia="zh-CN"/>
        </w:rPr>
      </w:pPr>
      <w:r w:rsidRPr="000C156A">
        <w:rPr>
          <w:lang w:val="en-US" w:eastAsia="zh-CN"/>
        </w:rPr>
        <w:tab/>
      </w:r>
      <w:r w:rsidRPr="000C156A">
        <w:rPr>
          <w:rFonts w:hint="eastAsia"/>
          <w:lang w:eastAsia="zh-CN"/>
        </w:rPr>
        <w:t>除这些标准外，所进行的投资须实现合理的最高回报率，并符合联合国的相关原则。</w:t>
      </w:r>
    </w:p>
    <w:p w14:paraId="139EE4F1" w14:textId="77777777" w:rsidR="0085433F" w:rsidRPr="000C156A" w:rsidRDefault="0085433F" w:rsidP="0085433F">
      <w:pPr>
        <w:pStyle w:val="enumlev1"/>
        <w:rPr>
          <w:lang w:val="en-US" w:eastAsia="zh-CN"/>
        </w:rPr>
      </w:pPr>
      <w:r w:rsidRPr="000C156A">
        <w:rPr>
          <w:lang w:val="en-US" w:eastAsia="zh-CN"/>
        </w:rPr>
        <w:tab/>
      </w:r>
      <w:r w:rsidRPr="000C156A">
        <w:rPr>
          <w:rFonts w:hint="eastAsia"/>
          <w:lang w:eastAsia="zh-CN"/>
        </w:rPr>
        <w:t>秘书长须指定保管国际电联资金的银行，设立国际电联所需的所有银行账户，并指定相应官员，授予其操作这些账户的签字权。秘书长还须授权进行所有银行账户的结帐。</w:t>
      </w:r>
    </w:p>
    <w:p w14:paraId="51C19A63" w14:textId="77777777" w:rsidR="0085433F" w:rsidRPr="000C156A" w:rsidRDefault="0085433F" w:rsidP="00B238EB">
      <w:pPr>
        <w:pStyle w:val="enumlev1"/>
        <w:keepNext/>
        <w:rPr>
          <w:lang w:val="en-US" w:eastAsia="zh-CN"/>
        </w:rPr>
      </w:pPr>
      <w:r w:rsidRPr="000C156A">
        <w:rPr>
          <w:lang w:val="en-US" w:eastAsia="zh-CN"/>
        </w:rPr>
        <w:t>c)</w:t>
      </w:r>
      <w:r w:rsidRPr="000C156A">
        <w:rPr>
          <w:lang w:val="en-US" w:eastAsia="zh-CN"/>
        </w:rPr>
        <w:tab/>
      </w:r>
      <w:r w:rsidRPr="000C156A">
        <w:rPr>
          <w:rFonts w:hint="eastAsia"/>
          <w:lang w:val="en-US" w:eastAsia="zh-CN"/>
        </w:rPr>
        <w:t>利率风险</w:t>
      </w:r>
    </w:p>
    <w:p w14:paraId="0B4CA195" w14:textId="67341399" w:rsidR="0085433F" w:rsidRPr="000C156A" w:rsidRDefault="0085433F" w:rsidP="0085433F">
      <w:pPr>
        <w:pStyle w:val="enumlev1"/>
        <w:keepNext/>
        <w:keepLines/>
        <w:jc w:val="both"/>
        <w:rPr>
          <w:lang w:val="en-US" w:eastAsia="zh-CN"/>
        </w:rPr>
      </w:pPr>
      <w:r w:rsidRPr="000C156A">
        <w:rPr>
          <w:lang w:val="en-US" w:eastAsia="zh-CN"/>
        </w:rPr>
        <w:tab/>
      </w:r>
      <w:r w:rsidR="000F1CC2" w:rsidRPr="000F1CC2">
        <w:rPr>
          <w:rFonts w:hint="eastAsia"/>
          <w:lang w:val="en-US" w:eastAsia="zh-CN"/>
        </w:rPr>
        <w:t>国际电联的短期投资面临利率风险。继</w:t>
      </w:r>
      <w:r w:rsidR="000F1CC2" w:rsidRPr="000F1CC2">
        <w:rPr>
          <w:rFonts w:hint="eastAsia"/>
          <w:lang w:val="en-US" w:eastAsia="zh-CN"/>
        </w:rPr>
        <w:t>2015</w:t>
      </w:r>
      <w:r w:rsidR="000F1CC2" w:rsidRPr="000F1CC2">
        <w:rPr>
          <w:rFonts w:hint="eastAsia"/>
          <w:lang w:val="en-US" w:eastAsia="zh-CN"/>
        </w:rPr>
        <w:t>年金融机构对库存现金采用负利率后，国际电联</w:t>
      </w:r>
      <w:r w:rsidR="008555D7">
        <w:rPr>
          <w:rFonts w:hint="eastAsia"/>
          <w:lang w:val="en-US" w:eastAsia="zh-CN"/>
        </w:rPr>
        <w:t>进行了</w:t>
      </w:r>
      <w:r w:rsidR="000F1CC2" w:rsidRPr="000F1CC2">
        <w:rPr>
          <w:rFonts w:hint="eastAsia"/>
          <w:lang w:val="en-US" w:eastAsia="zh-CN"/>
        </w:rPr>
        <w:t>政策</w:t>
      </w:r>
      <w:r w:rsidR="008555D7" w:rsidRPr="000F1CC2">
        <w:rPr>
          <w:rFonts w:hint="eastAsia"/>
          <w:lang w:val="en-US" w:eastAsia="zh-CN"/>
        </w:rPr>
        <w:t>审议</w:t>
      </w:r>
      <w:r w:rsidR="000F1CC2" w:rsidRPr="000F1CC2">
        <w:rPr>
          <w:rFonts w:hint="eastAsia"/>
          <w:lang w:val="en-US" w:eastAsia="zh-CN"/>
        </w:rPr>
        <w:t>，以避免对现金及现金等价物造成影响。国际电联</w:t>
      </w:r>
      <w:r w:rsidR="000F1CC2">
        <w:rPr>
          <w:rFonts w:hint="eastAsia"/>
          <w:lang w:val="en-US" w:eastAsia="zh-CN"/>
        </w:rPr>
        <w:t>现有</w:t>
      </w:r>
      <w:r w:rsidR="000F1CC2" w:rsidRPr="000F1CC2">
        <w:rPr>
          <w:rFonts w:hint="eastAsia"/>
          <w:lang w:val="en-US" w:eastAsia="zh-CN"/>
        </w:rPr>
        <w:t>的所有瑞郎以及欧元银行账户都呈负利息。</w:t>
      </w:r>
    </w:p>
    <w:p w14:paraId="15DF8DE6" w14:textId="41DEA76B" w:rsidR="0085433F" w:rsidRPr="000C156A" w:rsidRDefault="0085433F" w:rsidP="0085433F">
      <w:pPr>
        <w:pStyle w:val="enumlev1"/>
        <w:rPr>
          <w:lang w:val="en-US" w:eastAsia="zh-CN"/>
        </w:rPr>
      </w:pPr>
      <w:r w:rsidRPr="000C156A">
        <w:rPr>
          <w:lang w:val="en-US" w:eastAsia="zh-CN"/>
        </w:rPr>
        <w:tab/>
      </w:r>
      <w:r w:rsidRPr="000C156A">
        <w:rPr>
          <w:rFonts w:hint="eastAsia"/>
          <w:lang w:val="en-US" w:eastAsia="zh-CN"/>
        </w:rPr>
        <w:t>为了抵消负利率，已决定将</w:t>
      </w:r>
      <w:r w:rsidRPr="000C156A">
        <w:rPr>
          <w:lang w:val="en-US" w:eastAsia="zh-CN"/>
        </w:rPr>
        <w:t>闲置的</w:t>
      </w:r>
      <w:r w:rsidR="00950CAE">
        <w:rPr>
          <w:rFonts w:hint="eastAsia"/>
          <w:lang w:val="en-US" w:eastAsia="zh-CN"/>
        </w:rPr>
        <w:t>现金兑换成</w:t>
      </w:r>
      <w:r w:rsidRPr="000C156A">
        <w:rPr>
          <w:lang w:val="en-US" w:eastAsia="zh-CN"/>
        </w:rPr>
        <w:t>美元</w:t>
      </w:r>
      <w:r w:rsidR="00950CAE">
        <w:rPr>
          <w:rFonts w:hint="eastAsia"/>
          <w:lang w:val="en-US" w:eastAsia="zh-CN"/>
        </w:rPr>
        <w:t>，投资于</w:t>
      </w:r>
      <w:r w:rsidR="00950CAE" w:rsidRPr="000C156A">
        <w:rPr>
          <w:lang w:val="en-US" w:eastAsia="zh-CN"/>
        </w:rPr>
        <w:t>金融市场</w:t>
      </w:r>
      <w:r w:rsidR="00950CAE">
        <w:rPr>
          <w:rFonts w:hint="eastAsia"/>
          <w:lang w:val="en-US" w:eastAsia="zh-CN"/>
        </w:rPr>
        <w:t>可生成正利的</w:t>
      </w:r>
      <w:r w:rsidRPr="000C156A">
        <w:rPr>
          <w:lang w:val="en-US" w:eastAsia="zh-CN"/>
        </w:rPr>
        <w:t>短期存款</w:t>
      </w:r>
      <w:r w:rsidRPr="000C156A">
        <w:rPr>
          <w:rFonts w:hint="eastAsia"/>
          <w:lang w:val="en-US" w:eastAsia="zh-CN"/>
        </w:rPr>
        <w:t>。为了避免任何外汇风险，只</w:t>
      </w:r>
      <w:r w:rsidR="00950CAE">
        <w:rPr>
          <w:rFonts w:hint="eastAsia"/>
          <w:lang w:val="en-US" w:eastAsia="zh-CN"/>
        </w:rPr>
        <w:t>将</w:t>
      </w:r>
      <w:r w:rsidR="00950CAE" w:rsidRPr="000C156A">
        <w:rPr>
          <w:rFonts w:hint="eastAsia"/>
          <w:lang w:val="en-US" w:eastAsia="zh-CN"/>
        </w:rPr>
        <w:t>盈余现金</w:t>
      </w:r>
      <w:r w:rsidR="00950CAE">
        <w:rPr>
          <w:rFonts w:hint="eastAsia"/>
          <w:lang w:val="en-US" w:eastAsia="zh-CN"/>
        </w:rPr>
        <w:t>用于</w:t>
      </w:r>
      <w:r w:rsidRPr="000C156A">
        <w:rPr>
          <w:rFonts w:hint="eastAsia"/>
          <w:lang w:val="en-US" w:eastAsia="zh-CN"/>
        </w:rPr>
        <w:t>投资。</w:t>
      </w:r>
    </w:p>
    <w:p w14:paraId="0A2C492E" w14:textId="2953EEB9" w:rsidR="000A5C34" w:rsidRPr="000A4D7A" w:rsidRDefault="000A5C34" w:rsidP="000A5C34">
      <w:pPr>
        <w:pStyle w:val="enumlev1"/>
        <w:keepNext/>
        <w:keepLines/>
        <w:jc w:val="both"/>
        <w:rPr>
          <w:lang w:val="en-US" w:eastAsia="zh-CN"/>
        </w:rPr>
      </w:pPr>
      <w:r w:rsidRPr="001B7DB3">
        <w:rPr>
          <w:lang w:val="en-US" w:eastAsia="zh-CN"/>
        </w:rPr>
        <w:tab/>
      </w:r>
      <w:r w:rsidR="00950CAE" w:rsidRPr="00950CAE">
        <w:rPr>
          <w:rFonts w:hint="eastAsia"/>
          <w:lang w:eastAsia="zh-CN"/>
        </w:rPr>
        <w:t>然而，由于</w:t>
      </w:r>
      <w:r w:rsidR="00950CAE" w:rsidRPr="00950CAE">
        <w:rPr>
          <w:rFonts w:hint="eastAsia"/>
          <w:lang w:eastAsia="zh-CN"/>
        </w:rPr>
        <w:t>2021</w:t>
      </w:r>
      <w:r w:rsidR="00950CAE" w:rsidRPr="00950CAE">
        <w:rPr>
          <w:rFonts w:hint="eastAsia"/>
          <w:lang w:eastAsia="zh-CN"/>
        </w:rPr>
        <w:t>年美元利率极低，尽管审慎地追加了现金，但国际电联仍无法抵消负利息。</w:t>
      </w:r>
      <w:r w:rsidR="00950CAE" w:rsidRPr="00950CAE">
        <w:rPr>
          <w:rFonts w:hint="eastAsia"/>
          <w:lang w:eastAsia="zh-CN"/>
        </w:rPr>
        <w:t>2021</w:t>
      </w:r>
      <w:r w:rsidR="00950CAE" w:rsidRPr="00950CAE">
        <w:rPr>
          <w:rFonts w:hint="eastAsia"/>
          <w:lang w:eastAsia="zh-CN"/>
        </w:rPr>
        <w:t>年，国际电联为负利支付了</w:t>
      </w:r>
      <w:r w:rsidR="00950CAE" w:rsidRPr="00950CAE">
        <w:rPr>
          <w:rFonts w:hint="eastAsia"/>
          <w:lang w:eastAsia="zh-CN"/>
        </w:rPr>
        <w:t>38.8</w:t>
      </w:r>
      <w:r w:rsidR="00950CAE" w:rsidRPr="00950CAE">
        <w:rPr>
          <w:rFonts w:hint="eastAsia"/>
          <w:lang w:eastAsia="zh-CN"/>
        </w:rPr>
        <w:t>万瑞郎，而生成的利息仅为</w:t>
      </w:r>
      <w:r w:rsidR="00950CAE" w:rsidRPr="00950CAE">
        <w:rPr>
          <w:rFonts w:hint="eastAsia"/>
          <w:lang w:eastAsia="zh-CN"/>
        </w:rPr>
        <w:t>24.1</w:t>
      </w:r>
      <w:r w:rsidR="00950CAE" w:rsidRPr="00950CAE">
        <w:rPr>
          <w:rFonts w:hint="eastAsia"/>
          <w:lang w:eastAsia="zh-CN"/>
        </w:rPr>
        <w:t>万瑞郎。</w:t>
      </w:r>
    </w:p>
    <w:p w14:paraId="3C536FF2" w14:textId="77777777" w:rsidR="0085433F" w:rsidRPr="000C156A" w:rsidRDefault="0085433F" w:rsidP="0085433F">
      <w:pPr>
        <w:pStyle w:val="enumlev1"/>
        <w:rPr>
          <w:lang w:val="en-US" w:eastAsia="zh-CN"/>
        </w:rPr>
      </w:pPr>
      <w:r w:rsidRPr="000C156A">
        <w:rPr>
          <w:lang w:val="en-US" w:eastAsia="zh-CN"/>
        </w:rPr>
        <w:t>d)</w:t>
      </w:r>
      <w:r w:rsidRPr="000C156A">
        <w:rPr>
          <w:lang w:val="en-US" w:eastAsia="zh-CN"/>
        </w:rPr>
        <w:tab/>
      </w:r>
      <w:r w:rsidRPr="000C156A">
        <w:rPr>
          <w:rFonts w:hint="eastAsia"/>
          <w:lang w:val="en-US" w:eastAsia="zh-CN"/>
        </w:rPr>
        <w:t>流动性风险</w:t>
      </w:r>
    </w:p>
    <w:p w14:paraId="67FA6403" w14:textId="77777777" w:rsidR="0085433F" w:rsidRPr="000C156A" w:rsidRDefault="0085433F" w:rsidP="0085433F">
      <w:pPr>
        <w:pStyle w:val="enumlev1"/>
        <w:rPr>
          <w:lang w:val="en-US" w:eastAsia="zh-CN"/>
        </w:rPr>
      </w:pPr>
      <w:r w:rsidRPr="000C156A">
        <w:rPr>
          <w:lang w:val="en-US" w:eastAsia="zh-CN"/>
        </w:rPr>
        <w:tab/>
      </w:r>
      <w:r w:rsidRPr="000C156A">
        <w:rPr>
          <w:rFonts w:hint="eastAsia"/>
          <w:lang w:val="en-US" w:eastAsia="zh-CN"/>
        </w:rPr>
        <w:t>流动性风险指国际电联无法按期履行承付款项的风险。国际电联管理流动性风险的方式是确保为偿还到期债务提供充足的流动性。国际电联采用现金流预测手段，确保现金充足，能够满足预期运行费用的需求。</w:t>
      </w:r>
    </w:p>
    <w:p w14:paraId="0BDBC3C6" w14:textId="77777777" w:rsidR="0085433F" w:rsidRPr="000C156A" w:rsidRDefault="0085433F" w:rsidP="0085433F">
      <w:pPr>
        <w:pStyle w:val="enumlev1"/>
        <w:rPr>
          <w:lang w:val="en-US" w:eastAsia="zh-CN"/>
        </w:rPr>
      </w:pPr>
      <w:r w:rsidRPr="000C156A">
        <w:rPr>
          <w:lang w:val="en-US" w:eastAsia="zh-CN"/>
        </w:rPr>
        <w:tab/>
      </w:r>
      <w:r w:rsidRPr="000C156A">
        <w:rPr>
          <w:rFonts w:hint="eastAsia"/>
          <w:lang w:val="en-US" w:eastAsia="zh-CN"/>
        </w:rPr>
        <w:t>流动性风险可忽略不计，因为，根据《财务规则》第</w:t>
      </w:r>
      <w:r w:rsidRPr="000C156A">
        <w:rPr>
          <w:lang w:val="en-US" w:eastAsia="zh-CN"/>
        </w:rPr>
        <w:t>17</w:t>
      </w:r>
      <w:r w:rsidRPr="000C156A">
        <w:rPr>
          <w:rFonts w:hint="eastAsia"/>
          <w:lang w:val="en-US" w:eastAsia="zh-CN"/>
        </w:rPr>
        <w:t>条，在所规定的条件下，为满足国际电联暂时的现金需求，可从瑞士联邦政府预支资金。</w:t>
      </w:r>
    </w:p>
    <w:p w14:paraId="08F24000" w14:textId="77777777" w:rsidR="0085433F" w:rsidRPr="000C156A" w:rsidRDefault="0085433F" w:rsidP="0085433F">
      <w:pPr>
        <w:pStyle w:val="enumlev1"/>
        <w:rPr>
          <w:lang w:val="en-US" w:eastAsia="zh-CN"/>
        </w:rPr>
      </w:pPr>
      <w:r w:rsidRPr="000C156A">
        <w:rPr>
          <w:lang w:val="en-US" w:eastAsia="zh-CN"/>
        </w:rPr>
        <w:lastRenderedPageBreak/>
        <w:tab/>
      </w:r>
      <w:r w:rsidRPr="000C156A">
        <w:rPr>
          <w:rFonts w:hint="eastAsia"/>
          <w:lang w:val="en-US" w:eastAsia="zh-CN"/>
        </w:rPr>
        <w:t>管理国际电联资本的主要目的是确保以充足的现金满足国际电联的资金需求，包括资本支出，从而保证国际电联保持良好的财政状况。</w:t>
      </w:r>
    </w:p>
    <w:p w14:paraId="508DF4E6" w14:textId="77777777" w:rsidR="0085433F" w:rsidRPr="000C156A" w:rsidRDefault="0085433F" w:rsidP="0085433F">
      <w:pPr>
        <w:pStyle w:val="enumlev1"/>
        <w:rPr>
          <w:lang w:val="en-US" w:eastAsia="zh-CN"/>
        </w:rPr>
      </w:pPr>
      <w:r w:rsidRPr="000C156A">
        <w:rPr>
          <w:lang w:val="en-US" w:eastAsia="zh-CN"/>
        </w:rPr>
        <w:t>e)</w:t>
      </w:r>
      <w:r w:rsidRPr="000C156A">
        <w:rPr>
          <w:lang w:val="en-US" w:eastAsia="zh-CN"/>
        </w:rPr>
        <w:tab/>
      </w:r>
      <w:r w:rsidRPr="000C156A">
        <w:rPr>
          <w:rFonts w:hint="eastAsia"/>
          <w:lang w:val="en-US" w:eastAsia="zh-CN"/>
        </w:rPr>
        <w:t>货币风险</w:t>
      </w:r>
    </w:p>
    <w:p w14:paraId="70F8FE88" w14:textId="77777777" w:rsidR="0085433F" w:rsidRPr="000C156A" w:rsidRDefault="0085433F" w:rsidP="0085433F">
      <w:pPr>
        <w:pStyle w:val="enumlev1"/>
        <w:ind w:firstLine="0"/>
        <w:rPr>
          <w:lang w:val="en-US" w:eastAsia="zh-CN"/>
        </w:rPr>
      </w:pPr>
      <w:r w:rsidRPr="000C156A">
        <w:rPr>
          <w:rFonts w:hint="eastAsia"/>
          <w:lang w:val="en-US" w:eastAsia="zh-CN"/>
        </w:rPr>
        <w:t>国际电联收到的部分成员和正常预算会费按照瑞郎计算，预算外捐款则以瑞郎以外的其它货币计算。国际电联不依赖定期兑换合同、远期、掉期或现金方案对冲以实现或未实现的外汇损益。可能时，通过直接向相关银行账目分配必要的货币进行自然对冲。</w:t>
      </w:r>
    </w:p>
    <w:p w14:paraId="1B49A597" w14:textId="77777777" w:rsidR="0085433F" w:rsidRPr="000C156A" w:rsidRDefault="0085433F" w:rsidP="0085433F">
      <w:pPr>
        <w:pStyle w:val="enumlev1"/>
        <w:ind w:firstLine="0"/>
        <w:rPr>
          <w:lang w:val="en-US" w:eastAsia="zh-CN"/>
        </w:rPr>
      </w:pPr>
      <w:r w:rsidRPr="000C156A">
        <w:rPr>
          <w:rFonts w:hint="eastAsia"/>
          <w:lang w:val="en-US" w:eastAsia="zh-CN"/>
        </w:rPr>
        <w:t>应注意的是，新的健康保险方案是用瑞郎管理的，因而大大降低了汇率浮动风险。然而，国际电联仍因使用美元向</w:t>
      </w:r>
      <w:r w:rsidRPr="000C156A">
        <w:rPr>
          <w:lang w:val="en-US" w:eastAsia="zh-CN"/>
        </w:rPr>
        <w:t>UNJSPF</w:t>
      </w:r>
      <w:r w:rsidRPr="000C156A">
        <w:rPr>
          <w:rFonts w:hint="eastAsia"/>
          <w:lang w:val="en-US" w:eastAsia="zh-CN"/>
        </w:rPr>
        <w:t>缴费而面临外汇损益风险。但是，专业类职员的缴费是以美元计算的，而一般事务类职员是用瑞郎计算的。两类职员数量相当，兑换率浮动风险自行抵销。</w:t>
      </w:r>
    </w:p>
    <w:p w14:paraId="736240D5" w14:textId="77777777" w:rsidR="0085433F" w:rsidRPr="000C156A" w:rsidRDefault="0085433F" w:rsidP="0085433F">
      <w:pPr>
        <w:pStyle w:val="enumlev1"/>
        <w:ind w:firstLine="0"/>
        <w:rPr>
          <w:lang w:val="en-US" w:eastAsia="zh-CN"/>
        </w:rPr>
      </w:pPr>
      <w:r w:rsidRPr="000C156A">
        <w:rPr>
          <w:rFonts w:hint="eastAsia"/>
          <w:lang w:val="en-US" w:eastAsia="zh-CN"/>
        </w:rPr>
        <w:t>预算外缴费采用会费货币管理并为方便列报转换为瑞郎。</w:t>
      </w:r>
    </w:p>
    <w:p w14:paraId="1B5E2750" w14:textId="77777777" w:rsidR="0085433F" w:rsidRPr="000C156A" w:rsidRDefault="0085433F" w:rsidP="0085433F">
      <w:pPr>
        <w:pStyle w:val="enumlev1"/>
        <w:ind w:firstLine="0"/>
        <w:rPr>
          <w:lang w:eastAsia="zh-CN"/>
        </w:rPr>
      </w:pPr>
      <w:r w:rsidRPr="000C156A">
        <w:rPr>
          <w:rFonts w:hint="eastAsia"/>
          <w:lang w:val="en-US" w:eastAsia="zh-CN"/>
        </w:rPr>
        <w:t>2020</w:t>
      </w:r>
      <w:r w:rsidRPr="000C156A">
        <w:rPr>
          <w:rFonts w:hint="eastAsia"/>
          <w:lang w:val="en-US" w:eastAsia="zh-CN"/>
        </w:rPr>
        <w:t>年</w:t>
      </w:r>
      <w:r w:rsidRPr="000C156A">
        <w:rPr>
          <w:rFonts w:hint="eastAsia"/>
          <w:lang w:val="en-US" w:eastAsia="zh-CN"/>
        </w:rPr>
        <w:t>1</w:t>
      </w:r>
      <w:r w:rsidRPr="000C156A">
        <w:rPr>
          <w:rFonts w:hint="eastAsia"/>
          <w:lang w:val="en-US" w:eastAsia="zh-CN"/>
        </w:rPr>
        <w:t>月</w:t>
      </w:r>
      <w:r w:rsidRPr="000C156A">
        <w:rPr>
          <w:rFonts w:hint="eastAsia"/>
          <w:lang w:val="en-US" w:eastAsia="zh-CN"/>
        </w:rPr>
        <w:t>1</w:t>
      </w:r>
      <w:r w:rsidRPr="000C156A">
        <w:rPr>
          <w:rFonts w:hint="eastAsia"/>
          <w:lang w:val="en-US" w:eastAsia="zh-CN"/>
        </w:rPr>
        <w:t>日，国际电联加入了联合国工作人员保险互助会（</w:t>
      </w:r>
      <w:r w:rsidRPr="000C156A">
        <w:rPr>
          <w:lang w:val="en-US" w:eastAsia="zh-CN"/>
        </w:rPr>
        <w:t>UNSMIS</w:t>
      </w:r>
      <w:r w:rsidRPr="000C156A">
        <w:rPr>
          <w:rFonts w:hint="eastAsia"/>
          <w:lang w:val="en-US" w:eastAsia="zh-CN"/>
        </w:rPr>
        <w:t>）。尽管每月缴纳的会费是瑞士法郎，这使国际电联免受任何货币风险的影响，但国际电联仍必须向担保基金和行政费用缴费（见说明</w:t>
      </w:r>
      <w:r w:rsidRPr="000C156A">
        <w:rPr>
          <w:rFonts w:hint="eastAsia"/>
          <w:lang w:val="en-US" w:eastAsia="zh-CN"/>
        </w:rPr>
        <w:t>17</w:t>
      </w:r>
      <w:r w:rsidRPr="000C156A">
        <w:rPr>
          <w:rFonts w:hint="eastAsia"/>
          <w:lang w:val="en-US" w:eastAsia="zh-CN"/>
        </w:rPr>
        <w:t>）。此项加入缴费分为</w:t>
      </w:r>
      <w:r w:rsidRPr="000C156A">
        <w:rPr>
          <w:rFonts w:hint="eastAsia"/>
          <w:lang w:val="en-US" w:eastAsia="zh-CN"/>
        </w:rPr>
        <w:t>2020</w:t>
      </w:r>
      <w:r w:rsidRPr="000C156A">
        <w:rPr>
          <w:rFonts w:hint="eastAsia"/>
          <w:lang w:val="en-US" w:eastAsia="zh-CN"/>
        </w:rPr>
        <w:t>年的第一笔付款和直至</w:t>
      </w:r>
      <w:r w:rsidRPr="000C156A">
        <w:rPr>
          <w:rFonts w:hint="eastAsia"/>
          <w:lang w:val="en-US" w:eastAsia="zh-CN"/>
        </w:rPr>
        <w:t>2032</w:t>
      </w:r>
      <w:r w:rsidRPr="000C156A">
        <w:rPr>
          <w:rFonts w:hint="eastAsia"/>
          <w:lang w:val="en-US" w:eastAsia="zh-CN"/>
        </w:rPr>
        <w:t>年的</w:t>
      </w:r>
      <w:r w:rsidRPr="000C156A">
        <w:rPr>
          <w:rFonts w:hint="eastAsia"/>
          <w:lang w:val="en-US" w:eastAsia="zh-CN"/>
        </w:rPr>
        <w:t>13</w:t>
      </w:r>
      <w:r w:rsidRPr="000C156A">
        <w:rPr>
          <w:rFonts w:hint="eastAsia"/>
          <w:lang w:val="en-US" w:eastAsia="zh-CN"/>
        </w:rPr>
        <w:t>笔分期付款，行政费用按合同规定，以美元为单位。因此，在年度美元付款方面，国际电联面临外汇收益和损失。应当指出的是，国际电联成员的一些会费以美元收取，这可以减轻汇率风险，特别是美元支出的风险。</w:t>
      </w:r>
    </w:p>
    <w:p w14:paraId="0616EC53" w14:textId="77777777" w:rsidR="0085433F" w:rsidRPr="000C156A" w:rsidRDefault="0085433F" w:rsidP="0085433F">
      <w:pPr>
        <w:pStyle w:val="enumlev1"/>
        <w:tabs>
          <w:tab w:val="left" w:pos="0"/>
        </w:tabs>
        <w:spacing w:before="120" w:after="120"/>
        <w:ind w:left="0" w:firstLine="0"/>
        <w:rPr>
          <w:lang w:val="en-US" w:eastAsia="zh-CN"/>
        </w:rPr>
      </w:pPr>
      <w:r w:rsidRPr="000C156A">
        <w:rPr>
          <w:lang w:val="en-US" w:eastAsia="zh-CN"/>
        </w:rPr>
        <w:t>f)</w:t>
      </w:r>
      <w:r w:rsidRPr="000C156A">
        <w:rPr>
          <w:lang w:val="en-US" w:eastAsia="zh-CN"/>
        </w:rPr>
        <w:tab/>
      </w:r>
      <w:r w:rsidRPr="000C156A">
        <w:rPr>
          <w:rFonts w:hint="eastAsia"/>
          <w:lang w:val="en-US" w:eastAsia="zh-CN"/>
        </w:rPr>
        <w:t>市场风险</w:t>
      </w:r>
    </w:p>
    <w:p w14:paraId="3874F1D6" w14:textId="77777777" w:rsidR="0085433F" w:rsidRPr="000C156A" w:rsidRDefault="0085433F" w:rsidP="0085433F">
      <w:pPr>
        <w:pStyle w:val="enumlev1"/>
        <w:snapToGrid w:val="0"/>
        <w:spacing w:before="0"/>
        <w:ind w:firstLine="0"/>
        <w:rPr>
          <w:lang w:val="en-US" w:eastAsia="zh-CN"/>
        </w:rPr>
      </w:pPr>
      <w:r w:rsidRPr="000C156A">
        <w:rPr>
          <w:rFonts w:hint="eastAsia"/>
          <w:lang w:val="en-US" w:eastAsia="zh-CN"/>
        </w:rPr>
        <w:t>市场风险指市场价格变化风险，如影响国际电联收益或所持金融工具价值的兑换率和利率。市场风险管理的目的是在可接受的范畴内管理和控制市场风险，同时优化风险回报。</w:t>
      </w:r>
    </w:p>
    <w:p w14:paraId="796E75BB" w14:textId="29CAE358" w:rsidR="0085433F" w:rsidRPr="000C156A" w:rsidRDefault="0085433F" w:rsidP="000A5C34">
      <w:pPr>
        <w:keepNext/>
        <w:keepLines/>
        <w:spacing w:after="240"/>
        <w:ind w:firstLineChars="200" w:firstLine="480"/>
        <w:rPr>
          <w:lang w:val="en-US" w:eastAsia="zh-CN"/>
        </w:rPr>
      </w:pPr>
      <w:r w:rsidRPr="000C156A">
        <w:rPr>
          <w:rFonts w:hint="eastAsia"/>
          <w:lang w:val="en-US" w:eastAsia="zh-CN"/>
        </w:rPr>
        <w:t>截至</w:t>
      </w:r>
      <w:r w:rsidRPr="000C156A">
        <w:rPr>
          <w:lang w:val="en-US" w:eastAsia="zh-CN"/>
        </w:rPr>
        <w:t>20</w:t>
      </w:r>
      <w:r w:rsidRPr="000C156A">
        <w:rPr>
          <w:rFonts w:hint="eastAsia"/>
          <w:lang w:val="en-US" w:eastAsia="zh-CN"/>
        </w:rPr>
        <w:t>2</w:t>
      </w:r>
      <w:r w:rsidR="000A5C34">
        <w:rPr>
          <w:lang w:val="en-US" w:eastAsia="zh-CN"/>
        </w:rPr>
        <w:t>1</w:t>
      </w:r>
      <w:r w:rsidRPr="000C156A">
        <w:rPr>
          <w:rFonts w:hint="eastAsia"/>
          <w:lang w:val="en-US" w:eastAsia="zh-CN"/>
        </w:rPr>
        <w:t>年</w:t>
      </w:r>
      <w:r w:rsidRPr="000C156A">
        <w:rPr>
          <w:lang w:val="en-US" w:eastAsia="zh-CN"/>
        </w:rPr>
        <w:t>12</w:t>
      </w:r>
      <w:r w:rsidRPr="000C156A">
        <w:rPr>
          <w:rFonts w:hint="eastAsia"/>
          <w:lang w:val="en-US" w:eastAsia="zh-CN"/>
        </w:rPr>
        <w:t>月</w:t>
      </w:r>
      <w:r w:rsidRPr="000C156A">
        <w:rPr>
          <w:lang w:val="en-US" w:eastAsia="zh-CN"/>
        </w:rPr>
        <w:t>31</w:t>
      </w:r>
      <w:r w:rsidRPr="000C156A">
        <w:rPr>
          <w:rFonts w:hint="eastAsia"/>
          <w:lang w:val="en-US" w:eastAsia="zh-CN"/>
        </w:rPr>
        <w:t>日各</w:t>
      </w:r>
      <w:r w:rsidRPr="000C156A">
        <w:rPr>
          <w:rFonts w:hint="eastAsia"/>
          <w:lang w:eastAsia="zh-CN"/>
        </w:rPr>
        <w:t>金融工具</w:t>
      </w:r>
      <w:r w:rsidRPr="000C156A">
        <w:rPr>
          <w:rFonts w:hint="eastAsia"/>
          <w:lang w:val="en-US" w:eastAsia="zh-CN"/>
        </w:rPr>
        <w:t>的到期状况如下：</w:t>
      </w:r>
    </w:p>
    <w:tbl>
      <w:tblPr>
        <w:tblStyle w:val="TableGrid"/>
        <w:tblW w:w="0" w:type="auto"/>
        <w:jc w:val="center"/>
        <w:tblLook w:val="04A0" w:firstRow="1" w:lastRow="0" w:firstColumn="1" w:lastColumn="0" w:noHBand="0" w:noVBand="1"/>
      </w:tblPr>
      <w:tblGrid>
        <w:gridCol w:w="2113"/>
        <w:gridCol w:w="1397"/>
        <w:gridCol w:w="1525"/>
        <w:gridCol w:w="1391"/>
        <w:gridCol w:w="1253"/>
        <w:gridCol w:w="1275"/>
      </w:tblGrid>
      <w:tr w:rsidR="0085433F" w:rsidRPr="000A5C34" w14:paraId="6A6261A0" w14:textId="77777777" w:rsidTr="003A64C9">
        <w:trPr>
          <w:jc w:val="center"/>
        </w:trPr>
        <w:tc>
          <w:tcPr>
            <w:tcW w:w="2113" w:type="dxa"/>
            <w:tcBorders>
              <w:top w:val="single" w:sz="4" w:space="0" w:color="auto"/>
              <w:left w:val="single" w:sz="4" w:space="0" w:color="auto"/>
              <w:bottom w:val="single" w:sz="4" w:space="0" w:color="auto"/>
              <w:right w:val="single" w:sz="4" w:space="0" w:color="auto"/>
            </w:tcBorders>
            <w:hideMark/>
          </w:tcPr>
          <w:p w14:paraId="1DA782B8" w14:textId="77777777" w:rsidR="0085433F" w:rsidRPr="000A5C34" w:rsidRDefault="0085433F" w:rsidP="000A5C34">
            <w:pPr>
              <w:pStyle w:val="Tablehead"/>
              <w:keepNext w:val="0"/>
              <w:rPr>
                <w:rFonts w:eastAsia="SimSun" w:cs="Calibri"/>
              </w:rPr>
            </w:pPr>
            <w:r w:rsidRPr="000A5C34">
              <w:rPr>
                <w:rFonts w:eastAsia="SimSun" w:cs="Calibri" w:hint="eastAsia"/>
              </w:rPr>
              <w:t>单位：千瑞郎</w:t>
            </w:r>
          </w:p>
        </w:tc>
        <w:tc>
          <w:tcPr>
            <w:tcW w:w="1397" w:type="dxa"/>
            <w:tcBorders>
              <w:top w:val="single" w:sz="4" w:space="0" w:color="auto"/>
              <w:left w:val="single" w:sz="4" w:space="0" w:color="auto"/>
              <w:bottom w:val="single" w:sz="4" w:space="0" w:color="auto"/>
              <w:right w:val="single" w:sz="4" w:space="0" w:color="auto"/>
            </w:tcBorders>
            <w:hideMark/>
          </w:tcPr>
          <w:p w14:paraId="3E4E8304" w14:textId="77777777" w:rsidR="0085433F" w:rsidRPr="000A5C34" w:rsidRDefault="0085433F" w:rsidP="000A5C34">
            <w:pPr>
              <w:pStyle w:val="Tablehead"/>
              <w:keepNext w:val="0"/>
              <w:rPr>
                <w:rFonts w:eastAsia="SimSun" w:cs="Calibri"/>
              </w:rPr>
            </w:pPr>
            <w:r w:rsidRPr="000A5C34">
              <w:rPr>
                <w:rFonts w:eastAsia="SimSun" w:cs="Calibri" w:hint="eastAsia"/>
              </w:rPr>
              <w:t>加权平均</w:t>
            </w:r>
            <w:r w:rsidRPr="000A5C34">
              <w:rPr>
                <w:rFonts w:eastAsia="SimSun" w:cs="Calibri"/>
              </w:rPr>
              <w:br/>
            </w:r>
            <w:r w:rsidRPr="000A5C34">
              <w:rPr>
                <w:rFonts w:eastAsia="SimSun" w:cs="Calibri" w:hint="eastAsia"/>
              </w:rPr>
              <w:t>利率</w:t>
            </w:r>
          </w:p>
        </w:tc>
        <w:tc>
          <w:tcPr>
            <w:tcW w:w="1525" w:type="dxa"/>
            <w:tcBorders>
              <w:top w:val="single" w:sz="4" w:space="0" w:color="auto"/>
              <w:left w:val="single" w:sz="4" w:space="0" w:color="auto"/>
              <w:bottom w:val="single" w:sz="4" w:space="0" w:color="auto"/>
              <w:right w:val="single" w:sz="4" w:space="0" w:color="auto"/>
            </w:tcBorders>
            <w:hideMark/>
          </w:tcPr>
          <w:p w14:paraId="650516CE" w14:textId="77777777" w:rsidR="0085433F" w:rsidRPr="000A5C34" w:rsidRDefault="0085433F" w:rsidP="000A5C34">
            <w:pPr>
              <w:pStyle w:val="Tablehead"/>
              <w:keepNext w:val="0"/>
              <w:rPr>
                <w:rFonts w:eastAsia="SimSun" w:cs="Calibri"/>
              </w:rPr>
            </w:pPr>
            <w:r w:rsidRPr="000A5C34">
              <w:rPr>
                <w:rFonts w:eastAsia="SimSun" w:cs="Calibri" w:hint="eastAsia"/>
              </w:rPr>
              <w:t>一年或</w:t>
            </w:r>
            <w:r w:rsidRPr="000A5C34">
              <w:rPr>
                <w:rFonts w:eastAsia="SimSun" w:cs="Calibri"/>
              </w:rPr>
              <w:br/>
            </w:r>
            <w:r w:rsidRPr="000A5C34">
              <w:rPr>
                <w:rFonts w:eastAsia="SimSun" w:cs="Calibri" w:hint="eastAsia"/>
              </w:rPr>
              <w:t>一年以内</w:t>
            </w:r>
          </w:p>
        </w:tc>
        <w:tc>
          <w:tcPr>
            <w:tcW w:w="1391" w:type="dxa"/>
            <w:tcBorders>
              <w:top w:val="single" w:sz="4" w:space="0" w:color="auto"/>
              <w:left w:val="single" w:sz="4" w:space="0" w:color="auto"/>
              <w:bottom w:val="single" w:sz="4" w:space="0" w:color="auto"/>
              <w:right w:val="single" w:sz="4" w:space="0" w:color="auto"/>
            </w:tcBorders>
            <w:hideMark/>
          </w:tcPr>
          <w:p w14:paraId="0F48BB53" w14:textId="77777777" w:rsidR="0085433F" w:rsidRPr="000A5C34" w:rsidRDefault="0085433F" w:rsidP="000A5C34">
            <w:pPr>
              <w:pStyle w:val="Tablehead"/>
              <w:keepNext w:val="0"/>
              <w:rPr>
                <w:rFonts w:eastAsia="SimSun" w:cs="Calibri"/>
              </w:rPr>
            </w:pPr>
            <w:r w:rsidRPr="000A5C34">
              <w:rPr>
                <w:rFonts w:eastAsia="SimSun" w:cs="Calibri"/>
              </w:rPr>
              <w:t>&lt;10</w:t>
            </w:r>
            <w:r w:rsidRPr="000A5C34">
              <w:rPr>
                <w:rFonts w:eastAsia="SimSun" w:cs="Calibri" w:hint="eastAsia"/>
              </w:rPr>
              <w:t>年</w:t>
            </w:r>
          </w:p>
        </w:tc>
        <w:tc>
          <w:tcPr>
            <w:tcW w:w="1253" w:type="dxa"/>
            <w:tcBorders>
              <w:top w:val="single" w:sz="4" w:space="0" w:color="auto"/>
              <w:left w:val="single" w:sz="4" w:space="0" w:color="auto"/>
              <w:bottom w:val="single" w:sz="4" w:space="0" w:color="auto"/>
              <w:right w:val="single" w:sz="4" w:space="0" w:color="auto"/>
            </w:tcBorders>
            <w:hideMark/>
          </w:tcPr>
          <w:p w14:paraId="74471480" w14:textId="77777777" w:rsidR="0085433F" w:rsidRPr="000A5C34" w:rsidRDefault="0085433F" w:rsidP="000A5C34">
            <w:pPr>
              <w:pStyle w:val="Tablehead"/>
              <w:keepNext w:val="0"/>
              <w:rPr>
                <w:rFonts w:eastAsia="SimSun" w:cs="Calibri"/>
              </w:rPr>
            </w:pPr>
            <w:r w:rsidRPr="000A5C34">
              <w:rPr>
                <w:rFonts w:eastAsia="SimSun" w:cs="Calibri"/>
              </w:rPr>
              <w:t>&gt;10</w:t>
            </w:r>
            <w:r w:rsidRPr="000A5C34">
              <w:rPr>
                <w:rFonts w:eastAsia="SimSun" w:cs="Calibri" w:hint="eastAsia"/>
              </w:rPr>
              <w:t>年</w:t>
            </w:r>
          </w:p>
        </w:tc>
        <w:tc>
          <w:tcPr>
            <w:tcW w:w="1275" w:type="dxa"/>
            <w:tcBorders>
              <w:top w:val="single" w:sz="4" w:space="0" w:color="auto"/>
              <w:left w:val="single" w:sz="4" w:space="0" w:color="auto"/>
              <w:bottom w:val="single" w:sz="4" w:space="0" w:color="auto"/>
              <w:right w:val="single" w:sz="4" w:space="0" w:color="auto"/>
            </w:tcBorders>
            <w:hideMark/>
          </w:tcPr>
          <w:p w14:paraId="65EA58ED" w14:textId="77777777" w:rsidR="0085433F" w:rsidRPr="000A5C34" w:rsidRDefault="0085433F" w:rsidP="000A5C34">
            <w:pPr>
              <w:pStyle w:val="Tablehead"/>
              <w:keepNext w:val="0"/>
              <w:rPr>
                <w:rFonts w:eastAsia="SimSun" w:cs="Calibri"/>
              </w:rPr>
            </w:pPr>
            <w:r w:rsidRPr="000A5C34">
              <w:rPr>
                <w:rFonts w:eastAsia="SimSun" w:cs="Calibri" w:hint="eastAsia"/>
              </w:rPr>
              <w:t>合计</w:t>
            </w:r>
          </w:p>
        </w:tc>
      </w:tr>
      <w:tr w:rsidR="000A5C34" w:rsidRPr="000A5C34" w14:paraId="1213AA1A" w14:textId="77777777" w:rsidTr="003A64C9">
        <w:trPr>
          <w:jc w:val="center"/>
        </w:trPr>
        <w:tc>
          <w:tcPr>
            <w:tcW w:w="2113" w:type="dxa"/>
            <w:tcBorders>
              <w:top w:val="single" w:sz="4" w:space="0" w:color="auto"/>
              <w:left w:val="single" w:sz="4" w:space="0" w:color="auto"/>
              <w:bottom w:val="single" w:sz="4" w:space="0" w:color="auto"/>
              <w:right w:val="single" w:sz="4" w:space="0" w:color="auto"/>
            </w:tcBorders>
            <w:hideMark/>
          </w:tcPr>
          <w:p w14:paraId="5B4815AF" w14:textId="77777777" w:rsidR="000A5C34" w:rsidRPr="000A5C34" w:rsidRDefault="000A5C34" w:rsidP="000A5C34">
            <w:pPr>
              <w:pStyle w:val="Tabletext"/>
              <w:rPr>
                <w:rFonts w:eastAsia="SimSun" w:cs="Calibri"/>
                <w:b/>
                <w:bCs/>
                <w:lang w:val="en-US" w:eastAsia="zh-CN"/>
              </w:rPr>
            </w:pPr>
            <w:r w:rsidRPr="000A5C34">
              <w:rPr>
                <w:rFonts w:eastAsia="SimSun" w:cs="Calibri" w:hint="eastAsia"/>
                <w:b/>
                <w:bCs/>
                <w:lang w:val="en-US" w:eastAsia="zh-CN"/>
              </w:rPr>
              <w:t>金融资产</w:t>
            </w:r>
          </w:p>
        </w:tc>
        <w:tc>
          <w:tcPr>
            <w:tcW w:w="1397" w:type="dxa"/>
            <w:tcBorders>
              <w:top w:val="single" w:sz="4" w:space="0" w:color="auto"/>
              <w:left w:val="single" w:sz="4" w:space="0" w:color="auto"/>
              <w:bottom w:val="single" w:sz="4" w:space="0" w:color="auto"/>
              <w:right w:val="single" w:sz="4" w:space="0" w:color="auto"/>
            </w:tcBorders>
          </w:tcPr>
          <w:p w14:paraId="7774BD40" w14:textId="77777777" w:rsidR="000A5C34" w:rsidRPr="000A5C34" w:rsidRDefault="000A5C34" w:rsidP="000A5C34">
            <w:pPr>
              <w:pStyle w:val="enumlev1"/>
              <w:tabs>
                <w:tab w:val="left" w:pos="0"/>
              </w:tabs>
              <w:ind w:left="0" w:firstLine="0"/>
              <w:jc w:val="right"/>
              <w:rPr>
                <w:rFonts w:eastAsia="SimSun" w:cs="Calibri"/>
                <w:sz w:val="22"/>
                <w:lang w:val="en-US"/>
              </w:rPr>
            </w:pPr>
          </w:p>
        </w:tc>
        <w:tc>
          <w:tcPr>
            <w:tcW w:w="1525" w:type="dxa"/>
            <w:tcBorders>
              <w:top w:val="single" w:sz="4" w:space="0" w:color="auto"/>
              <w:left w:val="single" w:sz="4" w:space="0" w:color="auto"/>
              <w:bottom w:val="single" w:sz="4" w:space="0" w:color="auto"/>
              <w:right w:val="single" w:sz="4" w:space="0" w:color="auto"/>
            </w:tcBorders>
          </w:tcPr>
          <w:p w14:paraId="548D48EB" w14:textId="77777777" w:rsidR="000A5C34" w:rsidRPr="000A5C34" w:rsidRDefault="000A5C34" w:rsidP="000A5C34">
            <w:pPr>
              <w:pStyle w:val="enumlev1"/>
              <w:tabs>
                <w:tab w:val="left" w:pos="0"/>
              </w:tabs>
              <w:ind w:left="0" w:firstLine="0"/>
              <w:jc w:val="right"/>
              <w:rPr>
                <w:rFonts w:eastAsia="SimSun" w:cs="Calibri"/>
                <w:sz w:val="22"/>
                <w:lang w:val="en-US"/>
              </w:rPr>
            </w:pPr>
          </w:p>
        </w:tc>
        <w:tc>
          <w:tcPr>
            <w:tcW w:w="1391" w:type="dxa"/>
            <w:tcBorders>
              <w:top w:val="single" w:sz="4" w:space="0" w:color="auto"/>
              <w:left w:val="single" w:sz="4" w:space="0" w:color="auto"/>
              <w:bottom w:val="single" w:sz="4" w:space="0" w:color="auto"/>
              <w:right w:val="single" w:sz="4" w:space="0" w:color="auto"/>
            </w:tcBorders>
          </w:tcPr>
          <w:p w14:paraId="4B334533" w14:textId="77777777" w:rsidR="000A5C34" w:rsidRPr="000A5C34" w:rsidRDefault="000A5C34" w:rsidP="000A5C34">
            <w:pPr>
              <w:pStyle w:val="enumlev1"/>
              <w:tabs>
                <w:tab w:val="left" w:pos="0"/>
              </w:tabs>
              <w:ind w:left="0" w:firstLine="0"/>
              <w:jc w:val="right"/>
              <w:rPr>
                <w:rFonts w:eastAsia="SimSun" w:cs="Calibri"/>
                <w:sz w:val="22"/>
                <w:lang w:val="en-US"/>
              </w:rPr>
            </w:pPr>
          </w:p>
        </w:tc>
        <w:tc>
          <w:tcPr>
            <w:tcW w:w="1253" w:type="dxa"/>
            <w:tcBorders>
              <w:top w:val="single" w:sz="4" w:space="0" w:color="auto"/>
              <w:left w:val="single" w:sz="4" w:space="0" w:color="auto"/>
              <w:bottom w:val="single" w:sz="4" w:space="0" w:color="auto"/>
              <w:right w:val="single" w:sz="4" w:space="0" w:color="auto"/>
            </w:tcBorders>
          </w:tcPr>
          <w:p w14:paraId="08F2899A" w14:textId="77777777" w:rsidR="000A5C34" w:rsidRPr="000A5C34" w:rsidRDefault="000A5C34" w:rsidP="000A5C34">
            <w:pPr>
              <w:pStyle w:val="enumlev1"/>
              <w:tabs>
                <w:tab w:val="left" w:pos="0"/>
              </w:tabs>
              <w:ind w:left="0" w:firstLine="0"/>
              <w:jc w:val="right"/>
              <w:rPr>
                <w:rFonts w:eastAsia="SimSun" w:cs="Calibri"/>
                <w:sz w:val="22"/>
                <w:lang w:val="en-US"/>
              </w:rPr>
            </w:pPr>
          </w:p>
        </w:tc>
        <w:tc>
          <w:tcPr>
            <w:tcW w:w="1275" w:type="dxa"/>
            <w:tcBorders>
              <w:top w:val="single" w:sz="4" w:space="0" w:color="auto"/>
              <w:left w:val="single" w:sz="4" w:space="0" w:color="auto"/>
              <w:bottom w:val="single" w:sz="4" w:space="0" w:color="auto"/>
              <w:right w:val="single" w:sz="4" w:space="0" w:color="auto"/>
            </w:tcBorders>
          </w:tcPr>
          <w:p w14:paraId="5B9584C7" w14:textId="77777777" w:rsidR="000A5C34" w:rsidRPr="000A5C34" w:rsidRDefault="000A5C34" w:rsidP="000A5C34">
            <w:pPr>
              <w:pStyle w:val="enumlev1"/>
              <w:tabs>
                <w:tab w:val="left" w:pos="0"/>
              </w:tabs>
              <w:ind w:left="0" w:firstLine="0"/>
              <w:jc w:val="right"/>
              <w:rPr>
                <w:rFonts w:eastAsia="SimSun" w:cs="Calibri"/>
                <w:sz w:val="22"/>
                <w:lang w:val="en-US"/>
              </w:rPr>
            </w:pPr>
          </w:p>
        </w:tc>
      </w:tr>
      <w:tr w:rsidR="000A5C34" w:rsidRPr="000A5C34" w14:paraId="6967F52B" w14:textId="77777777" w:rsidTr="003A64C9">
        <w:trPr>
          <w:jc w:val="center"/>
        </w:trPr>
        <w:tc>
          <w:tcPr>
            <w:tcW w:w="2113" w:type="dxa"/>
            <w:tcBorders>
              <w:top w:val="single" w:sz="4" w:space="0" w:color="auto"/>
              <w:left w:val="single" w:sz="4" w:space="0" w:color="auto"/>
              <w:bottom w:val="single" w:sz="4" w:space="0" w:color="auto"/>
              <w:right w:val="single" w:sz="4" w:space="0" w:color="auto"/>
            </w:tcBorders>
            <w:hideMark/>
          </w:tcPr>
          <w:p w14:paraId="177158D3" w14:textId="77777777" w:rsidR="000A5C34" w:rsidRPr="000A5C34" w:rsidRDefault="000A5C34" w:rsidP="000A5C34">
            <w:pPr>
              <w:pStyle w:val="Tabletext"/>
              <w:rPr>
                <w:rFonts w:eastAsia="SimSun" w:cs="Calibri"/>
                <w:lang w:val="en-US" w:eastAsia="zh-CN"/>
              </w:rPr>
            </w:pPr>
            <w:r w:rsidRPr="000A5C34">
              <w:rPr>
                <w:rFonts w:eastAsia="SimSun" w:cs="Calibri" w:hint="eastAsia"/>
                <w:lang w:val="en-US" w:eastAsia="zh-CN"/>
              </w:rPr>
              <w:t>投资</w:t>
            </w:r>
          </w:p>
        </w:tc>
        <w:tc>
          <w:tcPr>
            <w:tcW w:w="1397" w:type="dxa"/>
            <w:tcBorders>
              <w:top w:val="single" w:sz="4" w:space="0" w:color="auto"/>
              <w:left w:val="single" w:sz="4" w:space="0" w:color="auto"/>
              <w:bottom w:val="single" w:sz="4" w:space="0" w:color="auto"/>
              <w:right w:val="single" w:sz="4" w:space="0" w:color="auto"/>
            </w:tcBorders>
          </w:tcPr>
          <w:p w14:paraId="72696506" w14:textId="77777777" w:rsidR="000A5C34" w:rsidRPr="000A5C34" w:rsidRDefault="000A5C34" w:rsidP="000A5C34">
            <w:pPr>
              <w:pStyle w:val="enumlev1"/>
              <w:tabs>
                <w:tab w:val="left" w:pos="0"/>
              </w:tabs>
              <w:ind w:left="0" w:firstLine="0"/>
              <w:jc w:val="right"/>
              <w:rPr>
                <w:rFonts w:eastAsia="SimSun" w:cs="Calibri"/>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14:paraId="5055973B" w14:textId="50FD4ABB"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95 033</w:t>
            </w:r>
          </w:p>
        </w:tc>
        <w:tc>
          <w:tcPr>
            <w:tcW w:w="1391" w:type="dxa"/>
            <w:tcBorders>
              <w:top w:val="single" w:sz="4" w:space="0" w:color="auto"/>
              <w:left w:val="single" w:sz="4" w:space="0" w:color="auto"/>
              <w:bottom w:val="single" w:sz="4" w:space="0" w:color="auto"/>
              <w:right w:val="single" w:sz="4" w:space="0" w:color="auto"/>
            </w:tcBorders>
            <w:hideMark/>
          </w:tcPr>
          <w:p w14:paraId="7E979C9A" w14:textId="62D3C95B" w:rsidR="000A5C34" w:rsidRPr="000A5C34" w:rsidRDefault="000A5C34" w:rsidP="000A5C34">
            <w:pPr>
              <w:pStyle w:val="enumlev1"/>
              <w:tabs>
                <w:tab w:val="left" w:pos="0"/>
              </w:tabs>
              <w:ind w:left="0" w:firstLine="0"/>
              <w:jc w:val="right"/>
              <w:rPr>
                <w:rFonts w:eastAsia="SimSun" w:cs="Calibri"/>
                <w:sz w:val="22"/>
                <w:lang w:val="en-US"/>
              </w:rPr>
            </w:pPr>
            <w:r w:rsidRPr="00610F4D">
              <w:rPr>
                <w:rFonts w:cs="Calibri"/>
                <w:sz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14:paraId="195FCEE9" w14:textId="4D167400" w:rsidR="000A5C34" w:rsidRPr="000A5C34" w:rsidRDefault="000A5C34" w:rsidP="000A5C34">
            <w:pPr>
              <w:pStyle w:val="enumlev1"/>
              <w:tabs>
                <w:tab w:val="left" w:pos="0"/>
              </w:tabs>
              <w:ind w:left="0" w:firstLine="0"/>
              <w:jc w:val="right"/>
              <w:rPr>
                <w:rFonts w:eastAsia="SimSun" w:cs="Calibri"/>
                <w:sz w:val="22"/>
                <w:lang w:val="en-US"/>
              </w:rPr>
            </w:pPr>
            <w:r w:rsidRPr="00610F4D">
              <w:rPr>
                <w:rFonts w:cs="Calibri"/>
                <w:sz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0B918A01" w14:textId="58FA3F71"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95 033</w:t>
            </w:r>
          </w:p>
        </w:tc>
      </w:tr>
      <w:tr w:rsidR="000A5C34" w:rsidRPr="000A5C34" w14:paraId="583C10E3" w14:textId="77777777" w:rsidTr="003A64C9">
        <w:trPr>
          <w:jc w:val="center"/>
        </w:trPr>
        <w:tc>
          <w:tcPr>
            <w:tcW w:w="2113" w:type="dxa"/>
            <w:tcBorders>
              <w:top w:val="single" w:sz="4" w:space="0" w:color="auto"/>
              <w:left w:val="single" w:sz="4" w:space="0" w:color="auto"/>
              <w:bottom w:val="single" w:sz="4" w:space="0" w:color="auto"/>
              <w:right w:val="single" w:sz="4" w:space="0" w:color="auto"/>
            </w:tcBorders>
            <w:hideMark/>
          </w:tcPr>
          <w:p w14:paraId="54356449" w14:textId="77777777" w:rsidR="000A5C34" w:rsidRPr="000A5C34" w:rsidRDefault="000A5C34" w:rsidP="000A5C34">
            <w:pPr>
              <w:pStyle w:val="Tabletext"/>
              <w:rPr>
                <w:rFonts w:eastAsia="SimSun" w:cs="Calibri"/>
                <w:lang w:val="en-US" w:eastAsia="zh-CN"/>
              </w:rPr>
            </w:pPr>
            <w:r w:rsidRPr="000A5C34">
              <w:rPr>
                <w:rFonts w:eastAsia="SimSun" w:cs="Calibri" w:hint="eastAsia"/>
                <w:lang w:val="en-US" w:eastAsia="zh-CN"/>
              </w:rPr>
              <w:t>现金和现金等价物</w:t>
            </w:r>
          </w:p>
        </w:tc>
        <w:tc>
          <w:tcPr>
            <w:tcW w:w="1397" w:type="dxa"/>
            <w:tcBorders>
              <w:top w:val="single" w:sz="4" w:space="0" w:color="auto"/>
              <w:left w:val="single" w:sz="4" w:space="0" w:color="auto"/>
              <w:bottom w:val="single" w:sz="4" w:space="0" w:color="auto"/>
              <w:right w:val="single" w:sz="4" w:space="0" w:color="auto"/>
            </w:tcBorders>
          </w:tcPr>
          <w:p w14:paraId="1F55336A" w14:textId="77777777" w:rsidR="000A5C34" w:rsidRPr="000A5C34" w:rsidRDefault="000A5C34" w:rsidP="000A5C34">
            <w:pPr>
              <w:pStyle w:val="enumlev1"/>
              <w:tabs>
                <w:tab w:val="left" w:pos="0"/>
              </w:tabs>
              <w:ind w:left="0" w:firstLine="0"/>
              <w:jc w:val="right"/>
              <w:rPr>
                <w:rFonts w:eastAsia="SimSun" w:cs="Calibri"/>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14:paraId="22A23CC1" w14:textId="01277F0D"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130 392</w:t>
            </w:r>
          </w:p>
        </w:tc>
        <w:tc>
          <w:tcPr>
            <w:tcW w:w="1391" w:type="dxa"/>
            <w:tcBorders>
              <w:top w:val="single" w:sz="4" w:space="0" w:color="auto"/>
              <w:left w:val="single" w:sz="4" w:space="0" w:color="auto"/>
              <w:bottom w:val="single" w:sz="4" w:space="0" w:color="auto"/>
              <w:right w:val="single" w:sz="4" w:space="0" w:color="auto"/>
            </w:tcBorders>
            <w:hideMark/>
          </w:tcPr>
          <w:p w14:paraId="45018A62" w14:textId="6739119D" w:rsidR="000A5C34" w:rsidRPr="000A5C34" w:rsidRDefault="000A5C34" w:rsidP="000A5C34">
            <w:pPr>
              <w:pStyle w:val="enumlev1"/>
              <w:tabs>
                <w:tab w:val="left" w:pos="0"/>
              </w:tabs>
              <w:ind w:left="0" w:firstLine="0"/>
              <w:jc w:val="right"/>
              <w:rPr>
                <w:rFonts w:eastAsia="SimSun" w:cs="Calibri"/>
                <w:sz w:val="22"/>
                <w:lang w:val="en-US"/>
              </w:rPr>
            </w:pPr>
            <w:r w:rsidRPr="00610F4D">
              <w:rPr>
                <w:rFonts w:cs="Calibri"/>
                <w:sz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14:paraId="6726BC5F" w14:textId="3A84D619" w:rsidR="000A5C34" w:rsidRPr="000A5C34" w:rsidRDefault="000A5C34" w:rsidP="000A5C34">
            <w:pPr>
              <w:pStyle w:val="enumlev1"/>
              <w:tabs>
                <w:tab w:val="left" w:pos="0"/>
              </w:tabs>
              <w:ind w:left="0" w:firstLine="0"/>
              <w:jc w:val="right"/>
              <w:rPr>
                <w:rFonts w:eastAsia="SimSun" w:cs="Calibri"/>
                <w:sz w:val="22"/>
                <w:lang w:val="en-US"/>
              </w:rPr>
            </w:pPr>
            <w:r w:rsidRPr="00610F4D">
              <w:rPr>
                <w:rFonts w:cs="Calibri"/>
                <w:sz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5415827E" w14:textId="6FDBA3A9"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130 392</w:t>
            </w:r>
          </w:p>
        </w:tc>
      </w:tr>
      <w:tr w:rsidR="000A5C34" w:rsidRPr="000A5C34" w14:paraId="45766609" w14:textId="77777777" w:rsidTr="003A64C9">
        <w:trPr>
          <w:jc w:val="center"/>
        </w:trPr>
        <w:tc>
          <w:tcPr>
            <w:tcW w:w="2113" w:type="dxa"/>
            <w:tcBorders>
              <w:top w:val="single" w:sz="4" w:space="0" w:color="auto"/>
              <w:left w:val="single" w:sz="4" w:space="0" w:color="auto"/>
              <w:bottom w:val="single" w:sz="4" w:space="0" w:color="auto"/>
              <w:right w:val="single" w:sz="4" w:space="0" w:color="auto"/>
            </w:tcBorders>
            <w:hideMark/>
          </w:tcPr>
          <w:p w14:paraId="1360AAA3" w14:textId="77777777" w:rsidR="000A5C34" w:rsidRPr="000A5C34" w:rsidRDefault="000A5C34" w:rsidP="000A5C34">
            <w:pPr>
              <w:pStyle w:val="Tabletext"/>
              <w:rPr>
                <w:rFonts w:eastAsia="SimSun" w:cs="Calibri"/>
                <w:b/>
                <w:bCs/>
                <w:lang w:val="en-US" w:eastAsia="zh-CN"/>
              </w:rPr>
            </w:pPr>
            <w:r w:rsidRPr="000A5C34">
              <w:rPr>
                <w:rFonts w:eastAsia="SimSun" w:cs="Calibri" w:hint="eastAsia"/>
                <w:b/>
                <w:bCs/>
                <w:lang w:val="en-US" w:eastAsia="zh-CN"/>
              </w:rPr>
              <w:t>金融资产合计</w:t>
            </w:r>
          </w:p>
        </w:tc>
        <w:tc>
          <w:tcPr>
            <w:tcW w:w="1397" w:type="dxa"/>
            <w:tcBorders>
              <w:top w:val="single" w:sz="4" w:space="0" w:color="auto"/>
              <w:left w:val="single" w:sz="4" w:space="0" w:color="auto"/>
              <w:bottom w:val="single" w:sz="4" w:space="0" w:color="auto"/>
              <w:right w:val="single" w:sz="4" w:space="0" w:color="auto"/>
            </w:tcBorders>
          </w:tcPr>
          <w:p w14:paraId="7E7EDE57" w14:textId="77777777" w:rsidR="000A5C34" w:rsidRPr="000A5C34" w:rsidRDefault="000A5C34" w:rsidP="000A5C34">
            <w:pPr>
              <w:pStyle w:val="enumlev1"/>
              <w:tabs>
                <w:tab w:val="left" w:pos="0"/>
              </w:tabs>
              <w:ind w:left="0" w:firstLine="0"/>
              <w:jc w:val="right"/>
              <w:rPr>
                <w:rFonts w:eastAsia="SimSun" w:cs="Calibri"/>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14:paraId="6424B979" w14:textId="3EA7D2B7"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225 425</w:t>
            </w:r>
          </w:p>
        </w:tc>
        <w:tc>
          <w:tcPr>
            <w:tcW w:w="1391" w:type="dxa"/>
            <w:tcBorders>
              <w:top w:val="single" w:sz="4" w:space="0" w:color="auto"/>
              <w:left w:val="single" w:sz="4" w:space="0" w:color="auto"/>
              <w:bottom w:val="single" w:sz="4" w:space="0" w:color="auto"/>
              <w:right w:val="single" w:sz="4" w:space="0" w:color="auto"/>
            </w:tcBorders>
            <w:hideMark/>
          </w:tcPr>
          <w:p w14:paraId="6FEC392F" w14:textId="14DE033F" w:rsidR="000A5C34" w:rsidRPr="000A5C34" w:rsidRDefault="000A5C34" w:rsidP="000A5C34">
            <w:pPr>
              <w:pStyle w:val="enumlev1"/>
              <w:tabs>
                <w:tab w:val="left" w:pos="0"/>
              </w:tabs>
              <w:ind w:left="0" w:firstLine="0"/>
              <w:jc w:val="right"/>
              <w:rPr>
                <w:rFonts w:eastAsia="SimSun" w:cs="Calibri"/>
                <w:sz w:val="22"/>
                <w:lang w:val="en-US"/>
              </w:rPr>
            </w:pPr>
            <w:r w:rsidRPr="00610F4D">
              <w:rPr>
                <w:rFonts w:cs="Calibri"/>
                <w:sz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14:paraId="545AC54C" w14:textId="451058EB" w:rsidR="000A5C34" w:rsidRPr="000A5C34" w:rsidRDefault="000A5C34" w:rsidP="000A5C34">
            <w:pPr>
              <w:pStyle w:val="enumlev1"/>
              <w:tabs>
                <w:tab w:val="left" w:pos="0"/>
              </w:tabs>
              <w:ind w:left="0" w:firstLine="0"/>
              <w:jc w:val="right"/>
              <w:rPr>
                <w:rFonts w:eastAsia="SimSun" w:cs="Calibri"/>
                <w:sz w:val="22"/>
                <w:lang w:val="en-US"/>
              </w:rPr>
            </w:pPr>
            <w:r w:rsidRPr="00610F4D">
              <w:rPr>
                <w:rFonts w:cs="Calibri"/>
                <w:sz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394FCCF3" w14:textId="35FE2D37"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225 425</w:t>
            </w:r>
          </w:p>
        </w:tc>
      </w:tr>
      <w:tr w:rsidR="000A5C34" w:rsidRPr="000A5C34" w14:paraId="1B25AECB" w14:textId="77777777" w:rsidTr="003A64C9">
        <w:trPr>
          <w:jc w:val="center"/>
        </w:trPr>
        <w:tc>
          <w:tcPr>
            <w:tcW w:w="2113" w:type="dxa"/>
            <w:tcBorders>
              <w:top w:val="single" w:sz="4" w:space="0" w:color="auto"/>
              <w:left w:val="single" w:sz="4" w:space="0" w:color="auto"/>
              <w:bottom w:val="single" w:sz="4" w:space="0" w:color="auto"/>
              <w:right w:val="single" w:sz="4" w:space="0" w:color="auto"/>
            </w:tcBorders>
            <w:hideMark/>
          </w:tcPr>
          <w:p w14:paraId="6A35465A" w14:textId="77777777" w:rsidR="000A5C34" w:rsidRPr="000A5C34" w:rsidRDefault="000A5C34" w:rsidP="000A5C34">
            <w:pPr>
              <w:pStyle w:val="Tabletext"/>
              <w:rPr>
                <w:rFonts w:eastAsia="SimSun" w:cs="Calibri"/>
                <w:b/>
                <w:bCs/>
                <w:lang w:val="en-US" w:eastAsia="zh-CN"/>
              </w:rPr>
            </w:pPr>
            <w:r w:rsidRPr="000A5C34">
              <w:rPr>
                <w:rFonts w:eastAsia="SimSun" w:cs="Calibri" w:hint="eastAsia"/>
                <w:b/>
                <w:bCs/>
                <w:lang w:val="en-US" w:eastAsia="zh-CN"/>
              </w:rPr>
              <w:t>金融负债</w:t>
            </w:r>
          </w:p>
        </w:tc>
        <w:tc>
          <w:tcPr>
            <w:tcW w:w="1397" w:type="dxa"/>
            <w:tcBorders>
              <w:top w:val="single" w:sz="4" w:space="0" w:color="auto"/>
              <w:left w:val="single" w:sz="4" w:space="0" w:color="auto"/>
              <w:bottom w:val="single" w:sz="4" w:space="0" w:color="auto"/>
              <w:right w:val="single" w:sz="4" w:space="0" w:color="auto"/>
            </w:tcBorders>
          </w:tcPr>
          <w:p w14:paraId="18D8D7CB" w14:textId="77777777" w:rsidR="000A5C34" w:rsidRPr="000A5C34" w:rsidRDefault="000A5C34" w:rsidP="000A5C34">
            <w:pPr>
              <w:pStyle w:val="enumlev1"/>
              <w:tabs>
                <w:tab w:val="left" w:pos="0"/>
              </w:tabs>
              <w:ind w:left="0" w:firstLine="0"/>
              <w:jc w:val="right"/>
              <w:rPr>
                <w:rFonts w:eastAsia="SimSun" w:cs="Calibri"/>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tcPr>
          <w:p w14:paraId="51DB4C34" w14:textId="77777777" w:rsidR="000A5C34" w:rsidRPr="000A5C34" w:rsidRDefault="000A5C34" w:rsidP="000A5C34">
            <w:pPr>
              <w:pStyle w:val="enumlev1"/>
              <w:tabs>
                <w:tab w:val="left" w:pos="0"/>
              </w:tabs>
              <w:ind w:left="0" w:firstLine="0"/>
              <w:jc w:val="right"/>
              <w:rPr>
                <w:rFonts w:eastAsia="SimSun" w:cs="Calibri"/>
                <w:sz w:val="22"/>
                <w:lang w:val="en-US"/>
              </w:rPr>
            </w:pPr>
          </w:p>
        </w:tc>
        <w:tc>
          <w:tcPr>
            <w:tcW w:w="1391" w:type="dxa"/>
            <w:tcBorders>
              <w:top w:val="single" w:sz="4" w:space="0" w:color="auto"/>
              <w:left w:val="single" w:sz="4" w:space="0" w:color="auto"/>
              <w:bottom w:val="single" w:sz="4" w:space="0" w:color="auto"/>
              <w:right w:val="single" w:sz="4" w:space="0" w:color="auto"/>
            </w:tcBorders>
          </w:tcPr>
          <w:p w14:paraId="65074F57" w14:textId="77777777" w:rsidR="000A5C34" w:rsidRPr="000A5C34" w:rsidRDefault="000A5C34" w:rsidP="000A5C34">
            <w:pPr>
              <w:pStyle w:val="enumlev1"/>
              <w:tabs>
                <w:tab w:val="left" w:pos="0"/>
              </w:tabs>
              <w:ind w:left="0" w:firstLine="0"/>
              <w:jc w:val="right"/>
              <w:rPr>
                <w:rFonts w:eastAsia="SimSun" w:cs="Calibri"/>
                <w:sz w:val="22"/>
                <w:lang w:val="en-US"/>
              </w:rPr>
            </w:pPr>
          </w:p>
        </w:tc>
        <w:tc>
          <w:tcPr>
            <w:tcW w:w="1253" w:type="dxa"/>
            <w:tcBorders>
              <w:top w:val="single" w:sz="4" w:space="0" w:color="auto"/>
              <w:left w:val="single" w:sz="4" w:space="0" w:color="auto"/>
              <w:bottom w:val="single" w:sz="4" w:space="0" w:color="auto"/>
              <w:right w:val="single" w:sz="4" w:space="0" w:color="auto"/>
            </w:tcBorders>
          </w:tcPr>
          <w:p w14:paraId="647B9E63" w14:textId="77777777" w:rsidR="000A5C34" w:rsidRPr="000A5C34" w:rsidRDefault="000A5C34" w:rsidP="000A5C34">
            <w:pPr>
              <w:pStyle w:val="enumlev1"/>
              <w:tabs>
                <w:tab w:val="left" w:pos="0"/>
              </w:tabs>
              <w:ind w:left="0" w:firstLine="0"/>
              <w:jc w:val="right"/>
              <w:rPr>
                <w:rFonts w:eastAsia="SimSun" w:cs="Calibri"/>
                <w:sz w:val="22"/>
                <w:lang w:val="en-US"/>
              </w:rPr>
            </w:pPr>
          </w:p>
        </w:tc>
        <w:tc>
          <w:tcPr>
            <w:tcW w:w="1275" w:type="dxa"/>
            <w:tcBorders>
              <w:top w:val="single" w:sz="4" w:space="0" w:color="auto"/>
              <w:left w:val="single" w:sz="4" w:space="0" w:color="auto"/>
              <w:bottom w:val="single" w:sz="4" w:space="0" w:color="auto"/>
              <w:right w:val="single" w:sz="4" w:space="0" w:color="auto"/>
            </w:tcBorders>
          </w:tcPr>
          <w:p w14:paraId="75781760" w14:textId="77777777" w:rsidR="000A5C34" w:rsidRPr="000A5C34" w:rsidRDefault="000A5C34" w:rsidP="000A5C34">
            <w:pPr>
              <w:pStyle w:val="enumlev1"/>
              <w:tabs>
                <w:tab w:val="left" w:pos="0"/>
              </w:tabs>
              <w:ind w:left="0" w:firstLine="0"/>
              <w:jc w:val="right"/>
              <w:rPr>
                <w:rFonts w:eastAsia="SimSun" w:cs="Calibri"/>
                <w:sz w:val="22"/>
                <w:lang w:val="en-US"/>
              </w:rPr>
            </w:pPr>
          </w:p>
        </w:tc>
      </w:tr>
      <w:tr w:rsidR="000A5C34" w:rsidRPr="000A5C34" w14:paraId="2247E4E4" w14:textId="77777777" w:rsidTr="003A64C9">
        <w:trPr>
          <w:jc w:val="center"/>
        </w:trPr>
        <w:tc>
          <w:tcPr>
            <w:tcW w:w="2113" w:type="dxa"/>
            <w:tcBorders>
              <w:top w:val="single" w:sz="4" w:space="0" w:color="auto"/>
              <w:left w:val="single" w:sz="4" w:space="0" w:color="auto"/>
              <w:bottom w:val="single" w:sz="4" w:space="0" w:color="auto"/>
              <w:right w:val="single" w:sz="4" w:space="0" w:color="auto"/>
            </w:tcBorders>
            <w:hideMark/>
          </w:tcPr>
          <w:p w14:paraId="0FAF7166" w14:textId="77777777" w:rsidR="000A5C34" w:rsidRPr="000A5C34" w:rsidRDefault="000A5C34" w:rsidP="000A5C34">
            <w:pPr>
              <w:pStyle w:val="Tabletext"/>
              <w:rPr>
                <w:rFonts w:eastAsia="SimSun" w:cs="Calibri"/>
                <w:lang w:val="en-US" w:eastAsia="zh-CN"/>
              </w:rPr>
            </w:pPr>
            <w:r w:rsidRPr="000A5C34">
              <w:rPr>
                <w:rFonts w:eastAsia="SimSun" w:cs="Calibri" w:hint="eastAsia"/>
                <w:lang w:val="en-US" w:eastAsia="zh-CN"/>
              </w:rPr>
              <w:t>借款</w:t>
            </w:r>
          </w:p>
        </w:tc>
        <w:tc>
          <w:tcPr>
            <w:tcW w:w="1397" w:type="dxa"/>
            <w:tcBorders>
              <w:top w:val="single" w:sz="4" w:space="0" w:color="auto"/>
              <w:left w:val="single" w:sz="4" w:space="0" w:color="auto"/>
              <w:bottom w:val="single" w:sz="4" w:space="0" w:color="auto"/>
              <w:right w:val="single" w:sz="4" w:space="0" w:color="auto"/>
            </w:tcBorders>
            <w:hideMark/>
          </w:tcPr>
          <w:p w14:paraId="589E0CC0" w14:textId="7B97C712" w:rsidR="000A5C34" w:rsidRPr="000A5C34" w:rsidRDefault="000A5C34" w:rsidP="000A5C34">
            <w:pPr>
              <w:pStyle w:val="enumlev1"/>
              <w:tabs>
                <w:tab w:val="left" w:pos="0"/>
              </w:tabs>
              <w:ind w:left="0" w:firstLine="0"/>
              <w:jc w:val="right"/>
              <w:rPr>
                <w:rFonts w:eastAsia="SimSun" w:cs="Calibri"/>
                <w:sz w:val="22"/>
                <w:lang w:val="en-US"/>
              </w:rPr>
            </w:pPr>
            <w:r w:rsidRPr="00610F4D">
              <w:rPr>
                <w:rFonts w:cs="Calibri"/>
                <w:sz w:val="22"/>
                <w:lang w:val="en-US"/>
              </w:rPr>
              <w:t>0%</w:t>
            </w:r>
          </w:p>
        </w:tc>
        <w:tc>
          <w:tcPr>
            <w:tcW w:w="1525" w:type="dxa"/>
            <w:tcBorders>
              <w:top w:val="single" w:sz="4" w:space="0" w:color="auto"/>
              <w:left w:val="single" w:sz="4" w:space="0" w:color="auto"/>
              <w:bottom w:val="single" w:sz="4" w:space="0" w:color="auto"/>
              <w:right w:val="single" w:sz="4" w:space="0" w:color="auto"/>
            </w:tcBorders>
            <w:hideMark/>
          </w:tcPr>
          <w:p w14:paraId="425C1284" w14:textId="322F5848" w:rsidR="000A5C34" w:rsidRPr="000A5C34" w:rsidRDefault="000A5C34" w:rsidP="000A5C34">
            <w:pPr>
              <w:pStyle w:val="enumlev1"/>
              <w:tabs>
                <w:tab w:val="left" w:pos="0"/>
              </w:tabs>
              <w:ind w:left="0" w:firstLine="0"/>
              <w:jc w:val="right"/>
              <w:rPr>
                <w:rFonts w:eastAsia="SimSun" w:cs="Calibri"/>
                <w:sz w:val="22"/>
                <w:lang w:val="en-US"/>
              </w:rPr>
            </w:pPr>
            <w:r w:rsidRPr="00610F4D">
              <w:rPr>
                <w:rFonts w:cs="Calibri"/>
                <w:sz w:val="22"/>
                <w:lang w:val="en-US"/>
              </w:rPr>
              <w:t>1</w:t>
            </w:r>
            <w:r>
              <w:rPr>
                <w:rFonts w:cs="Calibri"/>
                <w:sz w:val="22"/>
                <w:lang w:val="en-US"/>
              </w:rPr>
              <w:t> 391</w:t>
            </w:r>
          </w:p>
        </w:tc>
        <w:tc>
          <w:tcPr>
            <w:tcW w:w="1391" w:type="dxa"/>
            <w:tcBorders>
              <w:top w:val="single" w:sz="4" w:space="0" w:color="auto"/>
              <w:left w:val="single" w:sz="4" w:space="0" w:color="auto"/>
              <w:bottom w:val="single" w:sz="4" w:space="0" w:color="auto"/>
              <w:right w:val="single" w:sz="4" w:space="0" w:color="auto"/>
            </w:tcBorders>
            <w:hideMark/>
          </w:tcPr>
          <w:p w14:paraId="613F39F4" w14:textId="75C97235"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31 735</w:t>
            </w:r>
          </w:p>
        </w:tc>
        <w:tc>
          <w:tcPr>
            <w:tcW w:w="1253" w:type="dxa"/>
            <w:tcBorders>
              <w:top w:val="single" w:sz="4" w:space="0" w:color="auto"/>
              <w:left w:val="single" w:sz="4" w:space="0" w:color="auto"/>
              <w:bottom w:val="single" w:sz="4" w:space="0" w:color="auto"/>
              <w:right w:val="single" w:sz="4" w:space="0" w:color="auto"/>
            </w:tcBorders>
            <w:hideMark/>
          </w:tcPr>
          <w:p w14:paraId="519F23F9" w14:textId="4BFD557B"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20 256</w:t>
            </w:r>
          </w:p>
        </w:tc>
        <w:tc>
          <w:tcPr>
            <w:tcW w:w="1275" w:type="dxa"/>
            <w:tcBorders>
              <w:top w:val="single" w:sz="4" w:space="0" w:color="auto"/>
              <w:left w:val="single" w:sz="4" w:space="0" w:color="auto"/>
              <w:bottom w:val="single" w:sz="4" w:space="0" w:color="auto"/>
              <w:right w:val="single" w:sz="4" w:space="0" w:color="auto"/>
            </w:tcBorders>
            <w:hideMark/>
          </w:tcPr>
          <w:p w14:paraId="6133FB98" w14:textId="364FB16E"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53 382</w:t>
            </w:r>
          </w:p>
        </w:tc>
      </w:tr>
      <w:tr w:rsidR="000A5C34" w:rsidRPr="000A5C34" w14:paraId="448EA842" w14:textId="77777777" w:rsidTr="003A64C9">
        <w:trPr>
          <w:jc w:val="center"/>
        </w:trPr>
        <w:tc>
          <w:tcPr>
            <w:tcW w:w="2113" w:type="dxa"/>
            <w:tcBorders>
              <w:top w:val="single" w:sz="4" w:space="0" w:color="auto"/>
              <w:left w:val="single" w:sz="4" w:space="0" w:color="auto"/>
              <w:bottom w:val="single" w:sz="4" w:space="0" w:color="auto"/>
              <w:right w:val="single" w:sz="4" w:space="0" w:color="auto"/>
            </w:tcBorders>
            <w:hideMark/>
          </w:tcPr>
          <w:p w14:paraId="3B24BD2B" w14:textId="77777777" w:rsidR="000A5C34" w:rsidRPr="000A5C34" w:rsidRDefault="000A5C34" w:rsidP="000A5C34">
            <w:pPr>
              <w:pStyle w:val="Tabletext"/>
              <w:rPr>
                <w:rFonts w:eastAsia="SimSun" w:cs="Calibri"/>
                <w:b/>
                <w:bCs/>
                <w:lang w:val="en-US" w:eastAsia="zh-CN"/>
              </w:rPr>
            </w:pPr>
            <w:r w:rsidRPr="000A5C34">
              <w:rPr>
                <w:rFonts w:eastAsia="SimSun" w:cs="Calibri" w:hint="eastAsia"/>
                <w:b/>
                <w:bCs/>
                <w:lang w:val="en-US" w:eastAsia="zh-CN"/>
              </w:rPr>
              <w:t>负债合计</w:t>
            </w:r>
          </w:p>
        </w:tc>
        <w:tc>
          <w:tcPr>
            <w:tcW w:w="1397" w:type="dxa"/>
            <w:tcBorders>
              <w:top w:val="single" w:sz="4" w:space="0" w:color="auto"/>
              <w:left w:val="single" w:sz="4" w:space="0" w:color="auto"/>
              <w:bottom w:val="single" w:sz="4" w:space="0" w:color="auto"/>
              <w:right w:val="single" w:sz="4" w:space="0" w:color="auto"/>
            </w:tcBorders>
          </w:tcPr>
          <w:p w14:paraId="0B79F942" w14:textId="77777777" w:rsidR="000A5C34" w:rsidRPr="000A5C34" w:rsidRDefault="000A5C34" w:rsidP="000A5C34">
            <w:pPr>
              <w:pStyle w:val="enumlev1"/>
              <w:tabs>
                <w:tab w:val="left" w:pos="0"/>
              </w:tabs>
              <w:ind w:left="0" w:firstLine="0"/>
              <w:jc w:val="right"/>
              <w:rPr>
                <w:rFonts w:eastAsia="SimSun" w:cs="Calibri"/>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14:paraId="615C1C43" w14:textId="58E701B0" w:rsidR="000A5C34" w:rsidRPr="000A5C34" w:rsidRDefault="000A5C34" w:rsidP="000A5C34">
            <w:pPr>
              <w:pStyle w:val="enumlev1"/>
              <w:tabs>
                <w:tab w:val="left" w:pos="0"/>
              </w:tabs>
              <w:ind w:left="0" w:firstLine="0"/>
              <w:jc w:val="right"/>
              <w:rPr>
                <w:rFonts w:eastAsia="SimSun" w:cs="Calibri"/>
                <w:sz w:val="22"/>
                <w:lang w:val="en-US"/>
              </w:rPr>
            </w:pPr>
            <w:r w:rsidRPr="00610F4D">
              <w:rPr>
                <w:rFonts w:cs="Calibri"/>
                <w:sz w:val="22"/>
                <w:lang w:val="en-US"/>
              </w:rPr>
              <w:t>1</w:t>
            </w:r>
            <w:r>
              <w:rPr>
                <w:rFonts w:cs="Calibri"/>
                <w:sz w:val="22"/>
                <w:lang w:val="en-US"/>
              </w:rPr>
              <w:t> 391</w:t>
            </w:r>
          </w:p>
        </w:tc>
        <w:tc>
          <w:tcPr>
            <w:tcW w:w="1391" w:type="dxa"/>
            <w:tcBorders>
              <w:top w:val="single" w:sz="4" w:space="0" w:color="auto"/>
              <w:left w:val="single" w:sz="4" w:space="0" w:color="auto"/>
              <w:bottom w:val="single" w:sz="4" w:space="0" w:color="auto"/>
              <w:right w:val="single" w:sz="4" w:space="0" w:color="auto"/>
            </w:tcBorders>
            <w:hideMark/>
          </w:tcPr>
          <w:p w14:paraId="25B51487" w14:textId="62AF8574"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31 735</w:t>
            </w:r>
          </w:p>
        </w:tc>
        <w:tc>
          <w:tcPr>
            <w:tcW w:w="1253" w:type="dxa"/>
            <w:tcBorders>
              <w:top w:val="single" w:sz="4" w:space="0" w:color="auto"/>
              <w:left w:val="single" w:sz="4" w:space="0" w:color="auto"/>
              <w:bottom w:val="single" w:sz="4" w:space="0" w:color="auto"/>
              <w:right w:val="single" w:sz="4" w:space="0" w:color="auto"/>
            </w:tcBorders>
            <w:hideMark/>
          </w:tcPr>
          <w:p w14:paraId="2EE13EE2" w14:textId="430C3003"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20 256</w:t>
            </w:r>
          </w:p>
        </w:tc>
        <w:tc>
          <w:tcPr>
            <w:tcW w:w="1275" w:type="dxa"/>
            <w:tcBorders>
              <w:top w:val="single" w:sz="4" w:space="0" w:color="auto"/>
              <w:left w:val="single" w:sz="4" w:space="0" w:color="auto"/>
              <w:bottom w:val="single" w:sz="4" w:space="0" w:color="auto"/>
              <w:right w:val="single" w:sz="4" w:space="0" w:color="auto"/>
            </w:tcBorders>
            <w:hideMark/>
          </w:tcPr>
          <w:p w14:paraId="123634A7" w14:textId="10765218" w:rsidR="000A5C34" w:rsidRPr="000A5C34" w:rsidRDefault="000A5C34" w:rsidP="000A5C34">
            <w:pPr>
              <w:pStyle w:val="enumlev1"/>
              <w:tabs>
                <w:tab w:val="left" w:pos="0"/>
              </w:tabs>
              <w:ind w:left="0" w:firstLine="0"/>
              <w:jc w:val="right"/>
              <w:rPr>
                <w:rFonts w:eastAsia="SimSun" w:cs="Calibri"/>
                <w:sz w:val="22"/>
                <w:lang w:val="en-US"/>
              </w:rPr>
            </w:pPr>
            <w:r>
              <w:rPr>
                <w:rFonts w:cs="Calibri"/>
                <w:sz w:val="22"/>
                <w:lang w:val="en-US"/>
              </w:rPr>
              <w:t>53.382</w:t>
            </w:r>
          </w:p>
        </w:tc>
      </w:tr>
    </w:tbl>
    <w:p w14:paraId="2FD9D1A8" w14:textId="77777777" w:rsidR="0085433F" w:rsidRPr="000C156A" w:rsidRDefault="0085433F" w:rsidP="0085433F">
      <w:pPr>
        <w:pStyle w:val="Heading1"/>
        <w:rPr>
          <w:sz w:val="24"/>
          <w:szCs w:val="24"/>
          <w:lang w:val="fr-FR"/>
        </w:rPr>
      </w:pPr>
      <w:bookmarkStart w:id="565" w:name="_Toc482892564"/>
      <w:bookmarkStart w:id="566" w:name="_Toc482870829"/>
      <w:bookmarkStart w:id="567" w:name="_Toc329165780"/>
      <w:bookmarkStart w:id="568" w:name="_Toc305594738"/>
      <w:bookmarkStart w:id="569" w:name="_Toc511813747"/>
      <w:bookmarkStart w:id="570" w:name="_Toc511817830"/>
      <w:bookmarkStart w:id="571" w:name="_Toc520280730"/>
      <w:bookmarkStart w:id="572" w:name="_Toc10536825"/>
      <w:bookmarkStart w:id="573" w:name="_Toc41905866"/>
      <w:bookmarkStart w:id="574" w:name="_Toc41906895"/>
      <w:bookmarkStart w:id="575" w:name="_Toc41907976"/>
      <w:bookmarkStart w:id="576" w:name="_Toc41908044"/>
      <w:bookmarkStart w:id="577" w:name="_Toc73518682"/>
      <w:bookmarkStart w:id="578" w:name="_Toc73518829"/>
      <w:bookmarkStart w:id="579" w:name="_Toc73519229"/>
      <w:bookmarkStart w:id="580" w:name="_Toc110263992"/>
      <w:bookmarkStart w:id="581" w:name="_Toc110264071"/>
      <w:bookmarkStart w:id="582" w:name="_Toc110265710"/>
      <w:bookmarkStart w:id="583" w:name="_Toc110330080"/>
      <w:bookmarkStart w:id="584" w:name="_Toc110330245"/>
      <w:r w:rsidRPr="000C156A">
        <w:rPr>
          <w:rFonts w:cs="Microsoft YaHei" w:hint="eastAsia"/>
          <w:sz w:val="24"/>
          <w:szCs w:val="24"/>
          <w:lang w:val="fr-FR"/>
        </w:rPr>
        <w:t>说明</w:t>
      </w:r>
      <w:r w:rsidRPr="000C156A">
        <w:rPr>
          <w:sz w:val="24"/>
          <w:szCs w:val="24"/>
          <w:lang w:val="fr-FR"/>
        </w:rPr>
        <w:t>5</w:t>
      </w:r>
      <w:r w:rsidRPr="000C156A">
        <w:rPr>
          <w:sz w:val="24"/>
          <w:szCs w:val="24"/>
          <w:lang w:val="fr-FR"/>
        </w:rPr>
        <w:tab/>
      </w:r>
      <w:r w:rsidRPr="000C156A">
        <w:rPr>
          <w:rFonts w:cs="Microsoft YaHei" w:hint="eastAsia"/>
          <w:sz w:val="24"/>
          <w:szCs w:val="24"/>
          <w:lang w:val="fr-FR"/>
        </w:rPr>
        <w:t>判定和会计估算</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524CE02A" w14:textId="77777777" w:rsidR="0085433F" w:rsidRPr="000C156A" w:rsidRDefault="0085433F" w:rsidP="0085433F">
      <w:pPr>
        <w:ind w:firstLineChars="200" w:firstLine="480"/>
        <w:rPr>
          <w:lang w:eastAsia="zh-CN"/>
        </w:rPr>
      </w:pPr>
      <w:r w:rsidRPr="000C156A">
        <w:rPr>
          <w:rFonts w:hint="eastAsia"/>
          <w:lang w:eastAsia="zh-CN"/>
        </w:rPr>
        <w:t>按照</w:t>
      </w:r>
      <w:r w:rsidRPr="000C156A">
        <w:rPr>
          <w:lang w:val="fr-FR" w:eastAsia="zh-CN"/>
        </w:rPr>
        <w:t>IPSAS</w:t>
      </w:r>
      <w:r w:rsidRPr="000C156A">
        <w:rPr>
          <w:rFonts w:hint="eastAsia"/>
          <w:lang w:eastAsia="zh-CN"/>
        </w:rPr>
        <w:t>制定财务报表要求使用一方面对在资产负债表制定当天时所披露的资产和负债数额及或有资产和承付款项披露具有影响、另一方面又对会计期间收入和费用数额具有影响的估算和</w:t>
      </w:r>
      <w:r w:rsidRPr="000C156A">
        <w:rPr>
          <w:lang w:val="fr-FR" w:eastAsia="zh-CN"/>
        </w:rPr>
        <w:t>/</w:t>
      </w:r>
      <w:r w:rsidRPr="000C156A">
        <w:rPr>
          <w:rFonts w:hint="eastAsia"/>
          <w:lang w:eastAsia="zh-CN"/>
        </w:rPr>
        <w:t>或假设。虽然估算以此前经验和在现行情况下被认为合理的各种因素为基础，但实际得到的结果可能与在做出估算时预测的结果不尽相同。</w:t>
      </w:r>
    </w:p>
    <w:p w14:paraId="6A4085B2" w14:textId="77777777" w:rsidR="0085433F" w:rsidRPr="000C156A" w:rsidRDefault="0085433F" w:rsidP="0085433F">
      <w:pPr>
        <w:ind w:firstLineChars="200" w:firstLine="480"/>
        <w:rPr>
          <w:lang w:eastAsia="zh-CN"/>
        </w:rPr>
      </w:pPr>
      <w:r w:rsidRPr="000C156A">
        <w:rPr>
          <w:rFonts w:hint="eastAsia"/>
          <w:lang w:eastAsia="zh-CN"/>
        </w:rPr>
        <w:lastRenderedPageBreak/>
        <w:t>下列方面是需要在很大程度上予以判定和十分复杂的方面，亦或在这些方面做出的假设和估算对财务报表的制定带来了负面影响：</w:t>
      </w:r>
    </w:p>
    <w:p w14:paraId="4855E0B8"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离职后福利，主要涉及离职后健康保险计划；</w:t>
      </w:r>
    </w:p>
    <w:p w14:paraId="219AD1A1"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固定资产使用寿命及其可能的价值减损；</w:t>
      </w:r>
    </w:p>
    <w:p w14:paraId="4B68DEB6"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应收款项准备金；</w:t>
      </w:r>
    </w:p>
    <w:p w14:paraId="1134C210"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库存出版物的销售概率；</w:t>
      </w:r>
    </w:p>
    <w:p w14:paraId="3005A067" w14:textId="77777777" w:rsidR="0085433F" w:rsidRPr="000C156A" w:rsidRDefault="0085433F" w:rsidP="0085433F">
      <w:pPr>
        <w:pStyle w:val="enumlev1"/>
        <w:rPr>
          <w:lang w:eastAsia="zh-CN"/>
        </w:rPr>
      </w:pPr>
      <w:r w:rsidRPr="000C156A">
        <w:rPr>
          <w:lang w:eastAsia="zh-CN"/>
        </w:rPr>
        <w:t>•</w:t>
      </w:r>
      <w:r w:rsidRPr="000C156A">
        <w:rPr>
          <w:lang w:eastAsia="zh-CN"/>
        </w:rPr>
        <w:tab/>
      </w:r>
      <w:r w:rsidRPr="000C156A">
        <w:rPr>
          <w:rFonts w:hint="eastAsia"/>
          <w:lang w:eastAsia="zh-CN"/>
        </w:rPr>
        <w:t>卫星网络申报的递延收入。</w:t>
      </w:r>
    </w:p>
    <w:p w14:paraId="62E758EC" w14:textId="77777777" w:rsidR="0085433F" w:rsidRPr="000C156A" w:rsidRDefault="0085433F" w:rsidP="0085433F">
      <w:pPr>
        <w:pStyle w:val="Heading1"/>
        <w:spacing w:before="240" w:after="120"/>
        <w:rPr>
          <w:rFonts w:cs="Microsoft YaHei"/>
          <w:sz w:val="24"/>
          <w:szCs w:val="24"/>
          <w:lang w:val="fr-FR"/>
        </w:rPr>
      </w:pPr>
      <w:bookmarkStart w:id="585" w:name="_Toc305594740"/>
      <w:bookmarkStart w:id="586" w:name="_Toc482892565"/>
      <w:bookmarkStart w:id="587" w:name="_Toc482870830"/>
      <w:bookmarkStart w:id="588" w:name="_Toc329165781"/>
      <w:bookmarkStart w:id="589" w:name="_Toc511813748"/>
      <w:bookmarkStart w:id="590" w:name="_Toc511817831"/>
      <w:bookmarkStart w:id="591" w:name="_Toc520280731"/>
      <w:bookmarkStart w:id="592" w:name="_Toc10536826"/>
      <w:bookmarkStart w:id="593" w:name="_Toc41905867"/>
      <w:bookmarkStart w:id="594" w:name="_Toc41906896"/>
      <w:bookmarkStart w:id="595" w:name="_Toc41907977"/>
      <w:bookmarkStart w:id="596" w:name="_Toc41908045"/>
      <w:bookmarkStart w:id="597" w:name="_Toc73518683"/>
      <w:bookmarkStart w:id="598" w:name="_Toc73518830"/>
      <w:bookmarkStart w:id="599" w:name="_Toc73519230"/>
      <w:bookmarkStart w:id="600" w:name="_Toc110263993"/>
      <w:bookmarkStart w:id="601" w:name="_Toc110264072"/>
      <w:bookmarkStart w:id="602" w:name="_Toc110265711"/>
      <w:bookmarkStart w:id="603" w:name="_Toc110330081"/>
      <w:bookmarkStart w:id="604" w:name="_Toc110330246"/>
      <w:r w:rsidRPr="000C156A">
        <w:rPr>
          <w:rFonts w:cs="Microsoft YaHei" w:hint="eastAsia"/>
          <w:sz w:val="24"/>
          <w:szCs w:val="24"/>
          <w:lang w:val="fr-FR"/>
        </w:rPr>
        <w:t>说明</w:t>
      </w:r>
      <w:r w:rsidRPr="000C156A">
        <w:rPr>
          <w:rFonts w:cs="Microsoft YaHei"/>
          <w:sz w:val="24"/>
          <w:szCs w:val="24"/>
          <w:lang w:val="fr-FR"/>
        </w:rPr>
        <w:t>6</w:t>
      </w:r>
      <w:r w:rsidRPr="000C156A">
        <w:rPr>
          <w:rFonts w:cs="Microsoft YaHei"/>
          <w:sz w:val="24"/>
          <w:szCs w:val="24"/>
          <w:lang w:val="fr-FR"/>
        </w:rPr>
        <w:tab/>
      </w:r>
      <w:r w:rsidRPr="000C156A">
        <w:rPr>
          <w:rFonts w:cs="Microsoft YaHei" w:hint="eastAsia"/>
          <w:sz w:val="24"/>
          <w:szCs w:val="24"/>
          <w:lang w:val="fr-FR"/>
        </w:rPr>
        <w:t>现金和现金</w:t>
      </w:r>
      <w:bookmarkEnd w:id="585"/>
      <w:r w:rsidRPr="000C156A">
        <w:rPr>
          <w:rFonts w:cs="Microsoft YaHei" w:hint="eastAsia"/>
          <w:sz w:val="24"/>
          <w:szCs w:val="24"/>
          <w:lang w:val="fr-FR"/>
        </w:rPr>
        <w:t>等价物</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tbl>
      <w:tblPr>
        <w:tblW w:w="5000" w:type="pct"/>
        <w:tblLook w:val="04A0" w:firstRow="1" w:lastRow="0" w:firstColumn="1" w:lastColumn="0" w:noHBand="0" w:noVBand="1"/>
      </w:tblPr>
      <w:tblGrid>
        <w:gridCol w:w="4489"/>
        <w:gridCol w:w="2519"/>
        <w:gridCol w:w="2621"/>
      </w:tblGrid>
      <w:tr w:rsidR="0085433F" w:rsidRPr="000C156A" w14:paraId="4EE36524" w14:textId="77777777" w:rsidTr="003A64C9">
        <w:trPr>
          <w:trHeight w:val="499"/>
        </w:trPr>
        <w:tc>
          <w:tcPr>
            <w:tcW w:w="2331" w:type="pct"/>
            <w:tcBorders>
              <w:top w:val="single" w:sz="4" w:space="0" w:color="auto"/>
              <w:left w:val="single" w:sz="4" w:space="0" w:color="auto"/>
              <w:bottom w:val="single" w:sz="4" w:space="0" w:color="auto"/>
              <w:right w:val="single" w:sz="4" w:space="0" w:color="auto"/>
            </w:tcBorders>
            <w:vAlign w:val="center"/>
          </w:tcPr>
          <w:p w14:paraId="604B36D7" w14:textId="77777777" w:rsidR="0085433F" w:rsidRPr="000C156A" w:rsidRDefault="0085433F" w:rsidP="003A64C9">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hint="eastAsia"/>
                <w:sz w:val="22"/>
                <w:szCs w:val="22"/>
                <w:lang w:val="en-US"/>
              </w:rPr>
              <w:t>单位：千瑞郎</w:t>
            </w:r>
          </w:p>
        </w:tc>
        <w:tc>
          <w:tcPr>
            <w:tcW w:w="1308" w:type="pct"/>
            <w:tcBorders>
              <w:top w:val="single" w:sz="4" w:space="0" w:color="auto"/>
              <w:left w:val="nil"/>
              <w:bottom w:val="single" w:sz="4" w:space="0" w:color="auto"/>
              <w:right w:val="single" w:sz="4" w:space="0" w:color="auto"/>
            </w:tcBorders>
            <w:shd w:val="clear" w:color="auto" w:fill="auto"/>
            <w:noWrap/>
            <w:vAlign w:val="center"/>
            <w:hideMark/>
          </w:tcPr>
          <w:p w14:paraId="4083BF88" w14:textId="71E07BD2" w:rsidR="0085433F" w:rsidRPr="000C156A" w:rsidRDefault="0085433F" w:rsidP="003A64C9">
            <w:pPr>
              <w:pStyle w:val="Tablehead"/>
              <w:jc w:val="right"/>
              <w:rPr>
                <w:rFonts w:asciiTheme="minorHAnsi" w:hAnsiTheme="minorHAnsi" w:cs="Arial"/>
                <w:b w:val="0"/>
                <w:bCs/>
                <w:color w:val="000000"/>
                <w:szCs w:val="22"/>
                <w:lang w:val="en-US" w:eastAsia="zh-CN"/>
              </w:rPr>
            </w:pPr>
            <w:r w:rsidRPr="000C156A">
              <w:rPr>
                <w:szCs w:val="22"/>
                <w:lang w:val="en-US"/>
              </w:rPr>
              <w:t>20</w:t>
            </w:r>
            <w:r w:rsidRPr="000C156A">
              <w:rPr>
                <w:rFonts w:hint="eastAsia"/>
                <w:szCs w:val="22"/>
                <w:lang w:val="en-US"/>
              </w:rPr>
              <w:t>2</w:t>
            </w:r>
            <w:r w:rsidR="00C92E8B">
              <w:rPr>
                <w:szCs w:val="22"/>
                <w:lang w:val="en-US"/>
              </w:rPr>
              <w:t>1</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c>
          <w:tcPr>
            <w:tcW w:w="1361" w:type="pct"/>
            <w:tcBorders>
              <w:top w:val="single" w:sz="4" w:space="0" w:color="auto"/>
              <w:left w:val="nil"/>
              <w:bottom w:val="single" w:sz="4" w:space="0" w:color="auto"/>
              <w:right w:val="single" w:sz="4" w:space="0" w:color="auto"/>
            </w:tcBorders>
            <w:shd w:val="clear" w:color="auto" w:fill="auto"/>
            <w:noWrap/>
            <w:vAlign w:val="center"/>
            <w:hideMark/>
          </w:tcPr>
          <w:p w14:paraId="19578DB0" w14:textId="41FB3909" w:rsidR="0085433F" w:rsidRPr="000C156A" w:rsidRDefault="0085433F" w:rsidP="003A64C9">
            <w:pPr>
              <w:pStyle w:val="Tablehead"/>
              <w:jc w:val="right"/>
              <w:rPr>
                <w:rFonts w:asciiTheme="minorHAnsi" w:hAnsiTheme="minorHAnsi" w:cs="Arial"/>
                <w:b w:val="0"/>
                <w:bCs/>
                <w:color w:val="000000"/>
                <w:szCs w:val="22"/>
                <w:lang w:val="en-US" w:eastAsia="zh-CN"/>
              </w:rPr>
            </w:pPr>
            <w:r w:rsidRPr="000C156A">
              <w:rPr>
                <w:szCs w:val="22"/>
                <w:lang w:val="en-US"/>
              </w:rPr>
              <w:t>20</w:t>
            </w:r>
            <w:r w:rsidR="00C92E8B">
              <w:rPr>
                <w:szCs w:val="22"/>
                <w:lang w:val="en-US"/>
              </w:rPr>
              <w:t>20</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r>
      <w:tr w:rsidR="0085433F" w:rsidRPr="000C156A" w14:paraId="3939F702" w14:textId="77777777" w:rsidTr="003A64C9">
        <w:trPr>
          <w:trHeight w:val="255"/>
        </w:trPr>
        <w:tc>
          <w:tcPr>
            <w:tcW w:w="2331" w:type="pct"/>
            <w:tcBorders>
              <w:top w:val="nil"/>
              <w:left w:val="single" w:sz="4" w:space="0" w:color="auto"/>
              <w:bottom w:val="nil"/>
              <w:right w:val="single" w:sz="4" w:space="0" w:color="auto"/>
            </w:tcBorders>
            <w:vAlign w:val="bottom"/>
          </w:tcPr>
          <w:p w14:paraId="04ABE582" w14:textId="77777777" w:rsidR="0085433F" w:rsidRPr="000C156A" w:rsidRDefault="0085433F" w:rsidP="003A64C9">
            <w:pPr>
              <w:overflowPunct/>
              <w:autoSpaceDE/>
              <w:autoSpaceDN/>
              <w:adjustRightInd/>
              <w:spacing w:before="0"/>
              <w:textAlignment w:val="auto"/>
              <w:rPr>
                <w:rFonts w:asciiTheme="minorHAnsi" w:hAnsiTheme="minorHAnsi" w:cs="Arial"/>
                <w:color w:val="000000"/>
                <w:sz w:val="22"/>
                <w:szCs w:val="22"/>
                <w:lang w:val="en-US" w:eastAsia="zh-CN"/>
              </w:rPr>
            </w:pPr>
          </w:p>
        </w:tc>
        <w:tc>
          <w:tcPr>
            <w:tcW w:w="1308" w:type="pct"/>
            <w:tcBorders>
              <w:top w:val="nil"/>
              <w:left w:val="nil"/>
              <w:bottom w:val="nil"/>
              <w:right w:val="single" w:sz="4" w:space="0" w:color="auto"/>
            </w:tcBorders>
            <w:shd w:val="clear" w:color="auto" w:fill="auto"/>
            <w:noWrap/>
            <w:vAlign w:val="bottom"/>
            <w:hideMark/>
          </w:tcPr>
          <w:p w14:paraId="51904E05" w14:textId="77777777" w:rsidR="0085433F" w:rsidRPr="000C156A" w:rsidRDefault="0085433F" w:rsidP="003A64C9">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c>
          <w:tcPr>
            <w:tcW w:w="1361" w:type="pct"/>
            <w:tcBorders>
              <w:top w:val="single" w:sz="4" w:space="0" w:color="auto"/>
              <w:left w:val="nil"/>
              <w:bottom w:val="nil"/>
              <w:right w:val="single" w:sz="4" w:space="0" w:color="auto"/>
            </w:tcBorders>
            <w:shd w:val="clear" w:color="auto" w:fill="auto"/>
            <w:noWrap/>
            <w:vAlign w:val="bottom"/>
            <w:hideMark/>
          </w:tcPr>
          <w:p w14:paraId="280DEC96" w14:textId="77777777" w:rsidR="0085433F" w:rsidRPr="000C156A" w:rsidRDefault="0085433F" w:rsidP="003A64C9">
            <w:pPr>
              <w:overflowPunct/>
              <w:autoSpaceDE/>
              <w:autoSpaceDN/>
              <w:adjustRightInd/>
              <w:spacing w:before="0"/>
              <w:jc w:val="center"/>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r>
      <w:tr w:rsidR="00C92E8B" w:rsidRPr="000C156A" w14:paraId="22145C3F" w14:textId="77777777" w:rsidTr="00C92E8B">
        <w:trPr>
          <w:trHeight w:val="255"/>
        </w:trPr>
        <w:tc>
          <w:tcPr>
            <w:tcW w:w="2331" w:type="pct"/>
            <w:tcBorders>
              <w:top w:val="nil"/>
              <w:left w:val="single" w:sz="4" w:space="0" w:color="auto"/>
              <w:bottom w:val="nil"/>
              <w:right w:val="single" w:sz="4" w:space="0" w:color="auto"/>
            </w:tcBorders>
            <w:vAlign w:val="bottom"/>
          </w:tcPr>
          <w:p w14:paraId="7FC5CA42" w14:textId="77777777" w:rsidR="00C92E8B" w:rsidRPr="000C156A" w:rsidRDefault="00C92E8B" w:rsidP="00C92E8B">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rPr>
              <w:t>现金（瑞郎）</w:t>
            </w:r>
          </w:p>
        </w:tc>
        <w:tc>
          <w:tcPr>
            <w:tcW w:w="1308" w:type="pct"/>
            <w:tcBorders>
              <w:top w:val="nil"/>
              <w:left w:val="nil"/>
              <w:bottom w:val="nil"/>
              <w:right w:val="single" w:sz="4" w:space="0" w:color="auto"/>
            </w:tcBorders>
            <w:shd w:val="clear" w:color="auto" w:fill="auto"/>
            <w:noWrap/>
            <w:vAlign w:val="bottom"/>
          </w:tcPr>
          <w:p w14:paraId="61ED5191" w14:textId="4C4ADEB1" w:rsidR="00C92E8B" w:rsidRPr="00C92E8B"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92E8B">
              <w:rPr>
                <w:rFonts w:asciiTheme="minorHAnsi" w:hAnsiTheme="minorHAnsi" w:cs="Arial"/>
                <w:color w:val="000000"/>
                <w:sz w:val="22"/>
                <w:szCs w:val="22"/>
                <w:lang w:val="en-US" w:eastAsia="zh-CN"/>
              </w:rPr>
              <w:t>18</w:t>
            </w:r>
          </w:p>
        </w:tc>
        <w:tc>
          <w:tcPr>
            <w:tcW w:w="1361" w:type="pct"/>
            <w:tcBorders>
              <w:top w:val="nil"/>
              <w:left w:val="nil"/>
              <w:bottom w:val="nil"/>
              <w:right w:val="single" w:sz="4" w:space="0" w:color="auto"/>
            </w:tcBorders>
            <w:shd w:val="clear" w:color="auto" w:fill="auto"/>
            <w:noWrap/>
            <w:vAlign w:val="bottom"/>
            <w:hideMark/>
          </w:tcPr>
          <w:p w14:paraId="685F10CC" w14:textId="5BD82327" w:rsidR="00C92E8B" w:rsidRPr="000C156A"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16</w:t>
            </w:r>
          </w:p>
        </w:tc>
      </w:tr>
      <w:tr w:rsidR="00C92E8B" w:rsidRPr="000C156A" w14:paraId="7FA2B41F" w14:textId="77777777" w:rsidTr="00C92E8B">
        <w:trPr>
          <w:trHeight w:val="255"/>
        </w:trPr>
        <w:tc>
          <w:tcPr>
            <w:tcW w:w="2331" w:type="pct"/>
            <w:tcBorders>
              <w:top w:val="nil"/>
              <w:left w:val="single" w:sz="4" w:space="0" w:color="auto"/>
              <w:bottom w:val="nil"/>
              <w:right w:val="single" w:sz="4" w:space="0" w:color="auto"/>
            </w:tcBorders>
          </w:tcPr>
          <w:p w14:paraId="02239337" w14:textId="77777777" w:rsidR="00C92E8B" w:rsidRPr="000C156A" w:rsidRDefault="00C92E8B" w:rsidP="00C92E8B">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rPr>
              <w:t>现金（外币）</w:t>
            </w:r>
          </w:p>
        </w:tc>
        <w:tc>
          <w:tcPr>
            <w:tcW w:w="1308" w:type="pct"/>
            <w:tcBorders>
              <w:top w:val="nil"/>
              <w:left w:val="nil"/>
              <w:bottom w:val="nil"/>
              <w:right w:val="single" w:sz="4" w:space="0" w:color="auto"/>
            </w:tcBorders>
            <w:shd w:val="clear" w:color="auto" w:fill="auto"/>
            <w:noWrap/>
            <w:vAlign w:val="bottom"/>
          </w:tcPr>
          <w:p w14:paraId="29D34C8B" w14:textId="6F4DFB33" w:rsidR="00C92E8B" w:rsidRPr="00C92E8B"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92E8B">
              <w:rPr>
                <w:rFonts w:asciiTheme="minorHAnsi" w:hAnsiTheme="minorHAnsi" w:cs="Arial"/>
                <w:color w:val="000000"/>
                <w:sz w:val="22"/>
                <w:szCs w:val="22"/>
                <w:lang w:val="en-US" w:eastAsia="zh-CN"/>
              </w:rPr>
              <w:t>93</w:t>
            </w:r>
          </w:p>
        </w:tc>
        <w:tc>
          <w:tcPr>
            <w:tcW w:w="1361" w:type="pct"/>
            <w:tcBorders>
              <w:top w:val="nil"/>
              <w:left w:val="nil"/>
              <w:bottom w:val="nil"/>
              <w:right w:val="single" w:sz="4" w:space="0" w:color="auto"/>
            </w:tcBorders>
            <w:shd w:val="clear" w:color="auto" w:fill="auto"/>
            <w:noWrap/>
            <w:vAlign w:val="bottom"/>
            <w:hideMark/>
          </w:tcPr>
          <w:p w14:paraId="2A2C46BE" w14:textId="0540E736" w:rsidR="00C92E8B" w:rsidRPr="000C156A"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85</w:t>
            </w:r>
          </w:p>
        </w:tc>
      </w:tr>
      <w:tr w:rsidR="00C92E8B" w:rsidRPr="000C156A" w14:paraId="2B1DA965" w14:textId="77777777" w:rsidTr="00C92E8B">
        <w:trPr>
          <w:trHeight w:val="255"/>
        </w:trPr>
        <w:tc>
          <w:tcPr>
            <w:tcW w:w="2331" w:type="pct"/>
            <w:tcBorders>
              <w:top w:val="nil"/>
              <w:left w:val="single" w:sz="4" w:space="0" w:color="auto"/>
              <w:bottom w:val="nil"/>
              <w:right w:val="single" w:sz="4" w:space="0" w:color="auto"/>
            </w:tcBorders>
          </w:tcPr>
          <w:p w14:paraId="1FE505F2" w14:textId="77777777" w:rsidR="00C92E8B" w:rsidRPr="000C156A" w:rsidRDefault="00C92E8B" w:rsidP="00C92E8B">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rPr>
              <w:t>邮政账户（瑞郎）</w:t>
            </w:r>
          </w:p>
        </w:tc>
        <w:tc>
          <w:tcPr>
            <w:tcW w:w="1308" w:type="pct"/>
            <w:tcBorders>
              <w:top w:val="nil"/>
              <w:left w:val="nil"/>
              <w:bottom w:val="nil"/>
              <w:right w:val="single" w:sz="4" w:space="0" w:color="auto"/>
            </w:tcBorders>
            <w:shd w:val="clear" w:color="auto" w:fill="auto"/>
            <w:noWrap/>
            <w:vAlign w:val="bottom"/>
          </w:tcPr>
          <w:p w14:paraId="3021D1FB" w14:textId="1DAAB7A2" w:rsidR="00C92E8B" w:rsidRPr="00C92E8B"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92E8B">
              <w:rPr>
                <w:rFonts w:asciiTheme="minorHAnsi" w:hAnsiTheme="minorHAnsi" w:cs="Arial"/>
                <w:color w:val="000000"/>
                <w:sz w:val="22"/>
                <w:szCs w:val="22"/>
                <w:lang w:val="en-US" w:eastAsia="zh-CN"/>
              </w:rPr>
              <w:t>856</w:t>
            </w:r>
          </w:p>
        </w:tc>
        <w:tc>
          <w:tcPr>
            <w:tcW w:w="1361" w:type="pct"/>
            <w:tcBorders>
              <w:top w:val="nil"/>
              <w:left w:val="nil"/>
              <w:bottom w:val="nil"/>
              <w:right w:val="single" w:sz="4" w:space="0" w:color="auto"/>
            </w:tcBorders>
            <w:shd w:val="clear" w:color="auto" w:fill="auto"/>
            <w:noWrap/>
            <w:vAlign w:val="bottom"/>
            <w:hideMark/>
          </w:tcPr>
          <w:p w14:paraId="1C816573" w14:textId="68C824D7" w:rsidR="00C92E8B" w:rsidRPr="000C156A"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842</w:t>
            </w:r>
          </w:p>
        </w:tc>
      </w:tr>
      <w:tr w:rsidR="00C92E8B" w:rsidRPr="000C156A" w14:paraId="2844EDEF" w14:textId="77777777" w:rsidTr="00C92E8B">
        <w:trPr>
          <w:trHeight w:val="255"/>
        </w:trPr>
        <w:tc>
          <w:tcPr>
            <w:tcW w:w="2331" w:type="pct"/>
            <w:tcBorders>
              <w:top w:val="nil"/>
              <w:left w:val="single" w:sz="4" w:space="0" w:color="auto"/>
              <w:bottom w:val="nil"/>
              <w:right w:val="single" w:sz="4" w:space="0" w:color="auto"/>
            </w:tcBorders>
          </w:tcPr>
          <w:p w14:paraId="2BF85F82" w14:textId="77777777" w:rsidR="00C92E8B" w:rsidRPr="000C156A" w:rsidRDefault="00C92E8B" w:rsidP="00C92E8B">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lang w:eastAsia="zh-CN"/>
              </w:rPr>
              <w:t>银行活期存款账户（瑞郎）</w:t>
            </w:r>
          </w:p>
        </w:tc>
        <w:tc>
          <w:tcPr>
            <w:tcW w:w="1308" w:type="pct"/>
            <w:tcBorders>
              <w:top w:val="nil"/>
              <w:left w:val="nil"/>
              <w:bottom w:val="nil"/>
              <w:right w:val="single" w:sz="4" w:space="0" w:color="auto"/>
            </w:tcBorders>
            <w:shd w:val="clear" w:color="auto" w:fill="auto"/>
            <w:noWrap/>
            <w:vAlign w:val="bottom"/>
          </w:tcPr>
          <w:p w14:paraId="7274D391" w14:textId="39538F1A" w:rsidR="00C92E8B" w:rsidRPr="00C92E8B"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92E8B">
              <w:rPr>
                <w:rFonts w:asciiTheme="minorHAnsi" w:hAnsiTheme="minorHAnsi" w:cs="Arial"/>
                <w:color w:val="000000"/>
                <w:sz w:val="22"/>
                <w:szCs w:val="22"/>
                <w:lang w:val="en-US" w:eastAsia="zh-CN"/>
              </w:rPr>
              <w:t>48</w:t>
            </w:r>
            <w:r>
              <w:rPr>
                <w:rFonts w:asciiTheme="minorHAnsi" w:hAnsiTheme="minorHAnsi" w:cs="Arial"/>
                <w:color w:val="000000"/>
                <w:sz w:val="22"/>
                <w:szCs w:val="22"/>
                <w:lang w:val="en-US" w:eastAsia="zh-CN"/>
              </w:rPr>
              <w:t> </w:t>
            </w:r>
            <w:r w:rsidRPr="00C92E8B">
              <w:rPr>
                <w:rFonts w:asciiTheme="minorHAnsi" w:hAnsiTheme="minorHAnsi" w:cs="Arial"/>
                <w:color w:val="000000"/>
                <w:sz w:val="22"/>
                <w:szCs w:val="22"/>
                <w:lang w:val="en-US" w:eastAsia="zh-CN"/>
              </w:rPr>
              <w:t>966</w:t>
            </w:r>
          </w:p>
        </w:tc>
        <w:tc>
          <w:tcPr>
            <w:tcW w:w="1361" w:type="pct"/>
            <w:tcBorders>
              <w:top w:val="nil"/>
              <w:left w:val="nil"/>
              <w:bottom w:val="nil"/>
              <w:right w:val="single" w:sz="4" w:space="0" w:color="auto"/>
            </w:tcBorders>
            <w:shd w:val="clear" w:color="auto" w:fill="auto"/>
            <w:noWrap/>
            <w:vAlign w:val="bottom"/>
            <w:hideMark/>
          </w:tcPr>
          <w:p w14:paraId="06E55D9C" w14:textId="12609D77" w:rsidR="00C92E8B" w:rsidRPr="000C156A"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32 760</w:t>
            </w:r>
          </w:p>
        </w:tc>
      </w:tr>
      <w:tr w:rsidR="00C92E8B" w:rsidRPr="000C156A" w14:paraId="4A06773F" w14:textId="77777777" w:rsidTr="00C92E8B">
        <w:trPr>
          <w:trHeight w:val="255"/>
        </w:trPr>
        <w:tc>
          <w:tcPr>
            <w:tcW w:w="2331" w:type="pct"/>
            <w:tcBorders>
              <w:top w:val="nil"/>
              <w:left w:val="single" w:sz="4" w:space="0" w:color="auto"/>
              <w:bottom w:val="nil"/>
              <w:right w:val="single" w:sz="4" w:space="0" w:color="auto"/>
            </w:tcBorders>
          </w:tcPr>
          <w:p w14:paraId="7768AF81" w14:textId="77777777" w:rsidR="00C92E8B" w:rsidRPr="000C156A" w:rsidRDefault="00C92E8B" w:rsidP="00C92E8B">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lang w:eastAsia="zh-CN"/>
              </w:rPr>
              <w:t>银行活期存款账户（外币）</w:t>
            </w:r>
          </w:p>
        </w:tc>
        <w:tc>
          <w:tcPr>
            <w:tcW w:w="1308" w:type="pct"/>
            <w:tcBorders>
              <w:top w:val="nil"/>
              <w:left w:val="nil"/>
              <w:bottom w:val="nil"/>
              <w:right w:val="single" w:sz="4" w:space="0" w:color="auto"/>
            </w:tcBorders>
            <w:shd w:val="clear" w:color="auto" w:fill="auto"/>
            <w:noWrap/>
            <w:vAlign w:val="bottom"/>
          </w:tcPr>
          <w:p w14:paraId="0621E539" w14:textId="55A5BCB3" w:rsidR="00C92E8B" w:rsidRPr="00C92E8B"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92E8B">
              <w:rPr>
                <w:rFonts w:asciiTheme="minorHAnsi" w:hAnsiTheme="minorHAnsi" w:cs="Arial"/>
                <w:color w:val="000000"/>
                <w:sz w:val="22"/>
                <w:szCs w:val="22"/>
                <w:lang w:val="en-US" w:eastAsia="zh-CN"/>
              </w:rPr>
              <w:t>17</w:t>
            </w:r>
            <w:r>
              <w:rPr>
                <w:rFonts w:asciiTheme="minorHAnsi" w:hAnsiTheme="minorHAnsi" w:cs="Arial"/>
                <w:color w:val="000000"/>
                <w:sz w:val="22"/>
                <w:szCs w:val="22"/>
                <w:lang w:val="en-US" w:eastAsia="zh-CN"/>
              </w:rPr>
              <w:t> </w:t>
            </w:r>
            <w:r w:rsidRPr="00C92E8B">
              <w:rPr>
                <w:rFonts w:asciiTheme="minorHAnsi" w:hAnsiTheme="minorHAnsi" w:cs="Arial"/>
                <w:color w:val="000000"/>
                <w:sz w:val="22"/>
                <w:szCs w:val="22"/>
                <w:lang w:val="en-US" w:eastAsia="zh-CN"/>
              </w:rPr>
              <w:t>705</w:t>
            </w:r>
          </w:p>
        </w:tc>
        <w:tc>
          <w:tcPr>
            <w:tcW w:w="1361" w:type="pct"/>
            <w:tcBorders>
              <w:top w:val="nil"/>
              <w:left w:val="nil"/>
              <w:bottom w:val="nil"/>
              <w:right w:val="single" w:sz="4" w:space="0" w:color="auto"/>
            </w:tcBorders>
            <w:shd w:val="clear" w:color="auto" w:fill="auto"/>
            <w:noWrap/>
            <w:vAlign w:val="bottom"/>
            <w:hideMark/>
          </w:tcPr>
          <w:p w14:paraId="5D636AD6" w14:textId="6136A9CE" w:rsidR="00C92E8B" w:rsidRPr="000C156A"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9 731</w:t>
            </w:r>
          </w:p>
        </w:tc>
      </w:tr>
      <w:tr w:rsidR="00C92E8B" w:rsidRPr="000C156A" w14:paraId="71DCFEC2" w14:textId="77777777" w:rsidTr="00C92E8B">
        <w:trPr>
          <w:trHeight w:val="255"/>
        </w:trPr>
        <w:tc>
          <w:tcPr>
            <w:tcW w:w="2331" w:type="pct"/>
            <w:tcBorders>
              <w:top w:val="nil"/>
              <w:left w:val="single" w:sz="4" w:space="0" w:color="auto"/>
              <w:bottom w:val="nil"/>
              <w:right w:val="single" w:sz="4" w:space="0" w:color="auto"/>
            </w:tcBorders>
          </w:tcPr>
          <w:p w14:paraId="75198E1D" w14:textId="77777777" w:rsidR="00C92E8B" w:rsidRPr="000C156A" w:rsidRDefault="00C92E8B" w:rsidP="00C92E8B">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SimSun"/>
                <w:sz w:val="22"/>
                <w:szCs w:val="22"/>
              </w:rPr>
              <w:t>即付存款账户（</w:t>
            </w:r>
            <w:r w:rsidRPr="000C156A">
              <w:rPr>
                <w:rFonts w:asciiTheme="minorHAnsi" w:hAnsiTheme="minorHAnsi"/>
                <w:sz w:val="22"/>
                <w:szCs w:val="22"/>
              </w:rPr>
              <w:t>Sight account</w:t>
            </w:r>
            <w:r w:rsidRPr="000C156A">
              <w:rPr>
                <w:rFonts w:asciiTheme="minorHAnsi" w:hAnsiTheme="minorHAnsi" w:cs="SimSun"/>
                <w:sz w:val="22"/>
                <w:szCs w:val="22"/>
              </w:rPr>
              <w:t>）（瑞郎）</w:t>
            </w:r>
          </w:p>
        </w:tc>
        <w:tc>
          <w:tcPr>
            <w:tcW w:w="1308" w:type="pct"/>
            <w:tcBorders>
              <w:top w:val="nil"/>
              <w:left w:val="nil"/>
              <w:bottom w:val="nil"/>
              <w:right w:val="single" w:sz="4" w:space="0" w:color="auto"/>
            </w:tcBorders>
            <w:shd w:val="clear" w:color="auto" w:fill="auto"/>
            <w:noWrap/>
            <w:vAlign w:val="bottom"/>
          </w:tcPr>
          <w:p w14:paraId="706DF3C1" w14:textId="5244FA37" w:rsidR="00C92E8B" w:rsidRPr="00C92E8B"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92E8B">
              <w:rPr>
                <w:rFonts w:asciiTheme="minorHAnsi" w:hAnsiTheme="minorHAnsi" w:cs="Arial"/>
                <w:color w:val="000000"/>
                <w:sz w:val="22"/>
                <w:szCs w:val="22"/>
                <w:lang w:val="en-US" w:eastAsia="zh-CN"/>
              </w:rPr>
              <w:t>62</w:t>
            </w:r>
            <w:r>
              <w:rPr>
                <w:rFonts w:asciiTheme="minorHAnsi" w:hAnsiTheme="minorHAnsi" w:cs="Arial"/>
                <w:color w:val="000000"/>
                <w:sz w:val="22"/>
                <w:szCs w:val="22"/>
                <w:lang w:val="en-US" w:eastAsia="zh-CN"/>
              </w:rPr>
              <w:t> </w:t>
            </w:r>
            <w:r w:rsidRPr="00C92E8B">
              <w:rPr>
                <w:rFonts w:asciiTheme="minorHAnsi" w:hAnsiTheme="minorHAnsi" w:cs="Arial"/>
                <w:color w:val="000000"/>
                <w:sz w:val="22"/>
                <w:szCs w:val="22"/>
                <w:lang w:val="en-US" w:eastAsia="zh-CN"/>
              </w:rPr>
              <w:t>755</w:t>
            </w:r>
          </w:p>
        </w:tc>
        <w:tc>
          <w:tcPr>
            <w:tcW w:w="1361" w:type="pct"/>
            <w:tcBorders>
              <w:top w:val="nil"/>
              <w:left w:val="nil"/>
              <w:bottom w:val="nil"/>
              <w:right w:val="single" w:sz="4" w:space="0" w:color="auto"/>
            </w:tcBorders>
            <w:shd w:val="clear" w:color="auto" w:fill="auto"/>
            <w:noWrap/>
            <w:vAlign w:val="bottom"/>
            <w:hideMark/>
          </w:tcPr>
          <w:p w14:paraId="452D31D1" w14:textId="3F91EA4B" w:rsidR="00C92E8B" w:rsidRPr="000C156A" w:rsidRDefault="00C92E8B" w:rsidP="00C92E8B">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55 972</w:t>
            </w:r>
          </w:p>
        </w:tc>
      </w:tr>
      <w:tr w:rsidR="00C92E8B" w:rsidRPr="000C156A" w14:paraId="47226404" w14:textId="77777777" w:rsidTr="00C92E8B">
        <w:trPr>
          <w:trHeight w:val="255"/>
        </w:trPr>
        <w:tc>
          <w:tcPr>
            <w:tcW w:w="2331" w:type="pct"/>
            <w:tcBorders>
              <w:top w:val="nil"/>
              <w:left w:val="single" w:sz="4" w:space="0" w:color="auto"/>
              <w:bottom w:val="nil"/>
              <w:right w:val="single" w:sz="4" w:space="0" w:color="auto"/>
            </w:tcBorders>
            <w:vAlign w:val="bottom"/>
          </w:tcPr>
          <w:p w14:paraId="46263E87" w14:textId="77777777" w:rsidR="00C92E8B" w:rsidRPr="000C156A" w:rsidRDefault="00C92E8B" w:rsidP="00C92E8B">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c>
          <w:tcPr>
            <w:tcW w:w="1308" w:type="pct"/>
            <w:tcBorders>
              <w:top w:val="nil"/>
              <w:left w:val="nil"/>
              <w:bottom w:val="nil"/>
              <w:right w:val="single" w:sz="4" w:space="0" w:color="auto"/>
            </w:tcBorders>
            <w:shd w:val="clear" w:color="auto" w:fill="auto"/>
            <w:noWrap/>
            <w:vAlign w:val="bottom"/>
          </w:tcPr>
          <w:p w14:paraId="4439AA2B" w14:textId="2B392F7F" w:rsidR="00C92E8B" w:rsidRPr="00C92E8B" w:rsidRDefault="00C92E8B" w:rsidP="00C92E8B">
            <w:pPr>
              <w:overflowPunct/>
              <w:autoSpaceDE/>
              <w:autoSpaceDN/>
              <w:adjustRightInd/>
              <w:spacing w:before="0"/>
              <w:textAlignment w:val="auto"/>
              <w:rPr>
                <w:rFonts w:asciiTheme="minorHAnsi" w:hAnsiTheme="minorHAnsi" w:cs="Arial"/>
                <w:color w:val="000000"/>
                <w:sz w:val="22"/>
                <w:szCs w:val="22"/>
                <w:lang w:val="en-US" w:eastAsia="zh-CN"/>
              </w:rPr>
            </w:pPr>
            <w:r w:rsidRPr="00C92E8B">
              <w:rPr>
                <w:rFonts w:asciiTheme="minorHAnsi" w:hAnsiTheme="minorHAnsi" w:cs="Arial"/>
                <w:color w:val="000000"/>
                <w:sz w:val="22"/>
                <w:szCs w:val="22"/>
                <w:lang w:val="en-US" w:eastAsia="zh-CN"/>
              </w:rPr>
              <w:t> </w:t>
            </w:r>
          </w:p>
        </w:tc>
        <w:tc>
          <w:tcPr>
            <w:tcW w:w="1361" w:type="pct"/>
            <w:tcBorders>
              <w:top w:val="nil"/>
              <w:left w:val="nil"/>
              <w:bottom w:val="nil"/>
              <w:right w:val="single" w:sz="4" w:space="0" w:color="auto"/>
            </w:tcBorders>
            <w:shd w:val="clear" w:color="auto" w:fill="auto"/>
            <w:noWrap/>
            <w:vAlign w:val="bottom"/>
            <w:hideMark/>
          </w:tcPr>
          <w:p w14:paraId="73420763" w14:textId="5BD60DFF" w:rsidR="00C92E8B" w:rsidRPr="000C156A" w:rsidRDefault="00C92E8B" w:rsidP="00C92E8B">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r>
      <w:tr w:rsidR="00C92E8B" w:rsidRPr="000C156A" w14:paraId="4A8A3807" w14:textId="77777777" w:rsidTr="00C92E8B">
        <w:trPr>
          <w:trHeight w:val="499"/>
        </w:trPr>
        <w:tc>
          <w:tcPr>
            <w:tcW w:w="2331" w:type="pct"/>
            <w:tcBorders>
              <w:top w:val="single" w:sz="4" w:space="0" w:color="auto"/>
              <w:left w:val="single" w:sz="4" w:space="0" w:color="auto"/>
              <w:bottom w:val="single" w:sz="4" w:space="0" w:color="auto"/>
              <w:right w:val="single" w:sz="4" w:space="0" w:color="auto"/>
            </w:tcBorders>
            <w:vAlign w:val="center"/>
          </w:tcPr>
          <w:p w14:paraId="0D63BB75" w14:textId="77777777" w:rsidR="00C92E8B" w:rsidRPr="000C156A" w:rsidRDefault="00C92E8B" w:rsidP="00C92E8B">
            <w:pPr>
              <w:overflowPunct/>
              <w:autoSpaceDE/>
              <w:autoSpaceDN/>
              <w:adjustRightInd/>
              <w:spacing w:before="0"/>
              <w:textAlignment w:val="auto"/>
              <w:rPr>
                <w:rFonts w:asciiTheme="minorHAnsi" w:hAnsiTheme="minorHAnsi" w:cs="Arial"/>
                <w:b/>
                <w:bCs/>
                <w:color w:val="000000"/>
                <w:sz w:val="22"/>
                <w:szCs w:val="22"/>
                <w:lang w:val="en-US" w:eastAsia="zh-CN"/>
              </w:rPr>
            </w:pPr>
            <w:r w:rsidRPr="000C156A">
              <w:rPr>
                <w:rFonts w:asciiTheme="minorHAnsi" w:hAnsiTheme="minorHAnsi" w:cs="SimSun"/>
                <w:b/>
                <w:sz w:val="22"/>
                <w:szCs w:val="22"/>
              </w:rPr>
              <w:t>现金和现金等价物</w:t>
            </w:r>
          </w:p>
        </w:tc>
        <w:tc>
          <w:tcPr>
            <w:tcW w:w="1308" w:type="pct"/>
            <w:tcBorders>
              <w:top w:val="single" w:sz="4" w:space="0" w:color="auto"/>
              <w:left w:val="nil"/>
              <w:bottom w:val="single" w:sz="4" w:space="0" w:color="auto"/>
              <w:right w:val="single" w:sz="4" w:space="0" w:color="auto"/>
            </w:tcBorders>
            <w:shd w:val="clear" w:color="auto" w:fill="auto"/>
            <w:noWrap/>
            <w:vAlign w:val="center"/>
          </w:tcPr>
          <w:p w14:paraId="461B2E5A" w14:textId="07150419" w:rsidR="00C92E8B" w:rsidRPr="00C92E8B" w:rsidRDefault="00C92E8B" w:rsidP="00C92E8B">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92E8B">
              <w:rPr>
                <w:rFonts w:asciiTheme="minorHAnsi" w:hAnsiTheme="minorHAnsi" w:cs="Arial"/>
                <w:b/>
                <w:bCs/>
                <w:color w:val="000000"/>
                <w:sz w:val="22"/>
                <w:szCs w:val="22"/>
                <w:lang w:val="en-US" w:eastAsia="zh-CN"/>
              </w:rPr>
              <w:t>130</w:t>
            </w:r>
            <w:r>
              <w:rPr>
                <w:rFonts w:asciiTheme="minorHAnsi" w:hAnsiTheme="minorHAnsi" w:cs="Arial"/>
                <w:b/>
                <w:bCs/>
                <w:color w:val="000000"/>
                <w:sz w:val="22"/>
                <w:szCs w:val="22"/>
                <w:lang w:val="en-US" w:eastAsia="zh-CN"/>
              </w:rPr>
              <w:t> </w:t>
            </w:r>
            <w:r w:rsidRPr="00C92E8B">
              <w:rPr>
                <w:rFonts w:asciiTheme="minorHAnsi" w:hAnsiTheme="minorHAnsi" w:cs="Arial"/>
                <w:b/>
                <w:bCs/>
                <w:color w:val="000000"/>
                <w:sz w:val="22"/>
                <w:szCs w:val="22"/>
                <w:lang w:val="en-US" w:eastAsia="zh-CN"/>
              </w:rPr>
              <w:t>392</w:t>
            </w:r>
          </w:p>
        </w:tc>
        <w:tc>
          <w:tcPr>
            <w:tcW w:w="1361" w:type="pct"/>
            <w:tcBorders>
              <w:top w:val="single" w:sz="4" w:space="0" w:color="auto"/>
              <w:left w:val="nil"/>
              <w:bottom w:val="single" w:sz="4" w:space="0" w:color="auto"/>
              <w:right w:val="single" w:sz="4" w:space="0" w:color="auto"/>
            </w:tcBorders>
            <w:shd w:val="clear" w:color="auto" w:fill="auto"/>
            <w:noWrap/>
            <w:vAlign w:val="center"/>
            <w:hideMark/>
          </w:tcPr>
          <w:p w14:paraId="1BCE0B0A" w14:textId="66284554" w:rsidR="00C92E8B" w:rsidRPr="000C156A" w:rsidRDefault="00C92E8B" w:rsidP="00C92E8B">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99 406</w:t>
            </w:r>
          </w:p>
        </w:tc>
      </w:tr>
    </w:tbl>
    <w:p w14:paraId="339443A1" w14:textId="77777777" w:rsidR="0085433F" w:rsidRPr="000C156A" w:rsidRDefault="0085433F" w:rsidP="0085433F">
      <w:pPr>
        <w:ind w:firstLineChars="200" w:firstLine="480"/>
        <w:rPr>
          <w:lang w:eastAsia="zh-CN"/>
        </w:rPr>
      </w:pPr>
      <w:r w:rsidRPr="000C156A">
        <w:rPr>
          <w:rFonts w:hint="eastAsia"/>
          <w:lang w:eastAsia="zh-CN"/>
        </w:rPr>
        <w:t>现金存款存放于银行和邮政账户，按市场价获利。现金存款的公允价值等同于面值。</w:t>
      </w:r>
    </w:p>
    <w:p w14:paraId="59F33E38" w14:textId="7B1B5FA0" w:rsidR="0085433F" w:rsidRPr="000C156A" w:rsidRDefault="0085433F" w:rsidP="00DE55DC">
      <w:pPr>
        <w:keepNext/>
        <w:ind w:firstLineChars="200" w:firstLine="480"/>
        <w:rPr>
          <w:lang w:eastAsia="zh-CN"/>
        </w:rPr>
      </w:pPr>
      <w:r w:rsidRPr="000C156A">
        <w:rPr>
          <w:rFonts w:hint="eastAsia"/>
          <w:lang w:eastAsia="zh-CN"/>
        </w:rPr>
        <w:t>截至</w:t>
      </w:r>
      <w:r w:rsidRPr="000C156A">
        <w:rPr>
          <w:lang w:eastAsia="zh-CN"/>
        </w:rPr>
        <w:t>202</w:t>
      </w:r>
      <w:r w:rsidR="00A07241">
        <w:rPr>
          <w:lang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日，国际电联没有任何信贷限额（</w:t>
      </w:r>
      <w:r w:rsidRPr="000C156A">
        <w:rPr>
          <w:lang w:eastAsia="zh-CN"/>
        </w:rPr>
        <w:t>credit line</w:t>
      </w:r>
      <w:r w:rsidRPr="000C156A">
        <w:rPr>
          <w:rFonts w:hint="eastAsia"/>
          <w:lang w:eastAsia="zh-CN"/>
        </w:rPr>
        <w:t>），现金的使用须受到下列限制：</w:t>
      </w:r>
    </w:p>
    <w:p w14:paraId="63A6D62A" w14:textId="77777777" w:rsidR="0085433F" w:rsidRPr="000C156A" w:rsidRDefault="0085433F" w:rsidP="0085433F">
      <w:pPr>
        <w:pStyle w:val="enumlev1"/>
        <w:rPr>
          <w:rFonts w:cs="Courier New"/>
          <w:szCs w:val="24"/>
          <w:lang w:val="en" w:eastAsia="zh-CN"/>
        </w:rPr>
      </w:pPr>
      <w:r w:rsidRPr="000C156A">
        <w:rPr>
          <w:lang w:eastAsia="zh-CN"/>
        </w:rPr>
        <w:t>–</w:t>
      </w:r>
      <w:r w:rsidRPr="000C156A">
        <w:rPr>
          <w:lang w:eastAsia="zh-CN"/>
        </w:rPr>
        <w:tab/>
      </w:r>
      <w:r w:rsidRPr="000C156A">
        <w:rPr>
          <w:rFonts w:hint="eastAsia"/>
          <w:lang w:eastAsia="zh-CN"/>
        </w:rPr>
        <w:t>自加入联合国合办职员养恤基金（</w:t>
      </w:r>
      <w:r w:rsidRPr="000C156A">
        <w:rPr>
          <w:lang w:eastAsia="zh-CN"/>
        </w:rPr>
        <w:t>UNJSPF</w:t>
      </w:r>
      <w:r w:rsidRPr="000C156A">
        <w:rPr>
          <w:rFonts w:hint="eastAsia"/>
          <w:lang w:eastAsia="zh-CN"/>
        </w:rPr>
        <w:t>）和职员健康保险基金以来一直作为封闭基金运作的国际电联养恤基金受益人的即付存款账户（</w:t>
      </w:r>
      <w:r w:rsidRPr="000C156A">
        <w:rPr>
          <w:lang w:eastAsia="zh-CN"/>
        </w:rPr>
        <w:t>sight account</w:t>
      </w:r>
      <w:r w:rsidRPr="000C156A">
        <w:rPr>
          <w:rFonts w:hint="eastAsia"/>
          <w:lang w:eastAsia="zh-CN"/>
        </w:rPr>
        <w:t>）。</w:t>
      </w:r>
      <w:r w:rsidRPr="000C156A">
        <w:rPr>
          <w:rFonts w:cs="Courier New" w:hint="eastAsia"/>
          <w:szCs w:val="24"/>
          <w:lang w:val="en" w:eastAsia="zh-CN"/>
        </w:rPr>
        <w:t>考虑到金融市场上采用的负</w:t>
      </w:r>
      <w:r w:rsidRPr="000C156A">
        <w:rPr>
          <w:rFonts w:cs="Courier New"/>
          <w:szCs w:val="24"/>
          <w:lang w:val="en" w:eastAsia="zh-CN"/>
        </w:rPr>
        <w:t>利率政策，</w:t>
      </w:r>
      <w:r w:rsidRPr="000C156A">
        <w:rPr>
          <w:rFonts w:cs="Courier New" w:hint="eastAsia"/>
          <w:szCs w:val="24"/>
          <w:lang w:val="en" w:eastAsia="zh-CN"/>
        </w:rPr>
        <w:t>此金额不能投资于短期存款。</w:t>
      </w:r>
    </w:p>
    <w:p w14:paraId="1272F1B6" w14:textId="77777777" w:rsidR="0085433F" w:rsidRPr="000C156A" w:rsidRDefault="0085433F" w:rsidP="0085433F">
      <w:pPr>
        <w:pStyle w:val="Heading1"/>
        <w:spacing w:before="240"/>
        <w:rPr>
          <w:rFonts w:cs="Microsoft YaHei"/>
          <w:sz w:val="24"/>
          <w:szCs w:val="24"/>
          <w:lang w:val="en" w:eastAsia="zh-CN"/>
        </w:rPr>
      </w:pPr>
      <w:bookmarkStart w:id="605" w:name="_Toc482892566"/>
      <w:bookmarkStart w:id="606" w:name="_Toc482870831"/>
      <w:bookmarkStart w:id="607" w:name="_Toc329011632"/>
      <w:bookmarkStart w:id="608" w:name="_Toc305764082"/>
      <w:bookmarkStart w:id="609" w:name="_Toc511813749"/>
      <w:bookmarkStart w:id="610" w:name="_Toc511817832"/>
      <w:bookmarkStart w:id="611" w:name="_Toc520280732"/>
      <w:bookmarkStart w:id="612" w:name="_Toc10536827"/>
      <w:bookmarkStart w:id="613" w:name="_Toc41905868"/>
      <w:bookmarkStart w:id="614" w:name="_Toc41906897"/>
      <w:bookmarkStart w:id="615" w:name="_Toc41907978"/>
      <w:bookmarkStart w:id="616" w:name="_Toc41908046"/>
      <w:bookmarkStart w:id="617" w:name="_Toc73518684"/>
      <w:bookmarkStart w:id="618" w:name="_Toc73518831"/>
      <w:bookmarkStart w:id="619" w:name="_Toc73519231"/>
      <w:bookmarkStart w:id="620" w:name="_Toc110263994"/>
      <w:bookmarkStart w:id="621" w:name="_Toc110264073"/>
      <w:bookmarkStart w:id="622" w:name="_Toc110265712"/>
      <w:bookmarkStart w:id="623" w:name="_Toc110330082"/>
      <w:bookmarkStart w:id="624" w:name="_Toc110330247"/>
      <w:r w:rsidRPr="000C156A">
        <w:rPr>
          <w:rFonts w:cs="Microsoft YaHei" w:hint="eastAsia"/>
          <w:sz w:val="24"/>
          <w:szCs w:val="24"/>
          <w:lang w:val="fr-FR" w:eastAsia="zh-CN"/>
        </w:rPr>
        <w:t>说明</w:t>
      </w:r>
      <w:r w:rsidRPr="000C156A">
        <w:rPr>
          <w:rFonts w:cs="Microsoft YaHei"/>
          <w:sz w:val="24"/>
          <w:szCs w:val="24"/>
          <w:lang w:val="en" w:eastAsia="zh-CN"/>
        </w:rPr>
        <w:t>7</w:t>
      </w:r>
      <w:r w:rsidRPr="000C156A">
        <w:rPr>
          <w:rFonts w:cs="Microsoft YaHei"/>
          <w:sz w:val="24"/>
          <w:szCs w:val="24"/>
          <w:lang w:val="en" w:eastAsia="zh-CN"/>
        </w:rPr>
        <w:tab/>
      </w:r>
      <w:r w:rsidRPr="000C156A">
        <w:rPr>
          <w:rFonts w:cs="Microsoft YaHei" w:hint="eastAsia"/>
          <w:sz w:val="24"/>
          <w:szCs w:val="24"/>
          <w:lang w:val="fr-FR" w:eastAsia="zh-CN"/>
        </w:rPr>
        <w:t>投资</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5EAF8E89" w14:textId="77777777" w:rsidR="0085433F" w:rsidRPr="000C156A" w:rsidRDefault="0085433F" w:rsidP="0085433F">
      <w:pPr>
        <w:keepNext/>
        <w:keepLines/>
        <w:spacing w:after="240"/>
        <w:ind w:firstLineChars="200" w:firstLine="480"/>
        <w:rPr>
          <w:lang w:val="en-US" w:eastAsia="zh-CN"/>
        </w:rPr>
      </w:pPr>
      <w:r w:rsidRPr="000C156A">
        <w:rPr>
          <w:rFonts w:hint="eastAsia"/>
          <w:lang w:val="en-US" w:eastAsia="zh-CN"/>
        </w:rPr>
        <w:t>定期投资按市价获利并按公允价值通过盈余</w:t>
      </w:r>
      <w:r w:rsidRPr="000C156A">
        <w:rPr>
          <w:lang w:val="en-US" w:eastAsia="zh-CN"/>
        </w:rPr>
        <w:t>/</w:t>
      </w:r>
      <w:r w:rsidRPr="000C156A">
        <w:rPr>
          <w:rFonts w:hint="eastAsia"/>
          <w:lang w:val="en-US" w:eastAsia="zh-CN"/>
        </w:rPr>
        <w:t>赤字划分为不同金融工具。现金存款的公允价值等同于其账面金额。</w:t>
      </w:r>
    </w:p>
    <w:tbl>
      <w:tblPr>
        <w:tblW w:w="9455" w:type="dxa"/>
        <w:jc w:val="center"/>
        <w:tblLook w:val="04A0" w:firstRow="1" w:lastRow="0" w:firstColumn="1" w:lastColumn="0" w:noHBand="0" w:noVBand="1"/>
      </w:tblPr>
      <w:tblGrid>
        <w:gridCol w:w="5791"/>
        <w:gridCol w:w="1843"/>
        <w:gridCol w:w="1821"/>
      </w:tblGrid>
      <w:tr w:rsidR="0085433F" w:rsidRPr="000C156A" w14:paraId="2A6185E8" w14:textId="77777777" w:rsidTr="003A64C9">
        <w:trPr>
          <w:trHeight w:val="499"/>
          <w:jc w:val="center"/>
        </w:trPr>
        <w:tc>
          <w:tcPr>
            <w:tcW w:w="5791" w:type="dxa"/>
            <w:tcBorders>
              <w:top w:val="single" w:sz="4" w:space="0" w:color="auto"/>
              <w:left w:val="single" w:sz="4" w:space="0" w:color="auto"/>
              <w:bottom w:val="single" w:sz="4" w:space="0" w:color="auto"/>
              <w:right w:val="single" w:sz="4" w:space="0" w:color="auto"/>
            </w:tcBorders>
            <w:noWrap/>
            <w:vAlign w:val="center"/>
            <w:hideMark/>
          </w:tcPr>
          <w:p w14:paraId="0FFBF92F" w14:textId="77777777" w:rsidR="0085433F" w:rsidRPr="000C156A" w:rsidRDefault="0085433F" w:rsidP="00A07241">
            <w:pPr>
              <w:pStyle w:val="Tablehead"/>
              <w:keepNext w:val="0"/>
              <w:jc w:val="left"/>
              <w:rPr>
                <w:b w:val="0"/>
                <w:szCs w:val="22"/>
                <w:lang w:val="en-US"/>
              </w:rPr>
            </w:pPr>
            <w:r w:rsidRPr="000C156A">
              <w:rPr>
                <w:rFonts w:hint="eastAsia"/>
                <w:b w:val="0"/>
                <w:szCs w:val="22"/>
                <w:lang w:val="en-US"/>
              </w:rPr>
              <w:t>单位：千瑞郎</w:t>
            </w:r>
          </w:p>
        </w:tc>
        <w:tc>
          <w:tcPr>
            <w:tcW w:w="1843" w:type="dxa"/>
            <w:tcBorders>
              <w:top w:val="single" w:sz="4" w:space="0" w:color="auto"/>
              <w:left w:val="nil"/>
              <w:bottom w:val="single" w:sz="4" w:space="0" w:color="auto"/>
              <w:right w:val="single" w:sz="4" w:space="0" w:color="auto"/>
            </w:tcBorders>
            <w:vAlign w:val="center"/>
            <w:hideMark/>
          </w:tcPr>
          <w:p w14:paraId="50934AA1" w14:textId="311A213A" w:rsidR="0085433F" w:rsidRPr="000C156A" w:rsidRDefault="0085433F" w:rsidP="00A07241">
            <w:pPr>
              <w:pStyle w:val="Tablehead"/>
              <w:keepNext w:val="0"/>
              <w:rPr>
                <w:szCs w:val="22"/>
                <w:lang w:val="en-US"/>
              </w:rPr>
            </w:pPr>
            <w:r w:rsidRPr="000C156A">
              <w:rPr>
                <w:szCs w:val="22"/>
                <w:lang w:val="en-US"/>
              </w:rPr>
              <w:t>202</w:t>
            </w:r>
            <w:r w:rsidR="00A07241">
              <w:rPr>
                <w:szCs w:val="22"/>
                <w:lang w:val="en-US"/>
              </w:rPr>
              <w:t>1</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c>
          <w:tcPr>
            <w:tcW w:w="1821" w:type="dxa"/>
            <w:tcBorders>
              <w:top w:val="single" w:sz="4" w:space="0" w:color="auto"/>
              <w:left w:val="single" w:sz="4" w:space="0" w:color="auto"/>
              <w:bottom w:val="single" w:sz="4" w:space="0" w:color="auto"/>
              <w:right w:val="single" w:sz="4" w:space="0" w:color="auto"/>
            </w:tcBorders>
            <w:noWrap/>
            <w:vAlign w:val="center"/>
            <w:hideMark/>
          </w:tcPr>
          <w:p w14:paraId="3DA2D210" w14:textId="21CC587B" w:rsidR="0085433F" w:rsidRPr="000C156A" w:rsidRDefault="0085433F" w:rsidP="00A07241">
            <w:pPr>
              <w:pStyle w:val="Tablehead"/>
              <w:keepNext w:val="0"/>
              <w:rPr>
                <w:szCs w:val="22"/>
                <w:lang w:val="en-US"/>
              </w:rPr>
            </w:pPr>
            <w:r w:rsidRPr="000C156A">
              <w:rPr>
                <w:szCs w:val="22"/>
                <w:lang w:val="en-US"/>
              </w:rPr>
              <w:t>20</w:t>
            </w:r>
            <w:r w:rsidR="00A07241">
              <w:rPr>
                <w:szCs w:val="22"/>
                <w:lang w:val="en-US"/>
              </w:rPr>
              <w:t>20</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r>
      <w:tr w:rsidR="00A07241" w:rsidRPr="000C156A" w14:paraId="5D50B075" w14:textId="77777777" w:rsidTr="003A64C9">
        <w:trPr>
          <w:trHeight w:val="255"/>
          <w:jc w:val="center"/>
        </w:trPr>
        <w:tc>
          <w:tcPr>
            <w:tcW w:w="5791" w:type="dxa"/>
            <w:tcBorders>
              <w:top w:val="single" w:sz="4" w:space="0" w:color="auto"/>
              <w:left w:val="single" w:sz="4" w:space="0" w:color="auto"/>
              <w:right w:val="single" w:sz="4" w:space="0" w:color="auto"/>
            </w:tcBorders>
            <w:noWrap/>
            <w:vAlign w:val="bottom"/>
          </w:tcPr>
          <w:p w14:paraId="7A5AE3CE" w14:textId="77777777" w:rsidR="00A07241" w:rsidRPr="000C156A" w:rsidRDefault="00A07241" w:rsidP="00A07241">
            <w:pPr>
              <w:overflowPunct/>
              <w:autoSpaceDE/>
              <w:autoSpaceDN/>
              <w:adjustRightInd/>
              <w:spacing w:before="0"/>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c>
          <w:tcPr>
            <w:tcW w:w="1843" w:type="dxa"/>
            <w:tcBorders>
              <w:top w:val="single" w:sz="4" w:space="0" w:color="auto"/>
              <w:left w:val="nil"/>
              <w:right w:val="single" w:sz="4" w:space="0" w:color="auto"/>
            </w:tcBorders>
            <w:vAlign w:val="bottom"/>
          </w:tcPr>
          <w:p w14:paraId="0BE23D77" w14:textId="6FC0AFF9" w:rsidR="00A07241" w:rsidRPr="000C156A" w:rsidRDefault="00A07241" w:rsidP="00A07241">
            <w:pPr>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1821" w:type="dxa"/>
            <w:tcBorders>
              <w:top w:val="single" w:sz="4" w:space="0" w:color="auto"/>
              <w:left w:val="single" w:sz="4" w:space="0" w:color="auto"/>
              <w:right w:val="single" w:sz="4" w:space="0" w:color="auto"/>
            </w:tcBorders>
            <w:noWrap/>
            <w:vAlign w:val="bottom"/>
          </w:tcPr>
          <w:p w14:paraId="015CB9CD" w14:textId="0F36445E" w:rsidR="00A07241" w:rsidRPr="000C156A" w:rsidRDefault="00A07241" w:rsidP="00A07241">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r>
      <w:tr w:rsidR="00A07241" w:rsidRPr="000C156A" w14:paraId="63EFC89B" w14:textId="77777777" w:rsidTr="00A07241">
        <w:trPr>
          <w:trHeight w:val="255"/>
          <w:jc w:val="center"/>
        </w:trPr>
        <w:tc>
          <w:tcPr>
            <w:tcW w:w="5791" w:type="dxa"/>
            <w:tcBorders>
              <w:left w:val="single" w:sz="4" w:space="0" w:color="auto"/>
              <w:right w:val="single" w:sz="4" w:space="0" w:color="auto"/>
            </w:tcBorders>
            <w:noWrap/>
            <w:vAlign w:val="bottom"/>
            <w:hideMark/>
          </w:tcPr>
          <w:p w14:paraId="7B8E612D" w14:textId="77777777" w:rsidR="00A07241" w:rsidRPr="000C156A" w:rsidRDefault="00A07241" w:rsidP="00A07241">
            <w:pPr>
              <w:pStyle w:val="Tabletext"/>
              <w:rPr>
                <w:bCs/>
                <w:szCs w:val="22"/>
                <w:lang w:val="en-US"/>
              </w:rPr>
            </w:pPr>
            <w:r w:rsidRPr="000C156A">
              <w:rPr>
                <w:rFonts w:cs="Arial" w:hint="eastAsia"/>
                <w:color w:val="000000"/>
                <w:szCs w:val="22"/>
                <w:lang w:val="en-US"/>
              </w:rPr>
              <w:t>定期投资</w:t>
            </w:r>
          </w:p>
        </w:tc>
        <w:tc>
          <w:tcPr>
            <w:tcW w:w="1843" w:type="dxa"/>
            <w:tcBorders>
              <w:top w:val="nil"/>
              <w:left w:val="nil"/>
              <w:bottom w:val="nil"/>
              <w:right w:val="single" w:sz="4" w:space="0" w:color="auto"/>
            </w:tcBorders>
            <w:shd w:val="clear" w:color="auto" w:fill="auto"/>
            <w:vAlign w:val="bottom"/>
          </w:tcPr>
          <w:p w14:paraId="2032FD80" w14:textId="1A62A527" w:rsidR="00A07241" w:rsidRPr="000C156A" w:rsidRDefault="00A07241" w:rsidP="00A07241">
            <w:pPr>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95 033</w:t>
            </w:r>
            <w:r w:rsidRPr="002F6D8C">
              <w:rPr>
                <w:rFonts w:asciiTheme="minorHAnsi" w:hAnsiTheme="minorHAnsi" w:cs="Arial"/>
                <w:color w:val="000000"/>
                <w:sz w:val="22"/>
                <w:szCs w:val="22"/>
                <w:lang w:val="en-US" w:eastAsia="zh-CN"/>
              </w:rPr>
              <w:t xml:space="preserve"> </w:t>
            </w:r>
          </w:p>
        </w:tc>
        <w:tc>
          <w:tcPr>
            <w:tcW w:w="1821" w:type="dxa"/>
            <w:tcBorders>
              <w:top w:val="nil"/>
              <w:left w:val="nil"/>
              <w:bottom w:val="nil"/>
              <w:right w:val="single" w:sz="4" w:space="0" w:color="auto"/>
            </w:tcBorders>
            <w:shd w:val="clear" w:color="auto" w:fill="auto"/>
            <w:noWrap/>
            <w:vAlign w:val="bottom"/>
            <w:hideMark/>
          </w:tcPr>
          <w:p w14:paraId="5F33DE9B" w14:textId="2DFD9859" w:rsidR="00A07241" w:rsidRPr="000C156A" w:rsidRDefault="00A07241" w:rsidP="00A07241">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95 516</w:t>
            </w:r>
          </w:p>
        </w:tc>
      </w:tr>
      <w:tr w:rsidR="00A07241" w:rsidRPr="000C156A" w14:paraId="11F2FB71" w14:textId="77777777" w:rsidTr="003A64C9">
        <w:trPr>
          <w:trHeight w:val="255"/>
          <w:jc w:val="center"/>
        </w:trPr>
        <w:tc>
          <w:tcPr>
            <w:tcW w:w="5791" w:type="dxa"/>
            <w:tcBorders>
              <w:left w:val="single" w:sz="4" w:space="0" w:color="auto"/>
              <w:bottom w:val="nil"/>
              <w:right w:val="single" w:sz="4" w:space="0" w:color="auto"/>
            </w:tcBorders>
            <w:noWrap/>
            <w:vAlign w:val="bottom"/>
          </w:tcPr>
          <w:p w14:paraId="00EFDC85" w14:textId="77777777" w:rsidR="00A07241" w:rsidRPr="000C156A" w:rsidRDefault="00A07241" w:rsidP="00A07241">
            <w:pPr>
              <w:pStyle w:val="Tabletext"/>
              <w:spacing w:before="0" w:after="0"/>
              <w:rPr>
                <w:rFonts w:cs="Arial"/>
                <w:color w:val="000000"/>
                <w:szCs w:val="22"/>
                <w:lang w:val="en-US"/>
              </w:rPr>
            </w:pPr>
          </w:p>
        </w:tc>
        <w:tc>
          <w:tcPr>
            <w:tcW w:w="1843" w:type="dxa"/>
            <w:tcBorders>
              <w:top w:val="nil"/>
              <w:left w:val="nil"/>
              <w:bottom w:val="nil"/>
              <w:right w:val="single" w:sz="4" w:space="0" w:color="auto"/>
            </w:tcBorders>
            <w:shd w:val="clear" w:color="auto" w:fill="auto"/>
            <w:vAlign w:val="bottom"/>
          </w:tcPr>
          <w:p w14:paraId="0CEB979C" w14:textId="008DECFA" w:rsidR="00A07241" w:rsidRPr="000C156A" w:rsidRDefault="00A07241" w:rsidP="00A07241">
            <w:pPr>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1821" w:type="dxa"/>
            <w:tcBorders>
              <w:top w:val="nil"/>
              <w:left w:val="nil"/>
              <w:bottom w:val="nil"/>
              <w:right w:val="single" w:sz="4" w:space="0" w:color="auto"/>
            </w:tcBorders>
            <w:shd w:val="clear" w:color="auto" w:fill="auto"/>
            <w:noWrap/>
            <w:vAlign w:val="bottom"/>
          </w:tcPr>
          <w:p w14:paraId="4524057A" w14:textId="77777777" w:rsidR="00A07241" w:rsidRPr="000C156A" w:rsidRDefault="00A07241" w:rsidP="00A07241">
            <w:pPr>
              <w:overflowPunct/>
              <w:autoSpaceDE/>
              <w:autoSpaceDN/>
              <w:adjustRightInd/>
              <w:spacing w:before="0"/>
              <w:jc w:val="right"/>
              <w:textAlignment w:val="auto"/>
              <w:rPr>
                <w:rFonts w:asciiTheme="minorHAnsi" w:hAnsiTheme="minorHAnsi" w:cs="Arial"/>
                <w:color w:val="000000"/>
                <w:sz w:val="22"/>
                <w:szCs w:val="22"/>
                <w:lang w:val="en-US" w:eastAsia="zh-CN"/>
              </w:rPr>
            </w:pPr>
          </w:p>
        </w:tc>
      </w:tr>
      <w:tr w:rsidR="00A07241" w:rsidRPr="000C156A" w14:paraId="73E92057" w14:textId="77777777" w:rsidTr="00A07241">
        <w:trPr>
          <w:trHeight w:val="20"/>
          <w:jc w:val="center"/>
        </w:trPr>
        <w:tc>
          <w:tcPr>
            <w:tcW w:w="5791" w:type="dxa"/>
            <w:tcBorders>
              <w:top w:val="nil"/>
              <w:left w:val="single" w:sz="4" w:space="0" w:color="auto"/>
              <w:bottom w:val="single" w:sz="4" w:space="0" w:color="auto"/>
              <w:right w:val="single" w:sz="4" w:space="0" w:color="auto"/>
            </w:tcBorders>
            <w:noWrap/>
            <w:vAlign w:val="center"/>
            <w:hideMark/>
          </w:tcPr>
          <w:p w14:paraId="31A4DF3D" w14:textId="77777777" w:rsidR="00A07241" w:rsidRPr="000C156A" w:rsidRDefault="00A07241" w:rsidP="00A07241">
            <w:pPr>
              <w:pStyle w:val="Tabletext"/>
              <w:rPr>
                <w:b/>
                <w:szCs w:val="22"/>
                <w:lang w:val="en-US"/>
              </w:rPr>
            </w:pPr>
            <w:r w:rsidRPr="000C156A">
              <w:rPr>
                <w:rFonts w:cs="Arial" w:hint="eastAsia"/>
                <w:b/>
                <w:bCs/>
                <w:color w:val="000000"/>
                <w:szCs w:val="22"/>
                <w:lang w:val="en-US"/>
              </w:rPr>
              <w:t>投资</w:t>
            </w:r>
          </w:p>
        </w:tc>
        <w:tc>
          <w:tcPr>
            <w:tcW w:w="1843" w:type="dxa"/>
            <w:tcBorders>
              <w:top w:val="single" w:sz="4" w:space="0" w:color="auto"/>
              <w:left w:val="nil"/>
              <w:bottom w:val="single" w:sz="4" w:space="0" w:color="auto"/>
              <w:right w:val="single" w:sz="4" w:space="0" w:color="auto"/>
            </w:tcBorders>
            <w:shd w:val="clear" w:color="auto" w:fill="auto"/>
            <w:vAlign w:val="center"/>
          </w:tcPr>
          <w:p w14:paraId="1D15020D" w14:textId="5B8B8C4A" w:rsidR="00A07241" w:rsidRPr="000C156A" w:rsidRDefault="00A07241" w:rsidP="00A07241">
            <w:pPr>
              <w:overflowPunct/>
              <w:autoSpaceDE/>
              <w:autoSpaceDN/>
              <w:adjustRightInd/>
              <w:spacing w:before="0"/>
              <w:jc w:val="right"/>
              <w:textAlignment w:val="auto"/>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en-US" w:eastAsia="zh-CN"/>
              </w:rPr>
              <w:t>95 033</w:t>
            </w:r>
            <w:r w:rsidRPr="002F6D8C">
              <w:rPr>
                <w:rFonts w:asciiTheme="minorHAnsi" w:hAnsiTheme="minorHAnsi" w:cs="Arial"/>
                <w:b/>
                <w:bCs/>
                <w:color w:val="000000"/>
                <w:sz w:val="22"/>
                <w:szCs w:val="22"/>
                <w:lang w:val="en-US" w:eastAsia="zh-CN"/>
              </w:rPr>
              <w:t xml:space="preserve"> </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14:paraId="49FC6CDC" w14:textId="10569C56" w:rsidR="00A07241" w:rsidRPr="000C156A" w:rsidRDefault="00A07241" w:rsidP="00A07241">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95 516</w:t>
            </w:r>
          </w:p>
        </w:tc>
      </w:tr>
    </w:tbl>
    <w:p w14:paraId="518AA370" w14:textId="77777777" w:rsidR="0085433F" w:rsidRPr="000C156A" w:rsidRDefault="0085433F" w:rsidP="0085433F">
      <w:pPr>
        <w:keepNext/>
        <w:spacing w:after="240"/>
        <w:ind w:firstLineChars="200" w:firstLine="480"/>
        <w:rPr>
          <w:lang w:eastAsia="zh-CN"/>
        </w:rPr>
      </w:pPr>
      <w:r w:rsidRPr="000C156A">
        <w:rPr>
          <w:rFonts w:hint="eastAsia"/>
          <w:lang w:eastAsia="zh-CN"/>
        </w:rPr>
        <w:lastRenderedPageBreak/>
        <w:t>以下按到期日（剩余期限）和币种分列各不同定期投资：</w:t>
      </w:r>
    </w:p>
    <w:tbl>
      <w:tblPr>
        <w:tblW w:w="9461" w:type="dxa"/>
        <w:jc w:val="center"/>
        <w:tblLook w:val="04A0" w:firstRow="1" w:lastRow="0" w:firstColumn="1" w:lastColumn="0" w:noHBand="0" w:noVBand="1"/>
      </w:tblPr>
      <w:tblGrid>
        <w:gridCol w:w="3225"/>
        <w:gridCol w:w="1039"/>
        <w:gridCol w:w="1039"/>
        <w:gridCol w:w="1040"/>
        <w:gridCol w:w="1039"/>
        <w:gridCol w:w="1039"/>
        <w:gridCol w:w="1040"/>
      </w:tblGrid>
      <w:tr w:rsidR="0085433F" w:rsidRPr="000C156A" w14:paraId="596C57BC" w14:textId="77777777" w:rsidTr="003A64C9">
        <w:trPr>
          <w:trHeight w:val="499"/>
          <w:jc w:val="center"/>
        </w:trPr>
        <w:tc>
          <w:tcPr>
            <w:tcW w:w="3225" w:type="dxa"/>
            <w:tcBorders>
              <w:top w:val="single" w:sz="4" w:space="0" w:color="auto"/>
              <w:left w:val="single" w:sz="4" w:space="0" w:color="auto"/>
              <w:bottom w:val="single" w:sz="4" w:space="0" w:color="auto"/>
              <w:right w:val="single" w:sz="4" w:space="0" w:color="auto"/>
            </w:tcBorders>
            <w:noWrap/>
            <w:vAlign w:val="center"/>
            <w:hideMark/>
          </w:tcPr>
          <w:p w14:paraId="4EACE703" w14:textId="77777777" w:rsidR="0085433F" w:rsidRPr="000C156A" w:rsidRDefault="0085433F" w:rsidP="003A64C9">
            <w:pPr>
              <w:pStyle w:val="Tablehead"/>
              <w:keepLines/>
              <w:spacing w:before="40" w:after="40"/>
              <w:rPr>
                <w:szCs w:val="22"/>
                <w:lang w:val="fr-FR" w:eastAsia="zh-CN"/>
              </w:rPr>
            </w:pPr>
            <w:r w:rsidRPr="000C156A">
              <w:rPr>
                <w:rFonts w:cs="Microsoft YaHei" w:hint="eastAsia"/>
                <w:szCs w:val="22"/>
                <w:lang w:val="fr-FR" w:eastAsia="zh-CN"/>
              </w:rPr>
              <w:t>单位：千（不同币种）</w:t>
            </w:r>
          </w:p>
        </w:tc>
        <w:tc>
          <w:tcPr>
            <w:tcW w:w="3118" w:type="dxa"/>
            <w:gridSpan w:val="3"/>
            <w:tcBorders>
              <w:top w:val="single" w:sz="4" w:space="0" w:color="auto"/>
              <w:left w:val="nil"/>
              <w:bottom w:val="single" w:sz="4" w:space="0" w:color="auto"/>
              <w:right w:val="single" w:sz="4" w:space="0" w:color="auto"/>
            </w:tcBorders>
            <w:noWrap/>
            <w:vAlign w:val="center"/>
            <w:hideMark/>
          </w:tcPr>
          <w:p w14:paraId="5A274A6F" w14:textId="085DEB26" w:rsidR="0085433F" w:rsidRPr="000C156A" w:rsidRDefault="0085433F" w:rsidP="003A64C9">
            <w:pPr>
              <w:pStyle w:val="Tablehead"/>
              <w:keepLines/>
              <w:spacing w:before="40" w:after="40"/>
              <w:rPr>
                <w:szCs w:val="22"/>
                <w:lang w:val="fr-FR" w:eastAsia="zh-CN"/>
              </w:rPr>
            </w:pPr>
            <w:r w:rsidRPr="000C156A">
              <w:rPr>
                <w:szCs w:val="22"/>
                <w:lang w:val="fr-FR" w:eastAsia="zh-CN"/>
              </w:rPr>
              <w:t>20</w:t>
            </w:r>
            <w:r w:rsidRPr="000C156A">
              <w:rPr>
                <w:rFonts w:hint="eastAsia"/>
                <w:szCs w:val="22"/>
                <w:lang w:val="fr-FR" w:eastAsia="zh-CN"/>
              </w:rPr>
              <w:t>2</w:t>
            </w:r>
            <w:r w:rsidR="00A07241">
              <w:rPr>
                <w:szCs w:val="22"/>
                <w:lang w:val="fr-FR" w:eastAsia="zh-CN"/>
              </w:rPr>
              <w:t>1</w:t>
            </w:r>
            <w:r w:rsidRPr="000C156A">
              <w:rPr>
                <w:rFonts w:cs="Microsoft YaHei" w:hint="eastAsia"/>
                <w:szCs w:val="22"/>
                <w:lang w:val="fr-FR" w:eastAsia="zh-CN"/>
              </w:rPr>
              <w:t>年</w:t>
            </w:r>
            <w:r w:rsidRPr="000C156A">
              <w:rPr>
                <w:szCs w:val="22"/>
                <w:lang w:val="fr-FR" w:eastAsia="zh-CN"/>
              </w:rPr>
              <w:t>12</w:t>
            </w:r>
            <w:r w:rsidRPr="000C156A">
              <w:rPr>
                <w:rFonts w:cs="Microsoft YaHei" w:hint="eastAsia"/>
                <w:szCs w:val="22"/>
                <w:lang w:val="fr-FR" w:eastAsia="zh-CN"/>
              </w:rPr>
              <w:t>月</w:t>
            </w:r>
            <w:r w:rsidRPr="000C156A">
              <w:rPr>
                <w:szCs w:val="22"/>
                <w:lang w:val="fr-FR" w:eastAsia="zh-CN"/>
              </w:rPr>
              <w:t>31</w:t>
            </w:r>
            <w:r w:rsidRPr="000C156A">
              <w:rPr>
                <w:rFonts w:cs="Microsoft YaHei" w:hint="eastAsia"/>
                <w:szCs w:val="22"/>
                <w:lang w:val="fr-FR" w:eastAsia="zh-CN"/>
              </w:rPr>
              <w:t>日</w:t>
            </w:r>
          </w:p>
        </w:tc>
        <w:tc>
          <w:tcPr>
            <w:tcW w:w="3118" w:type="dxa"/>
            <w:gridSpan w:val="3"/>
            <w:tcBorders>
              <w:top w:val="single" w:sz="4" w:space="0" w:color="auto"/>
              <w:left w:val="nil"/>
              <w:bottom w:val="single" w:sz="4" w:space="0" w:color="auto"/>
              <w:right w:val="single" w:sz="4" w:space="0" w:color="auto"/>
            </w:tcBorders>
            <w:vAlign w:val="center"/>
            <w:hideMark/>
          </w:tcPr>
          <w:p w14:paraId="305F7731" w14:textId="78CCEEFE" w:rsidR="0085433F" w:rsidRPr="000C156A" w:rsidRDefault="0085433F" w:rsidP="003A64C9">
            <w:pPr>
              <w:pStyle w:val="Tablehead"/>
              <w:keepLines/>
              <w:spacing w:before="40" w:after="40"/>
              <w:rPr>
                <w:szCs w:val="22"/>
                <w:lang w:val="fr-FR" w:eastAsia="zh-CN"/>
              </w:rPr>
            </w:pPr>
            <w:r w:rsidRPr="000C156A">
              <w:rPr>
                <w:szCs w:val="22"/>
                <w:lang w:val="fr-FR" w:eastAsia="zh-CN"/>
              </w:rPr>
              <w:t>20</w:t>
            </w:r>
            <w:r w:rsidR="00A07241">
              <w:rPr>
                <w:szCs w:val="22"/>
                <w:lang w:val="fr-FR" w:eastAsia="zh-CN"/>
              </w:rPr>
              <w:t>20</w:t>
            </w:r>
            <w:r w:rsidRPr="000C156A">
              <w:rPr>
                <w:rFonts w:cs="Microsoft YaHei" w:hint="eastAsia"/>
                <w:szCs w:val="22"/>
                <w:lang w:val="fr-FR" w:eastAsia="zh-CN"/>
              </w:rPr>
              <w:t>年</w:t>
            </w:r>
            <w:r w:rsidRPr="000C156A">
              <w:rPr>
                <w:szCs w:val="22"/>
                <w:lang w:val="fr-FR" w:eastAsia="zh-CN"/>
              </w:rPr>
              <w:t>12</w:t>
            </w:r>
            <w:r w:rsidRPr="000C156A">
              <w:rPr>
                <w:rFonts w:cs="Microsoft YaHei" w:hint="eastAsia"/>
                <w:szCs w:val="22"/>
                <w:lang w:val="fr-FR" w:eastAsia="zh-CN"/>
              </w:rPr>
              <w:t>月</w:t>
            </w:r>
            <w:r w:rsidRPr="000C156A">
              <w:rPr>
                <w:szCs w:val="22"/>
                <w:lang w:val="fr-FR" w:eastAsia="zh-CN"/>
              </w:rPr>
              <w:t>31</w:t>
            </w:r>
            <w:r w:rsidRPr="000C156A">
              <w:rPr>
                <w:rFonts w:cs="Microsoft YaHei" w:hint="eastAsia"/>
                <w:szCs w:val="22"/>
                <w:lang w:val="fr-FR" w:eastAsia="zh-CN"/>
              </w:rPr>
              <w:t>日</w:t>
            </w:r>
          </w:p>
        </w:tc>
      </w:tr>
      <w:tr w:rsidR="0085433F" w:rsidRPr="000C156A" w14:paraId="3AAB060C" w14:textId="77777777" w:rsidTr="003A64C9">
        <w:trPr>
          <w:trHeight w:val="255"/>
          <w:jc w:val="center"/>
        </w:trPr>
        <w:tc>
          <w:tcPr>
            <w:tcW w:w="3225" w:type="dxa"/>
            <w:tcBorders>
              <w:top w:val="single" w:sz="4" w:space="0" w:color="auto"/>
              <w:left w:val="single" w:sz="4" w:space="0" w:color="auto"/>
              <w:bottom w:val="nil"/>
              <w:right w:val="single" w:sz="4" w:space="0" w:color="auto"/>
            </w:tcBorders>
            <w:noWrap/>
            <w:vAlign w:val="bottom"/>
          </w:tcPr>
          <w:p w14:paraId="2C6EA555" w14:textId="77777777" w:rsidR="0085433F" w:rsidRPr="000C156A" w:rsidRDefault="0085433F" w:rsidP="003A64C9">
            <w:pPr>
              <w:keepNext/>
              <w:keepLines/>
              <w:overflowPunct/>
              <w:autoSpaceDE/>
              <w:autoSpaceDN/>
              <w:adjustRightInd/>
              <w:spacing w:before="0"/>
              <w:textAlignment w:val="auto"/>
              <w:rPr>
                <w:bCs/>
                <w:sz w:val="22"/>
                <w:szCs w:val="22"/>
                <w:lang w:val="en-US"/>
              </w:rPr>
            </w:pPr>
          </w:p>
        </w:tc>
        <w:tc>
          <w:tcPr>
            <w:tcW w:w="1039" w:type="dxa"/>
            <w:tcBorders>
              <w:top w:val="nil"/>
              <w:left w:val="nil"/>
              <w:bottom w:val="nil"/>
              <w:right w:val="single" w:sz="4" w:space="0" w:color="auto"/>
            </w:tcBorders>
            <w:noWrap/>
            <w:vAlign w:val="bottom"/>
            <w:hideMark/>
          </w:tcPr>
          <w:p w14:paraId="2BC98625" w14:textId="77777777" w:rsidR="0085433F" w:rsidRPr="000C156A" w:rsidRDefault="0085433F" w:rsidP="003A64C9">
            <w:pPr>
              <w:pStyle w:val="Tabletext"/>
              <w:keepNext/>
              <w:keepLines/>
              <w:jc w:val="center"/>
              <w:rPr>
                <w:szCs w:val="22"/>
                <w:lang w:val="fr-FR" w:eastAsia="zh-CN"/>
              </w:rPr>
            </w:pPr>
            <w:r w:rsidRPr="000C156A">
              <w:rPr>
                <w:rFonts w:cs="Microsoft YaHei" w:hint="eastAsia"/>
                <w:szCs w:val="22"/>
                <w:lang w:val="fr-FR" w:eastAsia="zh-CN"/>
              </w:rPr>
              <w:t>瑞郎</w:t>
            </w:r>
          </w:p>
        </w:tc>
        <w:tc>
          <w:tcPr>
            <w:tcW w:w="1039" w:type="dxa"/>
            <w:tcBorders>
              <w:top w:val="nil"/>
              <w:left w:val="nil"/>
              <w:bottom w:val="nil"/>
              <w:right w:val="single" w:sz="4" w:space="0" w:color="auto"/>
            </w:tcBorders>
            <w:vAlign w:val="bottom"/>
            <w:hideMark/>
          </w:tcPr>
          <w:p w14:paraId="6D2C123B" w14:textId="77777777" w:rsidR="0085433F" w:rsidRPr="000C156A" w:rsidRDefault="0085433F" w:rsidP="003A64C9">
            <w:pPr>
              <w:pStyle w:val="Tabletext"/>
              <w:keepNext/>
              <w:keepLines/>
              <w:jc w:val="center"/>
              <w:rPr>
                <w:szCs w:val="22"/>
                <w:lang w:val="fr-FR" w:eastAsia="zh-CN"/>
              </w:rPr>
            </w:pPr>
            <w:r w:rsidRPr="000C156A">
              <w:rPr>
                <w:rFonts w:cs="Microsoft YaHei" w:hint="eastAsia"/>
                <w:szCs w:val="22"/>
                <w:lang w:val="fr-FR" w:eastAsia="zh-CN"/>
              </w:rPr>
              <w:t>美元</w:t>
            </w:r>
          </w:p>
        </w:tc>
        <w:tc>
          <w:tcPr>
            <w:tcW w:w="1040" w:type="dxa"/>
            <w:tcBorders>
              <w:top w:val="nil"/>
              <w:left w:val="nil"/>
              <w:bottom w:val="nil"/>
              <w:right w:val="single" w:sz="4" w:space="0" w:color="auto"/>
            </w:tcBorders>
            <w:vAlign w:val="bottom"/>
            <w:hideMark/>
          </w:tcPr>
          <w:p w14:paraId="4EC444A3" w14:textId="77777777" w:rsidR="0085433F" w:rsidRPr="000C156A" w:rsidRDefault="0085433F" w:rsidP="003A64C9">
            <w:pPr>
              <w:pStyle w:val="Tabletext"/>
              <w:keepNext/>
              <w:keepLines/>
              <w:jc w:val="center"/>
              <w:rPr>
                <w:szCs w:val="22"/>
                <w:lang w:val="fr-FR" w:eastAsia="zh-CN"/>
              </w:rPr>
            </w:pPr>
            <w:r w:rsidRPr="000C156A">
              <w:rPr>
                <w:rFonts w:cs="Microsoft YaHei" w:hint="eastAsia"/>
                <w:szCs w:val="22"/>
                <w:lang w:val="fr-FR" w:eastAsia="zh-CN"/>
              </w:rPr>
              <w:t>欧元</w:t>
            </w:r>
          </w:p>
        </w:tc>
        <w:tc>
          <w:tcPr>
            <w:tcW w:w="1039" w:type="dxa"/>
            <w:tcBorders>
              <w:top w:val="nil"/>
              <w:left w:val="nil"/>
              <w:bottom w:val="nil"/>
              <w:right w:val="single" w:sz="4" w:space="0" w:color="auto"/>
            </w:tcBorders>
            <w:noWrap/>
            <w:vAlign w:val="bottom"/>
            <w:hideMark/>
          </w:tcPr>
          <w:p w14:paraId="5A8A0DEF" w14:textId="77777777" w:rsidR="0085433F" w:rsidRPr="000C156A" w:rsidRDefault="0085433F" w:rsidP="003A64C9">
            <w:pPr>
              <w:pStyle w:val="Tabletext"/>
              <w:keepNext/>
              <w:keepLines/>
              <w:jc w:val="center"/>
              <w:rPr>
                <w:szCs w:val="22"/>
                <w:lang w:val="fr-FR" w:eastAsia="zh-CN"/>
              </w:rPr>
            </w:pPr>
            <w:r w:rsidRPr="000C156A">
              <w:rPr>
                <w:rFonts w:cs="Microsoft YaHei" w:hint="eastAsia"/>
                <w:szCs w:val="22"/>
                <w:lang w:val="fr-FR" w:eastAsia="zh-CN"/>
              </w:rPr>
              <w:t>瑞郎</w:t>
            </w:r>
          </w:p>
        </w:tc>
        <w:tc>
          <w:tcPr>
            <w:tcW w:w="1039" w:type="dxa"/>
            <w:tcBorders>
              <w:top w:val="nil"/>
              <w:left w:val="nil"/>
              <w:bottom w:val="nil"/>
              <w:right w:val="single" w:sz="4" w:space="0" w:color="auto"/>
            </w:tcBorders>
            <w:vAlign w:val="bottom"/>
            <w:hideMark/>
          </w:tcPr>
          <w:p w14:paraId="7D45792A" w14:textId="77777777" w:rsidR="0085433F" w:rsidRPr="000C156A" w:rsidRDefault="0085433F" w:rsidP="003A64C9">
            <w:pPr>
              <w:pStyle w:val="Tabletext"/>
              <w:keepNext/>
              <w:keepLines/>
              <w:jc w:val="center"/>
              <w:rPr>
                <w:szCs w:val="22"/>
                <w:lang w:val="fr-FR" w:eastAsia="zh-CN"/>
              </w:rPr>
            </w:pPr>
            <w:r w:rsidRPr="000C156A">
              <w:rPr>
                <w:rFonts w:cs="Microsoft YaHei" w:hint="eastAsia"/>
                <w:szCs w:val="22"/>
                <w:lang w:val="fr-FR" w:eastAsia="zh-CN"/>
              </w:rPr>
              <w:t>美元</w:t>
            </w:r>
          </w:p>
        </w:tc>
        <w:tc>
          <w:tcPr>
            <w:tcW w:w="1040" w:type="dxa"/>
            <w:tcBorders>
              <w:top w:val="nil"/>
              <w:left w:val="nil"/>
              <w:bottom w:val="nil"/>
              <w:right w:val="single" w:sz="4" w:space="0" w:color="auto"/>
            </w:tcBorders>
            <w:vAlign w:val="bottom"/>
            <w:hideMark/>
          </w:tcPr>
          <w:p w14:paraId="6D463D50" w14:textId="77777777" w:rsidR="0085433F" w:rsidRPr="000C156A" w:rsidRDefault="0085433F" w:rsidP="003A64C9">
            <w:pPr>
              <w:pStyle w:val="Tabletext"/>
              <w:keepNext/>
              <w:keepLines/>
              <w:jc w:val="center"/>
              <w:rPr>
                <w:szCs w:val="22"/>
                <w:lang w:val="fr-FR" w:eastAsia="zh-CN"/>
              </w:rPr>
            </w:pPr>
            <w:r w:rsidRPr="000C156A">
              <w:rPr>
                <w:rFonts w:cs="Microsoft YaHei" w:hint="eastAsia"/>
                <w:szCs w:val="22"/>
                <w:lang w:val="fr-FR" w:eastAsia="zh-CN"/>
              </w:rPr>
              <w:t>欧元</w:t>
            </w:r>
          </w:p>
        </w:tc>
      </w:tr>
      <w:tr w:rsidR="00A07241" w:rsidRPr="000C156A" w14:paraId="24A0E50C" w14:textId="77777777" w:rsidTr="00A07241">
        <w:trPr>
          <w:trHeight w:val="20"/>
          <w:jc w:val="center"/>
        </w:trPr>
        <w:tc>
          <w:tcPr>
            <w:tcW w:w="3225" w:type="dxa"/>
            <w:tcBorders>
              <w:top w:val="nil"/>
              <w:left w:val="single" w:sz="4" w:space="0" w:color="auto"/>
              <w:bottom w:val="nil"/>
              <w:right w:val="single" w:sz="4" w:space="0" w:color="auto"/>
            </w:tcBorders>
            <w:noWrap/>
            <w:vAlign w:val="center"/>
            <w:hideMark/>
          </w:tcPr>
          <w:p w14:paraId="4E13C80F" w14:textId="77777777" w:rsidR="00A07241" w:rsidRPr="000C156A" w:rsidRDefault="00A07241" w:rsidP="00A07241">
            <w:pPr>
              <w:pStyle w:val="Tabletext"/>
              <w:keepNext/>
              <w:keepLines/>
              <w:rPr>
                <w:szCs w:val="22"/>
                <w:lang w:val="fr-FR" w:eastAsia="zh-CN"/>
              </w:rPr>
            </w:pPr>
            <w:r w:rsidRPr="000C156A">
              <w:rPr>
                <w:rFonts w:cs="Microsoft YaHei" w:hint="eastAsia"/>
                <w:szCs w:val="22"/>
                <w:lang w:val="fr-FR" w:eastAsia="zh-CN"/>
              </w:rPr>
              <w:t>到期日：</w:t>
            </w:r>
          </w:p>
        </w:tc>
        <w:tc>
          <w:tcPr>
            <w:tcW w:w="1039" w:type="dxa"/>
            <w:tcBorders>
              <w:top w:val="nil"/>
              <w:left w:val="nil"/>
              <w:bottom w:val="nil"/>
              <w:right w:val="single" w:sz="4" w:space="0" w:color="auto"/>
            </w:tcBorders>
            <w:shd w:val="clear" w:color="auto" w:fill="auto"/>
            <w:noWrap/>
            <w:vAlign w:val="bottom"/>
          </w:tcPr>
          <w:p w14:paraId="67EECF26" w14:textId="77777777" w:rsidR="00A07241" w:rsidRPr="000C156A" w:rsidRDefault="00A07241" w:rsidP="00A07241">
            <w:pPr>
              <w:pStyle w:val="Tabletext"/>
              <w:keepNext/>
              <w:keepLines/>
              <w:jc w:val="right"/>
              <w:rPr>
                <w:szCs w:val="22"/>
                <w:lang w:val="fr-FR" w:eastAsia="zh-CN"/>
              </w:rPr>
            </w:pPr>
          </w:p>
        </w:tc>
        <w:tc>
          <w:tcPr>
            <w:tcW w:w="1039" w:type="dxa"/>
            <w:tcBorders>
              <w:top w:val="nil"/>
              <w:left w:val="nil"/>
              <w:bottom w:val="nil"/>
              <w:right w:val="single" w:sz="4" w:space="0" w:color="auto"/>
            </w:tcBorders>
            <w:shd w:val="clear" w:color="auto" w:fill="auto"/>
            <w:vAlign w:val="bottom"/>
          </w:tcPr>
          <w:p w14:paraId="4F8DCDA1" w14:textId="77777777" w:rsidR="00A07241" w:rsidRPr="000C156A" w:rsidRDefault="00A07241" w:rsidP="00A07241">
            <w:pPr>
              <w:pStyle w:val="Tabletext"/>
              <w:keepNext/>
              <w:keepLines/>
              <w:jc w:val="right"/>
              <w:rPr>
                <w:szCs w:val="22"/>
                <w:lang w:val="fr-FR" w:eastAsia="zh-CN"/>
              </w:rPr>
            </w:pPr>
          </w:p>
        </w:tc>
        <w:tc>
          <w:tcPr>
            <w:tcW w:w="1040" w:type="dxa"/>
            <w:tcBorders>
              <w:top w:val="nil"/>
              <w:left w:val="nil"/>
              <w:bottom w:val="nil"/>
              <w:right w:val="single" w:sz="4" w:space="0" w:color="auto"/>
            </w:tcBorders>
            <w:shd w:val="clear" w:color="auto" w:fill="auto"/>
            <w:vAlign w:val="bottom"/>
          </w:tcPr>
          <w:p w14:paraId="0E1677C0" w14:textId="77777777" w:rsidR="00A07241" w:rsidRPr="000C156A" w:rsidRDefault="00A07241" w:rsidP="00A07241">
            <w:pPr>
              <w:pStyle w:val="Tabletext"/>
              <w:keepNext/>
              <w:keepLines/>
              <w:jc w:val="right"/>
              <w:rPr>
                <w:szCs w:val="22"/>
                <w:lang w:val="fr-FR" w:eastAsia="zh-CN"/>
              </w:rPr>
            </w:pPr>
          </w:p>
        </w:tc>
        <w:tc>
          <w:tcPr>
            <w:tcW w:w="1039" w:type="dxa"/>
            <w:tcBorders>
              <w:top w:val="nil"/>
              <w:left w:val="nil"/>
              <w:bottom w:val="nil"/>
              <w:right w:val="single" w:sz="4" w:space="0" w:color="auto"/>
            </w:tcBorders>
            <w:shd w:val="clear" w:color="auto" w:fill="auto"/>
            <w:noWrap/>
            <w:vAlign w:val="bottom"/>
            <w:hideMark/>
          </w:tcPr>
          <w:p w14:paraId="0EFCC790" w14:textId="77777777" w:rsidR="00A07241" w:rsidRPr="000C156A" w:rsidRDefault="00A07241" w:rsidP="00A07241">
            <w:pPr>
              <w:pStyle w:val="Tabletext"/>
              <w:keepNext/>
              <w:keepLines/>
              <w:jc w:val="right"/>
              <w:rPr>
                <w:szCs w:val="22"/>
                <w:lang w:val="fr-FR" w:eastAsia="zh-CN"/>
              </w:rPr>
            </w:pPr>
          </w:p>
        </w:tc>
        <w:tc>
          <w:tcPr>
            <w:tcW w:w="1039" w:type="dxa"/>
            <w:tcBorders>
              <w:top w:val="nil"/>
              <w:left w:val="nil"/>
              <w:bottom w:val="nil"/>
              <w:right w:val="single" w:sz="4" w:space="0" w:color="auto"/>
            </w:tcBorders>
            <w:shd w:val="clear" w:color="auto" w:fill="auto"/>
            <w:vAlign w:val="bottom"/>
            <w:hideMark/>
          </w:tcPr>
          <w:p w14:paraId="12808561" w14:textId="77777777" w:rsidR="00A07241" w:rsidRPr="000C156A" w:rsidRDefault="00A07241" w:rsidP="00A07241">
            <w:pPr>
              <w:pStyle w:val="Tabletext"/>
              <w:keepNext/>
              <w:keepLines/>
              <w:jc w:val="right"/>
              <w:rPr>
                <w:szCs w:val="22"/>
                <w:lang w:val="fr-FR" w:eastAsia="zh-CN"/>
              </w:rPr>
            </w:pPr>
          </w:p>
        </w:tc>
        <w:tc>
          <w:tcPr>
            <w:tcW w:w="1040" w:type="dxa"/>
            <w:tcBorders>
              <w:top w:val="nil"/>
              <w:left w:val="nil"/>
              <w:bottom w:val="nil"/>
              <w:right w:val="single" w:sz="4" w:space="0" w:color="auto"/>
            </w:tcBorders>
            <w:shd w:val="clear" w:color="auto" w:fill="auto"/>
            <w:vAlign w:val="bottom"/>
            <w:hideMark/>
          </w:tcPr>
          <w:p w14:paraId="67899834" w14:textId="77777777" w:rsidR="00A07241" w:rsidRPr="000C156A" w:rsidRDefault="00A07241" w:rsidP="00A07241">
            <w:pPr>
              <w:pStyle w:val="Tabletext"/>
              <w:keepNext/>
              <w:keepLines/>
              <w:jc w:val="right"/>
              <w:rPr>
                <w:szCs w:val="22"/>
                <w:lang w:val="fr-FR" w:eastAsia="zh-CN"/>
              </w:rPr>
            </w:pPr>
          </w:p>
        </w:tc>
      </w:tr>
      <w:tr w:rsidR="00A07241" w:rsidRPr="000C156A" w14:paraId="18422FD7" w14:textId="77777777" w:rsidTr="00A07241">
        <w:trPr>
          <w:trHeight w:val="20"/>
          <w:jc w:val="center"/>
        </w:trPr>
        <w:tc>
          <w:tcPr>
            <w:tcW w:w="3225" w:type="dxa"/>
            <w:tcBorders>
              <w:top w:val="nil"/>
              <w:left w:val="single" w:sz="4" w:space="0" w:color="auto"/>
              <w:bottom w:val="nil"/>
              <w:right w:val="single" w:sz="4" w:space="0" w:color="auto"/>
            </w:tcBorders>
            <w:noWrap/>
            <w:vAlign w:val="bottom"/>
            <w:hideMark/>
          </w:tcPr>
          <w:p w14:paraId="4B7FD540" w14:textId="77777777" w:rsidR="00A07241" w:rsidRPr="000C156A" w:rsidRDefault="00A07241" w:rsidP="00A07241">
            <w:pPr>
              <w:pStyle w:val="Tabletext"/>
              <w:keepNext/>
              <w:keepLines/>
              <w:rPr>
                <w:szCs w:val="22"/>
                <w:lang w:val="fr-FR" w:eastAsia="zh-CN"/>
              </w:rPr>
            </w:pPr>
            <w:r w:rsidRPr="000C156A">
              <w:rPr>
                <w:szCs w:val="22"/>
                <w:lang w:val="fr-FR" w:eastAsia="zh-CN"/>
              </w:rPr>
              <w:t>0-3</w:t>
            </w:r>
            <w:r w:rsidRPr="000C156A">
              <w:rPr>
                <w:rFonts w:cs="Microsoft YaHei" w:hint="eastAsia"/>
                <w:szCs w:val="22"/>
                <w:lang w:val="fr-FR" w:eastAsia="zh-CN"/>
              </w:rPr>
              <w:t>个月</w:t>
            </w:r>
          </w:p>
        </w:tc>
        <w:tc>
          <w:tcPr>
            <w:tcW w:w="1039" w:type="dxa"/>
            <w:tcBorders>
              <w:top w:val="nil"/>
              <w:left w:val="nil"/>
              <w:bottom w:val="nil"/>
              <w:right w:val="single" w:sz="4" w:space="0" w:color="auto"/>
            </w:tcBorders>
            <w:shd w:val="clear" w:color="auto" w:fill="auto"/>
            <w:noWrap/>
            <w:vAlign w:val="bottom"/>
          </w:tcPr>
          <w:p w14:paraId="0224D491" w14:textId="1B774666" w:rsidR="00A07241" w:rsidRPr="000C156A" w:rsidRDefault="00A07241" w:rsidP="00A07241">
            <w:pPr>
              <w:pStyle w:val="Tabletext"/>
              <w:keepNext/>
              <w:keepLines/>
              <w:jc w:val="right"/>
              <w:rPr>
                <w:szCs w:val="22"/>
                <w:lang w:val="fr-FR" w:eastAsia="zh-CN"/>
              </w:rPr>
            </w:pPr>
            <w:r>
              <w:rPr>
                <w:rFonts w:asciiTheme="minorHAnsi" w:hAnsiTheme="minorHAnsi" w:cs="Arial"/>
                <w:color w:val="000000"/>
                <w:szCs w:val="22"/>
                <w:lang w:val="en-US" w:eastAsia="zh-CN"/>
              </w:rPr>
              <w:t>9 999</w:t>
            </w:r>
          </w:p>
        </w:tc>
        <w:tc>
          <w:tcPr>
            <w:tcW w:w="1039" w:type="dxa"/>
            <w:tcBorders>
              <w:top w:val="nil"/>
              <w:left w:val="nil"/>
              <w:bottom w:val="nil"/>
              <w:right w:val="single" w:sz="4" w:space="0" w:color="auto"/>
            </w:tcBorders>
            <w:shd w:val="clear" w:color="auto" w:fill="auto"/>
            <w:vAlign w:val="bottom"/>
          </w:tcPr>
          <w:p w14:paraId="59FB69C2" w14:textId="79DE9D56" w:rsidR="00A07241" w:rsidRPr="000C156A" w:rsidRDefault="00A07241" w:rsidP="00A07241">
            <w:pPr>
              <w:pStyle w:val="Tabletext"/>
              <w:keepNext/>
              <w:keepLines/>
              <w:jc w:val="right"/>
              <w:rPr>
                <w:szCs w:val="22"/>
                <w:lang w:val="fr-FR" w:eastAsia="zh-CN"/>
              </w:rPr>
            </w:pPr>
            <w:r>
              <w:rPr>
                <w:rFonts w:asciiTheme="minorHAnsi" w:hAnsiTheme="minorHAnsi" w:cs="Arial"/>
                <w:color w:val="000000"/>
                <w:szCs w:val="22"/>
                <w:lang w:val="en-US" w:eastAsia="zh-CN"/>
              </w:rPr>
              <w:t>68 561</w:t>
            </w:r>
            <w:r w:rsidRPr="00073B1A">
              <w:rPr>
                <w:rFonts w:asciiTheme="minorHAnsi" w:hAnsiTheme="minorHAnsi" w:cs="Arial"/>
                <w:color w:val="000000"/>
                <w:szCs w:val="22"/>
                <w:lang w:val="en-US" w:eastAsia="zh-CN"/>
              </w:rPr>
              <w:t xml:space="preserve"> </w:t>
            </w:r>
          </w:p>
        </w:tc>
        <w:tc>
          <w:tcPr>
            <w:tcW w:w="1040" w:type="dxa"/>
            <w:tcBorders>
              <w:top w:val="nil"/>
              <w:left w:val="nil"/>
              <w:bottom w:val="nil"/>
              <w:right w:val="single" w:sz="4" w:space="0" w:color="auto"/>
            </w:tcBorders>
            <w:shd w:val="clear" w:color="auto" w:fill="auto"/>
            <w:vAlign w:val="bottom"/>
          </w:tcPr>
          <w:p w14:paraId="1D152254" w14:textId="5E5B078F" w:rsidR="00A07241" w:rsidRPr="000C156A" w:rsidRDefault="00A07241" w:rsidP="00A07241">
            <w:pPr>
              <w:pStyle w:val="Tabletext"/>
              <w:keepNext/>
              <w:keepLines/>
              <w:jc w:val="right"/>
              <w:rPr>
                <w:szCs w:val="22"/>
                <w:lang w:val="fr-FR" w:eastAsia="zh-CN"/>
              </w:rPr>
            </w:pPr>
            <w:r>
              <w:rPr>
                <w:rFonts w:asciiTheme="minorHAnsi" w:hAnsiTheme="minorHAnsi" w:cs="Arial"/>
                <w:color w:val="000000"/>
                <w:szCs w:val="22"/>
                <w:lang w:val="en-US" w:eastAsia="zh-CN"/>
              </w:rPr>
              <w:t>-</w:t>
            </w:r>
            <w:r w:rsidRPr="00073B1A">
              <w:rPr>
                <w:rFonts w:asciiTheme="minorHAnsi" w:hAnsiTheme="minorHAnsi" w:cs="Arial"/>
                <w:color w:val="000000"/>
                <w:szCs w:val="22"/>
                <w:lang w:val="en-US" w:eastAsia="zh-CN"/>
              </w:rPr>
              <w:t xml:space="preserve">                   </w:t>
            </w:r>
          </w:p>
        </w:tc>
        <w:tc>
          <w:tcPr>
            <w:tcW w:w="1039" w:type="dxa"/>
            <w:tcBorders>
              <w:top w:val="nil"/>
              <w:left w:val="nil"/>
              <w:bottom w:val="nil"/>
              <w:right w:val="single" w:sz="4" w:space="0" w:color="auto"/>
            </w:tcBorders>
            <w:shd w:val="clear" w:color="auto" w:fill="auto"/>
            <w:noWrap/>
            <w:vAlign w:val="bottom"/>
            <w:hideMark/>
          </w:tcPr>
          <w:p w14:paraId="4ED2BBBE" w14:textId="62EF8761" w:rsidR="00A07241" w:rsidRPr="000C156A" w:rsidRDefault="00A07241" w:rsidP="00A07241">
            <w:pPr>
              <w:pStyle w:val="Tabletext"/>
              <w:keepNext/>
              <w:keepLines/>
              <w:jc w:val="right"/>
              <w:rPr>
                <w:szCs w:val="22"/>
                <w:lang w:val="fr-FR" w:eastAsia="zh-CN"/>
              </w:rPr>
            </w:pPr>
            <w:r w:rsidRPr="000C156A">
              <w:rPr>
                <w:szCs w:val="22"/>
                <w:lang w:val="fr-FR" w:eastAsia="zh-CN"/>
              </w:rPr>
              <w:t>10 000</w:t>
            </w:r>
          </w:p>
        </w:tc>
        <w:tc>
          <w:tcPr>
            <w:tcW w:w="1039" w:type="dxa"/>
            <w:tcBorders>
              <w:top w:val="nil"/>
              <w:left w:val="nil"/>
              <w:bottom w:val="nil"/>
              <w:right w:val="single" w:sz="4" w:space="0" w:color="auto"/>
            </w:tcBorders>
            <w:shd w:val="clear" w:color="auto" w:fill="auto"/>
            <w:vAlign w:val="bottom"/>
            <w:hideMark/>
          </w:tcPr>
          <w:p w14:paraId="05794FF4" w14:textId="427516C8" w:rsidR="00A07241" w:rsidRPr="000C156A" w:rsidRDefault="00A07241" w:rsidP="00A07241">
            <w:pPr>
              <w:pStyle w:val="Tabletext"/>
              <w:keepNext/>
              <w:keepLines/>
              <w:jc w:val="right"/>
              <w:rPr>
                <w:szCs w:val="22"/>
                <w:lang w:val="fr-FR" w:eastAsia="zh-CN"/>
              </w:rPr>
            </w:pPr>
            <w:r w:rsidRPr="000C156A">
              <w:rPr>
                <w:szCs w:val="22"/>
                <w:lang w:val="fr-FR" w:eastAsia="zh-CN"/>
              </w:rPr>
              <w:t>28 614</w:t>
            </w:r>
          </w:p>
        </w:tc>
        <w:tc>
          <w:tcPr>
            <w:tcW w:w="1040" w:type="dxa"/>
            <w:tcBorders>
              <w:top w:val="nil"/>
              <w:left w:val="nil"/>
              <w:bottom w:val="nil"/>
              <w:right w:val="single" w:sz="4" w:space="0" w:color="auto"/>
            </w:tcBorders>
            <w:shd w:val="clear" w:color="auto" w:fill="auto"/>
            <w:vAlign w:val="bottom"/>
            <w:hideMark/>
          </w:tcPr>
          <w:p w14:paraId="19FCF4A5" w14:textId="5D8DAF3D" w:rsidR="00A07241" w:rsidRPr="000C156A" w:rsidRDefault="00A07241" w:rsidP="00A07241">
            <w:pPr>
              <w:pStyle w:val="Tabletext"/>
              <w:keepNext/>
              <w:keepLines/>
              <w:jc w:val="right"/>
              <w:rPr>
                <w:szCs w:val="22"/>
                <w:lang w:val="fr-FR" w:eastAsia="zh-CN"/>
              </w:rPr>
            </w:pPr>
            <w:r w:rsidRPr="000C156A">
              <w:rPr>
                <w:szCs w:val="22"/>
                <w:lang w:val="fr-FR" w:eastAsia="zh-CN"/>
              </w:rPr>
              <w:t>-</w:t>
            </w:r>
          </w:p>
        </w:tc>
      </w:tr>
      <w:tr w:rsidR="00A07241" w:rsidRPr="000C156A" w14:paraId="14D172A3" w14:textId="77777777" w:rsidTr="00A07241">
        <w:trPr>
          <w:trHeight w:val="20"/>
          <w:jc w:val="center"/>
        </w:trPr>
        <w:tc>
          <w:tcPr>
            <w:tcW w:w="3225" w:type="dxa"/>
            <w:tcBorders>
              <w:top w:val="nil"/>
              <w:left w:val="single" w:sz="4" w:space="0" w:color="auto"/>
              <w:bottom w:val="nil"/>
              <w:right w:val="single" w:sz="4" w:space="0" w:color="auto"/>
            </w:tcBorders>
            <w:noWrap/>
            <w:vAlign w:val="bottom"/>
            <w:hideMark/>
          </w:tcPr>
          <w:p w14:paraId="3E321309" w14:textId="77777777" w:rsidR="00A07241" w:rsidRPr="000C156A" w:rsidRDefault="00A07241" w:rsidP="00A07241">
            <w:pPr>
              <w:pStyle w:val="Tabletext"/>
              <w:keepNext/>
              <w:keepLines/>
              <w:rPr>
                <w:szCs w:val="22"/>
                <w:lang w:val="fr-FR" w:eastAsia="zh-CN"/>
              </w:rPr>
            </w:pPr>
            <w:r w:rsidRPr="000C156A">
              <w:rPr>
                <w:szCs w:val="22"/>
                <w:lang w:val="fr-FR" w:eastAsia="zh-CN"/>
              </w:rPr>
              <w:t>4-6</w:t>
            </w:r>
            <w:r w:rsidRPr="000C156A">
              <w:rPr>
                <w:rFonts w:cs="Microsoft YaHei" w:hint="eastAsia"/>
                <w:szCs w:val="22"/>
                <w:lang w:val="fr-FR" w:eastAsia="zh-CN"/>
              </w:rPr>
              <w:t>个月</w:t>
            </w:r>
          </w:p>
        </w:tc>
        <w:tc>
          <w:tcPr>
            <w:tcW w:w="1039" w:type="dxa"/>
            <w:tcBorders>
              <w:top w:val="nil"/>
              <w:left w:val="nil"/>
              <w:bottom w:val="nil"/>
              <w:right w:val="single" w:sz="4" w:space="0" w:color="auto"/>
            </w:tcBorders>
            <w:shd w:val="clear" w:color="auto" w:fill="auto"/>
            <w:noWrap/>
            <w:vAlign w:val="bottom"/>
          </w:tcPr>
          <w:p w14:paraId="2211287F" w14:textId="653DDDBA" w:rsidR="00A07241" w:rsidRPr="000C156A" w:rsidRDefault="00A07241" w:rsidP="00A07241">
            <w:pPr>
              <w:pStyle w:val="Tabletext"/>
              <w:keepNext/>
              <w:keepLines/>
              <w:jc w:val="right"/>
              <w:rPr>
                <w:szCs w:val="22"/>
                <w:lang w:val="fr-FR" w:eastAsia="zh-CN"/>
              </w:rPr>
            </w:pPr>
            <w:r w:rsidRPr="00073B1A">
              <w:rPr>
                <w:rFonts w:asciiTheme="minorHAnsi" w:hAnsiTheme="minorHAnsi" w:cs="Arial"/>
                <w:color w:val="000000"/>
                <w:szCs w:val="22"/>
                <w:lang w:val="en-US" w:eastAsia="zh-CN"/>
              </w:rPr>
              <w:t> </w:t>
            </w:r>
          </w:p>
        </w:tc>
        <w:tc>
          <w:tcPr>
            <w:tcW w:w="1039" w:type="dxa"/>
            <w:tcBorders>
              <w:top w:val="nil"/>
              <w:left w:val="nil"/>
              <w:bottom w:val="nil"/>
              <w:right w:val="single" w:sz="4" w:space="0" w:color="auto"/>
            </w:tcBorders>
            <w:shd w:val="clear" w:color="auto" w:fill="auto"/>
            <w:vAlign w:val="bottom"/>
          </w:tcPr>
          <w:p w14:paraId="074B5D04" w14:textId="5B67E8E3" w:rsidR="00A07241" w:rsidRPr="000C156A" w:rsidRDefault="00A07241" w:rsidP="00A07241">
            <w:pPr>
              <w:pStyle w:val="Tabletext"/>
              <w:keepNext/>
              <w:keepLines/>
              <w:jc w:val="right"/>
              <w:rPr>
                <w:szCs w:val="22"/>
                <w:lang w:val="fr-FR" w:eastAsia="zh-CN"/>
              </w:rPr>
            </w:pPr>
            <w:r w:rsidRPr="00073B1A">
              <w:rPr>
                <w:rFonts w:asciiTheme="minorHAnsi" w:hAnsiTheme="minorHAnsi" w:cs="Arial"/>
                <w:color w:val="000000"/>
                <w:szCs w:val="22"/>
                <w:lang w:val="en-US" w:eastAsia="zh-CN"/>
              </w:rPr>
              <w:t xml:space="preserve"> </w:t>
            </w:r>
            <w:r>
              <w:rPr>
                <w:rFonts w:asciiTheme="minorHAnsi" w:hAnsiTheme="minorHAnsi" w:cs="Arial"/>
                <w:color w:val="000000"/>
                <w:szCs w:val="22"/>
                <w:lang w:val="en-US" w:eastAsia="zh-CN"/>
              </w:rPr>
              <w:t>23 000</w:t>
            </w:r>
          </w:p>
        </w:tc>
        <w:tc>
          <w:tcPr>
            <w:tcW w:w="1040" w:type="dxa"/>
            <w:tcBorders>
              <w:top w:val="nil"/>
              <w:left w:val="nil"/>
              <w:bottom w:val="nil"/>
              <w:right w:val="single" w:sz="4" w:space="0" w:color="auto"/>
            </w:tcBorders>
            <w:shd w:val="clear" w:color="auto" w:fill="auto"/>
            <w:vAlign w:val="bottom"/>
          </w:tcPr>
          <w:p w14:paraId="713C23DD" w14:textId="12DC9384" w:rsidR="00A07241" w:rsidRPr="000C156A" w:rsidRDefault="00A07241" w:rsidP="00A07241">
            <w:pPr>
              <w:pStyle w:val="Tabletext"/>
              <w:keepNext/>
              <w:keepLines/>
              <w:jc w:val="right"/>
              <w:rPr>
                <w:szCs w:val="22"/>
                <w:lang w:val="fr-FR" w:eastAsia="zh-CN"/>
              </w:rPr>
            </w:pPr>
            <w:r w:rsidRPr="00073B1A">
              <w:rPr>
                <w:rFonts w:asciiTheme="minorHAnsi" w:hAnsiTheme="minorHAnsi" w:cs="Arial"/>
                <w:color w:val="000000"/>
                <w:szCs w:val="22"/>
                <w:lang w:val="en-US" w:eastAsia="zh-CN"/>
              </w:rPr>
              <w:t> </w:t>
            </w:r>
          </w:p>
        </w:tc>
        <w:tc>
          <w:tcPr>
            <w:tcW w:w="1039" w:type="dxa"/>
            <w:tcBorders>
              <w:top w:val="nil"/>
              <w:left w:val="nil"/>
              <w:bottom w:val="nil"/>
              <w:right w:val="single" w:sz="4" w:space="0" w:color="auto"/>
            </w:tcBorders>
            <w:shd w:val="clear" w:color="auto" w:fill="auto"/>
            <w:noWrap/>
            <w:vAlign w:val="bottom"/>
            <w:hideMark/>
          </w:tcPr>
          <w:p w14:paraId="2B38C514" w14:textId="77777777" w:rsidR="00A07241" w:rsidRPr="000C156A" w:rsidRDefault="00A07241" w:rsidP="00A07241">
            <w:pPr>
              <w:pStyle w:val="Tabletext"/>
              <w:keepNext/>
              <w:keepLines/>
              <w:jc w:val="right"/>
              <w:rPr>
                <w:szCs w:val="22"/>
                <w:lang w:val="fr-FR" w:eastAsia="zh-CN"/>
              </w:rPr>
            </w:pPr>
          </w:p>
        </w:tc>
        <w:tc>
          <w:tcPr>
            <w:tcW w:w="1039" w:type="dxa"/>
            <w:tcBorders>
              <w:top w:val="nil"/>
              <w:left w:val="nil"/>
              <w:bottom w:val="nil"/>
              <w:right w:val="single" w:sz="4" w:space="0" w:color="auto"/>
            </w:tcBorders>
            <w:shd w:val="clear" w:color="auto" w:fill="auto"/>
            <w:vAlign w:val="bottom"/>
            <w:hideMark/>
          </w:tcPr>
          <w:p w14:paraId="3BED6A68" w14:textId="580F5D90" w:rsidR="00A07241" w:rsidRPr="000C156A" w:rsidRDefault="00A07241" w:rsidP="00A07241">
            <w:pPr>
              <w:pStyle w:val="Tabletext"/>
              <w:keepNext/>
              <w:keepLines/>
              <w:jc w:val="right"/>
              <w:rPr>
                <w:szCs w:val="22"/>
                <w:lang w:val="fr-FR" w:eastAsia="zh-CN"/>
              </w:rPr>
            </w:pPr>
            <w:r w:rsidRPr="000C156A">
              <w:rPr>
                <w:szCs w:val="22"/>
                <w:lang w:val="fr-FR" w:eastAsia="zh-CN"/>
              </w:rPr>
              <w:t>65 400</w:t>
            </w:r>
          </w:p>
        </w:tc>
        <w:tc>
          <w:tcPr>
            <w:tcW w:w="1040" w:type="dxa"/>
            <w:tcBorders>
              <w:top w:val="nil"/>
              <w:left w:val="nil"/>
              <w:bottom w:val="nil"/>
              <w:right w:val="single" w:sz="4" w:space="0" w:color="auto"/>
            </w:tcBorders>
            <w:shd w:val="clear" w:color="auto" w:fill="auto"/>
            <w:vAlign w:val="bottom"/>
            <w:hideMark/>
          </w:tcPr>
          <w:p w14:paraId="1E17DEF7" w14:textId="77777777" w:rsidR="00A07241" w:rsidRPr="000C156A" w:rsidRDefault="00A07241" w:rsidP="00A07241">
            <w:pPr>
              <w:pStyle w:val="Tabletext"/>
              <w:keepNext/>
              <w:keepLines/>
              <w:jc w:val="right"/>
              <w:rPr>
                <w:szCs w:val="22"/>
                <w:lang w:val="fr-FR" w:eastAsia="zh-CN"/>
              </w:rPr>
            </w:pPr>
          </w:p>
        </w:tc>
      </w:tr>
      <w:tr w:rsidR="00A07241" w:rsidRPr="000C156A" w14:paraId="3690D516" w14:textId="77777777" w:rsidTr="00A07241">
        <w:trPr>
          <w:trHeight w:val="20"/>
          <w:jc w:val="center"/>
        </w:trPr>
        <w:tc>
          <w:tcPr>
            <w:tcW w:w="3225" w:type="dxa"/>
            <w:tcBorders>
              <w:top w:val="nil"/>
              <w:left w:val="single" w:sz="4" w:space="0" w:color="auto"/>
              <w:bottom w:val="nil"/>
              <w:right w:val="single" w:sz="4" w:space="0" w:color="auto"/>
            </w:tcBorders>
            <w:noWrap/>
            <w:vAlign w:val="bottom"/>
            <w:hideMark/>
          </w:tcPr>
          <w:p w14:paraId="4227A6F0" w14:textId="77777777" w:rsidR="00A07241" w:rsidRPr="000C156A" w:rsidRDefault="00A07241" w:rsidP="00A07241">
            <w:pPr>
              <w:pStyle w:val="Tabletext"/>
              <w:keepNext/>
              <w:keepLines/>
              <w:rPr>
                <w:szCs w:val="22"/>
                <w:lang w:val="fr-FR" w:eastAsia="zh-CN"/>
              </w:rPr>
            </w:pPr>
            <w:r w:rsidRPr="000C156A">
              <w:rPr>
                <w:szCs w:val="22"/>
                <w:lang w:val="fr-FR" w:eastAsia="zh-CN"/>
              </w:rPr>
              <w:t>7-9</w:t>
            </w:r>
            <w:r w:rsidRPr="000C156A">
              <w:rPr>
                <w:rFonts w:cs="Microsoft YaHei" w:hint="eastAsia"/>
                <w:szCs w:val="22"/>
                <w:lang w:val="fr-FR" w:eastAsia="zh-CN"/>
              </w:rPr>
              <w:t>个月</w:t>
            </w:r>
          </w:p>
        </w:tc>
        <w:tc>
          <w:tcPr>
            <w:tcW w:w="1039" w:type="dxa"/>
            <w:tcBorders>
              <w:top w:val="nil"/>
              <w:left w:val="nil"/>
              <w:bottom w:val="nil"/>
              <w:right w:val="single" w:sz="4" w:space="0" w:color="auto"/>
            </w:tcBorders>
            <w:shd w:val="clear" w:color="auto" w:fill="auto"/>
            <w:noWrap/>
            <w:vAlign w:val="bottom"/>
          </w:tcPr>
          <w:p w14:paraId="063C2938" w14:textId="3313E727" w:rsidR="00A07241" w:rsidRPr="000C156A" w:rsidRDefault="00A07241" w:rsidP="00A07241">
            <w:pPr>
              <w:pStyle w:val="Tabletext"/>
              <w:keepNext/>
              <w:keepLines/>
              <w:jc w:val="right"/>
              <w:rPr>
                <w:szCs w:val="22"/>
                <w:lang w:val="fr-FR" w:eastAsia="zh-CN"/>
              </w:rPr>
            </w:pPr>
            <w:r w:rsidRPr="00073B1A">
              <w:rPr>
                <w:rFonts w:asciiTheme="minorHAnsi" w:hAnsiTheme="minorHAnsi" w:cs="Arial"/>
                <w:color w:val="000000"/>
                <w:szCs w:val="22"/>
                <w:lang w:val="en-US" w:eastAsia="zh-CN"/>
              </w:rPr>
              <w:t> </w:t>
            </w:r>
          </w:p>
        </w:tc>
        <w:tc>
          <w:tcPr>
            <w:tcW w:w="1039" w:type="dxa"/>
            <w:tcBorders>
              <w:top w:val="nil"/>
              <w:left w:val="nil"/>
              <w:bottom w:val="nil"/>
              <w:right w:val="single" w:sz="4" w:space="0" w:color="auto"/>
            </w:tcBorders>
            <w:shd w:val="clear" w:color="auto" w:fill="auto"/>
            <w:vAlign w:val="bottom"/>
          </w:tcPr>
          <w:p w14:paraId="4D060FA0" w14:textId="1D977F7D" w:rsidR="00A07241" w:rsidRPr="000C156A" w:rsidRDefault="00A07241" w:rsidP="00A07241">
            <w:pPr>
              <w:pStyle w:val="Tabletext"/>
              <w:keepNext/>
              <w:keepLines/>
              <w:jc w:val="right"/>
              <w:rPr>
                <w:szCs w:val="22"/>
                <w:lang w:val="fr-FR" w:eastAsia="zh-CN"/>
              </w:rPr>
            </w:pPr>
            <w:r w:rsidRPr="00073B1A">
              <w:rPr>
                <w:rFonts w:asciiTheme="minorHAnsi" w:hAnsiTheme="minorHAnsi" w:cs="Arial"/>
                <w:color w:val="000000"/>
                <w:szCs w:val="22"/>
                <w:lang w:val="en-US" w:eastAsia="zh-CN"/>
              </w:rPr>
              <w:t xml:space="preserve">      </w:t>
            </w:r>
          </w:p>
        </w:tc>
        <w:tc>
          <w:tcPr>
            <w:tcW w:w="1040" w:type="dxa"/>
            <w:tcBorders>
              <w:top w:val="nil"/>
              <w:left w:val="nil"/>
              <w:bottom w:val="nil"/>
              <w:right w:val="single" w:sz="4" w:space="0" w:color="auto"/>
            </w:tcBorders>
            <w:shd w:val="clear" w:color="auto" w:fill="auto"/>
            <w:vAlign w:val="bottom"/>
          </w:tcPr>
          <w:p w14:paraId="7C92557F" w14:textId="58029A5A" w:rsidR="00A07241" w:rsidRPr="000C156A" w:rsidRDefault="00A07241" w:rsidP="00A07241">
            <w:pPr>
              <w:pStyle w:val="Tabletext"/>
              <w:keepNext/>
              <w:keepLines/>
              <w:jc w:val="right"/>
              <w:rPr>
                <w:szCs w:val="22"/>
                <w:lang w:val="fr-FR" w:eastAsia="zh-CN"/>
              </w:rPr>
            </w:pPr>
            <w:r w:rsidRPr="00073B1A">
              <w:rPr>
                <w:rFonts w:asciiTheme="minorHAnsi" w:hAnsiTheme="minorHAnsi" w:cs="Arial"/>
                <w:color w:val="000000"/>
                <w:szCs w:val="22"/>
                <w:lang w:val="en-US" w:eastAsia="zh-CN"/>
              </w:rPr>
              <w:t> </w:t>
            </w:r>
          </w:p>
        </w:tc>
        <w:tc>
          <w:tcPr>
            <w:tcW w:w="1039" w:type="dxa"/>
            <w:tcBorders>
              <w:top w:val="nil"/>
              <w:left w:val="nil"/>
              <w:bottom w:val="nil"/>
              <w:right w:val="single" w:sz="4" w:space="0" w:color="auto"/>
            </w:tcBorders>
            <w:shd w:val="clear" w:color="auto" w:fill="auto"/>
            <w:noWrap/>
            <w:vAlign w:val="bottom"/>
            <w:hideMark/>
          </w:tcPr>
          <w:p w14:paraId="14E6EA51" w14:textId="77777777" w:rsidR="00A07241" w:rsidRPr="000C156A" w:rsidRDefault="00A07241" w:rsidP="00A07241">
            <w:pPr>
              <w:pStyle w:val="Tabletext"/>
              <w:keepNext/>
              <w:keepLines/>
              <w:jc w:val="right"/>
              <w:rPr>
                <w:szCs w:val="22"/>
                <w:lang w:val="fr-FR" w:eastAsia="zh-CN"/>
              </w:rPr>
            </w:pPr>
          </w:p>
        </w:tc>
        <w:tc>
          <w:tcPr>
            <w:tcW w:w="1039" w:type="dxa"/>
            <w:tcBorders>
              <w:top w:val="nil"/>
              <w:left w:val="nil"/>
              <w:bottom w:val="nil"/>
              <w:right w:val="single" w:sz="4" w:space="0" w:color="auto"/>
            </w:tcBorders>
            <w:shd w:val="clear" w:color="auto" w:fill="auto"/>
            <w:vAlign w:val="bottom"/>
          </w:tcPr>
          <w:p w14:paraId="79B7DE98" w14:textId="77777777" w:rsidR="00A07241" w:rsidRPr="000C156A" w:rsidRDefault="00A07241" w:rsidP="00A07241">
            <w:pPr>
              <w:pStyle w:val="Tabletext"/>
              <w:keepNext/>
              <w:keepLines/>
              <w:jc w:val="right"/>
              <w:rPr>
                <w:szCs w:val="22"/>
                <w:lang w:val="fr-FR" w:eastAsia="zh-CN"/>
              </w:rPr>
            </w:pPr>
          </w:p>
        </w:tc>
        <w:tc>
          <w:tcPr>
            <w:tcW w:w="1040" w:type="dxa"/>
            <w:tcBorders>
              <w:top w:val="nil"/>
              <w:left w:val="nil"/>
              <w:bottom w:val="nil"/>
              <w:right w:val="single" w:sz="4" w:space="0" w:color="auto"/>
            </w:tcBorders>
            <w:shd w:val="clear" w:color="auto" w:fill="auto"/>
            <w:vAlign w:val="bottom"/>
            <w:hideMark/>
          </w:tcPr>
          <w:p w14:paraId="1DE35DC3" w14:textId="77777777" w:rsidR="00A07241" w:rsidRPr="000C156A" w:rsidRDefault="00A07241" w:rsidP="00A07241">
            <w:pPr>
              <w:pStyle w:val="Tabletext"/>
              <w:keepNext/>
              <w:keepLines/>
              <w:jc w:val="right"/>
              <w:rPr>
                <w:szCs w:val="22"/>
                <w:lang w:val="fr-FR" w:eastAsia="zh-CN"/>
              </w:rPr>
            </w:pPr>
          </w:p>
        </w:tc>
      </w:tr>
      <w:tr w:rsidR="00A07241" w:rsidRPr="000C156A" w14:paraId="5275018D" w14:textId="77777777" w:rsidTr="00A07241">
        <w:trPr>
          <w:trHeight w:val="20"/>
          <w:jc w:val="center"/>
        </w:trPr>
        <w:tc>
          <w:tcPr>
            <w:tcW w:w="3225" w:type="dxa"/>
            <w:tcBorders>
              <w:top w:val="nil"/>
              <w:left w:val="single" w:sz="4" w:space="0" w:color="auto"/>
              <w:bottom w:val="single" w:sz="4" w:space="0" w:color="auto"/>
              <w:right w:val="single" w:sz="4" w:space="0" w:color="auto"/>
            </w:tcBorders>
            <w:noWrap/>
            <w:vAlign w:val="bottom"/>
            <w:hideMark/>
          </w:tcPr>
          <w:p w14:paraId="6D4B7F43" w14:textId="77777777" w:rsidR="00A07241" w:rsidRPr="000C156A" w:rsidRDefault="00A07241" w:rsidP="00A07241">
            <w:pPr>
              <w:pStyle w:val="Tabletext"/>
              <w:keepNext/>
              <w:keepLines/>
              <w:rPr>
                <w:szCs w:val="22"/>
                <w:lang w:val="fr-FR" w:eastAsia="zh-CN"/>
              </w:rPr>
            </w:pPr>
            <w:r w:rsidRPr="000C156A">
              <w:rPr>
                <w:szCs w:val="22"/>
                <w:lang w:val="fr-FR" w:eastAsia="zh-CN"/>
              </w:rPr>
              <w:t>9</w:t>
            </w:r>
            <w:r w:rsidRPr="000C156A">
              <w:rPr>
                <w:rFonts w:cs="Microsoft YaHei" w:hint="eastAsia"/>
                <w:szCs w:val="22"/>
                <w:lang w:val="fr-FR" w:eastAsia="zh-CN"/>
              </w:rPr>
              <w:t>个月以上</w:t>
            </w:r>
          </w:p>
        </w:tc>
        <w:tc>
          <w:tcPr>
            <w:tcW w:w="1039" w:type="dxa"/>
            <w:tcBorders>
              <w:top w:val="nil"/>
              <w:left w:val="nil"/>
              <w:bottom w:val="nil"/>
              <w:right w:val="single" w:sz="4" w:space="0" w:color="auto"/>
            </w:tcBorders>
            <w:shd w:val="clear" w:color="auto" w:fill="auto"/>
            <w:noWrap/>
            <w:vAlign w:val="bottom"/>
          </w:tcPr>
          <w:p w14:paraId="045E181E" w14:textId="76E85485" w:rsidR="00A07241" w:rsidRPr="000C156A" w:rsidRDefault="00A07241" w:rsidP="00A07241">
            <w:pPr>
              <w:pStyle w:val="Tabletext"/>
              <w:keepNext/>
              <w:keepLines/>
              <w:jc w:val="right"/>
              <w:rPr>
                <w:szCs w:val="22"/>
                <w:lang w:val="fr-FR" w:eastAsia="zh-CN"/>
              </w:rPr>
            </w:pPr>
            <w:r w:rsidRPr="00073B1A">
              <w:rPr>
                <w:rFonts w:asciiTheme="minorHAnsi" w:hAnsiTheme="minorHAnsi" w:cs="Arial"/>
                <w:color w:val="000000"/>
                <w:szCs w:val="22"/>
                <w:lang w:val="en-US" w:eastAsia="zh-CN"/>
              </w:rPr>
              <w:t> </w:t>
            </w:r>
          </w:p>
        </w:tc>
        <w:tc>
          <w:tcPr>
            <w:tcW w:w="1039" w:type="dxa"/>
            <w:tcBorders>
              <w:top w:val="nil"/>
              <w:left w:val="nil"/>
              <w:bottom w:val="nil"/>
              <w:right w:val="single" w:sz="4" w:space="0" w:color="auto"/>
            </w:tcBorders>
            <w:shd w:val="clear" w:color="auto" w:fill="auto"/>
            <w:vAlign w:val="bottom"/>
          </w:tcPr>
          <w:p w14:paraId="28CFE43B" w14:textId="49FF6CC0" w:rsidR="00A07241" w:rsidRPr="000C156A" w:rsidRDefault="00A07241" w:rsidP="00A07241">
            <w:pPr>
              <w:pStyle w:val="Tabletext"/>
              <w:keepNext/>
              <w:keepLines/>
              <w:jc w:val="right"/>
              <w:rPr>
                <w:szCs w:val="22"/>
                <w:lang w:val="fr-FR" w:eastAsia="zh-CN"/>
              </w:rPr>
            </w:pPr>
            <w:r w:rsidRPr="00073B1A">
              <w:rPr>
                <w:rFonts w:asciiTheme="minorHAnsi" w:hAnsiTheme="minorHAnsi" w:cs="Arial"/>
                <w:color w:val="000000"/>
                <w:szCs w:val="22"/>
                <w:lang w:val="en-US" w:eastAsia="zh-CN"/>
              </w:rPr>
              <w:t> </w:t>
            </w:r>
          </w:p>
        </w:tc>
        <w:tc>
          <w:tcPr>
            <w:tcW w:w="1040" w:type="dxa"/>
            <w:tcBorders>
              <w:top w:val="nil"/>
              <w:left w:val="nil"/>
              <w:bottom w:val="nil"/>
              <w:right w:val="single" w:sz="4" w:space="0" w:color="auto"/>
            </w:tcBorders>
            <w:shd w:val="clear" w:color="auto" w:fill="auto"/>
            <w:vAlign w:val="bottom"/>
          </w:tcPr>
          <w:p w14:paraId="4A738127" w14:textId="66FBD418" w:rsidR="00A07241" w:rsidRPr="000C156A" w:rsidRDefault="00A07241" w:rsidP="00A07241">
            <w:pPr>
              <w:pStyle w:val="Tabletext"/>
              <w:keepNext/>
              <w:keepLines/>
              <w:jc w:val="right"/>
              <w:rPr>
                <w:szCs w:val="22"/>
                <w:lang w:val="fr-FR" w:eastAsia="zh-CN"/>
              </w:rPr>
            </w:pPr>
            <w:r w:rsidRPr="00073B1A">
              <w:rPr>
                <w:rFonts w:asciiTheme="minorHAnsi" w:hAnsiTheme="minorHAnsi" w:cs="Arial"/>
                <w:color w:val="000000"/>
                <w:szCs w:val="22"/>
                <w:lang w:val="en-US" w:eastAsia="zh-CN"/>
              </w:rPr>
              <w:t> </w:t>
            </w:r>
          </w:p>
        </w:tc>
        <w:tc>
          <w:tcPr>
            <w:tcW w:w="1039" w:type="dxa"/>
            <w:tcBorders>
              <w:top w:val="nil"/>
              <w:left w:val="nil"/>
              <w:bottom w:val="nil"/>
              <w:right w:val="single" w:sz="4" w:space="0" w:color="auto"/>
            </w:tcBorders>
            <w:shd w:val="clear" w:color="auto" w:fill="auto"/>
            <w:noWrap/>
            <w:vAlign w:val="bottom"/>
            <w:hideMark/>
          </w:tcPr>
          <w:p w14:paraId="4C2E8737" w14:textId="608549E2" w:rsidR="00A07241" w:rsidRPr="000C156A" w:rsidRDefault="00A07241" w:rsidP="00A07241">
            <w:pPr>
              <w:pStyle w:val="Tabletext"/>
              <w:keepNext/>
              <w:keepLines/>
              <w:jc w:val="right"/>
              <w:rPr>
                <w:szCs w:val="22"/>
                <w:lang w:val="fr-FR" w:eastAsia="zh-CN"/>
              </w:rPr>
            </w:pPr>
          </w:p>
        </w:tc>
        <w:tc>
          <w:tcPr>
            <w:tcW w:w="1039" w:type="dxa"/>
            <w:tcBorders>
              <w:top w:val="nil"/>
              <w:left w:val="nil"/>
              <w:bottom w:val="nil"/>
              <w:right w:val="single" w:sz="4" w:space="0" w:color="auto"/>
            </w:tcBorders>
            <w:shd w:val="clear" w:color="auto" w:fill="auto"/>
            <w:vAlign w:val="bottom"/>
          </w:tcPr>
          <w:p w14:paraId="30061ED9" w14:textId="77777777" w:rsidR="00A07241" w:rsidRPr="000C156A" w:rsidRDefault="00A07241" w:rsidP="00A07241">
            <w:pPr>
              <w:pStyle w:val="Tabletext"/>
              <w:keepNext/>
              <w:keepLines/>
              <w:jc w:val="right"/>
              <w:rPr>
                <w:szCs w:val="22"/>
                <w:lang w:val="fr-FR" w:eastAsia="zh-CN"/>
              </w:rPr>
            </w:pPr>
          </w:p>
        </w:tc>
        <w:tc>
          <w:tcPr>
            <w:tcW w:w="1040" w:type="dxa"/>
            <w:tcBorders>
              <w:top w:val="nil"/>
              <w:left w:val="nil"/>
              <w:bottom w:val="nil"/>
              <w:right w:val="single" w:sz="4" w:space="0" w:color="auto"/>
            </w:tcBorders>
            <w:shd w:val="clear" w:color="auto" w:fill="auto"/>
            <w:vAlign w:val="bottom"/>
            <w:hideMark/>
          </w:tcPr>
          <w:p w14:paraId="75DA4AD0" w14:textId="77777777" w:rsidR="00A07241" w:rsidRPr="000C156A" w:rsidRDefault="00A07241" w:rsidP="00A07241">
            <w:pPr>
              <w:pStyle w:val="Tabletext"/>
              <w:keepNext/>
              <w:keepLines/>
              <w:jc w:val="right"/>
              <w:rPr>
                <w:szCs w:val="22"/>
                <w:lang w:val="fr-FR" w:eastAsia="zh-CN"/>
              </w:rPr>
            </w:pPr>
          </w:p>
        </w:tc>
      </w:tr>
      <w:tr w:rsidR="00A07241" w:rsidRPr="000C156A" w14:paraId="20100176" w14:textId="77777777" w:rsidTr="00A07241">
        <w:trPr>
          <w:trHeight w:val="20"/>
          <w:jc w:val="center"/>
        </w:trPr>
        <w:tc>
          <w:tcPr>
            <w:tcW w:w="3225" w:type="dxa"/>
            <w:tcBorders>
              <w:top w:val="single" w:sz="4" w:space="0" w:color="auto"/>
              <w:left w:val="single" w:sz="4" w:space="0" w:color="auto"/>
              <w:bottom w:val="single" w:sz="4" w:space="0" w:color="auto"/>
              <w:right w:val="single" w:sz="4" w:space="0" w:color="auto"/>
            </w:tcBorders>
            <w:noWrap/>
            <w:vAlign w:val="center"/>
            <w:hideMark/>
          </w:tcPr>
          <w:p w14:paraId="6DC95EF4" w14:textId="77777777" w:rsidR="00A07241" w:rsidRPr="000C156A" w:rsidRDefault="00A07241" w:rsidP="00A07241">
            <w:pPr>
              <w:pStyle w:val="Tablehead"/>
              <w:keepLines/>
              <w:spacing w:before="40" w:after="40"/>
              <w:jc w:val="left"/>
              <w:rPr>
                <w:szCs w:val="22"/>
                <w:lang w:val="fr-FR" w:eastAsia="zh-CN"/>
              </w:rPr>
            </w:pPr>
            <w:r w:rsidRPr="000C156A">
              <w:rPr>
                <w:rFonts w:cs="Microsoft YaHei" w:hint="eastAsia"/>
                <w:szCs w:val="22"/>
                <w:lang w:val="fr-FR" w:eastAsia="zh-CN"/>
              </w:rPr>
              <w:t>投资</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614CA396" w14:textId="762097A5" w:rsidR="00A07241" w:rsidRPr="000C156A" w:rsidRDefault="00A07241" w:rsidP="00A07241">
            <w:pPr>
              <w:pStyle w:val="Tablehead"/>
              <w:keepLines/>
              <w:spacing w:before="40" w:after="40"/>
              <w:jc w:val="right"/>
              <w:rPr>
                <w:szCs w:val="22"/>
                <w:lang w:val="fr-FR" w:eastAsia="zh-CN"/>
              </w:rPr>
            </w:pPr>
            <w:r>
              <w:rPr>
                <w:rFonts w:asciiTheme="minorHAnsi" w:hAnsiTheme="minorHAnsi" w:cs="Arial"/>
                <w:bCs/>
                <w:color w:val="000000"/>
                <w:szCs w:val="22"/>
                <w:lang w:val="en-US" w:eastAsia="zh-CN"/>
              </w:rPr>
              <w:t>9 999</w:t>
            </w:r>
          </w:p>
        </w:tc>
        <w:tc>
          <w:tcPr>
            <w:tcW w:w="1039" w:type="dxa"/>
            <w:tcBorders>
              <w:top w:val="single" w:sz="4" w:space="0" w:color="auto"/>
              <w:left w:val="nil"/>
              <w:bottom w:val="single" w:sz="4" w:space="0" w:color="auto"/>
              <w:right w:val="single" w:sz="4" w:space="0" w:color="auto"/>
            </w:tcBorders>
            <w:shd w:val="clear" w:color="auto" w:fill="auto"/>
            <w:vAlign w:val="center"/>
          </w:tcPr>
          <w:p w14:paraId="542C8F87" w14:textId="09DBF989" w:rsidR="00A07241" w:rsidRPr="000C156A" w:rsidRDefault="00A07241" w:rsidP="00A07241">
            <w:pPr>
              <w:pStyle w:val="Tablehead"/>
              <w:keepLines/>
              <w:spacing w:before="40" w:after="40"/>
              <w:jc w:val="right"/>
              <w:rPr>
                <w:szCs w:val="22"/>
                <w:lang w:val="fr-FR" w:eastAsia="zh-CN"/>
              </w:rPr>
            </w:pPr>
            <w:r>
              <w:rPr>
                <w:rFonts w:asciiTheme="minorHAnsi" w:hAnsiTheme="minorHAnsi" w:cs="Arial"/>
                <w:bCs/>
                <w:color w:val="000000"/>
                <w:szCs w:val="22"/>
                <w:lang w:val="en-US" w:eastAsia="zh-CN"/>
              </w:rPr>
              <w:t>91 561</w:t>
            </w:r>
            <w:r w:rsidRPr="00073B1A">
              <w:rPr>
                <w:rFonts w:asciiTheme="minorHAnsi" w:hAnsiTheme="minorHAnsi" w:cs="Arial"/>
                <w:bCs/>
                <w:color w:val="000000"/>
                <w:szCs w:val="22"/>
                <w:lang w:val="en-US" w:eastAsia="zh-CN"/>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tcPr>
          <w:p w14:paraId="4C8B064F" w14:textId="644C2945" w:rsidR="00A07241" w:rsidRPr="000C156A" w:rsidRDefault="00A07241" w:rsidP="00A07241">
            <w:pPr>
              <w:pStyle w:val="Tablehead"/>
              <w:keepLines/>
              <w:spacing w:before="40" w:after="40"/>
              <w:jc w:val="right"/>
              <w:rPr>
                <w:szCs w:val="22"/>
                <w:lang w:val="fr-FR" w:eastAsia="zh-CN"/>
              </w:rPr>
            </w:pPr>
            <w:r>
              <w:rPr>
                <w:rFonts w:asciiTheme="minorHAnsi" w:hAnsiTheme="minorHAnsi" w:cs="Arial"/>
                <w:bCs/>
                <w:color w:val="000000"/>
                <w:szCs w:val="22"/>
                <w:lang w:val="en-US" w:eastAsia="zh-CN"/>
              </w:rPr>
              <w:t>-</w:t>
            </w:r>
            <w:r w:rsidRPr="00073B1A">
              <w:rPr>
                <w:rFonts w:asciiTheme="minorHAnsi" w:hAnsiTheme="minorHAnsi" w:cs="Arial"/>
                <w:bCs/>
                <w:color w:val="000000"/>
                <w:szCs w:val="22"/>
                <w:lang w:val="en-US" w:eastAsia="zh-CN"/>
              </w:rPr>
              <w:t xml:space="preserve">               </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0C7DDD7E" w14:textId="12010E2A" w:rsidR="00A07241" w:rsidRPr="000C156A" w:rsidRDefault="00A07241" w:rsidP="00A07241">
            <w:pPr>
              <w:pStyle w:val="Tablehead"/>
              <w:keepLines/>
              <w:spacing w:before="40" w:after="40"/>
              <w:jc w:val="right"/>
              <w:rPr>
                <w:szCs w:val="22"/>
                <w:lang w:val="fr-FR" w:eastAsia="zh-CN"/>
              </w:rPr>
            </w:pPr>
            <w:r w:rsidRPr="000C156A">
              <w:rPr>
                <w:szCs w:val="22"/>
                <w:lang w:val="fr-FR" w:eastAsia="zh-CN"/>
              </w:rPr>
              <w:t>10 000</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3A6E79D" w14:textId="1FBC38A9" w:rsidR="00A07241" w:rsidRPr="000C156A" w:rsidRDefault="00A07241" w:rsidP="00A07241">
            <w:pPr>
              <w:pStyle w:val="Tablehead"/>
              <w:keepLines/>
              <w:spacing w:before="40" w:after="40"/>
              <w:jc w:val="right"/>
              <w:rPr>
                <w:szCs w:val="22"/>
                <w:lang w:val="fr-FR" w:eastAsia="zh-CN"/>
              </w:rPr>
            </w:pPr>
            <w:r w:rsidRPr="000C156A">
              <w:rPr>
                <w:szCs w:val="22"/>
                <w:lang w:val="fr-FR" w:eastAsia="zh-CN"/>
              </w:rPr>
              <w:t>94 0142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5105EC2" w14:textId="12D6689D" w:rsidR="00A07241" w:rsidRPr="000C156A" w:rsidRDefault="00A07241" w:rsidP="00A07241">
            <w:pPr>
              <w:pStyle w:val="Tablehead"/>
              <w:keepLines/>
              <w:spacing w:before="40" w:after="40"/>
              <w:jc w:val="right"/>
              <w:rPr>
                <w:szCs w:val="22"/>
                <w:lang w:val="fr-FR" w:eastAsia="zh-CN"/>
              </w:rPr>
            </w:pPr>
            <w:r w:rsidRPr="000C156A">
              <w:rPr>
                <w:szCs w:val="22"/>
                <w:lang w:val="fr-FR" w:eastAsia="zh-CN"/>
              </w:rPr>
              <w:t xml:space="preserve">-       </w:t>
            </w:r>
          </w:p>
        </w:tc>
      </w:tr>
    </w:tbl>
    <w:p w14:paraId="2114BC33" w14:textId="77777777" w:rsidR="0085433F" w:rsidRPr="000C156A" w:rsidRDefault="0085433F" w:rsidP="0085433F">
      <w:pPr>
        <w:ind w:firstLineChars="200" w:firstLine="480"/>
        <w:rPr>
          <w:lang w:eastAsia="zh-CN"/>
        </w:rPr>
      </w:pPr>
      <w:r w:rsidRPr="000C156A">
        <w:rPr>
          <w:rFonts w:hint="eastAsia"/>
          <w:lang w:eastAsia="zh-CN"/>
        </w:rPr>
        <w:t>已经与瑞士国家银行（</w:t>
      </w:r>
      <w:r w:rsidRPr="000C156A">
        <w:rPr>
          <w:lang w:eastAsia="zh-CN"/>
        </w:rPr>
        <w:t>Swiss National Bank</w:t>
      </w:r>
      <w:r w:rsidRPr="000C156A">
        <w:rPr>
          <w:rFonts w:hint="eastAsia"/>
          <w:lang w:eastAsia="zh-CN"/>
        </w:rPr>
        <w:t>）谈妥了瑞郎储蓄交易，该银行为国际组织做出了存款</w:t>
      </w:r>
      <w:r w:rsidRPr="000C156A">
        <w:rPr>
          <w:rFonts w:hint="eastAsia"/>
          <w:lang w:eastAsia="zh-CN"/>
        </w:rPr>
        <w:t>1</w:t>
      </w:r>
      <w:r w:rsidRPr="000C156A">
        <w:rPr>
          <w:lang w:eastAsia="zh-CN"/>
        </w:rPr>
        <w:t xml:space="preserve"> </w:t>
      </w:r>
      <w:r w:rsidRPr="000C156A">
        <w:rPr>
          <w:rFonts w:hint="eastAsia"/>
          <w:lang w:eastAsia="zh-CN"/>
        </w:rPr>
        <w:t>000</w:t>
      </w:r>
      <w:r w:rsidRPr="000C156A">
        <w:rPr>
          <w:rFonts w:hint="eastAsia"/>
          <w:lang w:eastAsia="zh-CN"/>
        </w:rPr>
        <w:t>万瑞郎（门限值）即无负利率的安排。</w:t>
      </w:r>
    </w:p>
    <w:p w14:paraId="3384AA13" w14:textId="77777777" w:rsidR="0085433F" w:rsidRPr="000C156A" w:rsidRDefault="0085433F" w:rsidP="0085433F">
      <w:pPr>
        <w:pStyle w:val="Heading1"/>
        <w:spacing w:before="240"/>
        <w:rPr>
          <w:rFonts w:cs="Microsoft YaHei"/>
          <w:sz w:val="24"/>
          <w:szCs w:val="24"/>
          <w:lang w:eastAsia="zh-CN"/>
        </w:rPr>
      </w:pPr>
      <w:bookmarkStart w:id="625" w:name="_Toc305594743"/>
      <w:bookmarkStart w:id="626" w:name="_Toc482892567"/>
      <w:bookmarkStart w:id="627" w:name="_Toc482870832"/>
      <w:bookmarkStart w:id="628" w:name="_Toc329165783"/>
      <w:bookmarkStart w:id="629" w:name="_Toc511813750"/>
      <w:bookmarkStart w:id="630" w:name="_Toc511817833"/>
      <w:bookmarkStart w:id="631" w:name="_Toc520280733"/>
      <w:bookmarkStart w:id="632" w:name="_Toc10536828"/>
      <w:bookmarkStart w:id="633" w:name="_Toc41905869"/>
      <w:bookmarkStart w:id="634" w:name="_Toc41906898"/>
      <w:bookmarkStart w:id="635" w:name="_Toc41907979"/>
      <w:bookmarkStart w:id="636" w:name="_Toc41908047"/>
      <w:bookmarkStart w:id="637" w:name="_Toc73518685"/>
      <w:bookmarkStart w:id="638" w:name="_Toc73518832"/>
      <w:bookmarkStart w:id="639" w:name="_Toc73519232"/>
      <w:bookmarkStart w:id="640" w:name="_Toc110263995"/>
      <w:bookmarkStart w:id="641" w:name="_Toc110264074"/>
      <w:bookmarkStart w:id="642" w:name="_Toc110265713"/>
      <w:bookmarkStart w:id="643" w:name="_Toc110330083"/>
      <w:bookmarkStart w:id="644" w:name="_Toc110330248"/>
      <w:r w:rsidRPr="000C156A">
        <w:rPr>
          <w:rFonts w:cs="Microsoft YaHei" w:hint="eastAsia"/>
          <w:sz w:val="24"/>
          <w:szCs w:val="24"/>
          <w:lang w:val="fr-FR" w:eastAsia="zh-CN"/>
        </w:rPr>
        <w:t>说明</w:t>
      </w:r>
      <w:r w:rsidRPr="000C156A">
        <w:rPr>
          <w:rFonts w:cs="Microsoft YaHei"/>
          <w:sz w:val="24"/>
          <w:szCs w:val="24"/>
          <w:lang w:eastAsia="zh-CN"/>
        </w:rPr>
        <w:t>8</w:t>
      </w:r>
      <w:r w:rsidRPr="000C156A">
        <w:rPr>
          <w:rFonts w:cs="Microsoft YaHei"/>
          <w:sz w:val="24"/>
          <w:szCs w:val="24"/>
          <w:lang w:eastAsia="zh-CN"/>
        </w:rPr>
        <w:tab/>
      </w:r>
      <w:bookmarkEnd w:id="625"/>
      <w:r w:rsidRPr="000C156A">
        <w:rPr>
          <w:rFonts w:cs="Microsoft YaHei" w:hint="eastAsia"/>
          <w:sz w:val="24"/>
          <w:szCs w:val="24"/>
          <w:lang w:val="fr-FR" w:eastAsia="zh-CN"/>
        </w:rPr>
        <w:t>应收款项</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037D6190" w14:textId="77777777" w:rsidR="0085433F" w:rsidRPr="000C156A" w:rsidRDefault="0085433F" w:rsidP="0085433F">
      <w:pPr>
        <w:ind w:firstLineChars="200" w:firstLine="480"/>
        <w:rPr>
          <w:lang w:eastAsia="zh-CN"/>
        </w:rPr>
      </w:pPr>
      <w:r w:rsidRPr="000C156A">
        <w:rPr>
          <w:rFonts w:hint="eastAsia"/>
          <w:lang w:eastAsia="zh-CN"/>
        </w:rPr>
        <w:t>应收款项为国际电联成员国、部门成员和部门准成员在年度会费、出版物购买、卫星网络申报或其它发票方面下承诺向国际电联支付但尚未被收取的收入。欠国际电联的会费数额自国际电联每一财政年度的第四个月始开始计算利息，头</w:t>
      </w:r>
      <w:r w:rsidRPr="000C156A">
        <w:rPr>
          <w:lang w:eastAsia="zh-CN"/>
        </w:rPr>
        <w:t>3</w:t>
      </w:r>
      <w:r w:rsidRPr="000C156A">
        <w:rPr>
          <w:rFonts w:hint="eastAsia"/>
          <w:lang w:eastAsia="zh-CN"/>
        </w:rPr>
        <w:t>个月年息为</w:t>
      </w:r>
      <w:r w:rsidRPr="000C156A">
        <w:rPr>
          <w:lang w:eastAsia="zh-CN"/>
        </w:rPr>
        <w:t>3%</w:t>
      </w:r>
      <w:r w:rsidRPr="000C156A">
        <w:rPr>
          <w:rFonts w:hint="eastAsia"/>
          <w:lang w:eastAsia="zh-CN"/>
        </w:rPr>
        <w:t>，自第七个月始年息为</w:t>
      </w:r>
      <w:r w:rsidRPr="000C156A">
        <w:rPr>
          <w:lang w:eastAsia="zh-CN"/>
        </w:rPr>
        <w:t>6%</w:t>
      </w:r>
      <w:r w:rsidRPr="000C156A">
        <w:rPr>
          <w:rFonts w:hint="eastAsia"/>
          <w:lang w:eastAsia="zh-CN"/>
        </w:rPr>
        <w:t>。</w:t>
      </w:r>
    </w:p>
    <w:p w14:paraId="7C148FCD" w14:textId="77777777" w:rsidR="0085433F" w:rsidRPr="000C156A" w:rsidRDefault="0085433F" w:rsidP="0085433F">
      <w:pPr>
        <w:ind w:firstLineChars="200" w:firstLine="480"/>
        <w:rPr>
          <w:lang w:eastAsia="zh-CN"/>
        </w:rPr>
      </w:pPr>
      <w:r w:rsidRPr="000C156A">
        <w:rPr>
          <w:rFonts w:hint="eastAsia"/>
          <w:lang w:eastAsia="zh-CN"/>
        </w:rPr>
        <w:t>非流动性、非兑换应收款项为成员承诺按照债务还款时间表（在涵盖若干时期的协议框架范围内）进行债务偿还的应收款项。</w:t>
      </w:r>
    </w:p>
    <w:p w14:paraId="3BDD980B" w14:textId="77777777" w:rsidR="0085433F" w:rsidRPr="000C156A" w:rsidRDefault="0085433F" w:rsidP="0085433F">
      <w:pPr>
        <w:spacing w:after="120"/>
        <w:ind w:firstLineChars="200" w:firstLine="480"/>
        <w:rPr>
          <w:lang w:eastAsia="zh-CN"/>
        </w:rPr>
      </w:pPr>
      <w:r w:rsidRPr="000C156A">
        <w:rPr>
          <w:rFonts w:hint="eastAsia"/>
          <w:lang w:eastAsia="zh-CN"/>
        </w:rPr>
        <w:t>其它应收款项为与电信展览部服务和自愿捐款相关的、尚未收取的收入。</w:t>
      </w:r>
    </w:p>
    <w:p w14:paraId="3F1EBF7A" w14:textId="77777777" w:rsidR="0085433F" w:rsidRPr="000C156A" w:rsidRDefault="0085433F" w:rsidP="0085433F">
      <w:pPr>
        <w:spacing w:after="120"/>
        <w:ind w:firstLineChars="200" w:firstLine="480"/>
        <w:rPr>
          <w:lang w:eastAsia="zh-CN"/>
        </w:rPr>
      </w:pPr>
      <w:r w:rsidRPr="000C156A">
        <w:rPr>
          <w:rFonts w:hint="eastAsia"/>
          <w:lang w:eastAsia="zh-CN"/>
        </w:rPr>
        <w:t>值得强调的一点是，</w:t>
      </w:r>
      <w:r w:rsidRPr="000C156A">
        <w:rPr>
          <w:lang w:eastAsia="zh-CN"/>
        </w:rPr>
        <w:t>IPSAS</w:t>
      </w:r>
      <w:r w:rsidRPr="000C156A">
        <w:rPr>
          <w:rFonts w:hint="eastAsia"/>
          <w:lang w:eastAsia="zh-CN"/>
        </w:rPr>
        <w:t>的落实使所有欠款、欠款专账和取消的欠款专账的提留达</w:t>
      </w:r>
      <w:r w:rsidRPr="000C156A">
        <w:rPr>
          <w:lang w:eastAsia="zh-CN"/>
        </w:rPr>
        <w:t>100%</w:t>
      </w:r>
      <w:r w:rsidRPr="000C156A">
        <w:rPr>
          <w:rFonts w:hint="eastAsia"/>
          <w:lang w:eastAsia="zh-CN"/>
        </w:rPr>
        <w:t>。</w:t>
      </w:r>
    </w:p>
    <w:p w14:paraId="19A4913A" w14:textId="38A670C8" w:rsidR="0085433F" w:rsidRPr="000C156A" w:rsidRDefault="0085433F" w:rsidP="0085433F">
      <w:pPr>
        <w:ind w:firstLineChars="200" w:firstLine="480"/>
        <w:rPr>
          <w:rFonts w:cs="Calibri"/>
          <w:b/>
          <w:color w:val="800000"/>
          <w:sz w:val="22"/>
          <w:lang w:val="en-US" w:eastAsia="zh-CN"/>
        </w:rPr>
      </w:pPr>
      <w:bookmarkStart w:id="645" w:name="_Hlk40424775"/>
      <w:r w:rsidRPr="000C156A">
        <w:rPr>
          <w:rFonts w:hint="eastAsia"/>
          <w:lang w:eastAsia="zh-CN"/>
        </w:rPr>
        <w:t>在收到</w:t>
      </w:r>
      <w:r w:rsidR="00396B77">
        <w:rPr>
          <w:lang w:eastAsia="zh-CN"/>
        </w:rPr>
        <w:t>2</w:t>
      </w:r>
      <w:r w:rsidRPr="000C156A">
        <w:rPr>
          <w:rFonts w:hint="eastAsia"/>
          <w:lang w:eastAsia="zh-CN"/>
        </w:rPr>
        <w:t>70</w:t>
      </w:r>
      <w:r w:rsidRPr="000C156A">
        <w:rPr>
          <w:rFonts w:hint="eastAsia"/>
          <w:lang w:eastAsia="zh-CN"/>
        </w:rPr>
        <w:t>万瑞郎的应收账（为此已在过去若干年中提供了准备金）之后，疑似债务准备金的数额相应下降。年底记录的正常预算相关疑似债务的准备金调整为</w:t>
      </w:r>
      <w:r w:rsidRPr="000C156A">
        <w:rPr>
          <w:rFonts w:hint="eastAsia"/>
          <w:lang w:eastAsia="zh-CN"/>
        </w:rPr>
        <w:t>2</w:t>
      </w:r>
      <w:r w:rsidR="00396B77">
        <w:rPr>
          <w:lang w:eastAsia="zh-CN"/>
        </w:rPr>
        <w:t>3</w:t>
      </w:r>
      <w:r w:rsidRPr="000C156A">
        <w:rPr>
          <w:rFonts w:hint="eastAsia"/>
          <w:lang w:eastAsia="zh-CN"/>
        </w:rPr>
        <w:t>0</w:t>
      </w:r>
      <w:r w:rsidRPr="000C156A">
        <w:rPr>
          <w:rFonts w:hint="eastAsia"/>
          <w:lang w:eastAsia="zh-CN"/>
        </w:rPr>
        <w:t>万瑞郎。</w:t>
      </w:r>
    </w:p>
    <w:bookmarkEnd w:id="645"/>
    <w:p w14:paraId="596412BE" w14:textId="2A4917C7" w:rsidR="0085433F" w:rsidRPr="000C156A" w:rsidRDefault="0085433F" w:rsidP="0085433F">
      <w:pPr>
        <w:spacing w:after="120"/>
        <w:ind w:firstLineChars="200" w:firstLine="480"/>
        <w:rPr>
          <w:lang w:eastAsia="zh-CN"/>
        </w:rPr>
      </w:pPr>
      <w:r w:rsidRPr="000C156A">
        <w:rPr>
          <w:rFonts w:hint="eastAsia"/>
          <w:lang w:eastAsia="zh-CN"/>
        </w:rPr>
        <w:t>主要指标表明，虽然其</w:t>
      </w:r>
      <w:r w:rsidRPr="000C156A">
        <w:rPr>
          <w:rFonts w:hint="eastAsia"/>
          <w:lang w:eastAsia="zh-CN"/>
        </w:rPr>
        <w:t>202</w:t>
      </w:r>
      <w:r w:rsidR="00396B77">
        <w:rPr>
          <w:lang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日债务方</w:t>
      </w:r>
      <w:r w:rsidRPr="000C156A">
        <w:rPr>
          <w:lang w:eastAsia="zh-CN"/>
        </w:rPr>
        <w:t>12</w:t>
      </w:r>
      <w:r w:rsidRPr="000C156A">
        <w:rPr>
          <w:rFonts w:hint="eastAsia"/>
          <w:lang w:eastAsia="zh-CN"/>
        </w:rPr>
        <w:t>个月或更长时间未偿债务（拖欠会费、欠款专账和取消的欠款专账）达</w:t>
      </w:r>
      <w:r w:rsidR="00396B77">
        <w:rPr>
          <w:lang w:eastAsia="zh-CN"/>
        </w:rPr>
        <w:t>3 999</w:t>
      </w:r>
      <w:r w:rsidRPr="000C156A">
        <w:rPr>
          <w:rFonts w:hint="eastAsia"/>
          <w:lang w:eastAsia="zh-CN"/>
        </w:rPr>
        <w:t>万瑞郎（</w:t>
      </w:r>
      <w:r w:rsidRPr="000C156A">
        <w:rPr>
          <w:lang w:eastAsia="zh-CN"/>
        </w:rPr>
        <w:t>20</w:t>
      </w:r>
      <w:r w:rsidR="00396B77">
        <w:rPr>
          <w:lang w:eastAsia="zh-CN"/>
        </w:rPr>
        <w:t>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日为</w:t>
      </w:r>
      <w:r w:rsidR="00396B77">
        <w:rPr>
          <w:lang w:eastAsia="zh-CN"/>
        </w:rPr>
        <w:t>4 057.8</w:t>
      </w:r>
      <w:r w:rsidRPr="000C156A">
        <w:rPr>
          <w:rFonts w:hint="eastAsia"/>
          <w:lang w:eastAsia="zh-CN"/>
        </w:rPr>
        <w:t>万瑞郎），国际电联的即期财务状况是健康的。</w:t>
      </w:r>
    </w:p>
    <w:p w14:paraId="6F2FF776" w14:textId="78A3FF98" w:rsidR="0085433F" w:rsidRPr="000C156A" w:rsidRDefault="0085433F" w:rsidP="0085433F">
      <w:pPr>
        <w:ind w:firstLineChars="200" w:firstLine="480"/>
        <w:jc w:val="both"/>
        <w:rPr>
          <w:lang w:eastAsia="zh-CN"/>
        </w:rPr>
      </w:pPr>
      <w:bookmarkStart w:id="646" w:name="_Hlk70588991"/>
      <w:r w:rsidRPr="000C156A">
        <w:rPr>
          <w:rFonts w:hint="eastAsia"/>
          <w:lang w:eastAsia="zh-CN"/>
        </w:rPr>
        <w:t>疫情流行</w:t>
      </w:r>
      <w:r w:rsidRPr="000C156A">
        <w:rPr>
          <w:lang w:eastAsia="zh-CN"/>
        </w:rPr>
        <w:t>的直接后果是，</w:t>
      </w:r>
      <w:r w:rsidRPr="000C156A">
        <w:rPr>
          <w:rFonts w:hint="eastAsia"/>
          <w:color w:val="000000"/>
          <w:lang w:eastAsia="zh-CN"/>
        </w:rPr>
        <w:t>对应收分摊会费备抵没有额外的重大影响。成员国积极缴纳未缴会费，</w:t>
      </w:r>
      <w:r w:rsidRPr="000C156A">
        <w:rPr>
          <w:rFonts w:hint="eastAsia"/>
          <w:color w:val="000000"/>
          <w:lang w:eastAsia="zh-CN"/>
        </w:rPr>
        <w:t>202</w:t>
      </w:r>
      <w:r w:rsidR="00396B77">
        <w:rPr>
          <w:color w:val="000000"/>
          <w:lang w:eastAsia="zh-CN"/>
        </w:rPr>
        <w:t>1</w:t>
      </w:r>
      <w:r w:rsidRPr="000C156A">
        <w:rPr>
          <w:rFonts w:hint="eastAsia"/>
          <w:color w:val="000000"/>
          <w:lang w:eastAsia="zh-CN"/>
        </w:rPr>
        <w:t>年收款率为</w:t>
      </w:r>
      <w:r w:rsidRPr="000C156A">
        <w:rPr>
          <w:rFonts w:hint="eastAsia"/>
          <w:color w:val="000000"/>
          <w:lang w:eastAsia="zh-CN"/>
        </w:rPr>
        <w:t>95%</w:t>
      </w:r>
      <w:r w:rsidRPr="000C156A">
        <w:rPr>
          <w:rFonts w:hint="eastAsia"/>
          <w:color w:val="000000"/>
          <w:lang w:eastAsia="zh-CN"/>
        </w:rPr>
        <w:t>，与往年持平。</w:t>
      </w:r>
      <w:bookmarkEnd w:id="646"/>
    </w:p>
    <w:p w14:paraId="7DFFF6A6" w14:textId="13EF9F14" w:rsidR="0085433F" w:rsidRPr="000C156A" w:rsidRDefault="0085433F" w:rsidP="0085433F">
      <w:pPr>
        <w:spacing w:after="240"/>
        <w:ind w:firstLineChars="200" w:firstLine="480"/>
        <w:jc w:val="both"/>
        <w:rPr>
          <w:rFonts w:cs="Microsoft YaHei"/>
          <w:lang w:eastAsia="zh-CN"/>
        </w:rPr>
      </w:pPr>
      <w:r w:rsidRPr="000C156A">
        <w:rPr>
          <w:rFonts w:cs="Microsoft YaHei" w:hint="eastAsia"/>
          <w:lang w:eastAsia="zh-CN"/>
        </w:rPr>
        <w:t>本文件附件</w:t>
      </w:r>
      <w:r w:rsidRPr="000C156A">
        <w:rPr>
          <w:lang w:eastAsia="zh-CN"/>
        </w:rPr>
        <w:t>C</w:t>
      </w:r>
      <w:r w:rsidRPr="000C156A">
        <w:rPr>
          <w:rFonts w:cs="Microsoft YaHei" w:hint="eastAsia"/>
          <w:lang w:eastAsia="zh-CN"/>
        </w:rPr>
        <w:t>显示了截至</w:t>
      </w:r>
      <w:r w:rsidRPr="000C156A">
        <w:rPr>
          <w:lang w:eastAsia="zh-CN"/>
        </w:rPr>
        <w:t>20</w:t>
      </w:r>
      <w:r w:rsidRPr="000C156A">
        <w:rPr>
          <w:rFonts w:hint="eastAsia"/>
          <w:lang w:eastAsia="zh-CN"/>
        </w:rPr>
        <w:t>2</w:t>
      </w:r>
      <w:r w:rsidR="00396B77">
        <w:rPr>
          <w:lang w:eastAsia="zh-CN"/>
        </w:rPr>
        <w:t>1</w:t>
      </w:r>
      <w:r w:rsidRPr="000C156A">
        <w:rPr>
          <w:rFonts w:cs="Microsoft YaHei" w:hint="eastAsia"/>
          <w:lang w:eastAsia="zh-CN"/>
        </w:rPr>
        <w:t>年</w:t>
      </w:r>
      <w:r w:rsidRPr="000C156A">
        <w:rPr>
          <w:lang w:eastAsia="zh-CN"/>
        </w:rPr>
        <w:t>12</w:t>
      </w:r>
      <w:r w:rsidRPr="000C156A">
        <w:rPr>
          <w:rFonts w:cs="Microsoft YaHei" w:hint="eastAsia"/>
          <w:lang w:eastAsia="zh-CN"/>
        </w:rPr>
        <w:t>月</w:t>
      </w:r>
      <w:r w:rsidRPr="000C156A">
        <w:rPr>
          <w:lang w:eastAsia="zh-CN"/>
        </w:rPr>
        <w:t>31</w:t>
      </w:r>
      <w:r w:rsidRPr="000C156A">
        <w:rPr>
          <w:rFonts w:cs="Microsoft YaHei" w:hint="eastAsia"/>
          <w:lang w:eastAsia="zh-CN"/>
        </w:rPr>
        <w:t>日国际电联正常预算的欠款状况。</w:t>
      </w:r>
    </w:p>
    <w:tbl>
      <w:tblPr>
        <w:tblW w:w="9574" w:type="dxa"/>
        <w:jc w:val="center"/>
        <w:tblLayout w:type="fixed"/>
        <w:tblLook w:val="04A0" w:firstRow="1" w:lastRow="0" w:firstColumn="1" w:lastColumn="0" w:noHBand="0" w:noVBand="1"/>
      </w:tblPr>
      <w:tblGrid>
        <w:gridCol w:w="5641"/>
        <w:gridCol w:w="2133"/>
        <w:gridCol w:w="1800"/>
      </w:tblGrid>
      <w:tr w:rsidR="0085433F" w:rsidRPr="000C156A" w14:paraId="7A2B7807" w14:textId="77777777" w:rsidTr="003A64C9">
        <w:trPr>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14:paraId="5FA64BC5" w14:textId="77777777" w:rsidR="0085433F" w:rsidRPr="000C156A" w:rsidRDefault="0085433F" w:rsidP="003A64C9">
            <w:pPr>
              <w:pStyle w:val="Tablehead"/>
              <w:jc w:val="left"/>
              <w:rPr>
                <w:rFonts w:cs="Calibri"/>
                <w:szCs w:val="22"/>
                <w:lang w:val="en-US"/>
              </w:rPr>
            </w:pPr>
            <w:r w:rsidRPr="000C156A">
              <w:rPr>
                <w:rFonts w:cs="Calibri" w:hint="eastAsia"/>
                <w:szCs w:val="22"/>
                <w:lang w:val="en-US" w:eastAsia="fr-FR"/>
              </w:rPr>
              <w:t>单位：千瑞郎</w:t>
            </w:r>
          </w:p>
        </w:tc>
        <w:tc>
          <w:tcPr>
            <w:tcW w:w="2133" w:type="dxa"/>
            <w:tcBorders>
              <w:top w:val="single" w:sz="4" w:space="0" w:color="auto"/>
              <w:left w:val="nil"/>
              <w:bottom w:val="single" w:sz="4" w:space="0" w:color="auto"/>
              <w:right w:val="single" w:sz="4" w:space="0" w:color="auto"/>
            </w:tcBorders>
            <w:noWrap/>
            <w:vAlign w:val="center"/>
            <w:hideMark/>
          </w:tcPr>
          <w:p w14:paraId="09B59C03" w14:textId="1930B928" w:rsidR="0085433F" w:rsidRPr="000C156A" w:rsidRDefault="0085433F" w:rsidP="003A64C9">
            <w:pPr>
              <w:pStyle w:val="Tablehead"/>
              <w:rPr>
                <w:rFonts w:cs="Calibri"/>
                <w:szCs w:val="22"/>
                <w:lang w:val="en-US" w:eastAsia="zh-CN"/>
              </w:rPr>
            </w:pPr>
            <w:r w:rsidRPr="000C156A">
              <w:rPr>
                <w:rFonts w:cs="Calibri"/>
                <w:szCs w:val="22"/>
                <w:lang w:val="en-US" w:eastAsia="zh-CN"/>
              </w:rPr>
              <w:t>20</w:t>
            </w:r>
            <w:r w:rsidRPr="000C156A">
              <w:rPr>
                <w:rFonts w:cs="Calibri" w:hint="eastAsia"/>
                <w:szCs w:val="22"/>
                <w:lang w:val="en-US" w:eastAsia="zh-CN"/>
              </w:rPr>
              <w:t>2</w:t>
            </w:r>
            <w:r w:rsidR="00DC2816">
              <w:rPr>
                <w:rFonts w:cs="Calibri"/>
                <w:szCs w:val="22"/>
                <w:lang w:val="en-US" w:eastAsia="zh-CN"/>
              </w:rPr>
              <w:t>1</w:t>
            </w:r>
            <w:r w:rsidRPr="000C156A">
              <w:rPr>
                <w:rFonts w:cs="Calibri" w:hint="eastAsia"/>
                <w:szCs w:val="22"/>
                <w:lang w:val="en-US" w:eastAsia="zh-CN"/>
              </w:rPr>
              <w:t>年</w:t>
            </w:r>
            <w:r w:rsidRPr="000C156A">
              <w:rPr>
                <w:rFonts w:cs="Calibri"/>
                <w:szCs w:val="22"/>
                <w:lang w:val="en-US" w:eastAsia="zh-CN"/>
              </w:rPr>
              <w:t>12</w:t>
            </w:r>
            <w:r w:rsidRPr="000C156A">
              <w:rPr>
                <w:rFonts w:cs="Calibri" w:hint="eastAsia"/>
                <w:szCs w:val="22"/>
                <w:lang w:val="en-US" w:eastAsia="zh-CN"/>
              </w:rPr>
              <w:t>月</w:t>
            </w:r>
            <w:r w:rsidRPr="000C156A">
              <w:rPr>
                <w:rFonts w:cs="Calibri"/>
                <w:szCs w:val="22"/>
                <w:lang w:val="en-US" w:eastAsia="zh-CN"/>
              </w:rPr>
              <w:t>31</w:t>
            </w:r>
            <w:r w:rsidRPr="000C156A">
              <w:rPr>
                <w:rFonts w:cs="Calibri" w:hint="eastAsia"/>
                <w:szCs w:val="22"/>
                <w:lang w:val="en-US" w:eastAsia="zh-CN"/>
              </w:rPr>
              <w:t>日</w:t>
            </w:r>
          </w:p>
        </w:tc>
        <w:tc>
          <w:tcPr>
            <w:tcW w:w="1800" w:type="dxa"/>
            <w:tcBorders>
              <w:top w:val="single" w:sz="4" w:space="0" w:color="auto"/>
              <w:left w:val="nil"/>
              <w:bottom w:val="single" w:sz="4" w:space="0" w:color="auto"/>
              <w:right w:val="single" w:sz="4" w:space="0" w:color="auto"/>
            </w:tcBorders>
            <w:vAlign w:val="center"/>
            <w:hideMark/>
          </w:tcPr>
          <w:p w14:paraId="172ED198" w14:textId="74D89352" w:rsidR="0085433F" w:rsidRPr="000C156A" w:rsidRDefault="0085433F" w:rsidP="003A64C9">
            <w:pPr>
              <w:pStyle w:val="Tablehead"/>
              <w:rPr>
                <w:rFonts w:cs="Calibri"/>
                <w:szCs w:val="22"/>
                <w:lang w:val="en-US" w:eastAsia="zh-CN"/>
              </w:rPr>
            </w:pPr>
            <w:r w:rsidRPr="000C156A">
              <w:rPr>
                <w:rFonts w:cs="Calibri"/>
                <w:szCs w:val="22"/>
                <w:lang w:val="en-US" w:eastAsia="zh-CN"/>
              </w:rPr>
              <w:t>20</w:t>
            </w:r>
            <w:r w:rsidR="00DC2816">
              <w:rPr>
                <w:rFonts w:cs="Calibri"/>
                <w:szCs w:val="22"/>
                <w:lang w:val="en-US" w:eastAsia="zh-CN"/>
              </w:rPr>
              <w:t>20</w:t>
            </w:r>
            <w:r w:rsidRPr="000C156A">
              <w:rPr>
                <w:rFonts w:cs="Calibri" w:hint="eastAsia"/>
                <w:szCs w:val="22"/>
                <w:lang w:val="en-US" w:eastAsia="zh-CN"/>
              </w:rPr>
              <w:t>年</w:t>
            </w:r>
            <w:r w:rsidRPr="000C156A">
              <w:rPr>
                <w:rFonts w:cs="Calibri"/>
                <w:szCs w:val="22"/>
                <w:lang w:val="en-US" w:eastAsia="zh-CN"/>
              </w:rPr>
              <w:t>12</w:t>
            </w:r>
            <w:r w:rsidRPr="000C156A">
              <w:rPr>
                <w:rFonts w:cs="Calibri" w:hint="eastAsia"/>
                <w:szCs w:val="22"/>
                <w:lang w:val="en-US" w:eastAsia="zh-CN"/>
              </w:rPr>
              <w:t>月</w:t>
            </w:r>
            <w:r w:rsidRPr="000C156A">
              <w:rPr>
                <w:rFonts w:cs="Calibri"/>
                <w:szCs w:val="22"/>
                <w:lang w:val="en-US" w:eastAsia="zh-CN"/>
              </w:rPr>
              <w:t>31</w:t>
            </w:r>
            <w:r w:rsidRPr="000C156A">
              <w:rPr>
                <w:rFonts w:cs="Calibri" w:hint="eastAsia"/>
                <w:szCs w:val="22"/>
                <w:lang w:val="en-US" w:eastAsia="zh-CN"/>
              </w:rPr>
              <w:t>日</w:t>
            </w:r>
          </w:p>
        </w:tc>
      </w:tr>
      <w:tr w:rsidR="00B627CD" w:rsidRPr="000C156A" w14:paraId="78B6DB54" w14:textId="77777777" w:rsidTr="00DC2816">
        <w:trPr>
          <w:jc w:val="center"/>
        </w:trPr>
        <w:tc>
          <w:tcPr>
            <w:tcW w:w="5641" w:type="dxa"/>
            <w:tcBorders>
              <w:top w:val="nil"/>
              <w:left w:val="single" w:sz="4" w:space="0" w:color="auto"/>
              <w:bottom w:val="nil"/>
              <w:right w:val="single" w:sz="4" w:space="0" w:color="auto"/>
            </w:tcBorders>
            <w:noWrap/>
            <w:vAlign w:val="bottom"/>
            <w:hideMark/>
          </w:tcPr>
          <w:p w14:paraId="70A88D24" w14:textId="77777777" w:rsidR="00B627CD" w:rsidRPr="000C156A" w:rsidRDefault="00B627CD" w:rsidP="00B627CD">
            <w:pPr>
              <w:pStyle w:val="Tabletext"/>
              <w:keepNext/>
              <w:keepLines/>
              <w:rPr>
                <w:rFonts w:cs="Calibri"/>
                <w:b/>
                <w:szCs w:val="22"/>
                <w:lang w:val="en-US" w:eastAsia="zh-CN"/>
              </w:rPr>
            </w:pPr>
            <w:r w:rsidRPr="000C156A">
              <w:rPr>
                <w:rFonts w:cs="Calibri" w:hint="eastAsia"/>
                <w:szCs w:val="22"/>
                <w:lang w:val="en-US" w:eastAsia="zh-CN"/>
              </w:rPr>
              <w:t>当期应收款项</w:t>
            </w:r>
            <w:r w:rsidRPr="000C156A">
              <w:rPr>
                <w:rFonts w:cs="Calibri"/>
                <w:szCs w:val="22"/>
                <w:lang w:val="en-US" w:eastAsia="zh-CN"/>
              </w:rPr>
              <w:t> – </w:t>
            </w:r>
            <w:r w:rsidRPr="000C156A">
              <w:rPr>
                <w:rFonts w:cs="Calibri" w:hint="eastAsia"/>
                <w:szCs w:val="22"/>
                <w:lang w:val="en-US" w:eastAsia="zh-CN"/>
              </w:rPr>
              <w:t>兑换交易</w:t>
            </w:r>
          </w:p>
        </w:tc>
        <w:tc>
          <w:tcPr>
            <w:tcW w:w="2133" w:type="dxa"/>
            <w:tcBorders>
              <w:top w:val="nil"/>
              <w:left w:val="single" w:sz="4" w:space="0" w:color="auto"/>
              <w:bottom w:val="nil"/>
              <w:right w:val="single" w:sz="4" w:space="0" w:color="auto"/>
            </w:tcBorders>
            <w:shd w:val="clear" w:color="auto" w:fill="auto"/>
            <w:noWrap/>
            <w:vAlign w:val="bottom"/>
          </w:tcPr>
          <w:p w14:paraId="0D3B8DCD" w14:textId="70B4628E"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12 212</w:t>
            </w:r>
            <w:r w:rsidRPr="00C22889">
              <w:rPr>
                <w:rFonts w:asciiTheme="minorHAnsi" w:hAnsiTheme="minorHAnsi" w:cs="Arial"/>
                <w:color w:val="000000"/>
                <w:sz w:val="22"/>
                <w:szCs w:val="22"/>
                <w:lang w:val="en-US" w:eastAsia="zh-CN"/>
              </w:rPr>
              <w:t xml:space="preserve"> </w:t>
            </w:r>
          </w:p>
        </w:tc>
        <w:tc>
          <w:tcPr>
            <w:tcW w:w="1800" w:type="dxa"/>
            <w:tcBorders>
              <w:top w:val="nil"/>
              <w:left w:val="nil"/>
              <w:bottom w:val="nil"/>
              <w:right w:val="single" w:sz="4" w:space="0" w:color="auto"/>
            </w:tcBorders>
            <w:shd w:val="clear" w:color="auto" w:fill="auto"/>
            <w:noWrap/>
            <w:vAlign w:val="bottom"/>
            <w:hideMark/>
          </w:tcPr>
          <w:p w14:paraId="40BB9E5B" w14:textId="4F6C295E"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9 571</w:t>
            </w:r>
          </w:p>
        </w:tc>
      </w:tr>
      <w:tr w:rsidR="00B627CD" w:rsidRPr="000C156A" w14:paraId="737F8817" w14:textId="77777777" w:rsidTr="00DC2816">
        <w:trPr>
          <w:jc w:val="center"/>
        </w:trPr>
        <w:tc>
          <w:tcPr>
            <w:tcW w:w="5641" w:type="dxa"/>
            <w:tcBorders>
              <w:top w:val="nil"/>
              <w:left w:val="single" w:sz="4" w:space="0" w:color="auto"/>
              <w:right w:val="single" w:sz="4" w:space="0" w:color="auto"/>
            </w:tcBorders>
            <w:noWrap/>
            <w:vAlign w:val="bottom"/>
            <w:hideMark/>
          </w:tcPr>
          <w:p w14:paraId="1A09104B" w14:textId="77777777" w:rsidR="00B627CD" w:rsidRPr="000C156A" w:rsidRDefault="00B627CD" w:rsidP="00B627CD">
            <w:pPr>
              <w:pStyle w:val="Tabletext"/>
              <w:keepNext/>
              <w:keepLines/>
              <w:rPr>
                <w:rFonts w:cs="Calibri"/>
                <w:b/>
                <w:szCs w:val="22"/>
                <w:lang w:val="en-US" w:eastAsia="zh-CN"/>
              </w:rPr>
            </w:pPr>
            <w:r w:rsidRPr="000C156A">
              <w:rPr>
                <w:rFonts w:cs="Calibri" w:hint="eastAsia"/>
                <w:szCs w:val="22"/>
                <w:lang w:val="en-US" w:eastAsia="zh-CN"/>
              </w:rPr>
              <w:t>当期应收款项</w:t>
            </w:r>
            <w:r w:rsidRPr="000C156A">
              <w:rPr>
                <w:rFonts w:cs="Calibri"/>
                <w:szCs w:val="22"/>
                <w:lang w:val="en-US" w:eastAsia="zh-CN"/>
              </w:rPr>
              <w:t> – </w:t>
            </w:r>
            <w:r w:rsidRPr="000C156A">
              <w:rPr>
                <w:rFonts w:cs="Calibri" w:hint="eastAsia"/>
                <w:szCs w:val="22"/>
                <w:lang w:val="en-US" w:eastAsia="zh-CN"/>
              </w:rPr>
              <w:t>兑换交易：损失准备金</w:t>
            </w:r>
          </w:p>
        </w:tc>
        <w:tc>
          <w:tcPr>
            <w:tcW w:w="2133" w:type="dxa"/>
            <w:tcBorders>
              <w:top w:val="nil"/>
              <w:left w:val="single" w:sz="4" w:space="0" w:color="auto"/>
              <w:bottom w:val="nil"/>
              <w:right w:val="single" w:sz="4" w:space="0" w:color="auto"/>
            </w:tcBorders>
            <w:shd w:val="clear" w:color="auto" w:fill="auto"/>
            <w:noWrap/>
            <w:vAlign w:val="bottom"/>
          </w:tcPr>
          <w:p w14:paraId="68C2BA93" w14:textId="54ED3683"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-1</w:t>
            </w:r>
            <w:r>
              <w:rPr>
                <w:rFonts w:asciiTheme="minorHAnsi" w:hAnsiTheme="minorHAnsi" w:cs="Arial"/>
                <w:color w:val="000000"/>
                <w:sz w:val="22"/>
                <w:szCs w:val="22"/>
                <w:lang w:val="en-US" w:eastAsia="zh-CN"/>
              </w:rPr>
              <w:t> 223</w:t>
            </w:r>
            <w:r w:rsidRPr="00C22889">
              <w:rPr>
                <w:rFonts w:asciiTheme="minorHAnsi" w:hAnsiTheme="minorHAnsi" w:cs="Arial"/>
                <w:color w:val="000000"/>
                <w:sz w:val="22"/>
                <w:szCs w:val="22"/>
                <w:lang w:val="en-US" w:eastAsia="zh-CN"/>
              </w:rPr>
              <w:t xml:space="preserve"> </w:t>
            </w:r>
          </w:p>
        </w:tc>
        <w:tc>
          <w:tcPr>
            <w:tcW w:w="1800" w:type="dxa"/>
            <w:tcBorders>
              <w:top w:val="nil"/>
              <w:left w:val="nil"/>
              <w:bottom w:val="nil"/>
              <w:right w:val="single" w:sz="4" w:space="0" w:color="auto"/>
            </w:tcBorders>
            <w:shd w:val="clear" w:color="auto" w:fill="auto"/>
            <w:noWrap/>
            <w:vAlign w:val="bottom"/>
            <w:hideMark/>
          </w:tcPr>
          <w:p w14:paraId="117C957D" w14:textId="442D56F9"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1 090</w:t>
            </w:r>
          </w:p>
        </w:tc>
      </w:tr>
      <w:tr w:rsidR="00B627CD" w:rsidRPr="000C156A" w14:paraId="1F75514D" w14:textId="77777777" w:rsidTr="003A64C9">
        <w:trPr>
          <w:jc w:val="center"/>
        </w:trPr>
        <w:tc>
          <w:tcPr>
            <w:tcW w:w="5641" w:type="dxa"/>
            <w:tcBorders>
              <w:top w:val="nil"/>
              <w:left w:val="single" w:sz="4" w:space="0" w:color="auto"/>
              <w:bottom w:val="single" w:sz="4" w:space="0" w:color="auto"/>
              <w:right w:val="single" w:sz="4" w:space="0" w:color="auto"/>
            </w:tcBorders>
            <w:noWrap/>
            <w:vAlign w:val="center"/>
          </w:tcPr>
          <w:p w14:paraId="7E94D695" w14:textId="77777777" w:rsidR="00B627CD" w:rsidRPr="000C156A" w:rsidRDefault="00B627CD" w:rsidP="00B627CD">
            <w:pPr>
              <w:pStyle w:val="Tabletext"/>
              <w:spacing w:before="0" w:after="0"/>
              <w:rPr>
                <w:rFonts w:cs="Calibri"/>
                <w:szCs w:val="22"/>
                <w:lang w:val="en-US" w:eastAsia="zh-CN"/>
              </w:rPr>
            </w:pPr>
          </w:p>
        </w:tc>
        <w:tc>
          <w:tcPr>
            <w:tcW w:w="2133" w:type="dxa"/>
            <w:tcBorders>
              <w:top w:val="nil"/>
              <w:left w:val="single" w:sz="4" w:space="0" w:color="auto"/>
              <w:bottom w:val="nil"/>
              <w:right w:val="single" w:sz="4" w:space="0" w:color="auto"/>
            </w:tcBorders>
            <w:shd w:val="clear" w:color="auto" w:fill="auto"/>
            <w:noWrap/>
            <w:vAlign w:val="center"/>
          </w:tcPr>
          <w:p w14:paraId="2EF918A0" w14:textId="18CEC77E" w:rsidR="00B627CD" w:rsidRPr="000C156A" w:rsidRDefault="00B627CD" w:rsidP="00B627CD">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w:t>
            </w:r>
          </w:p>
        </w:tc>
        <w:tc>
          <w:tcPr>
            <w:tcW w:w="1800" w:type="dxa"/>
            <w:tcBorders>
              <w:top w:val="nil"/>
              <w:left w:val="nil"/>
              <w:bottom w:val="nil"/>
              <w:right w:val="single" w:sz="4" w:space="0" w:color="auto"/>
            </w:tcBorders>
            <w:shd w:val="clear" w:color="auto" w:fill="auto"/>
            <w:noWrap/>
            <w:vAlign w:val="center"/>
          </w:tcPr>
          <w:p w14:paraId="25328DC4" w14:textId="77777777" w:rsidR="00B627CD" w:rsidRPr="000C156A" w:rsidRDefault="00B627CD" w:rsidP="00B627CD">
            <w:pPr>
              <w:overflowPunct/>
              <w:autoSpaceDE/>
              <w:autoSpaceDN/>
              <w:adjustRightInd/>
              <w:spacing w:before="0"/>
              <w:jc w:val="right"/>
              <w:textAlignment w:val="auto"/>
              <w:rPr>
                <w:rFonts w:asciiTheme="minorHAnsi" w:hAnsiTheme="minorHAnsi" w:cs="Arial"/>
                <w:b/>
                <w:bCs/>
                <w:color w:val="000000"/>
                <w:sz w:val="22"/>
                <w:szCs w:val="22"/>
                <w:lang w:val="en-US" w:eastAsia="zh-CN"/>
              </w:rPr>
            </w:pPr>
          </w:p>
        </w:tc>
      </w:tr>
      <w:tr w:rsidR="00B627CD" w:rsidRPr="000C156A" w14:paraId="0E69326E" w14:textId="77777777" w:rsidTr="00DC2816">
        <w:trPr>
          <w:jc w:val="center"/>
        </w:trPr>
        <w:tc>
          <w:tcPr>
            <w:tcW w:w="5641" w:type="dxa"/>
            <w:tcBorders>
              <w:top w:val="single" w:sz="4" w:space="0" w:color="auto"/>
              <w:left w:val="single" w:sz="4" w:space="0" w:color="auto"/>
              <w:bottom w:val="single" w:sz="4" w:space="0" w:color="auto"/>
              <w:right w:val="single" w:sz="4" w:space="0" w:color="auto"/>
            </w:tcBorders>
            <w:noWrap/>
            <w:vAlign w:val="bottom"/>
            <w:hideMark/>
          </w:tcPr>
          <w:p w14:paraId="72BCBA2E" w14:textId="77777777" w:rsidR="00B627CD" w:rsidRPr="000C156A" w:rsidRDefault="00B627CD" w:rsidP="00B627CD">
            <w:pPr>
              <w:pStyle w:val="Tablehead"/>
              <w:keepLines/>
              <w:spacing w:before="40" w:after="40"/>
              <w:jc w:val="left"/>
              <w:rPr>
                <w:rFonts w:cs="Calibri"/>
                <w:b w:val="0"/>
                <w:szCs w:val="22"/>
                <w:lang w:val="en-US" w:eastAsia="zh-CN"/>
              </w:rPr>
            </w:pPr>
            <w:r w:rsidRPr="000C156A">
              <w:rPr>
                <w:rFonts w:cs="Calibri" w:hint="eastAsia"/>
                <w:bCs/>
                <w:szCs w:val="22"/>
                <w:lang w:val="en-US" w:eastAsia="zh-CN"/>
              </w:rPr>
              <w:lastRenderedPageBreak/>
              <w:t>当期应收款项</w:t>
            </w:r>
            <w:r w:rsidRPr="000C156A">
              <w:rPr>
                <w:rFonts w:cs="Calibri"/>
                <w:bCs/>
                <w:szCs w:val="22"/>
                <w:lang w:val="en-US" w:eastAsia="zh-CN"/>
              </w:rPr>
              <w:t> </w:t>
            </w:r>
            <w:r w:rsidRPr="000C156A">
              <w:rPr>
                <w:rFonts w:cs="Calibri"/>
                <w:szCs w:val="22"/>
                <w:lang w:val="en-US" w:eastAsia="zh-CN"/>
              </w:rPr>
              <w:t>– </w:t>
            </w:r>
            <w:r w:rsidRPr="000C156A">
              <w:rPr>
                <w:rFonts w:cs="Calibri" w:hint="eastAsia"/>
                <w:bCs/>
                <w:szCs w:val="22"/>
                <w:lang w:val="en-US" w:eastAsia="zh-CN"/>
              </w:rPr>
              <w:t>兑换交易：净值</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F744A" w14:textId="617480B1" w:rsidR="00B627CD" w:rsidRPr="000C156A" w:rsidRDefault="00B627CD" w:rsidP="00B627CD">
            <w:pPr>
              <w:overflowPunct/>
              <w:autoSpaceDE/>
              <w:autoSpaceDN/>
              <w:adjustRightInd/>
              <w:spacing w:before="0"/>
              <w:jc w:val="right"/>
              <w:textAlignment w:val="auto"/>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en-US" w:eastAsia="zh-CN"/>
              </w:rPr>
              <w:t>10 989</w:t>
            </w:r>
            <w:r w:rsidRPr="00C22889">
              <w:rPr>
                <w:rFonts w:asciiTheme="minorHAnsi" w:hAnsiTheme="minorHAnsi" w:cs="Arial"/>
                <w:b/>
                <w:bCs/>
                <w:color w:val="000000"/>
                <w:sz w:val="22"/>
                <w:szCs w:val="22"/>
                <w:lang w:val="en-US" w:eastAsia="zh-CN"/>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65D2535" w14:textId="1A1F6C36" w:rsidR="00B627CD" w:rsidRPr="000C156A" w:rsidRDefault="00B627CD" w:rsidP="00B627CD">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8 4811</w:t>
            </w:r>
          </w:p>
        </w:tc>
      </w:tr>
      <w:tr w:rsidR="00B627CD" w:rsidRPr="000C156A" w14:paraId="335F7FB1" w14:textId="77777777" w:rsidTr="00DC2816">
        <w:trPr>
          <w:jc w:val="center"/>
        </w:trPr>
        <w:tc>
          <w:tcPr>
            <w:tcW w:w="5641" w:type="dxa"/>
            <w:tcBorders>
              <w:top w:val="single" w:sz="4" w:space="0" w:color="auto"/>
              <w:left w:val="single" w:sz="4" w:space="0" w:color="auto"/>
              <w:bottom w:val="nil"/>
              <w:right w:val="single" w:sz="4" w:space="0" w:color="auto"/>
            </w:tcBorders>
            <w:noWrap/>
            <w:vAlign w:val="bottom"/>
            <w:hideMark/>
          </w:tcPr>
          <w:p w14:paraId="74C06712" w14:textId="77777777" w:rsidR="00B627CD" w:rsidRPr="000C156A" w:rsidRDefault="00B627CD" w:rsidP="00B627CD">
            <w:pPr>
              <w:pStyle w:val="Tabletext"/>
              <w:keepNext/>
              <w:keepLines/>
              <w:rPr>
                <w:rFonts w:cs="Calibri"/>
                <w:b/>
                <w:szCs w:val="22"/>
                <w:lang w:eastAsia="zh-CN"/>
              </w:rPr>
            </w:pPr>
            <w:r w:rsidRPr="000C156A">
              <w:rPr>
                <w:rFonts w:cs="Calibri" w:hint="eastAsia"/>
                <w:szCs w:val="22"/>
                <w:lang w:val="fr-CH" w:eastAsia="zh-CN"/>
              </w:rPr>
              <w:t>当期应收款项</w:t>
            </w:r>
            <w:r w:rsidRPr="000C156A">
              <w:rPr>
                <w:rFonts w:cs="Calibri"/>
                <w:szCs w:val="22"/>
                <w:lang w:val="en-US" w:eastAsia="zh-CN"/>
              </w:rPr>
              <w:t> – </w:t>
            </w:r>
            <w:r w:rsidRPr="000C156A">
              <w:rPr>
                <w:rFonts w:cs="Calibri" w:hint="eastAsia"/>
                <w:szCs w:val="22"/>
                <w:lang w:val="fr-CH" w:eastAsia="zh-CN"/>
              </w:rPr>
              <w:t>非兑换交易</w:t>
            </w:r>
          </w:p>
        </w:tc>
        <w:tc>
          <w:tcPr>
            <w:tcW w:w="2133" w:type="dxa"/>
            <w:tcBorders>
              <w:top w:val="nil"/>
              <w:left w:val="single" w:sz="4" w:space="0" w:color="auto"/>
              <w:bottom w:val="nil"/>
              <w:right w:val="single" w:sz="4" w:space="0" w:color="auto"/>
            </w:tcBorders>
            <w:shd w:val="clear" w:color="auto" w:fill="auto"/>
            <w:noWrap/>
            <w:vAlign w:val="bottom"/>
          </w:tcPr>
          <w:p w14:paraId="143F17D3" w14:textId="59C35DCA"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1</w:t>
            </w:r>
            <w:r>
              <w:rPr>
                <w:rFonts w:asciiTheme="minorHAnsi" w:hAnsiTheme="minorHAnsi" w:cs="Arial"/>
                <w:color w:val="000000"/>
                <w:sz w:val="22"/>
                <w:szCs w:val="22"/>
                <w:lang w:val="en-US" w:eastAsia="zh-CN"/>
              </w:rPr>
              <w:t>11 534</w:t>
            </w:r>
            <w:r w:rsidRPr="00C22889">
              <w:rPr>
                <w:rFonts w:asciiTheme="minorHAnsi" w:hAnsiTheme="minorHAnsi" w:cs="Arial"/>
                <w:color w:val="000000"/>
                <w:sz w:val="22"/>
                <w:szCs w:val="22"/>
                <w:lang w:val="en-US" w:eastAsia="zh-CN"/>
              </w:rPr>
              <w:t xml:space="preserve"> </w:t>
            </w:r>
          </w:p>
        </w:tc>
        <w:tc>
          <w:tcPr>
            <w:tcW w:w="1800" w:type="dxa"/>
            <w:tcBorders>
              <w:top w:val="nil"/>
              <w:left w:val="nil"/>
              <w:bottom w:val="nil"/>
              <w:right w:val="single" w:sz="4" w:space="0" w:color="auto"/>
            </w:tcBorders>
            <w:shd w:val="clear" w:color="auto" w:fill="auto"/>
            <w:noWrap/>
            <w:vAlign w:val="bottom"/>
            <w:hideMark/>
          </w:tcPr>
          <w:p w14:paraId="5381BDE9" w14:textId="55CDFFD9"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125 0221</w:t>
            </w:r>
          </w:p>
        </w:tc>
      </w:tr>
      <w:tr w:rsidR="00B627CD" w:rsidRPr="000C156A" w14:paraId="4E760399" w14:textId="77777777" w:rsidTr="00DC2816">
        <w:trPr>
          <w:jc w:val="center"/>
        </w:trPr>
        <w:tc>
          <w:tcPr>
            <w:tcW w:w="5641" w:type="dxa"/>
            <w:tcBorders>
              <w:top w:val="nil"/>
              <w:left w:val="single" w:sz="4" w:space="0" w:color="auto"/>
              <w:right w:val="single" w:sz="4" w:space="0" w:color="auto"/>
            </w:tcBorders>
            <w:noWrap/>
            <w:vAlign w:val="bottom"/>
            <w:hideMark/>
          </w:tcPr>
          <w:p w14:paraId="71B2804A" w14:textId="77777777" w:rsidR="00B627CD" w:rsidRPr="000C156A" w:rsidRDefault="00B627CD" w:rsidP="00B627CD">
            <w:pPr>
              <w:pStyle w:val="Tabletext"/>
              <w:keepNext/>
              <w:keepLines/>
              <w:rPr>
                <w:rFonts w:cs="Calibri"/>
                <w:b/>
                <w:szCs w:val="22"/>
                <w:lang w:val="en-US" w:eastAsia="zh-CN"/>
              </w:rPr>
            </w:pPr>
            <w:r w:rsidRPr="000C156A">
              <w:rPr>
                <w:rFonts w:cs="Calibri" w:hint="eastAsia"/>
                <w:szCs w:val="22"/>
                <w:lang w:val="en-US" w:eastAsia="zh-CN"/>
              </w:rPr>
              <w:t>当期应收款项</w:t>
            </w:r>
            <w:r w:rsidRPr="000C156A">
              <w:rPr>
                <w:rFonts w:cs="Calibri"/>
                <w:szCs w:val="22"/>
                <w:lang w:val="en-US" w:eastAsia="zh-CN"/>
              </w:rPr>
              <w:t> – </w:t>
            </w:r>
            <w:r w:rsidRPr="000C156A">
              <w:rPr>
                <w:rFonts w:cs="Calibri" w:hint="eastAsia"/>
                <w:szCs w:val="22"/>
                <w:lang w:val="en-US" w:eastAsia="zh-CN"/>
              </w:rPr>
              <w:t>非兑换交易：损失准备金</w:t>
            </w:r>
          </w:p>
        </w:tc>
        <w:tc>
          <w:tcPr>
            <w:tcW w:w="2133" w:type="dxa"/>
            <w:tcBorders>
              <w:top w:val="nil"/>
              <w:left w:val="single" w:sz="4" w:space="0" w:color="auto"/>
              <w:bottom w:val="nil"/>
              <w:right w:val="single" w:sz="4" w:space="0" w:color="auto"/>
            </w:tcBorders>
            <w:shd w:val="clear" w:color="auto" w:fill="auto"/>
            <w:noWrap/>
            <w:vAlign w:val="bottom"/>
          </w:tcPr>
          <w:p w14:paraId="67F092AA" w14:textId="7ADF336F"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34 931</w:t>
            </w:r>
            <w:r w:rsidRPr="00C22889">
              <w:rPr>
                <w:rFonts w:asciiTheme="minorHAnsi" w:hAnsiTheme="minorHAnsi" w:cs="Arial"/>
                <w:color w:val="000000"/>
                <w:sz w:val="22"/>
                <w:szCs w:val="22"/>
                <w:lang w:val="en-US" w:eastAsia="zh-CN"/>
              </w:rPr>
              <w:t xml:space="preserve"> </w:t>
            </w:r>
          </w:p>
        </w:tc>
        <w:tc>
          <w:tcPr>
            <w:tcW w:w="1800" w:type="dxa"/>
            <w:tcBorders>
              <w:top w:val="nil"/>
              <w:left w:val="nil"/>
              <w:bottom w:val="nil"/>
              <w:right w:val="single" w:sz="4" w:space="0" w:color="auto"/>
            </w:tcBorders>
            <w:shd w:val="clear" w:color="auto" w:fill="auto"/>
            <w:noWrap/>
            <w:vAlign w:val="bottom"/>
            <w:hideMark/>
          </w:tcPr>
          <w:p w14:paraId="1337604C" w14:textId="6E8CD303"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-35 716</w:t>
            </w:r>
          </w:p>
        </w:tc>
      </w:tr>
      <w:tr w:rsidR="00B627CD" w:rsidRPr="000C156A" w14:paraId="75B96047" w14:textId="77777777" w:rsidTr="003A64C9">
        <w:trPr>
          <w:jc w:val="center"/>
        </w:trPr>
        <w:tc>
          <w:tcPr>
            <w:tcW w:w="5641" w:type="dxa"/>
            <w:tcBorders>
              <w:top w:val="nil"/>
              <w:left w:val="single" w:sz="4" w:space="0" w:color="auto"/>
              <w:bottom w:val="single" w:sz="4" w:space="0" w:color="auto"/>
              <w:right w:val="single" w:sz="4" w:space="0" w:color="auto"/>
            </w:tcBorders>
            <w:noWrap/>
            <w:vAlign w:val="center"/>
          </w:tcPr>
          <w:p w14:paraId="2074E312" w14:textId="77777777" w:rsidR="00B627CD" w:rsidRPr="000C156A" w:rsidRDefault="00B627CD" w:rsidP="00B627CD">
            <w:pPr>
              <w:pStyle w:val="Tabletext"/>
              <w:spacing w:before="0" w:after="0"/>
              <w:rPr>
                <w:rFonts w:cs="Calibri"/>
                <w:szCs w:val="22"/>
                <w:lang w:val="en-US" w:eastAsia="zh-CN"/>
              </w:rPr>
            </w:pPr>
          </w:p>
        </w:tc>
        <w:tc>
          <w:tcPr>
            <w:tcW w:w="2133" w:type="dxa"/>
            <w:tcBorders>
              <w:top w:val="nil"/>
              <w:left w:val="single" w:sz="4" w:space="0" w:color="auto"/>
              <w:bottom w:val="nil"/>
              <w:right w:val="single" w:sz="4" w:space="0" w:color="auto"/>
            </w:tcBorders>
            <w:shd w:val="clear" w:color="auto" w:fill="auto"/>
            <w:noWrap/>
            <w:vAlign w:val="bottom"/>
          </w:tcPr>
          <w:p w14:paraId="3F37DEE3" w14:textId="09DACF1A"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1800" w:type="dxa"/>
            <w:tcBorders>
              <w:top w:val="nil"/>
              <w:left w:val="nil"/>
              <w:bottom w:val="nil"/>
              <w:right w:val="single" w:sz="4" w:space="0" w:color="auto"/>
            </w:tcBorders>
            <w:shd w:val="clear" w:color="auto" w:fill="auto"/>
            <w:noWrap/>
            <w:vAlign w:val="bottom"/>
          </w:tcPr>
          <w:p w14:paraId="5D6E90E4" w14:textId="1D435991"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r>
      <w:tr w:rsidR="00B627CD" w:rsidRPr="000C156A" w14:paraId="323C0B64" w14:textId="77777777" w:rsidTr="00DC2816">
        <w:trPr>
          <w:jc w:val="center"/>
        </w:trPr>
        <w:tc>
          <w:tcPr>
            <w:tcW w:w="5641" w:type="dxa"/>
            <w:tcBorders>
              <w:top w:val="single" w:sz="4" w:space="0" w:color="auto"/>
              <w:left w:val="single" w:sz="4" w:space="0" w:color="auto"/>
              <w:bottom w:val="single" w:sz="4" w:space="0" w:color="auto"/>
              <w:right w:val="single" w:sz="4" w:space="0" w:color="auto"/>
            </w:tcBorders>
            <w:noWrap/>
            <w:vAlign w:val="bottom"/>
            <w:hideMark/>
          </w:tcPr>
          <w:p w14:paraId="63AF81BF" w14:textId="77777777" w:rsidR="00B627CD" w:rsidRPr="000C156A" w:rsidRDefault="00B627CD" w:rsidP="00B627CD">
            <w:pPr>
              <w:pStyle w:val="Tablehead"/>
              <w:keepLines/>
              <w:spacing w:before="40" w:after="40"/>
              <w:jc w:val="left"/>
              <w:rPr>
                <w:rFonts w:cs="Calibri"/>
                <w:b w:val="0"/>
                <w:szCs w:val="22"/>
                <w:lang w:eastAsia="zh-CN"/>
              </w:rPr>
            </w:pPr>
            <w:r w:rsidRPr="000C156A">
              <w:rPr>
                <w:rFonts w:cs="Calibri" w:hint="eastAsia"/>
                <w:bCs/>
                <w:szCs w:val="22"/>
                <w:lang w:val="fr-CH" w:eastAsia="zh-CN"/>
              </w:rPr>
              <w:t>当期应收款项</w:t>
            </w:r>
            <w:r w:rsidRPr="000C156A">
              <w:rPr>
                <w:rFonts w:cs="Calibri"/>
                <w:bCs/>
                <w:szCs w:val="22"/>
                <w:lang w:val="en-US" w:eastAsia="zh-CN"/>
              </w:rPr>
              <w:t> </w:t>
            </w:r>
            <w:r w:rsidRPr="000C156A">
              <w:rPr>
                <w:rFonts w:cs="Calibri"/>
                <w:bCs/>
                <w:szCs w:val="22"/>
                <w:lang w:eastAsia="zh-CN"/>
              </w:rPr>
              <w:t>–</w:t>
            </w:r>
            <w:r w:rsidRPr="000C156A">
              <w:rPr>
                <w:rFonts w:cs="Calibri"/>
                <w:bCs/>
                <w:szCs w:val="22"/>
                <w:lang w:val="en-US" w:eastAsia="zh-CN"/>
              </w:rPr>
              <w:t> </w:t>
            </w:r>
            <w:r w:rsidRPr="000C156A">
              <w:rPr>
                <w:rFonts w:cs="Calibri" w:hint="eastAsia"/>
                <w:bCs/>
                <w:szCs w:val="22"/>
                <w:lang w:val="fr-CH" w:eastAsia="zh-CN"/>
              </w:rPr>
              <w:t>非兑换交易</w:t>
            </w:r>
            <w:r w:rsidRPr="000C156A">
              <w:rPr>
                <w:rFonts w:cs="Calibri" w:hint="eastAsia"/>
                <w:bCs/>
                <w:szCs w:val="22"/>
                <w:lang w:eastAsia="zh-CN"/>
              </w:rPr>
              <w:t>：</w:t>
            </w:r>
            <w:r w:rsidRPr="000C156A">
              <w:rPr>
                <w:rFonts w:cs="Calibri" w:hint="eastAsia"/>
                <w:bCs/>
                <w:szCs w:val="22"/>
                <w:lang w:val="fr-CH" w:eastAsia="zh-CN"/>
              </w:rPr>
              <w:t>净值</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16343" w14:textId="28F74E03" w:rsidR="00B627CD" w:rsidRPr="000C156A" w:rsidRDefault="00B627CD" w:rsidP="00B627CD">
            <w:pPr>
              <w:overflowPunct/>
              <w:autoSpaceDE/>
              <w:autoSpaceDN/>
              <w:adjustRightInd/>
              <w:spacing w:before="0"/>
              <w:jc w:val="right"/>
              <w:textAlignment w:val="auto"/>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fr-CH" w:eastAsia="zh-CN"/>
              </w:rPr>
              <w:t>76 </w:t>
            </w:r>
            <w:r>
              <w:rPr>
                <w:rFonts w:asciiTheme="minorHAnsi" w:hAnsiTheme="minorHAnsi" w:cs="Arial"/>
                <w:b/>
                <w:bCs/>
                <w:color w:val="000000"/>
                <w:sz w:val="22"/>
                <w:szCs w:val="22"/>
                <w:lang w:val="en-US" w:eastAsia="zh-CN"/>
              </w:rPr>
              <w:t>931</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919EA3D" w14:textId="2FD43A6E" w:rsidR="00B627CD" w:rsidRPr="000C156A" w:rsidRDefault="00B627CD" w:rsidP="00B627CD">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89 306</w:t>
            </w:r>
          </w:p>
        </w:tc>
      </w:tr>
      <w:tr w:rsidR="00B627CD" w:rsidRPr="000C156A" w14:paraId="36D02EC9" w14:textId="77777777" w:rsidTr="00DC2816">
        <w:trPr>
          <w:jc w:val="center"/>
        </w:trPr>
        <w:tc>
          <w:tcPr>
            <w:tcW w:w="5641" w:type="dxa"/>
            <w:tcBorders>
              <w:top w:val="single" w:sz="4" w:space="0" w:color="auto"/>
              <w:left w:val="single" w:sz="4" w:space="0" w:color="auto"/>
              <w:bottom w:val="nil"/>
              <w:right w:val="single" w:sz="4" w:space="0" w:color="auto"/>
            </w:tcBorders>
            <w:noWrap/>
            <w:vAlign w:val="bottom"/>
            <w:hideMark/>
          </w:tcPr>
          <w:p w14:paraId="448DBE04" w14:textId="77777777" w:rsidR="00B627CD" w:rsidRPr="000C156A" w:rsidRDefault="00B627CD" w:rsidP="00B627CD">
            <w:pPr>
              <w:pStyle w:val="Tabletext"/>
              <w:keepNext/>
              <w:keepLines/>
              <w:rPr>
                <w:rFonts w:cs="Calibri"/>
                <w:szCs w:val="22"/>
                <w:lang w:eastAsia="zh-CN"/>
              </w:rPr>
            </w:pPr>
            <w:r w:rsidRPr="000C156A">
              <w:rPr>
                <w:rFonts w:cs="Calibri" w:hint="eastAsia"/>
                <w:szCs w:val="22"/>
                <w:lang w:val="fr-CH" w:eastAsia="zh-CN"/>
              </w:rPr>
              <w:t>非当期应收款项</w:t>
            </w:r>
            <w:r w:rsidRPr="000C156A">
              <w:rPr>
                <w:rFonts w:cs="Calibri"/>
                <w:szCs w:val="22"/>
                <w:lang w:val="en-US" w:eastAsia="zh-CN"/>
              </w:rPr>
              <w:t> – </w:t>
            </w:r>
            <w:r w:rsidRPr="000C156A">
              <w:rPr>
                <w:rFonts w:cs="Calibri" w:hint="eastAsia"/>
                <w:szCs w:val="22"/>
                <w:lang w:val="fr-CH" w:eastAsia="zh-CN"/>
              </w:rPr>
              <w:t>兑换交易</w:t>
            </w:r>
          </w:p>
        </w:tc>
        <w:tc>
          <w:tcPr>
            <w:tcW w:w="2133" w:type="dxa"/>
            <w:tcBorders>
              <w:top w:val="nil"/>
              <w:left w:val="single" w:sz="4" w:space="0" w:color="auto"/>
              <w:bottom w:val="nil"/>
              <w:right w:val="single" w:sz="4" w:space="0" w:color="auto"/>
            </w:tcBorders>
            <w:shd w:val="clear" w:color="auto" w:fill="auto"/>
            <w:noWrap/>
            <w:vAlign w:val="bottom"/>
          </w:tcPr>
          <w:p w14:paraId="0CBF6C42" w14:textId="152C2656"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w:t>
            </w:r>
          </w:p>
        </w:tc>
        <w:tc>
          <w:tcPr>
            <w:tcW w:w="1800" w:type="dxa"/>
            <w:tcBorders>
              <w:top w:val="nil"/>
              <w:left w:val="nil"/>
              <w:bottom w:val="nil"/>
              <w:right w:val="single" w:sz="4" w:space="0" w:color="auto"/>
            </w:tcBorders>
            <w:shd w:val="clear" w:color="auto" w:fill="auto"/>
            <w:noWrap/>
            <w:vAlign w:val="bottom"/>
            <w:hideMark/>
          </w:tcPr>
          <w:p w14:paraId="26A8DA6C" w14:textId="52608F95"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w:t>
            </w:r>
          </w:p>
        </w:tc>
      </w:tr>
      <w:tr w:rsidR="00B627CD" w:rsidRPr="000C156A" w14:paraId="1CF21591" w14:textId="77777777" w:rsidTr="00DC2816">
        <w:trPr>
          <w:jc w:val="center"/>
        </w:trPr>
        <w:tc>
          <w:tcPr>
            <w:tcW w:w="5641" w:type="dxa"/>
            <w:tcBorders>
              <w:top w:val="nil"/>
              <w:left w:val="single" w:sz="4" w:space="0" w:color="auto"/>
              <w:bottom w:val="nil"/>
              <w:right w:val="single" w:sz="4" w:space="0" w:color="auto"/>
            </w:tcBorders>
            <w:noWrap/>
            <w:vAlign w:val="bottom"/>
            <w:hideMark/>
          </w:tcPr>
          <w:p w14:paraId="6B9FAEC8" w14:textId="77777777" w:rsidR="00B627CD" w:rsidRPr="000C156A" w:rsidRDefault="00B627CD" w:rsidP="00B627CD">
            <w:pPr>
              <w:pStyle w:val="Tabletext"/>
              <w:keepNext/>
              <w:keepLines/>
              <w:rPr>
                <w:rFonts w:cs="Calibri"/>
                <w:szCs w:val="22"/>
                <w:lang w:eastAsia="zh-CN"/>
              </w:rPr>
            </w:pPr>
            <w:r w:rsidRPr="000C156A">
              <w:rPr>
                <w:rFonts w:cs="Calibri" w:hint="eastAsia"/>
                <w:szCs w:val="22"/>
                <w:lang w:val="fr-CH" w:eastAsia="zh-CN"/>
              </w:rPr>
              <w:t>非当期应收款项</w:t>
            </w:r>
            <w:r w:rsidRPr="000C156A">
              <w:rPr>
                <w:rFonts w:cs="Calibri"/>
                <w:szCs w:val="22"/>
                <w:lang w:val="en-US" w:eastAsia="zh-CN"/>
              </w:rPr>
              <w:t> – </w:t>
            </w:r>
            <w:r w:rsidRPr="000C156A">
              <w:rPr>
                <w:rFonts w:cs="Calibri" w:hint="eastAsia"/>
                <w:szCs w:val="22"/>
                <w:lang w:val="fr-CH" w:eastAsia="zh-CN"/>
              </w:rPr>
              <w:t>兑换交易</w:t>
            </w:r>
            <w:r w:rsidRPr="000C156A">
              <w:rPr>
                <w:rFonts w:cs="Calibri" w:hint="eastAsia"/>
                <w:szCs w:val="22"/>
                <w:lang w:eastAsia="zh-CN"/>
              </w:rPr>
              <w:t>：</w:t>
            </w:r>
            <w:r w:rsidRPr="000C156A">
              <w:rPr>
                <w:rFonts w:cs="Calibri" w:hint="eastAsia"/>
                <w:szCs w:val="22"/>
                <w:lang w:val="fr-CH" w:eastAsia="zh-CN"/>
              </w:rPr>
              <w:t>损失准备金</w:t>
            </w:r>
          </w:p>
        </w:tc>
        <w:tc>
          <w:tcPr>
            <w:tcW w:w="2133" w:type="dxa"/>
            <w:tcBorders>
              <w:top w:val="nil"/>
              <w:left w:val="single" w:sz="4" w:space="0" w:color="auto"/>
              <w:bottom w:val="nil"/>
              <w:right w:val="single" w:sz="4" w:space="0" w:color="auto"/>
            </w:tcBorders>
            <w:shd w:val="clear" w:color="auto" w:fill="auto"/>
            <w:noWrap/>
            <w:vAlign w:val="bottom"/>
          </w:tcPr>
          <w:p w14:paraId="68011FB9" w14:textId="44E8D353"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xml:space="preserve">-   </w:t>
            </w:r>
          </w:p>
        </w:tc>
        <w:tc>
          <w:tcPr>
            <w:tcW w:w="1800" w:type="dxa"/>
            <w:tcBorders>
              <w:top w:val="nil"/>
              <w:left w:val="nil"/>
              <w:bottom w:val="nil"/>
              <w:right w:val="single" w:sz="4" w:space="0" w:color="auto"/>
            </w:tcBorders>
            <w:shd w:val="clear" w:color="auto" w:fill="auto"/>
            <w:noWrap/>
            <w:vAlign w:val="bottom"/>
            <w:hideMark/>
          </w:tcPr>
          <w:p w14:paraId="0E2AD9CC" w14:textId="5A2CC331"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w:t>
            </w:r>
          </w:p>
        </w:tc>
      </w:tr>
      <w:tr w:rsidR="00B627CD" w:rsidRPr="000C156A" w14:paraId="1C55FF70" w14:textId="77777777" w:rsidTr="003A64C9">
        <w:trPr>
          <w:jc w:val="center"/>
        </w:trPr>
        <w:tc>
          <w:tcPr>
            <w:tcW w:w="5641" w:type="dxa"/>
            <w:tcBorders>
              <w:top w:val="nil"/>
              <w:left w:val="single" w:sz="4" w:space="0" w:color="auto"/>
              <w:bottom w:val="single" w:sz="4" w:space="0" w:color="auto"/>
              <w:right w:val="single" w:sz="4" w:space="0" w:color="auto"/>
            </w:tcBorders>
            <w:noWrap/>
            <w:vAlign w:val="center"/>
          </w:tcPr>
          <w:p w14:paraId="0E3226D5" w14:textId="77777777" w:rsidR="00B627CD" w:rsidRPr="000C156A" w:rsidRDefault="00B627CD" w:rsidP="00B627CD">
            <w:pPr>
              <w:pStyle w:val="Tabletext"/>
              <w:spacing w:before="0" w:after="0"/>
              <w:rPr>
                <w:rFonts w:cs="Calibri"/>
                <w:szCs w:val="22"/>
                <w:lang w:val="en-US" w:eastAsia="zh-CN"/>
              </w:rPr>
            </w:pPr>
          </w:p>
        </w:tc>
        <w:tc>
          <w:tcPr>
            <w:tcW w:w="2133" w:type="dxa"/>
            <w:tcBorders>
              <w:top w:val="nil"/>
              <w:left w:val="single" w:sz="4" w:space="0" w:color="auto"/>
              <w:bottom w:val="nil"/>
              <w:right w:val="single" w:sz="4" w:space="0" w:color="auto"/>
            </w:tcBorders>
            <w:shd w:val="clear" w:color="auto" w:fill="auto"/>
            <w:noWrap/>
            <w:vAlign w:val="bottom"/>
          </w:tcPr>
          <w:p w14:paraId="350873F9" w14:textId="570C1DBC"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1800" w:type="dxa"/>
            <w:tcBorders>
              <w:top w:val="nil"/>
              <w:left w:val="nil"/>
              <w:bottom w:val="nil"/>
              <w:right w:val="single" w:sz="4" w:space="0" w:color="auto"/>
            </w:tcBorders>
            <w:shd w:val="clear" w:color="auto" w:fill="auto"/>
            <w:noWrap/>
            <w:vAlign w:val="bottom"/>
          </w:tcPr>
          <w:p w14:paraId="2055F2F2" w14:textId="77777777"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p>
        </w:tc>
      </w:tr>
      <w:tr w:rsidR="00B627CD" w:rsidRPr="000C156A" w14:paraId="7091E84E" w14:textId="77777777" w:rsidTr="00DC2816">
        <w:trPr>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14:paraId="2A353724" w14:textId="77777777" w:rsidR="00B627CD" w:rsidRPr="000C156A" w:rsidRDefault="00B627CD" w:rsidP="00B627CD">
            <w:pPr>
              <w:pStyle w:val="Tablehead"/>
              <w:keepLines/>
              <w:spacing w:before="40" w:after="40"/>
              <w:jc w:val="left"/>
              <w:rPr>
                <w:rFonts w:cs="Calibri"/>
                <w:b w:val="0"/>
                <w:szCs w:val="22"/>
                <w:lang w:eastAsia="zh-CN"/>
              </w:rPr>
            </w:pPr>
            <w:r w:rsidRPr="000C156A">
              <w:rPr>
                <w:rFonts w:cs="Calibri" w:hint="eastAsia"/>
                <w:bCs/>
                <w:szCs w:val="22"/>
                <w:lang w:val="fr-CH" w:eastAsia="zh-CN"/>
              </w:rPr>
              <w:t>非当期应收款项</w:t>
            </w:r>
            <w:r w:rsidRPr="000C156A">
              <w:rPr>
                <w:rFonts w:cs="Calibri"/>
                <w:bCs/>
                <w:szCs w:val="22"/>
                <w:lang w:val="en-US" w:eastAsia="zh-CN"/>
              </w:rPr>
              <w:t> </w:t>
            </w:r>
            <w:r w:rsidRPr="000C156A">
              <w:rPr>
                <w:rFonts w:cs="Calibri"/>
                <w:szCs w:val="22"/>
                <w:lang w:val="en-US" w:eastAsia="zh-CN"/>
              </w:rPr>
              <w:t>– </w:t>
            </w:r>
            <w:r w:rsidRPr="000C156A">
              <w:rPr>
                <w:rFonts w:cs="Calibri" w:hint="eastAsia"/>
                <w:bCs/>
                <w:szCs w:val="22"/>
                <w:lang w:val="fr-CH" w:eastAsia="zh-CN"/>
              </w:rPr>
              <w:t>兑换交易</w:t>
            </w:r>
            <w:r w:rsidRPr="000C156A">
              <w:rPr>
                <w:rFonts w:cs="Calibri" w:hint="eastAsia"/>
                <w:bCs/>
                <w:szCs w:val="22"/>
                <w:lang w:eastAsia="zh-CN"/>
              </w:rPr>
              <w:t>：</w:t>
            </w:r>
            <w:r w:rsidRPr="000C156A">
              <w:rPr>
                <w:rFonts w:cs="Calibri" w:hint="eastAsia"/>
                <w:bCs/>
                <w:szCs w:val="22"/>
                <w:lang w:val="fr-CH" w:eastAsia="zh-CN"/>
              </w:rPr>
              <w:t>净值</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1368B" w14:textId="10A7EF3A" w:rsidR="00B627CD" w:rsidRPr="000C156A" w:rsidRDefault="00B627CD" w:rsidP="00B627CD">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BE663DD" w14:textId="4A3026F8" w:rsidR="00B627CD" w:rsidRPr="000C156A" w:rsidRDefault="00B627CD" w:rsidP="00B627CD">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w:t>
            </w:r>
          </w:p>
        </w:tc>
      </w:tr>
      <w:tr w:rsidR="00B627CD" w:rsidRPr="000C156A" w14:paraId="45C84323" w14:textId="77777777" w:rsidTr="00DC2816">
        <w:trPr>
          <w:jc w:val="center"/>
        </w:trPr>
        <w:tc>
          <w:tcPr>
            <w:tcW w:w="5641" w:type="dxa"/>
            <w:tcBorders>
              <w:top w:val="single" w:sz="4" w:space="0" w:color="auto"/>
              <w:left w:val="single" w:sz="4" w:space="0" w:color="auto"/>
              <w:bottom w:val="nil"/>
              <w:right w:val="single" w:sz="4" w:space="0" w:color="auto"/>
            </w:tcBorders>
            <w:noWrap/>
            <w:vAlign w:val="bottom"/>
            <w:hideMark/>
          </w:tcPr>
          <w:p w14:paraId="2889DC11" w14:textId="77777777" w:rsidR="00B627CD" w:rsidRPr="000C156A" w:rsidRDefault="00B627CD" w:rsidP="00B627CD">
            <w:pPr>
              <w:pStyle w:val="Tabletext"/>
              <w:keepNext/>
              <w:keepLines/>
              <w:rPr>
                <w:rFonts w:cs="Calibri"/>
                <w:szCs w:val="22"/>
                <w:lang w:eastAsia="zh-CN"/>
              </w:rPr>
            </w:pPr>
            <w:r w:rsidRPr="000C156A">
              <w:rPr>
                <w:rFonts w:cs="Calibri" w:hint="eastAsia"/>
                <w:szCs w:val="22"/>
                <w:lang w:val="fr-CH" w:eastAsia="zh-CN"/>
              </w:rPr>
              <w:t>非当期应收款项</w:t>
            </w:r>
            <w:r w:rsidRPr="000C156A">
              <w:rPr>
                <w:rFonts w:cs="Calibri"/>
                <w:szCs w:val="22"/>
                <w:lang w:val="en-US" w:eastAsia="zh-CN"/>
              </w:rPr>
              <w:t> – </w:t>
            </w:r>
            <w:r w:rsidRPr="000C156A">
              <w:rPr>
                <w:rFonts w:cs="Calibri" w:hint="eastAsia"/>
                <w:szCs w:val="22"/>
                <w:lang w:val="fr-CH" w:eastAsia="zh-CN"/>
              </w:rPr>
              <w:t>非兑换交易</w:t>
            </w:r>
          </w:p>
        </w:tc>
        <w:tc>
          <w:tcPr>
            <w:tcW w:w="2133" w:type="dxa"/>
            <w:tcBorders>
              <w:top w:val="nil"/>
              <w:left w:val="single" w:sz="4" w:space="0" w:color="auto"/>
              <w:bottom w:val="nil"/>
              <w:right w:val="single" w:sz="4" w:space="0" w:color="auto"/>
            </w:tcBorders>
            <w:shd w:val="clear" w:color="auto" w:fill="auto"/>
            <w:noWrap/>
            <w:vAlign w:val="bottom"/>
          </w:tcPr>
          <w:p w14:paraId="4BCC4906" w14:textId="295B5747"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Theme="minorHAnsi" w:hAnsiTheme="minorHAnsi" w:cs="Arial"/>
                <w:color w:val="000000"/>
                <w:sz w:val="22"/>
                <w:szCs w:val="22"/>
                <w:lang w:val="fr-CH" w:eastAsia="zh-CN"/>
              </w:rPr>
              <w:t>5</w:t>
            </w:r>
            <w:r>
              <w:rPr>
                <w:rFonts w:asciiTheme="minorHAnsi" w:hAnsiTheme="minorHAnsi" w:cs="Arial"/>
                <w:color w:val="000000"/>
                <w:sz w:val="22"/>
                <w:szCs w:val="22"/>
                <w:lang w:val="en-US" w:eastAsia="zh-CN"/>
              </w:rPr>
              <w:t> 967</w:t>
            </w:r>
            <w:r w:rsidRPr="00C22889">
              <w:rPr>
                <w:rFonts w:asciiTheme="minorHAnsi" w:hAnsiTheme="minorHAnsi" w:cs="Arial"/>
                <w:color w:val="000000"/>
                <w:sz w:val="22"/>
                <w:szCs w:val="22"/>
                <w:lang w:val="en-US" w:eastAsia="zh-CN"/>
              </w:rPr>
              <w:t xml:space="preserve"> </w:t>
            </w:r>
          </w:p>
        </w:tc>
        <w:tc>
          <w:tcPr>
            <w:tcW w:w="1800" w:type="dxa"/>
            <w:tcBorders>
              <w:top w:val="nil"/>
              <w:left w:val="nil"/>
              <w:bottom w:val="nil"/>
              <w:right w:val="single" w:sz="4" w:space="0" w:color="auto"/>
            </w:tcBorders>
            <w:shd w:val="clear" w:color="auto" w:fill="auto"/>
            <w:noWrap/>
            <w:vAlign w:val="bottom"/>
            <w:hideMark/>
          </w:tcPr>
          <w:p w14:paraId="771A44A4" w14:textId="0FC359D4"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fr-CH" w:eastAsia="zh-CN"/>
              </w:rPr>
              <w:t>6</w:t>
            </w:r>
            <w:r w:rsidRPr="000C156A">
              <w:rPr>
                <w:rFonts w:asciiTheme="minorHAnsi" w:hAnsiTheme="minorHAnsi" w:cs="Arial"/>
                <w:color w:val="000000"/>
                <w:sz w:val="22"/>
                <w:szCs w:val="22"/>
                <w:lang w:val="en-US" w:eastAsia="zh-CN"/>
              </w:rPr>
              <w:t xml:space="preserve"> 479</w:t>
            </w:r>
          </w:p>
        </w:tc>
      </w:tr>
      <w:tr w:rsidR="00B627CD" w:rsidRPr="000C156A" w14:paraId="3310884E" w14:textId="77777777" w:rsidTr="00DC2816">
        <w:trPr>
          <w:jc w:val="center"/>
        </w:trPr>
        <w:tc>
          <w:tcPr>
            <w:tcW w:w="5641" w:type="dxa"/>
            <w:tcBorders>
              <w:top w:val="nil"/>
              <w:left w:val="single" w:sz="4" w:space="0" w:color="auto"/>
              <w:right w:val="single" w:sz="4" w:space="0" w:color="auto"/>
            </w:tcBorders>
            <w:noWrap/>
            <w:vAlign w:val="bottom"/>
            <w:hideMark/>
          </w:tcPr>
          <w:p w14:paraId="2EC45D6C" w14:textId="77777777" w:rsidR="00B627CD" w:rsidRPr="000C156A" w:rsidRDefault="00B627CD" w:rsidP="00B627CD">
            <w:pPr>
              <w:pStyle w:val="Tabletext"/>
              <w:keepNext/>
              <w:keepLines/>
              <w:rPr>
                <w:rFonts w:cs="Calibri"/>
                <w:szCs w:val="22"/>
                <w:lang w:eastAsia="zh-CN"/>
              </w:rPr>
            </w:pPr>
            <w:r w:rsidRPr="000C156A">
              <w:rPr>
                <w:rFonts w:cs="Calibri" w:hint="eastAsia"/>
                <w:szCs w:val="22"/>
                <w:lang w:val="fr-CH" w:eastAsia="zh-CN"/>
              </w:rPr>
              <w:t>非当期应收款项</w:t>
            </w:r>
            <w:r w:rsidRPr="000C156A">
              <w:rPr>
                <w:rFonts w:cs="Calibri"/>
                <w:szCs w:val="22"/>
                <w:lang w:val="en-US" w:eastAsia="zh-CN"/>
              </w:rPr>
              <w:t> – </w:t>
            </w:r>
            <w:r w:rsidRPr="000C156A">
              <w:rPr>
                <w:rFonts w:cs="Calibri" w:hint="eastAsia"/>
                <w:szCs w:val="22"/>
                <w:lang w:val="fr-CH" w:eastAsia="zh-CN"/>
              </w:rPr>
              <w:t>非兑换交易</w:t>
            </w:r>
            <w:r w:rsidRPr="000C156A">
              <w:rPr>
                <w:rFonts w:cs="Calibri" w:hint="eastAsia"/>
                <w:szCs w:val="22"/>
                <w:lang w:eastAsia="zh-CN"/>
              </w:rPr>
              <w:t>：</w:t>
            </w:r>
            <w:r w:rsidRPr="000C156A">
              <w:rPr>
                <w:rFonts w:cs="Calibri" w:hint="eastAsia"/>
                <w:szCs w:val="22"/>
                <w:lang w:val="fr-CH" w:eastAsia="zh-CN"/>
              </w:rPr>
              <w:t>损失准备金</w:t>
            </w:r>
          </w:p>
        </w:tc>
        <w:tc>
          <w:tcPr>
            <w:tcW w:w="2133" w:type="dxa"/>
            <w:tcBorders>
              <w:top w:val="nil"/>
              <w:left w:val="single" w:sz="4" w:space="0" w:color="auto"/>
              <w:bottom w:val="nil"/>
              <w:right w:val="single" w:sz="4" w:space="0" w:color="auto"/>
            </w:tcBorders>
            <w:shd w:val="clear" w:color="auto" w:fill="auto"/>
            <w:noWrap/>
            <w:vAlign w:val="bottom"/>
          </w:tcPr>
          <w:p w14:paraId="3E40CB8E" w14:textId="3DEC0A85"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5 967</w:t>
            </w:r>
            <w:r w:rsidRPr="00C22889">
              <w:rPr>
                <w:rFonts w:asciiTheme="minorHAnsi" w:hAnsiTheme="minorHAnsi" w:cs="Arial"/>
                <w:color w:val="000000"/>
                <w:sz w:val="22"/>
                <w:szCs w:val="22"/>
                <w:lang w:val="en-US" w:eastAsia="zh-CN"/>
              </w:rPr>
              <w:t xml:space="preserve"> </w:t>
            </w:r>
          </w:p>
        </w:tc>
        <w:tc>
          <w:tcPr>
            <w:tcW w:w="1800" w:type="dxa"/>
            <w:tcBorders>
              <w:top w:val="nil"/>
              <w:left w:val="nil"/>
              <w:bottom w:val="nil"/>
              <w:right w:val="single" w:sz="4" w:space="0" w:color="auto"/>
            </w:tcBorders>
            <w:shd w:val="clear" w:color="auto" w:fill="auto"/>
            <w:noWrap/>
            <w:vAlign w:val="bottom"/>
            <w:hideMark/>
          </w:tcPr>
          <w:p w14:paraId="56CDDFD3" w14:textId="1577BD93"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-6 479</w:t>
            </w:r>
          </w:p>
        </w:tc>
      </w:tr>
      <w:tr w:rsidR="00B627CD" w:rsidRPr="000C156A" w14:paraId="5EA8AEA9" w14:textId="77777777" w:rsidTr="003A64C9">
        <w:trPr>
          <w:jc w:val="center"/>
        </w:trPr>
        <w:tc>
          <w:tcPr>
            <w:tcW w:w="5641" w:type="dxa"/>
            <w:tcBorders>
              <w:top w:val="nil"/>
              <w:left w:val="single" w:sz="4" w:space="0" w:color="auto"/>
              <w:bottom w:val="single" w:sz="4" w:space="0" w:color="auto"/>
              <w:right w:val="single" w:sz="4" w:space="0" w:color="auto"/>
            </w:tcBorders>
            <w:noWrap/>
            <w:vAlign w:val="center"/>
          </w:tcPr>
          <w:p w14:paraId="1C49EC55" w14:textId="77777777" w:rsidR="00B627CD" w:rsidRPr="000C156A" w:rsidRDefault="00B627CD" w:rsidP="00B627CD">
            <w:pPr>
              <w:pStyle w:val="Tabletext"/>
              <w:spacing w:before="0" w:after="0"/>
              <w:rPr>
                <w:rFonts w:cs="Calibri"/>
                <w:szCs w:val="22"/>
                <w:lang w:val="en-US" w:eastAsia="zh-CN"/>
              </w:rPr>
            </w:pPr>
          </w:p>
        </w:tc>
        <w:tc>
          <w:tcPr>
            <w:tcW w:w="2133" w:type="dxa"/>
            <w:tcBorders>
              <w:top w:val="nil"/>
              <w:left w:val="single" w:sz="4" w:space="0" w:color="auto"/>
              <w:bottom w:val="nil"/>
              <w:right w:val="single" w:sz="4" w:space="0" w:color="auto"/>
            </w:tcBorders>
            <w:shd w:val="clear" w:color="auto" w:fill="auto"/>
            <w:noWrap/>
            <w:vAlign w:val="bottom"/>
          </w:tcPr>
          <w:p w14:paraId="5AFC441B" w14:textId="7164133A"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1800" w:type="dxa"/>
            <w:tcBorders>
              <w:top w:val="nil"/>
              <w:left w:val="nil"/>
              <w:bottom w:val="nil"/>
              <w:right w:val="single" w:sz="4" w:space="0" w:color="auto"/>
            </w:tcBorders>
            <w:shd w:val="clear" w:color="auto" w:fill="auto"/>
            <w:noWrap/>
            <w:vAlign w:val="bottom"/>
          </w:tcPr>
          <w:p w14:paraId="1ACDA7BD" w14:textId="669AB661" w:rsidR="00B627CD" w:rsidRPr="000C156A" w:rsidRDefault="00B627CD" w:rsidP="00B627CD">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 </w:t>
            </w:r>
          </w:p>
        </w:tc>
      </w:tr>
      <w:tr w:rsidR="00B627CD" w:rsidRPr="000C156A" w14:paraId="6A763E18" w14:textId="77777777" w:rsidTr="00DC2816">
        <w:trPr>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14:paraId="084181A8" w14:textId="77777777" w:rsidR="00B627CD" w:rsidRPr="000C156A" w:rsidRDefault="00B627CD" w:rsidP="00B627CD">
            <w:pPr>
              <w:pStyle w:val="Tablehead"/>
              <w:keepLines/>
              <w:spacing w:before="40" w:after="40"/>
              <w:jc w:val="left"/>
              <w:rPr>
                <w:rFonts w:cs="Calibri"/>
                <w:b w:val="0"/>
                <w:szCs w:val="22"/>
                <w:lang w:eastAsia="zh-CN"/>
              </w:rPr>
            </w:pPr>
            <w:r w:rsidRPr="000C156A">
              <w:rPr>
                <w:rFonts w:cs="Calibri" w:hint="eastAsia"/>
                <w:bCs/>
                <w:szCs w:val="22"/>
                <w:lang w:val="fr-CH" w:eastAsia="zh-CN"/>
              </w:rPr>
              <w:t>非当期应收款项</w:t>
            </w:r>
            <w:r w:rsidRPr="000C156A">
              <w:rPr>
                <w:rFonts w:cs="Calibri"/>
                <w:bCs/>
                <w:szCs w:val="22"/>
                <w:lang w:val="en-US" w:eastAsia="zh-CN"/>
              </w:rPr>
              <w:t> </w:t>
            </w:r>
            <w:r w:rsidRPr="000C156A">
              <w:rPr>
                <w:rFonts w:cs="Calibri"/>
                <w:szCs w:val="22"/>
                <w:lang w:val="en-US" w:eastAsia="zh-CN"/>
              </w:rPr>
              <w:t>– </w:t>
            </w:r>
            <w:r w:rsidRPr="000C156A">
              <w:rPr>
                <w:rFonts w:cs="Calibri" w:hint="eastAsia"/>
                <w:bCs/>
                <w:szCs w:val="22"/>
                <w:lang w:val="fr-CH" w:eastAsia="zh-CN"/>
              </w:rPr>
              <w:t>非兑换交易</w:t>
            </w:r>
            <w:r w:rsidRPr="000C156A">
              <w:rPr>
                <w:rFonts w:cs="Calibri" w:hint="eastAsia"/>
                <w:bCs/>
                <w:szCs w:val="22"/>
                <w:lang w:eastAsia="zh-CN"/>
              </w:rPr>
              <w:t>：</w:t>
            </w:r>
            <w:r w:rsidRPr="000C156A">
              <w:rPr>
                <w:rFonts w:cs="Calibri" w:hint="eastAsia"/>
                <w:bCs/>
                <w:szCs w:val="22"/>
                <w:lang w:val="fr-CH" w:eastAsia="zh-CN"/>
              </w:rPr>
              <w:t>净值</w:t>
            </w: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7D1F6" w14:textId="3E727A87" w:rsidR="00B627CD" w:rsidRPr="000C156A" w:rsidRDefault="00B627CD" w:rsidP="00B627CD">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C22889">
              <w:rPr>
                <w:rFonts w:asciiTheme="minorHAnsi" w:hAnsiTheme="minorHAnsi" w:cs="Arial"/>
                <w:b/>
                <w:bCs/>
                <w:color w:val="000000"/>
                <w:sz w:val="22"/>
                <w:szCs w:val="22"/>
                <w:lang w:val="en-US" w:eastAsia="zh-CN"/>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0DEB298" w14:textId="16FBC8E6" w:rsidR="00B627CD" w:rsidRPr="000C156A" w:rsidRDefault="00B627CD" w:rsidP="00B627CD">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 xml:space="preserve">-   </w:t>
            </w:r>
          </w:p>
        </w:tc>
      </w:tr>
    </w:tbl>
    <w:p w14:paraId="5539067E" w14:textId="77777777" w:rsidR="0085433F" w:rsidRPr="000C156A" w:rsidRDefault="0085433F" w:rsidP="0085433F">
      <w:pPr>
        <w:pStyle w:val="Heading1"/>
        <w:rPr>
          <w:rFonts w:cs="Microsoft YaHei"/>
          <w:sz w:val="24"/>
          <w:szCs w:val="24"/>
          <w:lang w:val="fr-FR"/>
        </w:rPr>
      </w:pPr>
      <w:bookmarkStart w:id="647" w:name="_Toc482870833"/>
      <w:bookmarkStart w:id="648" w:name="_Toc482892568"/>
      <w:bookmarkStart w:id="649" w:name="_Toc511813751"/>
      <w:bookmarkStart w:id="650" w:name="_Toc511817834"/>
      <w:bookmarkStart w:id="651" w:name="_Toc520280734"/>
      <w:bookmarkStart w:id="652" w:name="_Toc10536829"/>
      <w:bookmarkStart w:id="653" w:name="_Toc41905870"/>
      <w:bookmarkStart w:id="654" w:name="_Toc41906899"/>
      <w:bookmarkStart w:id="655" w:name="_Toc41907980"/>
      <w:bookmarkStart w:id="656" w:name="_Toc41908048"/>
      <w:bookmarkStart w:id="657" w:name="_Toc73518686"/>
      <w:bookmarkStart w:id="658" w:name="_Toc73518833"/>
      <w:bookmarkStart w:id="659" w:name="_Toc73519233"/>
      <w:bookmarkStart w:id="660" w:name="_Toc110263996"/>
      <w:bookmarkStart w:id="661" w:name="_Toc110264075"/>
      <w:bookmarkStart w:id="662" w:name="_Toc110265714"/>
      <w:bookmarkStart w:id="663" w:name="_Toc110330084"/>
      <w:bookmarkStart w:id="664" w:name="_Toc110330249"/>
      <w:r w:rsidRPr="000C156A">
        <w:rPr>
          <w:rFonts w:cs="Microsoft YaHei" w:hint="eastAsia"/>
          <w:sz w:val="24"/>
          <w:szCs w:val="24"/>
          <w:lang w:val="fr-FR"/>
        </w:rPr>
        <w:t>说明</w:t>
      </w:r>
      <w:r w:rsidRPr="000C156A">
        <w:rPr>
          <w:rFonts w:cs="Microsoft YaHei"/>
          <w:sz w:val="24"/>
          <w:szCs w:val="24"/>
          <w:lang w:val="fr-FR"/>
        </w:rPr>
        <w:t>9</w:t>
      </w:r>
      <w:r w:rsidRPr="000C156A">
        <w:rPr>
          <w:rFonts w:cs="Microsoft YaHei"/>
          <w:sz w:val="24"/>
          <w:szCs w:val="24"/>
          <w:lang w:val="fr-FR"/>
        </w:rPr>
        <w:tab/>
      </w:r>
      <w:r w:rsidRPr="000C156A">
        <w:rPr>
          <w:rFonts w:cs="Microsoft YaHei" w:hint="eastAsia"/>
          <w:sz w:val="24"/>
          <w:szCs w:val="24"/>
          <w:lang w:val="fr-FR"/>
        </w:rPr>
        <w:t>库存</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07BAFF92" w14:textId="77777777" w:rsidR="0085433F" w:rsidRPr="000C156A" w:rsidRDefault="0085433F" w:rsidP="0085433F">
      <w:pPr>
        <w:spacing w:after="120"/>
        <w:ind w:firstLineChars="200" w:firstLine="480"/>
        <w:rPr>
          <w:lang w:eastAsia="zh-CN"/>
        </w:rPr>
      </w:pPr>
      <w:r w:rsidRPr="000C156A">
        <w:rPr>
          <w:rFonts w:hint="eastAsia"/>
          <w:lang w:eastAsia="zh-CN"/>
        </w:rPr>
        <w:t>出版物包括销售出版物和免费提供的出版物。办公用品包括印制国际电联出版物所用的纸张、用品和材料（</w:t>
      </w:r>
      <w:r w:rsidRPr="000C156A">
        <w:rPr>
          <w:lang w:eastAsia="zh-CN"/>
        </w:rPr>
        <w:t>stores</w:t>
      </w:r>
      <w:r w:rsidRPr="000C156A">
        <w:rPr>
          <w:rFonts w:hint="eastAsia"/>
          <w:lang w:eastAsia="zh-CN"/>
        </w:rPr>
        <w:t>）科处理的物品以及各种消耗品。</w:t>
      </w:r>
      <w:bookmarkStart w:id="665" w:name="_Toc329165785"/>
    </w:p>
    <w:p w14:paraId="2BEB37D1" w14:textId="77777777" w:rsidR="0085433F" w:rsidRPr="000C156A" w:rsidRDefault="0085433F" w:rsidP="0085433F">
      <w:pPr>
        <w:spacing w:after="120"/>
        <w:ind w:firstLineChars="200" w:firstLine="480"/>
        <w:rPr>
          <w:lang w:eastAsia="zh-CN"/>
        </w:rPr>
      </w:pPr>
      <w:r w:rsidRPr="000C156A">
        <w:rPr>
          <w:rFonts w:hint="eastAsia"/>
          <w:lang w:eastAsia="zh-CN"/>
        </w:rPr>
        <w:t>为了工作人员的安全，对国际电联办公场所进行实物盘存和资产核查计数的实际访问受到限制。采用了替代核查方法，因此所述限制没有影响财务报表中的数字。</w:t>
      </w:r>
    </w:p>
    <w:tbl>
      <w:tblPr>
        <w:tblW w:w="9545"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23"/>
        <w:gridCol w:w="2127"/>
        <w:gridCol w:w="1795"/>
      </w:tblGrid>
      <w:tr w:rsidR="0085433F" w:rsidRPr="00B627CD" w14:paraId="4BB8FACF" w14:textId="77777777" w:rsidTr="003A64C9">
        <w:trPr>
          <w:jc w:val="center"/>
        </w:trPr>
        <w:tc>
          <w:tcPr>
            <w:tcW w:w="5623" w:type="dxa"/>
            <w:tcBorders>
              <w:bottom w:val="single" w:sz="4" w:space="0" w:color="000000"/>
            </w:tcBorders>
            <w:noWrap/>
            <w:vAlign w:val="center"/>
            <w:hideMark/>
          </w:tcPr>
          <w:p w14:paraId="79C9141B" w14:textId="77777777" w:rsidR="0085433F" w:rsidRPr="00B627CD" w:rsidRDefault="0085433F" w:rsidP="00DE55DC">
            <w:pPr>
              <w:pStyle w:val="Tablehead"/>
              <w:keepLines/>
              <w:jc w:val="left"/>
              <w:rPr>
                <w:rFonts w:cs="Calibri"/>
                <w:szCs w:val="22"/>
                <w:lang w:val="en-US" w:eastAsia="zh-CN"/>
              </w:rPr>
            </w:pPr>
            <w:r w:rsidRPr="00B627CD">
              <w:rPr>
                <w:rFonts w:cs="Calibri" w:hint="eastAsia"/>
                <w:szCs w:val="22"/>
                <w:lang w:val="en-US" w:eastAsia="zh-CN"/>
              </w:rPr>
              <w:t>单位：千瑞郎</w:t>
            </w:r>
          </w:p>
        </w:tc>
        <w:tc>
          <w:tcPr>
            <w:tcW w:w="2127" w:type="dxa"/>
            <w:tcBorders>
              <w:bottom w:val="single" w:sz="4" w:space="0" w:color="000000"/>
            </w:tcBorders>
            <w:noWrap/>
            <w:vAlign w:val="center"/>
            <w:hideMark/>
          </w:tcPr>
          <w:p w14:paraId="32153F14" w14:textId="53CB32C9" w:rsidR="0085433F" w:rsidRPr="00B627CD" w:rsidRDefault="0085433F" w:rsidP="00DE55DC">
            <w:pPr>
              <w:pStyle w:val="Tablehead"/>
              <w:keepLines/>
              <w:rPr>
                <w:rFonts w:cs="Calibri"/>
                <w:szCs w:val="22"/>
                <w:lang w:val="en-US" w:eastAsia="zh-CN"/>
              </w:rPr>
            </w:pPr>
            <w:r w:rsidRPr="00B627CD">
              <w:rPr>
                <w:rFonts w:cs="Calibri"/>
                <w:szCs w:val="22"/>
                <w:lang w:val="en-US" w:eastAsia="zh-CN"/>
              </w:rPr>
              <w:t>20</w:t>
            </w:r>
            <w:r w:rsidRPr="00B627CD">
              <w:rPr>
                <w:rFonts w:cs="Calibri" w:hint="eastAsia"/>
                <w:szCs w:val="22"/>
                <w:lang w:val="en-US" w:eastAsia="zh-CN"/>
              </w:rPr>
              <w:t>2</w:t>
            </w:r>
            <w:r w:rsidR="00B627CD" w:rsidRPr="00B627CD">
              <w:rPr>
                <w:rFonts w:cs="Calibri"/>
                <w:szCs w:val="22"/>
                <w:lang w:val="en-US" w:eastAsia="zh-CN"/>
              </w:rPr>
              <w:t>1</w:t>
            </w:r>
            <w:r w:rsidRPr="00B627CD">
              <w:rPr>
                <w:rFonts w:cs="Calibri" w:hint="eastAsia"/>
                <w:szCs w:val="22"/>
                <w:lang w:val="en-US" w:eastAsia="zh-CN"/>
              </w:rPr>
              <w:t>年</w:t>
            </w:r>
            <w:r w:rsidRPr="00B627CD">
              <w:rPr>
                <w:rFonts w:cs="Calibri"/>
                <w:szCs w:val="22"/>
                <w:lang w:val="en-US" w:eastAsia="zh-CN"/>
              </w:rPr>
              <w:t>12</w:t>
            </w:r>
            <w:r w:rsidRPr="00B627CD">
              <w:rPr>
                <w:rFonts w:cs="Calibri" w:hint="eastAsia"/>
                <w:szCs w:val="22"/>
                <w:lang w:val="en-US" w:eastAsia="zh-CN"/>
              </w:rPr>
              <w:t>月</w:t>
            </w:r>
            <w:r w:rsidRPr="00B627CD">
              <w:rPr>
                <w:rFonts w:cs="Calibri"/>
                <w:szCs w:val="22"/>
                <w:lang w:val="en-US" w:eastAsia="zh-CN"/>
              </w:rPr>
              <w:t>31</w:t>
            </w:r>
            <w:r w:rsidRPr="00B627CD">
              <w:rPr>
                <w:rFonts w:cs="Calibri" w:hint="eastAsia"/>
                <w:szCs w:val="22"/>
                <w:lang w:val="en-US" w:eastAsia="zh-CN"/>
              </w:rPr>
              <w:t>日</w:t>
            </w:r>
          </w:p>
        </w:tc>
        <w:tc>
          <w:tcPr>
            <w:tcW w:w="1795" w:type="dxa"/>
            <w:tcBorders>
              <w:bottom w:val="single" w:sz="4" w:space="0" w:color="000000"/>
            </w:tcBorders>
            <w:vAlign w:val="center"/>
            <w:hideMark/>
          </w:tcPr>
          <w:p w14:paraId="7421B210" w14:textId="371D005F" w:rsidR="0085433F" w:rsidRPr="00B627CD" w:rsidRDefault="0085433F" w:rsidP="00DE55DC">
            <w:pPr>
              <w:pStyle w:val="Tablehead"/>
              <w:keepLines/>
              <w:rPr>
                <w:rFonts w:cs="Calibri"/>
                <w:szCs w:val="22"/>
                <w:lang w:val="en-US" w:eastAsia="zh-CN"/>
              </w:rPr>
            </w:pPr>
            <w:r w:rsidRPr="00B627CD">
              <w:rPr>
                <w:rFonts w:cs="Calibri"/>
                <w:szCs w:val="22"/>
                <w:lang w:val="en-US" w:eastAsia="zh-CN"/>
              </w:rPr>
              <w:t>20</w:t>
            </w:r>
            <w:r w:rsidR="00B627CD" w:rsidRPr="00B627CD">
              <w:rPr>
                <w:rFonts w:cs="Calibri"/>
                <w:szCs w:val="22"/>
                <w:lang w:val="en-US" w:eastAsia="zh-CN"/>
              </w:rPr>
              <w:t>20</w:t>
            </w:r>
            <w:r w:rsidRPr="00B627CD">
              <w:rPr>
                <w:rFonts w:cs="Calibri" w:hint="eastAsia"/>
                <w:szCs w:val="22"/>
                <w:lang w:val="en-US" w:eastAsia="zh-CN"/>
              </w:rPr>
              <w:t>年</w:t>
            </w:r>
            <w:r w:rsidRPr="00B627CD">
              <w:rPr>
                <w:rFonts w:cs="Calibri"/>
                <w:szCs w:val="22"/>
                <w:lang w:val="en-US" w:eastAsia="zh-CN"/>
              </w:rPr>
              <w:t>12</w:t>
            </w:r>
            <w:r w:rsidRPr="00B627CD">
              <w:rPr>
                <w:rFonts w:cs="Calibri" w:hint="eastAsia"/>
                <w:szCs w:val="22"/>
                <w:lang w:val="en-US" w:eastAsia="zh-CN"/>
              </w:rPr>
              <w:t>月</w:t>
            </w:r>
            <w:r w:rsidRPr="00B627CD">
              <w:rPr>
                <w:rFonts w:cs="Calibri"/>
                <w:szCs w:val="22"/>
                <w:lang w:val="en-US" w:eastAsia="zh-CN"/>
              </w:rPr>
              <w:t>31</w:t>
            </w:r>
            <w:r w:rsidRPr="00B627CD">
              <w:rPr>
                <w:rFonts w:cs="Calibri" w:hint="eastAsia"/>
                <w:szCs w:val="22"/>
                <w:lang w:val="en-US" w:eastAsia="zh-CN"/>
              </w:rPr>
              <w:t>日</w:t>
            </w:r>
          </w:p>
        </w:tc>
      </w:tr>
      <w:tr w:rsidR="0085433F" w:rsidRPr="00B627CD" w14:paraId="768DE889" w14:textId="77777777" w:rsidTr="003A64C9">
        <w:trPr>
          <w:trHeight w:val="297"/>
          <w:jc w:val="center"/>
        </w:trPr>
        <w:tc>
          <w:tcPr>
            <w:tcW w:w="5623" w:type="dxa"/>
            <w:tcBorders>
              <w:top w:val="single" w:sz="4" w:space="0" w:color="000000"/>
            </w:tcBorders>
            <w:noWrap/>
            <w:vAlign w:val="center"/>
          </w:tcPr>
          <w:p w14:paraId="127ABFBA" w14:textId="77777777" w:rsidR="0085433F" w:rsidRPr="00B627CD" w:rsidRDefault="0085433F" w:rsidP="00DE55DC">
            <w:pPr>
              <w:pStyle w:val="Tabletext"/>
              <w:keepNext/>
              <w:keepLines/>
              <w:rPr>
                <w:rFonts w:cs="Calibri"/>
                <w:szCs w:val="22"/>
                <w:lang w:val="en-US" w:eastAsia="zh-CN"/>
              </w:rPr>
            </w:pPr>
          </w:p>
        </w:tc>
        <w:tc>
          <w:tcPr>
            <w:tcW w:w="2127" w:type="dxa"/>
            <w:tcBorders>
              <w:top w:val="single" w:sz="4" w:space="0" w:color="000000"/>
            </w:tcBorders>
            <w:noWrap/>
            <w:vAlign w:val="bottom"/>
          </w:tcPr>
          <w:p w14:paraId="0A1A04F6" w14:textId="77777777" w:rsidR="0085433F" w:rsidRPr="00B627CD" w:rsidRDefault="0085433F" w:rsidP="00DE55DC">
            <w:pPr>
              <w:keepNext/>
              <w:keepLines/>
              <w:overflowPunct/>
              <w:autoSpaceDE/>
              <w:autoSpaceDN/>
              <w:adjustRightInd/>
              <w:spacing w:before="0"/>
              <w:textAlignment w:val="auto"/>
              <w:rPr>
                <w:rFonts w:cs="Calibri"/>
                <w:color w:val="000000"/>
                <w:sz w:val="22"/>
                <w:szCs w:val="22"/>
                <w:lang w:val="en-US" w:eastAsia="zh-CN"/>
              </w:rPr>
            </w:pPr>
            <w:r w:rsidRPr="00B627CD">
              <w:rPr>
                <w:rFonts w:cs="Calibri"/>
                <w:color w:val="000000"/>
                <w:sz w:val="22"/>
                <w:szCs w:val="22"/>
                <w:lang w:val="en-US" w:eastAsia="zh-CN"/>
              </w:rPr>
              <w:t> </w:t>
            </w:r>
          </w:p>
        </w:tc>
        <w:tc>
          <w:tcPr>
            <w:tcW w:w="1795" w:type="dxa"/>
            <w:tcBorders>
              <w:top w:val="single" w:sz="4" w:space="0" w:color="000000"/>
            </w:tcBorders>
            <w:vAlign w:val="bottom"/>
          </w:tcPr>
          <w:p w14:paraId="233D024C" w14:textId="77777777" w:rsidR="0085433F" w:rsidRPr="00B627CD" w:rsidRDefault="0085433F" w:rsidP="00DE55DC">
            <w:pPr>
              <w:keepNext/>
              <w:keepLines/>
              <w:overflowPunct/>
              <w:autoSpaceDE/>
              <w:autoSpaceDN/>
              <w:adjustRightInd/>
              <w:spacing w:before="0"/>
              <w:textAlignment w:val="auto"/>
              <w:rPr>
                <w:rFonts w:cs="Calibri"/>
                <w:color w:val="000000"/>
                <w:sz w:val="22"/>
                <w:szCs w:val="22"/>
                <w:lang w:val="en-US" w:eastAsia="zh-CN"/>
              </w:rPr>
            </w:pPr>
            <w:r w:rsidRPr="00B627CD">
              <w:rPr>
                <w:rFonts w:cs="Calibri"/>
                <w:color w:val="000000"/>
                <w:sz w:val="22"/>
                <w:szCs w:val="22"/>
                <w:lang w:val="en-US" w:eastAsia="zh-CN"/>
              </w:rPr>
              <w:t> </w:t>
            </w:r>
          </w:p>
        </w:tc>
      </w:tr>
      <w:tr w:rsidR="00B627CD" w:rsidRPr="00B627CD" w14:paraId="3FE9980C" w14:textId="77777777" w:rsidTr="003A64C9">
        <w:trPr>
          <w:jc w:val="center"/>
        </w:trPr>
        <w:tc>
          <w:tcPr>
            <w:tcW w:w="5623" w:type="dxa"/>
            <w:noWrap/>
            <w:vAlign w:val="bottom"/>
            <w:hideMark/>
          </w:tcPr>
          <w:p w14:paraId="3D1EC22F" w14:textId="77777777" w:rsidR="00B627CD" w:rsidRPr="00B627CD" w:rsidRDefault="00B627CD" w:rsidP="00DE55DC">
            <w:pPr>
              <w:pStyle w:val="Tabletext"/>
              <w:keepNext/>
              <w:keepLines/>
              <w:rPr>
                <w:rFonts w:cs="Calibri"/>
                <w:bCs/>
                <w:szCs w:val="22"/>
                <w:lang w:val="en-US" w:eastAsia="zh-CN"/>
              </w:rPr>
            </w:pPr>
            <w:r w:rsidRPr="00B627CD">
              <w:rPr>
                <w:rFonts w:cs="Calibri" w:hint="eastAsia"/>
                <w:color w:val="000000"/>
                <w:szCs w:val="22"/>
                <w:lang w:val="en-US" w:eastAsia="zh-CN"/>
              </w:rPr>
              <w:t>出版物</w:t>
            </w:r>
            <w:r w:rsidRPr="00B627CD">
              <w:rPr>
                <w:rFonts w:cs="Calibri"/>
                <w:color w:val="000000"/>
                <w:szCs w:val="22"/>
                <w:lang w:val="en-US" w:eastAsia="zh-CN"/>
              </w:rPr>
              <w:t> – </w:t>
            </w:r>
            <w:r w:rsidRPr="00B627CD">
              <w:rPr>
                <w:rFonts w:cs="Calibri" w:hint="eastAsia"/>
                <w:color w:val="000000"/>
                <w:szCs w:val="22"/>
                <w:lang w:val="en-US" w:eastAsia="zh-CN"/>
              </w:rPr>
              <w:t>毛值</w:t>
            </w:r>
          </w:p>
        </w:tc>
        <w:tc>
          <w:tcPr>
            <w:tcW w:w="2127" w:type="dxa"/>
            <w:shd w:val="clear" w:color="auto" w:fill="auto"/>
            <w:noWrap/>
            <w:vAlign w:val="bottom"/>
            <w:hideMark/>
          </w:tcPr>
          <w:p w14:paraId="600C6D00" w14:textId="159925ED"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rPr>
              <w:t>219</w:t>
            </w:r>
          </w:p>
        </w:tc>
        <w:tc>
          <w:tcPr>
            <w:tcW w:w="1795" w:type="dxa"/>
            <w:shd w:val="clear" w:color="auto" w:fill="auto"/>
            <w:noWrap/>
            <w:vAlign w:val="bottom"/>
            <w:hideMark/>
          </w:tcPr>
          <w:p w14:paraId="57BE705E" w14:textId="433AAE44"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lang w:val="en-US" w:eastAsia="zh-CN"/>
              </w:rPr>
              <w:t>345</w:t>
            </w:r>
          </w:p>
        </w:tc>
      </w:tr>
      <w:tr w:rsidR="00B627CD" w:rsidRPr="00B627CD" w14:paraId="44F86A01" w14:textId="77777777" w:rsidTr="003A64C9">
        <w:trPr>
          <w:trHeight w:val="221"/>
          <w:jc w:val="center"/>
        </w:trPr>
        <w:tc>
          <w:tcPr>
            <w:tcW w:w="5623" w:type="dxa"/>
            <w:tcBorders>
              <w:bottom w:val="single" w:sz="8" w:space="0" w:color="000000"/>
            </w:tcBorders>
            <w:noWrap/>
            <w:vAlign w:val="bottom"/>
            <w:hideMark/>
          </w:tcPr>
          <w:p w14:paraId="7F7ACC49" w14:textId="77777777" w:rsidR="00B627CD" w:rsidRPr="00B627CD" w:rsidRDefault="00B627CD" w:rsidP="00DE55DC">
            <w:pPr>
              <w:pStyle w:val="Tabletext"/>
              <w:keepNext/>
              <w:keepLines/>
              <w:rPr>
                <w:rFonts w:cs="Calibri"/>
                <w:color w:val="000000"/>
                <w:szCs w:val="22"/>
                <w:lang w:val="en-US" w:eastAsia="zh-CN"/>
              </w:rPr>
            </w:pPr>
            <w:r w:rsidRPr="00B627CD">
              <w:rPr>
                <w:rFonts w:cs="Calibri" w:hint="eastAsia"/>
                <w:color w:val="000000"/>
                <w:szCs w:val="22"/>
                <w:lang w:val="en-US" w:eastAsia="zh-CN"/>
              </w:rPr>
              <w:t>折旧</w:t>
            </w:r>
          </w:p>
        </w:tc>
        <w:tc>
          <w:tcPr>
            <w:tcW w:w="2127" w:type="dxa"/>
            <w:tcBorders>
              <w:bottom w:val="single" w:sz="8" w:space="0" w:color="000000"/>
            </w:tcBorders>
            <w:shd w:val="clear" w:color="auto" w:fill="auto"/>
            <w:noWrap/>
            <w:vAlign w:val="bottom"/>
            <w:hideMark/>
          </w:tcPr>
          <w:p w14:paraId="24FC1B1C" w14:textId="4B3469CA"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rPr>
              <w:t>-78</w:t>
            </w:r>
          </w:p>
        </w:tc>
        <w:tc>
          <w:tcPr>
            <w:tcW w:w="1795" w:type="dxa"/>
            <w:tcBorders>
              <w:bottom w:val="single" w:sz="8" w:space="0" w:color="000000"/>
            </w:tcBorders>
            <w:shd w:val="clear" w:color="auto" w:fill="auto"/>
            <w:noWrap/>
            <w:vAlign w:val="bottom"/>
            <w:hideMark/>
          </w:tcPr>
          <w:p w14:paraId="76A8CE1F" w14:textId="74FF50A2"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lang w:val="en-US" w:eastAsia="zh-CN"/>
              </w:rPr>
              <w:t>-217</w:t>
            </w:r>
          </w:p>
        </w:tc>
      </w:tr>
      <w:tr w:rsidR="00B627CD" w:rsidRPr="00B627CD" w14:paraId="39729748" w14:textId="77777777" w:rsidTr="003A64C9">
        <w:trPr>
          <w:jc w:val="center"/>
        </w:trPr>
        <w:tc>
          <w:tcPr>
            <w:tcW w:w="5623" w:type="dxa"/>
            <w:tcBorders>
              <w:top w:val="single" w:sz="8" w:space="0" w:color="000000"/>
              <w:left w:val="single" w:sz="8" w:space="0" w:color="000000"/>
              <w:bottom w:val="single" w:sz="8" w:space="0" w:color="000000"/>
            </w:tcBorders>
            <w:noWrap/>
            <w:vAlign w:val="bottom"/>
            <w:hideMark/>
          </w:tcPr>
          <w:p w14:paraId="09079430" w14:textId="77777777" w:rsidR="00B627CD" w:rsidRPr="00B627CD" w:rsidRDefault="00B627CD" w:rsidP="00DE55DC">
            <w:pPr>
              <w:pStyle w:val="Tabletext"/>
              <w:keepNext/>
              <w:keepLines/>
              <w:rPr>
                <w:rFonts w:cs="Calibri"/>
                <w:b/>
                <w:bCs/>
                <w:color w:val="000000"/>
                <w:szCs w:val="22"/>
                <w:lang w:val="en-US" w:eastAsia="zh-CN"/>
              </w:rPr>
            </w:pPr>
            <w:r w:rsidRPr="00B627CD">
              <w:rPr>
                <w:rFonts w:cs="Calibri" w:hint="eastAsia"/>
                <w:b/>
                <w:bCs/>
                <w:color w:val="000000"/>
                <w:szCs w:val="22"/>
                <w:lang w:val="en-US" w:eastAsia="zh-CN"/>
              </w:rPr>
              <w:t>出版物</w:t>
            </w:r>
            <w:r w:rsidRPr="00B627CD">
              <w:rPr>
                <w:rFonts w:cs="Calibri" w:hint="eastAsia"/>
                <w:b/>
                <w:bCs/>
                <w:color w:val="000000"/>
                <w:szCs w:val="22"/>
                <w:lang w:val="en-US" w:eastAsia="zh-CN"/>
              </w:rPr>
              <w:t xml:space="preserve"> </w:t>
            </w:r>
            <w:r w:rsidRPr="00B627CD">
              <w:rPr>
                <w:rFonts w:cs="Calibri"/>
                <w:b/>
                <w:bCs/>
                <w:color w:val="000000"/>
                <w:szCs w:val="22"/>
                <w:lang w:val="en-US" w:eastAsia="zh-CN"/>
              </w:rPr>
              <w:t xml:space="preserve">– </w:t>
            </w:r>
            <w:r w:rsidRPr="00B627CD">
              <w:rPr>
                <w:rFonts w:cs="Calibri" w:hint="eastAsia"/>
                <w:b/>
                <w:bCs/>
                <w:color w:val="000000"/>
                <w:szCs w:val="22"/>
                <w:lang w:val="en-US" w:eastAsia="zh-CN"/>
              </w:rPr>
              <w:t>净值</w:t>
            </w:r>
          </w:p>
        </w:tc>
        <w:tc>
          <w:tcPr>
            <w:tcW w:w="2127" w:type="dxa"/>
            <w:tcBorders>
              <w:top w:val="single" w:sz="8" w:space="0" w:color="000000"/>
              <w:bottom w:val="single" w:sz="8" w:space="0" w:color="000000"/>
            </w:tcBorders>
            <w:shd w:val="clear" w:color="auto" w:fill="auto"/>
            <w:noWrap/>
            <w:vAlign w:val="bottom"/>
            <w:hideMark/>
          </w:tcPr>
          <w:p w14:paraId="02CCB787" w14:textId="0BD47863"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rPr>
              <w:t>141</w:t>
            </w:r>
          </w:p>
        </w:tc>
        <w:tc>
          <w:tcPr>
            <w:tcW w:w="1795" w:type="dxa"/>
            <w:tcBorders>
              <w:top w:val="single" w:sz="8" w:space="0" w:color="000000"/>
              <w:bottom w:val="single" w:sz="8" w:space="0" w:color="000000"/>
              <w:right w:val="single" w:sz="8" w:space="0" w:color="000000"/>
            </w:tcBorders>
            <w:shd w:val="clear" w:color="auto" w:fill="auto"/>
            <w:noWrap/>
            <w:vAlign w:val="bottom"/>
            <w:hideMark/>
          </w:tcPr>
          <w:p w14:paraId="02A97177" w14:textId="38DBF4D9"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lang w:val="en-US" w:eastAsia="zh-CN"/>
              </w:rPr>
              <w:t>127</w:t>
            </w:r>
          </w:p>
        </w:tc>
      </w:tr>
      <w:tr w:rsidR="00B627CD" w:rsidRPr="00B627CD" w14:paraId="2D131A78" w14:textId="77777777" w:rsidTr="003A64C9">
        <w:trPr>
          <w:jc w:val="center"/>
        </w:trPr>
        <w:tc>
          <w:tcPr>
            <w:tcW w:w="5623" w:type="dxa"/>
            <w:tcBorders>
              <w:top w:val="single" w:sz="8" w:space="0" w:color="000000"/>
            </w:tcBorders>
            <w:noWrap/>
            <w:vAlign w:val="center"/>
            <w:hideMark/>
          </w:tcPr>
          <w:p w14:paraId="7C2286B4" w14:textId="77777777" w:rsidR="00B627CD" w:rsidRPr="00B627CD" w:rsidRDefault="00B627CD" w:rsidP="00DE55DC">
            <w:pPr>
              <w:pStyle w:val="Tabletext"/>
              <w:keepNext/>
              <w:keepLines/>
              <w:rPr>
                <w:rFonts w:cs="Calibri"/>
                <w:bCs/>
                <w:szCs w:val="22"/>
                <w:lang w:val="en-US" w:eastAsia="zh-CN"/>
              </w:rPr>
            </w:pPr>
            <w:r w:rsidRPr="00B627CD">
              <w:rPr>
                <w:rFonts w:cs="Calibri" w:hint="eastAsia"/>
                <w:color w:val="000000"/>
                <w:szCs w:val="22"/>
                <w:lang w:val="en-US" w:eastAsia="zh-CN"/>
              </w:rPr>
              <w:t>礼品</w:t>
            </w:r>
            <w:r w:rsidRPr="00B627CD">
              <w:rPr>
                <w:rFonts w:cs="Calibri"/>
                <w:color w:val="000000"/>
                <w:szCs w:val="22"/>
                <w:lang w:val="en-US" w:eastAsia="zh-CN"/>
              </w:rPr>
              <w:t> – </w:t>
            </w:r>
            <w:r w:rsidRPr="00B627CD">
              <w:rPr>
                <w:rFonts w:cs="Calibri" w:hint="eastAsia"/>
                <w:color w:val="000000"/>
                <w:szCs w:val="22"/>
                <w:lang w:val="en-US" w:eastAsia="zh-CN"/>
              </w:rPr>
              <w:t>毛值</w:t>
            </w:r>
          </w:p>
        </w:tc>
        <w:tc>
          <w:tcPr>
            <w:tcW w:w="2127" w:type="dxa"/>
            <w:tcBorders>
              <w:top w:val="single" w:sz="8" w:space="0" w:color="000000"/>
            </w:tcBorders>
            <w:shd w:val="clear" w:color="auto" w:fill="auto"/>
            <w:noWrap/>
            <w:vAlign w:val="bottom"/>
            <w:hideMark/>
          </w:tcPr>
          <w:p w14:paraId="5396B2FB" w14:textId="4758B597"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rPr>
              <w:t>71</w:t>
            </w:r>
          </w:p>
        </w:tc>
        <w:tc>
          <w:tcPr>
            <w:tcW w:w="1795" w:type="dxa"/>
            <w:tcBorders>
              <w:top w:val="single" w:sz="8" w:space="0" w:color="000000"/>
            </w:tcBorders>
            <w:shd w:val="clear" w:color="auto" w:fill="auto"/>
            <w:noWrap/>
            <w:vAlign w:val="bottom"/>
            <w:hideMark/>
          </w:tcPr>
          <w:p w14:paraId="575D304F" w14:textId="4ADAD167"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lang w:val="en-US" w:eastAsia="zh-CN"/>
              </w:rPr>
              <w:t>76</w:t>
            </w:r>
          </w:p>
        </w:tc>
      </w:tr>
      <w:tr w:rsidR="00B627CD" w:rsidRPr="00B627CD" w14:paraId="4C65408C" w14:textId="77777777" w:rsidTr="003A64C9">
        <w:trPr>
          <w:jc w:val="center"/>
        </w:trPr>
        <w:tc>
          <w:tcPr>
            <w:tcW w:w="5623" w:type="dxa"/>
            <w:tcBorders>
              <w:bottom w:val="single" w:sz="8" w:space="0" w:color="000000"/>
            </w:tcBorders>
            <w:noWrap/>
            <w:vAlign w:val="center"/>
            <w:hideMark/>
          </w:tcPr>
          <w:p w14:paraId="50EB4A48" w14:textId="77777777" w:rsidR="00B627CD" w:rsidRPr="00B627CD" w:rsidRDefault="00B627CD" w:rsidP="00DE55DC">
            <w:pPr>
              <w:pStyle w:val="Tabletext"/>
              <w:keepNext/>
              <w:keepLines/>
              <w:rPr>
                <w:rFonts w:cs="Calibri"/>
                <w:color w:val="000000"/>
                <w:szCs w:val="22"/>
                <w:lang w:val="en-US" w:eastAsia="zh-CN"/>
              </w:rPr>
            </w:pPr>
            <w:r w:rsidRPr="00B627CD">
              <w:rPr>
                <w:rFonts w:cs="Calibri" w:hint="eastAsia"/>
                <w:color w:val="000000"/>
                <w:szCs w:val="22"/>
                <w:lang w:val="en-US" w:eastAsia="zh-CN"/>
              </w:rPr>
              <w:t>折旧</w:t>
            </w:r>
          </w:p>
        </w:tc>
        <w:tc>
          <w:tcPr>
            <w:tcW w:w="2127" w:type="dxa"/>
            <w:tcBorders>
              <w:bottom w:val="single" w:sz="8" w:space="0" w:color="000000"/>
            </w:tcBorders>
            <w:shd w:val="clear" w:color="auto" w:fill="auto"/>
            <w:noWrap/>
            <w:vAlign w:val="bottom"/>
            <w:hideMark/>
          </w:tcPr>
          <w:p w14:paraId="6D8D7A14" w14:textId="671221DF"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rPr>
              <w:t>-49</w:t>
            </w:r>
          </w:p>
        </w:tc>
        <w:tc>
          <w:tcPr>
            <w:tcW w:w="1795" w:type="dxa"/>
            <w:tcBorders>
              <w:bottom w:val="single" w:sz="8" w:space="0" w:color="000000"/>
            </w:tcBorders>
            <w:shd w:val="clear" w:color="auto" w:fill="auto"/>
            <w:noWrap/>
            <w:vAlign w:val="bottom"/>
            <w:hideMark/>
          </w:tcPr>
          <w:p w14:paraId="67914DDF" w14:textId="4C4D6496"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lang w:val="en-US" w:eastAsia="zh-CN"/>
              </w:rPr>
              <w:t>-38</w:t>
            </w:r>
          </w:p>
        </w:tc>
      </w:tr>
      <w:tr w:rsidR="00B627CD" w:rsidRPr="00B627CD" w14:paraId="41BCCCF5" w14:textId="77777777" w:rsidTr="003A64C9">
        <w:trPr>
          <w:jc w:val="center"/>
        </w:trPr>
        <w:tc>
          <w:tcPr>
            <w:tcW w:w="5623" w:type="dxa"/>
            <w:tcBorders>
              <w:top w:val="single" w:sz="8" w:space="0" w:color="000000"/>
              <w:left w:val="single" w:sz="8" w:space="0" w:color="000000"/>
              <w:bottom w:val="single" w:sz="8" w:space="0" w:color="000000"/>
            </w:tcBorders>
            <w:noWrap/>
            <w:vAlign w:val="center"/>
            <w:hideMark/>
          </w:tcPr>
          <w:p w14:paraId="636A2136" w14:textId="77777777" w:rsidR="00B627CD" w:rsidRPr="00B627CD" w:rsidRDefault="00B627CD" w:rsidP="00DE55DC">
            <w:pPr>
              <w:pStyle w:val="Tabletext"/>
              <w:keepNext/>
              <w:keepLines/>
              <w:rPr>
                <w:rFonts w:cs="Calibri"/>
                <w:b/>
                <w:bCs/>
                <w:color w:val="000000"/>
                <w:szCs w:val="22"/>
                <w:lang w:val="en-US" w:eastAsia="zh-CN"/>
              </w:rPr>
            </w:pPr>
            <w:r w:rsidRPr="00B627CD">
              <w:rPr>
                <w:rFonts w:cs="Calibri" w:hint="eastAsia"/>
                <w:b/>
                <w:bCs/>
                <w:color w:val="000000"/>
                <w:szCs w:val="22"/>
                <w:lang w:val="en-US" w:eastAsia="zh-CN"/>
              </w:rPr>
              <w:t>礼品</w:t>
            </w:r>
            <w:r w:rsidRPr="00B627CD">
              <w:rPr>
                <w:rFonts w:cs="Calibri" w:hint="eastAsia"/>
                <w:b/>
                <w:bCs/>
                <w:color w:val="000000"/>
                <w:szCs w:val="22"/>
                <w:lang w:val="en-US" w:eastAsia="zh-CN"/>
              </w:rPr>
              <w:t xml:space="preserve"> </w:t>
            </w:r>
            <w:r w:rsidRPr="00B627CD">
              <w:rPr>
                <w:rFonts w:cs="Calibri"/>
                <w:b/>
                <w:bCs/>
                <w:color w:val="000000"/>
                <w:szCs w:val="22"/>
                <w:lang w:val="en-US" w:eastAsia="zh-CN"/>
              </w:rPr>
              <w:t xml:space="preserve">– </w:t>
            </w:r>
            <w:r w:rsidRPr="00B627CD">
              <w:rPr>
                <w:rFonts w:cs="Calibri" w:hint="eastAsia"/>
                <w:b/>
                <w:bCs/>
                <w:color w:val="000000"/>
                <w:szCs w:val="22"/>
                <w:lang w:val="en-US" w:eastAsia="zh-CN"/>
              </w:rPr>
              <w:t>净值</w:t>
            </w:r>
          </w:p>
        </w:tc>
        <w:tc>
          <w:tcPr>
            <w:tcW w:w="2127" w:type="dxa"/>
            <w:tcBorders>
              <w:top w:val="single" w:sz="8" w:space="0" w:color="000000"/>
              <w:bottom w:val="single" w:sz="8" w:space="0" w:color="000000"/>
            </w:tcBorders>
            <w:shd w:val="clear" w:color="auto" w:fill="auto"/>
            <w:noWrap/>
            <w:vAlign w:val="bottom"/>
            <w:hideMark/>
          </w:tcPr>
          <w:p w14:paraId="7988F319" w14:textId="5B71E865"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rPr>
              <w:t>22</w:t>
            </w:r>
          </w:p>
        </w:tc>
        <w:tc>
          <w:tcPr>
            <w:tcW w:w="1795" w:type="dxa"/>
            <w:tcBorders>
              <w:top w:val="single" w:sz="8" w:space="0" w:color="000000"/>
              <w:bottom w:val="single" w:sz="8" w:space="0" w:color="000000"/>
              <w:right w:val="single" w:sz="8" w:space="0" w:color="000000"/>
            </w:tcBorders>
            <w:shd w:val="clear" w:color="auto" w:fill="auto"/>
            <w:noWrap/>
            <w:vAlign w:val="bottom"/>
            <w:hideMark/>
          </w:tcPr>
          <w:p w14:paraId="15E30829" w14:textId="1D16B148"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lang w:val="en-US" w:eastAsia="zh-CN"/>
              </w:rPr>
              <w:t>38</w:t>
            </w:r>
          </w:p>
        </w:tc>
      </w:tr>
      <w:tr w:rsidR="00B627CD" w:rsidRPr="00B627CD" w14:paraId="39C1023E" w14:textId="77777777" w:rsidTr="003A64C9">
        <w:trPr>
          <w:jc w:val="center"/>
        </w:trPr>
        <w:tc>
          <w:tcPr>
            <w:tcW w:w="5623" w:type="dxa"/>
            <w:tcBorders>
              <w:top w:val="single" w:sz="8" w:space="0" w:color="000000"/>
            </w:tcBorders>
            <w:noWrap/>
            <w:vAlign w:val="center"/>
            <w:hideMark/>
          </w:tcPr>
          <w:p w14:paraId="030FB876" w14:textId="77777777" w:rsidR="00B627CD" w:rsidRPr="00B627CD" w:rsidRDefault="00B627CD" w:rsidP="00DE55DC">
            <w:pPr>
              <w:pStyle w:val="Tabletext"/>
              <w:keepNext/>
              <w:keepLines/>
              <w:rPr>
                <w:rFonts w:cs="Calibri"/>
                <w:color w:val="000000"/>
                <w:szCs w:val="22"/>
                <w:lang w:val="en-US"/>
              </w:rPr>
            </w:pPr>
            <w:r w:rsidRPr="00B627CD">
              <w:rPr>
                <w:rFonts w:cs="Calibri" w:hint="eastAsia"/>
                <w:color w:val="000000"/>
                <w:szCs w:val="22"/>
                <w:lang w:val="en-US" w:eastAsia="zh-CN"/>
              </w:rPr>
              <w:t>办</w:t>
            </w:r>
            <w:r w:rsidRPr="00B627CD">
              <w:rPr>
                <w:rFonts w:cs="Calibri" w:hint="eastAsia"/>
                <w:color w:val="000000"/>
                <w:szCs w:val="22"/>
                <w:lang w:val="en-US"/>
              </w:rPr>
              <w:t>公用品</w:t>
            </w:r>
            <w:r w:rsidRPr="00B627CD">
              <w:rPr>
                <w:rFonts w:cs="Calibri"/>
                <w:color w:val="000000"/>
                <w:szCs w:val="22"/>
                <w:lang w:val="en-US"/>
              </w:rPr>
              <w:t> – </w:t>
            </w:r>
            <w:r w:rsidRPr="00B627CD">
              <w:rPr>
                <w:rFonts w:cs="Calibri" w:hint="eastAsia"/>
                <w:color w:val="000000"/>
                <w:szCs w:val="22"/>
                <w:lang w:val="en-US"/>
              </w:rPr>
              <w:t>毛值</w:t>
            </w:r>
          </w:p>
        </w:tc>
        <w:tc>
          <w:tcPr>
            <w:tcW w:w="2127" w:type="dxa"/>
            <w:tcBorders>
              <w:top w:val="single" w:sz="8" w:space="0" w:color="000000"/>
            </w:tcBorders>
            <w:shd w:val="clear" w:color="auto" w:fill="auto"/>
            <w:noWrap/>
            <w:vAlign w:val="bottom"/>
            <w:hideMark/>
          </w:tcPr>
          <w:p w14:paraId="0D243819" w14:textId="1774269C"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rPr>
              <w:t>304</w:t>
            </w:r>
          </w:p>
        </w:tc>
        <w:tc>
          <w:tcPr>
            <w:tcW w:w="1795" w:type="dxa"/>
            <w:tcBorders>
              <w:top w:val="single" w:sz="8" w:space="0" w:color="000000"/>
            </w:tcBorders>
            <w:shd w:val="clear" w:color="auto" w:fill="auto"/>
            <w:noWrap/>
            <w:vAlign w:val="bottom"/>
            <w:hideMark/>
          </w:tcPr>
          <w:p w14:paraId="4188D786" w14:textId="58F4FFFD"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lang w:val="en-US" w:eastAsia="zh-CN"/>
              </w:rPr>
              <w:t>293</w:t>
            </w:r>
          </w:p>
        </w:tc>
      </w:tr>
      <w:tr w:rsidR="00B627CD" w:rsidRPr="00B627CD" w14:paraId="07DF437E" w14:textId="77777777" w:rsidTr="003A64C9">
        <w:trPr>
          <w:jc w:val="center"/>
        </w:trPr>
        <w:tc>
          <w:tcPr>
            <w:tcW w:w="5623" w:type="dxa"/>
            <w:tcBorders>
              <w:bottom w:val="single" w:sz="8" w:space="0" w:color="000000"/>
            </w:tcBorders>
            <w:noWrap/>
            <w:vAlign w:val="center"/>
            <w:hideMark/>
          </w:tcPr>
          <w:p w14:paraId="3C7FD585" w14:textId="77777777" w:rsidR="00B627CD" w:rsidRPr="00B627CD" w:rsidRDefault="00B627CD" w:rsidP="00DE55DC">
            <w:pPr>
              <w:pStyle w:val="Tabletext"/>
              <w:keepNext/>
              <w:keepLines/>
              <w:rPr>
                <w:rFonts w:cs="Calibri"/>
                <w:bCs/>
                <w:szCs w:val="22"/>
                <w:lang w:val="en-US"/>
              </w:rPr>
            </w:pPr>
            <w:r w:rsidRPr="00B627CD">
              <w:rPr>
                <w:rFonts w:cs="Calibri" w:hint="eastAsia"/>
                <w:color w:val="000000"/>
                <w:szCs w:val="22"/>
                <w:lang w:val="en-US"/>
              </w:rPr>
              <w:t>折旧</w:t>
            </w:r>
          </w:p>
        </w:tc>
        <w:tc>
          <w:tcPr>
            <w:tcW w:w="2127" w:type="dxa"/>
            <w:tcBorders>
              <w:bottom w:val="single" w:sz="8" w:space="0" w:color="000000"/>
            </w:tcBorders>
            <w:shd w:val="clear" w:color="auto" w:fill="auto"/>
            <w:noWrap/>
            <w:vAlign w:val="bottom"/>
            <w:hideMark/>
          </w:tcPr>
          <w:p w14:paraId="0F2F36B9" w14:textId="0205C494"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rPr>
              <w:t>0</w:t>
            </w:r>
          </w:p>
        </w:tc>
        <w:tc>
          <w:tcPr>
            <w:tcW w:w="1795" w:type="dxa"/>
            <w:tcBorders>
              <w:bottom w:val="single" w:sz="8" w:space="0" w:color="000000"/>
            </w:tcBorders>
            <w:shd w:val="clear" w:color="auto" w:fill="auto"/>
            <w:noWrap/>
            <w:vAlign w:val="bottom"/>
            <w:hideMark/>
          </w:tcPr>
          <w:p w14:paraId="2152FDCC" w14:textId="36ADD0DB"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lang w:val="en-US" w:eastAsia="zh-CN"/>
              </w:rPr>
              <w:t>0</w:t>
            </w:r>
          </w:p>
        </w:tc>
      </w:tr>
      <w:tr w:rsidR="00B627CD" w:rsidRPr="00B627CD" w14:paraId="4052691C" w14:textId="77777777" w:rsidTr="003A64C9">
        <w:trPr>
          <w:jc w:val="center"/>
        </w:trPr>
        <w:tc>
          <w:tcPr>
            <w:tcW w:w="5623" w:type="dxa"/>
            <w:tcBorders>
              <w:top w:val="single" w:sz="8" w:space="0" w:color="000000"/>
              <w:left w:val="single" w:sz="8" w:space="0" w:color="000000"/>
              <w:bottom w:val="single" w:sz="8" w:space="0" w:color="000000"/>
            </w:tcBorders>
            <w:noWrap/>
            <w:vAlign w:val="center"/>
            <w:hideMark/>
          </w:tcPr>
          <w:p w14:paraId="1B2CFE16" w14:textId="77777777" w:rsidR="00B627CD" w:rsidRPr="00B627CD" w:rsidRDefault="00B627CD" w:rsidP="00DE55DC">
            <w:pPr>
              <w:pStyle w:val="Tabletext"/>
              <w:keepNext/>
              <w:keepLines/>
              <w:rPr>
                <w:rFonts w:cs="Calibri"/>
                <w:b/>
                <w:szCs w:val="22"/>
                <w:lang w:val="en-US"/>
              </w:rPr>
            </w:pPr>
            <w:r w:rsidRPr="00B627CD">
              <w:rPr>
                <w:rFonts w:cs="Calibri" w:hint="eastAsia"/>
                <w:b/>
                <w:color w:val="000000"/>
                <w:szCs w:val="22"/>
                <w:lang w:val="en-US"/>
              </w:rPr>
              <w:t>办公用品</w:t>
            </w:r>
            <w:r w:rsidRPr="00B627CD">
              <w:rPr>
                <w:rFonts w:cs="Calibri"/>
                <w:b/>
                <w:color w:val="000000"/>
                <w:szCs w:val="22"/>
                <w:lang w:val="en-US"/>
              </w:rPr>
              <w:t xml:space="preserve"> – </w:t>
            </w:r>
            <w:r w:rsidRPr="00B627CD">
              <w:rPr>
                <w:rFonts w:cs="Calibri" w:hint="eastAsia"/>
                <w:b/>
                <w:color w:val="000000"/>
                <w:szCs w:val="22"/>
                <w:lang w:val="en-US"/>
              </w:rPr>
              <w:t>净值</w:t>
            </w:r>
          </w:p>
        </w:tc>
        <w:tc>
          <w:tcPr>
            <w:tcW w:w="2127" w:type="dxa"/>
            <w:tcBorders>
              <w:top w:val="single" w:sz="8" w:space="0" w:color="000000"/>
              <w:bottom w:val="single" w:sz="8" w:space="0" w:color="000000"/>
            </w:tcBorders>
            <w:shd w:val="clear" w:color="auto" w:fill="auto"/>
            <w:noWrap/>
            <w:vAlign w:val="bottom"/>
            <w:hideMark/>
          </w:tcPr>
          <w:p w14:paraId="281C4625" w14:textId="32A1EF4A"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rPr>
              <w:t>304</w:t>
            </w:r>
          </w:p>
        </w:tc>
        <w:tc>
          <w:tcPr>
            <w:tcW w:w="1795" w:type="dxa"/>
            <w:tcBorders>
              <w:top w:val="single" w:sz="8" w:space="0" w:color="000000"/>
              <w:bottom w:val="single" w:sz="8" w:space="0" w:color="000000"/>
              <w:right w:val="single" w:sz="8" w:space="0" w:color="000000"/>
            </w:tcBorders>
            <w:shd w:val="clear" w:color="auto" w:fill="auto"/>
            <w:noWrap/>
            <w:vAlign w:val="bottom"/>
            <w:hideMark/>
          </w:tcPr>
          <w:p w14:paraId="5FBBBD1A" w14:textId="1DD09BE0" w:rsidR="00B627CD" w:rsidRPr="00B627CD" w:rsidRDefault="00B627CD" w:rsidP="00DE55DC">
            <w:pPr>
              <w:keepNext/>
              <w:keepLines/>
              <w:overflowPunct/>
              <w:autoSpaceDE/>
              <w:autoSpaceDN/>
              <w:adjustRightInd/>
              <w:spacing w:before="0"/>
              <w:jc w:val="right"/>
              <w:textAlignment w:val="auto"/>
              <w:rPr>
                <w:rFonts w:cs="Calibri"/>
                <w:color w:val="000000"/>
                <w:sz w:val="22"/>
                <w:szCs w:val="22"/>
                <w:lang w:val="en-US" w:eastAsia="zh-CN"/>
              </w:rPr>
            </w:pPr>
            <w:r w:rsidRPr="00B627CD">
              <w:rPr>
                <w:rFonts w:cs="Calibri"/>
                <w:color w:val="000000"/>
                <w:sz w:val="22"/>
                <w:szCs w:val="22"/>
                <w:lang w:val="en-US" w:eastAsia="zh-CN"/>
              </w:rPr>
              <w:t>293</w:t>
            </w:r>
          </w:p>
        </w:tc>
      </w:tr>
      <w:tr w:rsidR="00B627CD" w:rsidRPr="00B627CD" w14:paraId="1A1A125B" w14:textId="77777777" w:rsidTr="003A64C9">
        <w:trPr>
          <w:jc w:val="center"/>
        </w:trPr>
        <w:tc>
          <w:tcPr>
            <w:tcW w:w="5623" w:type="dxa"/>
            <w:tcBorders>
              <w:top w:val="single" w:sz="8" w:space="0" w:color="000000"/>
              <w:left w:val="single" w:sz="8" w:space="0" w:color="000000"/>
              <w:bottom w:val="single" w:sz="8" w:space="0" w:color="000000"/>
            </w:tcBorders>
            <w:noWrap/>
            <w:vAlign w:val="center"/>
            <w:hideMark/>
          </w:tcPr>
          <w:p w14:paraId="349728C5" w14:textId="77777777" w:rsidR="00B627CD" w:rsidRPr="00B627CD" w:rsidRDefault="00B627CD" w:rsidP="00DE55DC">
            <w:pPr>
              <w:pStyle w:val="Tabletext"/>
              <w:keepNext/>
              <w:keepLines/>
              <w:rPr>
                <w:rFonts w:cs="Calibri"/>
                <w:b/>
                <w:color w:val="000000"/>
                <w:szCs w:val="22"/>
                <w:lang w:val="en-US"/>
              </w:rPr>
            </w:pPr>
            <w:r w:rsidRPr="00B627CD">
              <w:rPr>
                <w:rFonts w:cs="Calibri" w:hint="eastAsia"/>
                <w:b/>
                <w:color w:val="000000"/>
                <w:szCs w:val="22"/>
                <w:lang w:val="en-US"/>
              </w:rPr>
              <w:t>库存</w:t>
            </w:r>
            <w:r w:rsidRPr="00B627CD">
              <w:rPr>
                <w:rFonts w:cs="Calibri"/>
                <w:b/>
                <w:color w:val="000000"/>
                <w:szCs w:val="22"/>
                <w:lang w:val="en-US"/>
              </w:rPr>
              <w:t xml:space="preserve"> – </w:t>
            </w:r>
            <w:r w:rsidRPr="00B627CD">
              <w:rPr>
                <w:rFonts w:cs="Calibri" w:hint="eastAsia"/>
                <w:b/>
                <w:color w:val="000000"/>
                <w:szCs w:val="22"/>
                <w:lang w:val="en-US"/>
              </w:rPr>
              <w:t>净值</w:t>
            </w:r>
          </w:p>
        </w:tc>
        <w:tc>
          <w:tcPr>
            <w:tcW w:w="2127" w:type="dxa"/>
            <w:tcBorders>
              <w:top w:val="single" w:sz="8" w:space="0" w:color="000000"/>
              <w:bottom w:val="single" w:sz="8" w:space="0" w:color="000000"/>
            </w:tcBorders>
            <w:shd w:val="clear" w:color="auto" w:fill="auto"/>
            <w:noWrap/>
            <w:vAlign w:val="bottom"/>
            <w:hideMark/>
          </w:tcPr>
          <w:p w14:paraId="2603DFFD" w14:textId="6CA29D74" w:rsidR="00B627CD" w:rsidRPr="00B627CD" w:rsidRDefault="00B627CD" w:rsidP="00DE55DC">
            <w:pPr>
              <w:keepNext/>
              <w:keepLines/>
              <w:overflowPunct/>
              <w:autoSpaceDE/>
              <w:autoSpaceDN/>
              <w:adjustRightInd/>
              <w:spacing w:before="0"/>
              <w:jc w:val="right"/>
              <w:textAlignment w:val="auto"/>
              <w:rPr>
                <w:rFonts w:cs="Calibri"/>
                <w:b/>
                <w:bCs/>
                <w:color w:val="000000"/>
                <w:sz w:val="22"/>
                <w:szCs w:val="22"/>
                <w:lang w:val="en-US" w:eastAsia="zh-CN"/>
              </w:rPr>
            </w:pPr>
            <w:r w:rsidRPr="00B627CD">
              <w:rPr>
                <w:rFonts w:cs="Calibri"/>
                <w:b/>
                <w:bCs/>
                <w:color w:val="000000"/>
                <w:sz w:val="22"/>
                <w:szCs w:val="22"/>
                <w:lang w:val="en-US" w:eastAsia="zh-CN"/>
              </w:rPr>
              <w:t>467</w:t>
            </w:r>
          </w:p>
        </w:tc>
        <w:tc>
          <w:tcPr>
            <w:tcW w:w="1795" w:type="dxa"/>
            <w:tcBorders>
              <w:top w:val="single" w:sz="8" w:space="0" w:color="000000"/>
              <w:bottom w:val="single" w:sz="8" w:space="0" w:color="000000"/>
              <w:right w:val="single" w:sz="8" w:space="0" w:color="000000"/>
            </w:tcBorders>
            <w:shd w:val="clear" w:color="auto" w:fill="auto"/>
            <w:noWrap/>
            <w:vAlign w:val="bottom"/>
            <w:hideMark/>
          </w:tcPr>
          <w:p w14:paraId="7DB4BF41" w14:textId="74C17B3A" w:rsidR="00B627CD" w:rsidRPr="00B627CD" w:rsidRDefault="00B627CD" w:rsidP="00DE55DC">
            <w:pPr>
              <w:keepNext/>
              <w:keepLines/>
              <w:overflowPunct/>
              <w:autoSpaceDE/>
              <w:autoSpaceDN/>
              <w:adjustRightInd/>
              <w:spacing w:before="0"/>
              <w:jc w:val="right"/>
              <w:textAlignment w:val="auto"/>
              <w:rPr>
                <w:rFonts w:cs="Calibri"/>
                <w:b/>
                <w:bCs/>
                <w:color w:val="000000"/>
                <w:sz w:val="22"/>
                <w:szCs w:val="22"/>
                <w:lang w:val="en-US" w:eastAsia="zh-CN"/>
              </w:rPr>
            </w:pPr>
            <w:r w:rsidRPr="00B627CD">
              <w:rPr>
                <w:rFonts w:cs="Calibri"/>
                <w:b/>
                <w:bCs/>
                <w:color w:val="000000"/>
                <w:sz w:val="22"/>
                <w:szCs w:val="22"/>
                <w:lang w:val="en-US" w:eastAsia="zh-CN"/>
              </w:rPr>
              <w:t>459</w:t>
            </w:r>
          </w:p>
        </w:tc>
      </w:tr>
    </w:tbl>
    <w:p w14:paraId="753EFCB4" w14:textId="77777777" w:rsidR="0085433F" w:rsidRPr="000C156A" w:rsidRDefault="0085433F" w:rsidP="0085433F">
      <w:pPr>
        <w:pStyle w:val="Heading1"/>
        <w:spacing w:after="120"/>
        <w:rPr>
          <w:rFonts w:cs="Microsoft YaHei"/>
          <w:sz w:val="24"/>
          <w:szCs w:val="24"/>
          <w:lang w:val="fr-FR"/>
        </w:rPr>
      </w:pPr>
      <w:bookmarkStart w:id="666" w:name="_Toc482892569"/>
      <w:bookmarkStart w:id="667" w:name="_Toc482870834"/>
      <w:bookmarkStart w:id="668" w:name="_Toc511813752"/>
      <w:bookmarkStart w:id="669" w:name="_Toc511817835"/>
      <w:bookmarkStart w:id="670" w:name="_Toc520280735"/>
      <w:bookmarkStart w:id="671" w:name="_Toc10536830"/>
      <w:bookmarkStart w:id="672" w:name="_Toc41905871"/>
      <w:bookmarkStart w:id="673" w:name="_Toc41906900"/>
      <w:bookmarkStart w:id="674" w:name="_Toc41907981"/>
      <w:bookmarkStart w:id="675" w:name="_Toc41908049"/>
      <w:bookmarkStart w:id="676" w:name="_Toc73518687"/>
      <w:bookmarkStart w:id="677" w:name="_Toc73518834"/>
      <w:bookmarkStart w:id="678" w:name="_Toc73519234"/>
      <w:bookmarkStart w:id="679" w:name="_Toc110263997"/>
      <w:bookmarkStart w:id="680" w:name="_Toc110264076"/>
      <w:bookmarkStart w:id="681" w:name="_Toc110265715"/>
      <w:bookmarkStart w:id="682" w:name="_Toc110330085"/>
      <w:bookmarkStart w:id="683" w:name="_Toc110330250"/>
      <w:r w:rsidRPr="000C156A">
        <w:rPr>
          <w:rFonts w:cs="Microsoft YaHei" w:hint="eastAsia"/>
          <w:sz w:val="24"/>
          <w:szCs w:val="24"/>
          <w:lang w:val="fr-FR"/>
        </w:rPr>
        <w:t>说明</w:t>
      </w:r>
      <w:r w:rsidRPr="000C156A">
        <w:rPr>
          <w:rFonts w:cs="Microsoft YaHei"/>
          <w:sz w:val="24"/>
          <w:szCs w:val="24"/>
          <w:lang w:val="fr-FR"/>
        </w:rPr>
        <w:t>10</w:t>
      </w:r>
      <w:r w:rsidRPr="000C156A">
        <w:rPr>
          <w:rFonts w:cs="Microsoft YaHei"/>
          <w:sz w:val="24"/>
          <w:szCs w:val="24"/>
          <w:lang w:val="fr-FR"/>
        </w:rPr>
        <w:tab/>
      </w:r>
      <w:r w:rsidRPr="000C156A">
        <w:rPr>
          <w:rFonts w:cs="Microsoft YaHei" w:hint="eastAsia"/>
          <w:sz w:val="24"/>
          <w:szCs w:val="24"/>
          <w:lang w:val="fr-FR"/>
        </w:rPr>
        <w:t>其它应收款项</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tbl>
      <w:tblPr>
        <w:tblW w:w="9735" w:type="dxa"/>
        <w:jc w:val="center"/>
        <w:tblLook w:val="04A0" w:firstRow="1" w:lastRow="0" w:firstColumn="1" w:lastColumn="0" w:noHBand="0" w:noVBand="1"/>
      </w:tblPr>
      <w:tblGrid>
        <w:gridCol w:w="5435"/>
        <w:gridCol w:w="2126"/>
        <w:gridCol w:w="2174"/>
      </w:tblGrid>
      <w:tr w:rsidR="0085433F" w:rsidRPr="000C156A" w14:paraId="6B69E437" w14:textId="77777777" w:rsidTr="003A64C9">
        <w:trPr>
          <w:trHeight w:val="340"/>
          <w:jc w:val="center"/>
        </w:trPr>
        <w:tc>
          <w:tcPr>
            <w:tcW w:w="5435" w:type="dxa"/>
            <w:tcBorders>
              <w:top w:val="single" w:sz="4" w:space="0" w:color="auto"/>
              <w:left w:val="single" w:sz="4" w:space="0" w:color="auto"/>
              <w:bottom w:val="single" w:sz="4" w:space="0" w:color="auto"/>
              <w:right w:val="single" w:sz="4" w:space="0" w:color="auto"/>
            </w:tcBorders>
            <w:noWrap/>
            <w:vAlign w:val="center"/>
            <w:hideMark/>
          </w:tcPr>
          <w:p w14:paraId="0C7188D1" w14:textId="77777777" w:rsidR="0085433F" w:rsidRPr="000C156A" w:rsidRDefault="0085433F" w:rsidP="003A64C9">
            <w:pPr>
              <w:pStyle w:val="Tablehead"/>
              <w:jc w:val="left"/>
              <w:rPr>
                <w:rFonts w:cs="Calibri"/>
                <w:szCs w:val="22"/>
                <w:lang w:val="en-US"/>
              </w:rPr>
            </w:pPr>
            <w:r w:rsidRPr="000C156A">
              <w:rPr>
                <w:rFonts w:cs="Calibri" w:hint="eastAsia"/>
                <w:szCs w:val="22"/>
                <w:lang w:val="en-US" w:eastAsia="fr-FR"/>
              </w:rPr>
              <w:t>单位：千瑞郎</w:t>
            </w:r>
          </w:p>
        </w:tc>
        <w:tc>
          <w:tcPr>
            <w:tcW w:w="2126" w:type="dxa"/>
            <w:tcBorders>
              <w:top w:val="single" w:sz="4" w:space="0" w:color="auto"/>
              <w:left w:val="nil"/>
              <w:bottom w:val="single" w:sz="4" w:space="0" w:color="auto"/>
              <w:right w:val="single" w:sz="4" w:space="0" w:color="auto"/>
            </w:tcBorders>
            <w:noWrap/>
            <w:vAlign w:val="center"/>
            <w:hideMark/>
          </w:tcPr>
          <w:p w14:paraId="7A9A847A" w14:textId="241B9AC9" w:rsidR="0085433F" w:rsidRPr="000C156A" w:rsidRDefault="0085433F" w:rsidP="003A64C9">
            <w:pPr>
              <w:pStyle w:val="Tablehead"/>
              <w:rPr>
                <w:rFonts w:cs="Calibri"/>
                <w:szCs w:val="22"/>
                <w:lang w:val="en-US" w:eastAsia="zh-CN"/>
              </w:rPr>
            </w:pPr>
            <w:r w:rsidRPr="000C156A">
              <w:rPr>
                <w:rFonts w:cs="Calibri"/>
                <w:szCs w:val="22"/>
                <w:lang w:val="en-US" w:eastAsia="zh-CN"/>
              </w:rPr>
              <w:t>20</w:t>
            </w:r>
            <w:r w:rsidRPr="000C156A">
              <w:rPr>
                <w:rFonts w:cs="Calibri" w:hint="eastAsia"/>
                <w:szCs w:val="22"/>
                <w:lang w:val="en-US" w:eastAsia="zh-CN"/>
              </w:rPr>
              <w:t>2</w:t>
            </w:r>
            <w:r w:rsidR="00503A2E">
              <w:rPr>
                <w:rFonts w:cs="Calibri"/>
                <w:szCs w:val="22"/>
                <w:lang w:val="en-US" w:eastAsia="zh-CN"/>
              </w:rPr>
              <w:t>1</w:t>
            </w:r>
            <w:r w:rsidRPr="000C156A">
              <w:rPr>
                <w:rFonts w:cs="Calibri" w:hint="eastAsia"/>
                <w:szCs w:val="22"/>
                <w:lang w:val="en-US" w:eastAsia="zh-CN"/>
              </w:rPr>
              <w:t>年</w:t>
            </w:r>
            <w:r w:rsidRPr="000C156A">
              <w:rPr>
                <w:rFonts w:cs="Calibri"/>
                <w:szCs w:val="22"/>
                <w:lang w:val="en-US" w:eastAsia="zh-CN"/>
              </w:rPr>
              <w:t>12</w:t>
            </w:r>
            <w:r w:rsidRPr="000C156A">
              <w:rPr>
                <w:rFonts w:cs="Calibri" w:hint="eastAsia"/>
                <w:szCs w:val="22"/>
                <w:lang w:val="en-US" w:eastAsia="zh-CN"/>
              </w:rPr>
              <w:t>月</w:t>
            </w:r>
            <w:r w:rsidRPr="000C156A">
              <w:rPr>
                <w:rFonts w:cs="Calibri"/>
                <w:szCs w:val="22"/>
                <w:lang w:val="en-US" w:eastAsia="zh-CN"/>
              </w:rPr>
              <w:t>31</w:t>
            </w:r>
            <w:r w:rsidRPr="000C156A">
              <w:rPr>
                <w:rFonts w:cs="Calibri" w:hint="eastAsia"/>
                <w:szCs w:val="22"/>
                <w:lang w:val="en-US" w:eastAsia="zh-CN"/>
              </w:rPr>
              <w:t>日</w:t>
            </w:r>
          </w:p>
        </w:tc>
        <w:tc>
          <w:tcPr>
            <w:tcW w:w="2174" w:type="dxa"/>
            <w:tcBorders>
              <w:top w:val="single" w:sz="4" w:space="0" w:color="auto"/>
              <w:left w:val="nil"/>
              <w:bottom w:val="single" w:sz="4" w:space="0" w:color="auto"/>
              <w:right w:val="single" w:sz="4" w:space="0" w:color="auto"/>
            </w:tcBorders>
            <w:vAlign w:val="center"/>
          </w:tcPr>
          <w:p w14:paraId="14D93243" w14:textId="452BEB8A" w:rsidR="0085433F" w:rsidRPr="000C156A" w:rsidRDefault="0085433F" w:rsidP="003A64C9">
            <w:pPr>
              <w:pStyle w:val="Tablehead"/>
              <w:rPr>
                <w:rFonts w:cs="Calibri"/>
                <w:szCs w:val="22"/>
                <w:lang w:val="en-US" w:eastAsia="zh-CN"/>
              </w:rPr>
            </w:pPr>
            <w:r w:rsidRPr="000C156A">
              <w:rPr>
                <w:rFonts w:cs="Calibri"/>
                <w:szCs w:val="22"/>
                <w:lang w:val="en-US" w:eastAsia="zh-CN"/>
              </w:rPr>
              <w:t>20</w:t>
            </w:r>
            <w:r w:rsidR="00503A2E">
              <w:rPr>
                <w:rFonts w:cs="Calibri"/>
                <w:szCs w:val="22"/>
                <w:lang w:val="en-US" w:eastAsia="zh-CN"/>
              </w:rPr>
              <w:t>20</w:t>
            </w:r>
            <w:r w:rsidRPr="000C156A">
              <w:rPr>
                <w:rFonts w:cs="Calibri" w:hint="eastAsia"/>
                <w:szCs w:val="22"/>
                <w:lang w:val="en-US" w:eastAsia="zh-CN"/>
              </w:rPr>
              <w:t>年</w:t>
            </w:r>
            <w:r w:rsidRPr="000C156A">
              <w:rPr>
                <w:rFonts w:cs="Calibri"/>
                <w:szCs w:val="22"/>
                <w:lang w:val="en-US" w:eastAsia="zh-CN"/>
              </w:rPr>
              <w:t>12</w:t>
            </w:r>
            <w:r w:rsidRPr="000C156A">
              <w:rPr>
                <w:rFonts w:cs="Calibri" w:hint="eastAsia"/>
                <w:szCs w:val="22"/>
                <w:lang w:val="en-US" w:eastAsia="zh-CN"/>
              </w:rPr>
              <w:t>月</w:t>
            </w:r>
            <w:r w:rsidRPr="000C156A">
              <w:rPr>
                <w:rFonts w:cs="Calibri"/>
                <w:szCs w:val="22"/>
                <w:lang w:val="en-US" w:eastAsia="zh-CN"/>
              </w:rPr>
              <w:t>31</w:t>
            </w:r>
            <w:r w:rsidRPr="000C156A">
              <w:rPr>
                <w:rFonts w:cs="Calibri" w:hint="eastAsia"/>
                <w:szCs w:val="22"/>
                <w:lang w:val="en-US" w:eastAsia="zh-CN"/>
              </w:rPr>
              <w:t>日</w:t>
            </w:r>
          </w:p>
        </w:tc>
      </w:tr>
      <w:tr w:rsidR="0085433F" w:rsidRPr="000C156A" w14:paraId="07141966" w14:textId="77777777" w:rsidTr="003A64C9">
        <w:trPr>
          <w:trHeight w:val="255"/>
          <w:jc w:val="center"/>
        </w:trPr>
        <w:tc>
          <w:tcPr>
            <w:tcW w:w="5435" w:type="dxa"/>
            <w:tcBorders>
              <w:top w:val="nil"/>
              <w:left w:val="single" w:sz="4" w:space="0" w:color="auto"/>
              <w:bottom w:val="nil"/>
              <w:right w:val="single" w:sz="4" w:space="0" w:color="auto"/>
            </w:tcBorders>
            <w:noWrap/>
            <w:vAlign w:val="bottom"/>
            <w:hideMark/>
          </w:tcPr>
          <w:p w14:paraId="586514CE" w14:textId="77777777" w:rsidR="0085433F" w:rsidRPr="000C156A" w:rsidRDefault="0085433F" w:rsidP="003A64C9">
            <w:pPr>
              <w:pStyle w:val="Tabletext"/>
              <w:keepNext/>
              <w:keepLines/>
              <w:spacing w:before="20" w:after="20"/>
              <w:rPr>
                <w:bCs/>
                <w:szCs w:val="22"/>
                <w:lang w:val="en-US" w:eastAsia="zh-CN"/>
              </w:rPr>
            </w:pPr>
          </w:p>
        </w:tc>
        <w:tc>
          <w:tcPr>
            <w:tcW w:w="2126" w:type="dxa"/>
            <w:tcBorders>
              <w:top w:val="nil"/>
              <w:left w:val="single" w:sz="4" w:space="0" w:color="auto"/>
              <w:bottom w:val="nil"/>
              <w:right w:val="nil"/>
            </w:tcBorders>
            <w:shd w:val="clear" w:color="auto" w:fill="auto"/>
            <w:noWrap/>
            <w:vAlign w:val="bottom"/>
            <w:hideMark/>
          </w:tcPr>
          <w:p w14:paraId="38DC025F" w14:textId="77777777" w:rsidR="0085433F" w:rsidRPr="000C156A" w:rsidRDefault="0085433F" w:rsidP="003A64C9">
            <w:pPr>
              <w:overflowPunct/>
              <w:autoSpaceDE/>
              <w:autoSpaceDN/>
              <w:adjustRightInd/>
              <w:spacing w:before="0"/>
              <w:jc w:val="right"/>
              <w:textAlignment w:val="auto"/>
              <w:rPr>
                <w:rFonts w:asciiTheme="minorHAnsi" w:hAnsiTheme="minorHAnsi" w:cs="Arial"/>
                <w:color w:val="000000"/>
                <w:sz w:val="22"/>
                <w:szCs w:val="22"/>
                <w:lang w:val="en-US" w:eastAsia="zh-CN"/>
              </w:rPr>
            </w:pPr>
          </w:p>
        </w:tc>
        <w:tc>
          <w:tcPr>
            <w:tcW w:w="2174" w:type="dxa"/>
            <w:tcBorders>
              <w:top w:val="nil"/>
              <w:left w:val="single" w:sz="4" w:space="0" w:color="auto"/>
              <w:bottom w:val="nil"/>
              <w:right w:val="single" w:sz="4" w:space="0" w:color="auto"/>
            </w:tcBorders>
            <w:vAlign w:val="bottom"/>
          </w:tcPr>
          <w:p w14:paraId="6B53C0B0" w14:textId="77777777" w:rsidR="0085433F" w:rsidRPr="000C156A" w:rsidRDefault="0085433F" w:rsidP="003A64C9">
            <w:pPr>
              <w:overflowPunct/>
              <w:autoSpaceDE/>
              <w:autoSpaceDN/>
              <w:adjustRightInd/>
              <w:spacing w:before="0"/>
              <w:jc w:val="right"/>
              <w:textAlignment w:val="auto"/>
              <w:rPr>
                <w:rFonts w:asciiTheme="minorHAnsi" w:hAnsiTheme="minorHAnsi" w:cs="Arial"/>
                <w:color w:val="000000"/>
                <w:sz w:val="22"/>
                <w:szCs w:val="22"/>
                <w:lang w:val="en-US" w:eastAsia="zh-CN"/>
              </w:rPr>
            </w:pPr>
          </w:p>
        </w:tc>
      </w:tr>
      <w:tr w:rsidR="00503A2E" w:rsidRPr="000C156A" w14:paraId="25F1A115" w14:textId="77777777" w:rsidTr="003A64C9">
        <w:trPr>
          <w:trHeight w:val="255"/>
          <w:jc w:val="center"/>
        </w:trPr>
        <w:tc>
          <w:tcPr>
            <w:tcW w:w="5435" w:type="dxa"/>
            <w:tcBorders>
              <w:top w:val="nil"/>
              <w:left w:val="single" w:sz="4" w:space="0" w:color="auto"/>
              <w:bottom w:val="nil"/>
              <w:right w:val="single" w:sz="4" w:space="0" w:color="auto"/>
            </w:tcBorders>
            <w:noWrap/>
            <w:vAlign w:val="bottom"/>
          </w:tcPr>
          <w:p w14:paraId="291F2277" w14:textId="77777777" w:rsidR="00503A2E" w:rsidRPr="000C156A" w:rsidRDefault="00503A2E" w:rsidP="00503A2E">
            <w:pPr>
              <w:pStyle w:val="Tabletext"/>
              <w:spacing w:before="20" w:after="20"/>
              <w:rPr>
                <w:bCs/>
                <w:szCs w:val="22"/>
                <w:lang w:val="en-US" w:eastAsia="zh-CN"/>
              </w:rPr>
            </w:pPr>
            <w:r w:rsidRPr="000C156A">
              <w:rPr>
                <w:rFonts w:hint="eastAsia"/>
                <w:bCs/>
                <w:szCs w:val="22"/>
                <w:lang w:val="en-US" w:eastAsia="zh-CN"/>
              </w:rPr>
              <w:t>职员预支</w:t>
            </w:r>
          </w:p>
        </w:tc>
        <w:tc>
          <w:tcPr>
            <w:tcW w:w="2126" w:type="dxa"/>
            <w:tcBorders>
              <w:top w:val="nil"/>
              <w:left w:val="single" w:sz="4" w:space="0" w:color="auto"/>
              <w:bottom w:val="nil"/>
              <w:right w:val="nil"/>
            </w:tcBorders>
            <w:shd w:val="clear" w:color="auto" w:fill="auto"/>
            <w:noWrap/>
            <w:vAlign w:val="bottom"/>
          </w:tcPr>
          <w:p w14:paraId="2A7A02DA" w14:textId="36D2EFB5"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1</w:t>
            </w:r>
            <w:r>
              <w:rPr>
                <w:rFonts w:asciiTheme="minorHAnsi" w:hAnsiTheme="minorHAnsi" w:cs="Arial"/>
                <w:color w:val="000000"/>
                <w:sz w:val="22"/>
                <w:szCs w:val="22"/>
                <w:lang w:val="en-US" w:eastAsia="zh-CN"/>
              </w:rPr>
              <w:t> </w:t>
            </w:r>
            <w:r w:rsidRPr="00B22101">
              <w:rPr>
                <w:rFonts w:asciiTheme="minorHAnsi" w:hAnsiTheme="minorHAnsi" w:cs="Arial"/>
                <w:color w:val="000000"/>
                <w:sz w:val="22"/>
                <w:szCs w:val="22"/>
                <w:lang w:val="en-US" w:eastAsia="zh-CN"/>
              </w:rPr>
              <w:t xml:space="preserve">805 </w:t>
            </w:r>
          </w:p>
        </w:tc>
        <w:tc>
          <w:tcPr>
            <w:tcW w:w="2174" w:type="dxa"/>
            <w:tcBorders>
              <w:top w:val="nil"/>
              <w:left w:val="single" w:sz="4" w:space="0" w:color="auto"/>
              <w:bottom w:val="nil"/>
              <w:right w:val="single" w:sz="4" w:space="0" w:color="auto"/>
            </w:tcBorders>
            <w:vAlign w:val="bottom"/>
          </w:tcPr>
          <w:p w14:paraId="25CC33F2" w14:textId="3D844BFB"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1 804</w:t>
            </w:r>
          </w:p>
        </w:tc>
      </w:tr>
      <w:tr w:rsidR="00503A2E" w:rsidRPr="000C156A" w14:paraId="1FBC3E30" w14:textId="77777777" w:rsidTr="00503A2E">
        <w:trPr>
          <w:trHeight w:val="20"/>
          <w:jc w:val="center"/>
        </w:trPr>
        <w:tc>
          <w:tcPr>
            <w:tcW w:w="5435" w:type="dxa"/>
            <w:tcBorders>
              <w:top w:val="nil"/>
              <w:left w:val="single" w:sz="4" w:space="0" w:color="auto"/>
              <w:bottom w:val="nil"/>
              <w:right w:val="single" w:sz="4" w:space="0" w:color="auto"/>
            </w:tcBorders>
            <w:noWrap/>
            <w:vAlign w:val="bottom"/>
            <w:hideMark/>
          </w:tcPr>
          <w:p w14:paraId="41BD781F" w14:textId="77777777" w:rsidR="00503A2E" w:rsidRPr="000C156A" w:rsidRDefault="00503A2E" w:rsidP="00503A2E">
            <w:pPr>
              <w:pStyle w:val="Tabletext"/>
              <w:spacing w:before="20" w:after="20"/>
              <w:rPr>
                <w:bCs/>
                <w:szCs w:val="22"/>
                <w:lang w:val="en-US"/>
              </w:rPr>
            </w:pPr>
            <w:r w:rsidRPr="000C156A">
              <w:rPr>
                <w:bCs/>
                <w:szCs w:val="22"/>
                <w:lang w:val="en-US" w:eastAsia="zh-CN"/>
              </w:rPr>
              <w:t>UNDP</w:t>
            </w:r>
            <w:r w:rsidRPr="000C156A">
              <w:rPr>
                <w:rFonts w:hint="eastAsia"/>
                <w:bCs/>
                <w:szCs w:val="22"/>
                <w:lang w:val="en-US" w:eastAsia="zh-CN"/>
              </w:rPr>
              <w:t>经常账户</w:t>
            </w:r>
          </w:p>
        </w:tc>
        <w:tc>
          <w:tcPr>
            <w:tcW w:w="2126" w:type="dxa"/>
            <w:tcBorders>
              <w:top w:val="nil"/>
              <w:left w:val="single" w:sz="4" w:space="0" w:color="auto"/>
              <w:bottom w:val="nil"/>
              <w:right w:val="nil"/>
            </w:tcBorders>
            <w:shd w:val="clear" w:color="auto" w:fill="auto"/>
            <w:noWrap/>
            <w:vAlign w:val="bottom"/>
          </w:tcPr>
          <w:p w14:paraId="1CB620C5" w14:textId="1805937F"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 xml:space="preserve">603 </w:t>
            </w:r>
          </w:p>
        </w:tc>
        <w:tc>
          <w:tcPr>
            <w:tcW w:w="2174" w:type="dxa"/>
            <w:tcBorders>
              <w:top w:val="nil"/>
              <w:left w:val="single" w:sz="4" w:space="0" w:color="auto"/>
              <w:bottom w:val="nil"/>
              <w:right w:val="single" w:sz="4" w:space="0" w:color="auto"/>
            </w:tcBorders>
            <w:vAlign w:val="bottom"/>
          </w:tcPr>
          <w:p w14:paraId="1213E170" w14:textId="690861CE"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466</w:t>
            </w:r>
          </w:p>
        </w:tc>
      </w:tr>
      <w:tr w:rsidR="00503A2E" w:rsidRPr="000C156A" w14:paraId="2A573DB6" w14:textId="77777777" w:rsidTr="00503A2E">
        <w:trPr>
          <w:trHeight w:val="20"/>
          <w:jc w:val="center"/>
        </w:trPr>
        <w:tc>
          <w:tcPr>
            <w:tcW w:w="5435" w:type="dxa"/>
            <w:tcBorders>
              <w:top w:val="nil"/>
              <w:left w:val="single" w:sz="4" w:space="0" w:color="auto"/>
              <w:bottom w:val="nil"/>
              <w:right w:val="single" w:sz="4" w:space="0" w:color="auto"/>
            </w:tcBorders>
            <w:noWrap/>
            <w:vAlign w:val="bottom"/>
            <w:hideMark/>
          </w:tcPr>
          <w:p w14:paraId="13AA6945" w14:textId="77777777" w:rsidR="00503A2E" w:rsidRPr="000C156A" w:rsidRDefault="00503A2E" w:rsidP="00503A2E">
            <w:pPr>
              <w:pStyle w:val="Tabletext"/>
              <w:spacing w:before="20" w:after="20"/>
              <w:rPr>
                <w:bCs/>
                <w:szCs w:val="22"/>
                <w:lang w:val="en-US"/>
              </w:rPr>
            </w:pPr>
            <w:r w:rsidRPr="000C156A">
              <w:rPr>
                <w:rFonts w:hint="eastAsia"/>
                <w:bCs/>
                <w:szCs w:val="22"/>
                <w:lang w:val="en-US"/>
              </w:rPr>
              <w:lastRenderedPageBreak/>
              <w:t>南斯拉夫</w:t>
            </w:r>
          </w:p>
        </w:tc>
        <w:tc>
          <w:tcPr>
            <w:tcW w:w="2126" w:type="dxa"/>
            <w:tcBorders>
              <w:top w:val="nil"/>
              <w:left w:val="single" w:sz="4" w:space="0" w:color="auto"/>
              <w:bottom w:val="nil"/>
              <w:right w:val="single" w:sz="4" w:space="0" w:color="auto"/>
            </w:tcBorders>
            <w:shd w:val="clear" w:color="auto" w:fill="auto"/>
            <w:noWrap/>
            <w:vAlign w:val="bottom"/>
          </w:tcPr>
          <w:p w14:paraId="0B952787" w14:textId="7DB2C045"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1</w:t>
            </w:r>
            <w:r>
              <w:rPr>
                <w:rFonts w:asciiTheme="minorHAnsi" w:hAnsiTheme="minorHAnsi" w:cs="Arial"/>
                <w:color w:val="000000"/>
                <w:sz w:val="22"/>
                <w:szCs w:val="22"/>
                <w:lang w:val="en-US" w:eastAsia="zh-CN"/>
              </w:rPr>
              <w:t> </w:t>
            </w:r>
            <w:r w:rsidRPr="00B22101">
              <w:rPr>
                <w:rFonts w:asciiTheme="minorHAnsi" w:hAnsiTheme="minorHAnsi" w:cs="Arial"/>
                <w:color w:val="000000"/>
                <w:sz w:val="22"/>
                <w:szCs w:val="22"/>
                <w:lang w:val="en-US" w:eastAsia="zh-CN"/>
              </w:rPr>
              <w:t xml:space="preserve">189 </w:t>
            </w:r>
          </w:p>
        </w:tc>
        <w:tc>
          <w:tcPr>
            <w:tcW w:w="2174" w:type="dxa"/>
            <w:tcBorders>
              <w:top w:val="nil"/>
              <w:left w:val="nil"/>
              <w:bottom w:val="nil"/>
              <w:right w:val="single" w:sz="4" w:space="0" w:color="auto"/>
            </w:tcBorders>
            <w:vAlign w:val="bottom"/>
          </w:tcPr>
          <w:p w14:paraId="741A2701" w14:textId="7F7B0924"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1 189</w:t>
            </w:r>
          </w:p>
        </w:tc>
      </w:tr>
      <w:tr w:rsidR="00503A2E" w:rsidRPr="000C156A" w14:paraId="102EAC71" w14:textId="77777777" w:rsidTr="00503A2E">
        <w:trPr>
          <w:trHeight w:val="20"/>
          <w:jc w:val="center"/>
        </w:trPr>
        <w:tc>
          <w:tcPr>
            <w:tcW w:w="5435" w:type="dxa"/>
            <w:tcBorders>
              <w:top w:val="nil"/>
              <w:left w:val="single" w:sz="4" w:space="0" w:color="auto"/>
              <w:bottom w:val="nil"/>
              <w:right w:val="single" w:sz="4" w:space="0" w:color="auto"/>
            </w:tcBorders>
            <w:noWrap/>
            <w:vAlign w:val="bottom"/>
            <w:hideMark/>
          </w:tcPr>
          <w:p w14:paraId="6FE73BC4" w14:textId="77777777" w:rsidR="00503A2E" w:rsidRPr="000C156A" w:rsidRDefault="00503A2E" w:rsidP="00503A2E">
            <w:pPr>
              <w:pStyle w:val="Tabletext"/>
              <w:spacing w:before="20" w:after="20"/>
              <w:rPr>
                <w:bCs/>
                <w:szCs w:val="22"/>
                <w:lang w:val="en-US"/>
              </w:rPr>
            </w:pPr>
            <w:r w:rsidRPr="000C156A">
              <w:rPr>
                <w:rFonts w:hint="eastAsia"/>
                <w:bCs/>
                <w:szCs w:val="22"/>
                <w:lang w:val="en-US"/>
              </w:rPr>
              <w:t>南斯拉夫债务准备金</w:t>
            </w:r>
          </w:p>
        </w:tc>
        <w:tc>
          <w:tcPr>
            <w:tcW w:w="2126" w:type="dxa"/>
            <w:tcBorders>
              <w:top w:val="nil"/>
              <w:left w:val="single" w:sz="4" w:space="0" w:color="auto"/>
              <w:bottom w:val="nil"/>
              <w:right w:val="single" w:sz="4" w:space="0" w:color="auto"/>
            </w:tcBorders>
            <w:shd w:val="clear" w:color="auto" w:fill="auto"/>
            <w:noWrap/>
            <w:vAlign w:val="bottom"/>
          </w:tcPr>
          <w:p w14:paraId="14ECC771" w14:textId="4F5E68CD"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-1</w:t>
            </w:r>
            <w:r>
              <w:rPr>
                <w:rFonts w:asciiTheme="minorHAnsi" w:hAnsiTheme="minorHAnsi" w:cs="Arial"/>
                <w:color w:val="000000"/>
                <w:sz w:val="22"/>
                <w:szCs w:val="22"/>
                <w:lang w:val="en-US" w:eastAsia="zh-CN"/>
              </w:rPr>
              <w:t> </w:t>
            </w:r>
            <w:r w:rsidRPr="00B22101">
              <w:rPr>
                <w:rFonts w:asciiTheme="minorHAnsi" w:hAnsiTheme="minorHAnsi" w:cs="Arial"/>
                <w:color w:val="000000"/>
                <w:sz w:val="22"/>
                <w:szCs w:val="22"/>
                <w:lang w:val="en-US" w:eastAsia="zh-CN"/>
              </w:rPr>
              <w:t xml:space="preserve">189 </w:t>
            </w:r>
          </w:p>
        </w:tc>
        <w:tc>
          <w:tcPr>
            <w:tcW w:w="2174" w:type="dxa"/>
            <w:tcBorders>
              <w:top w:val="nil"/>
              <w:left w:val="nil"/>
              <w:bottom w:val="nil"/>
              <w:right w:val="single" w:sz="4" w:space="0" w:color="auto"/>
            </w:tcBorders>
            <w:vAlign w:val="bottom"/>
          </w:tcPr>
          <w:p w14:paraId="5AABE9A1" w14:textId="52566E99"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-1 189</w:t>
            </w:r>
          </w:p>
        </w:tc>
      </w:tr>
      <w:tr w:rsidR="00503A2E" w:rsidRPr="000C156A" w14:paraId="14F267DA" w14:textId="77777777" w:rsidTr="00503A2E">
        <w:trPr>
          <w:trHeight w:val="20"/>
          <w:jc w:val="center"/>
        </w:trPr>
        <w:tc>
          <w:tcPr>
            <w:tcW w:w="5435" w:type="dxa"/>
            <w:tcBorders>
              <w:top w:val="nil"/>
              <w:left w:val="single" w:sz="4" w:space="0" w:color="auto"/>
              <w:bottom w:val="nil"/>
              <w:right w:val="single" w:sz="4" w:space="0" w:color="auto"/>
            </w:tcBorders>
            <w:noWrap/>
            <w:vAlign w:val="bottom"/>
            <w:hideMark/>
          </w:tcPr>
          <w:p w14:paraId="699A348E" w14:textId="77777777" w:rsidR="00503A2E" w:rsidRPr="000C156A" w:rsidRDefault="00503A2E" w:rsidP="00503A2E">
            <w:pPr>
              <w:pStyle w:val="Tabletext"/>
              <w:spacing w:before="20" w:after="20"/>
              <w:rPr>
                <w:bCs/>
                <w:szCs w:val="22"/>
                <w:lang w:val="en-US"/>
              </w:rPr>
            </w:pPr>
            <w:r w:rsidRPr="000C156A">
              <w:rPr>
                <w:rFonts w:hint="eastAsia"/>
                <w:lang w:eastAsia="zh-CN"/>
              </w:rPr>
              <w:t>预扣税</w:t>
            </w:r>
          </w:p>
        </w:tc>
        <w:tc>
          <w:tcPr>
            <w:tcW w:w="2126" w:type="dxa"/>
            <w:tcBorders>
              <w:top w:val="nil"/>
              <w:left w:val="single" w:sz="4" w:space="0" w:color="auto"/>
              <w:bottom w:val="nil"/>
              <w:right w:val="single" w:sz="4" w:space="0" w:color="auto"/>
            </w:tcBorders>
            <w:shd w:val="clear" w:color="auto" w:fill="auto"/>
            <w:noWrap/>
            <w:vAlign w:val="bottom"/>
          </w:tcPr>
          <w:p w14:paraId="5BDF0CB1" w14:textId="0CE267DA"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2</w:t>
            </w:r>
            <w:r>
              <w:rPr>
                <w:rFonts w:asciiTheme="minorHAnsi" w:hAnsiTheme="minorHAnsi" w:cs="Arial"/>
                <w:color w:val="000000"/>
                <w:sz w:val="22"/>
                <w:szCs w:val="22"/>
                <w:lang w:val="en-US" w:eastAsia="zh-CN"/>
              </w:rPr>
              <w:t> </w:t>
            </w:r>
            <w:r w:rsidRPr="00B22101">
              <w:rPr>
                <w:rFonts w:asciiTheme="minorHAnsi" w:hAnsiTheme="minorHAnsi" w:cs="Arial"/>
                <w:color w:val="000000"/>
                <w:sz w:val="22"/>
                <w:szCs w:val="22"/>
                <w:lang w:val="en-US" w:eastAsia="zh-CN"/>
              </w:rPr>
              <w:t xml:space="preserve">099 </w:t>
            </w:r>
          </w:p>
        </w:tc>
        <w:tc>
          <w:tcPr>
            <w:tcW w:w="2174" w:type="dxa"/>
            <w:tcBorders>
              <w:top w:val="nil"/>
              <w:left w:val="nil"/>
              <w:bottom w:val="nil"/>
              <w:right w:val="single" w:sz="4" w:space="0" w:color="auto"/>
            </w:tcBorders>
            <w:vAlign w:val="bottom"/>
          </w:tcPr>
          <w:p w14:paraId="16F6CBBA" w14:textId="4C235C24"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2 201</w:t>
            </w:r>
          </w:p>
        </w:tc>
      </w:tr>
      <w:tr w:rsidR="00503A2E" w:rsidRPr="000C156A" w14:paraId="2980EEF3" w14:textId="77777777" w:rsidTr="00503A2E">
        <w:trPr>
          <w:trHeight w:val="20"/>
          <w:jc w:val="center"/>
        </w:trPr>
        <w:tc>
          <w:tcPr>
            <w:tcW w:w="5435" w:type="dxa"/>
            <w:tcBorders>
              <w:top w:val="nil"/>
              <w:left w:val="single" w:sz="4" w:space="0" w:color="auto"/>
              <w:bottom w:val="nil"/>
              <w:right w:val="single" w:sz="4" w:space="0" w:color="auto"/>
            </w:tcBorders>
            <w:noWrap/>
            <w:vAlign w:val="bottom"/>
            <w:hideMark/>
          </w:tcPr>
          <w:p w14:paraId="3286E266" w14:textId="77777777" w:rsidR="00503A2E" w:rsidRPr="000C156A" w:rsidRDefault="00503A2E" w:rsidP="00503A2E">
            <w:pPr>
              <w:pStyle w:val="Tabletext"/>
              <w:spacing w:before="20" w:after="20"/>
              <w:rPr>
                <w:bCs/>
                <w:szCs w:val="22"/>
                <w:lang w:val="en-US"/>
              </w:rPr>
            </w:pPr>
            <w:r w:rsidRPr="000C156A">
              <w:rPr>
                <w:rFonts w:hint="eastAsia"/>
                <w:bCs/>
                <w:szCs w:val="22"/>
                <w:lang w:val="en-US"/>
              </w:rPr>
              <w:t>养恤金</w:t>
            </w:r>
          </w:p>
        </w:tc>
        <w:tc>
          <w:tcPr>
            <w:tcW w:w="2126" w:type="dxa"/>
            <w:tcBorders>
              <w:top w:val="nil"/>
              <w:left w:val="single" w:sz="4" w:space="0" w:color="auto"/>
              <w:bottom w:val="nil"/>
              <w:right w:val="nil"/>
            </w:tcBorders>
            <w:shd w:val="clear" w:color="auto" w:fill="auto"/>
            <w:noWrap/>
            <w:vAlign w:val="bottom"/>
          </w:tcPr>
          <w:p w14:paraId="7BA8327A" w14:textId="7DC465A3"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 xml:space="preserve">168 </w:t>
            </w:r>
          </w:p>
        </w:tc>
        <w:tc>
          <w:tcPr>
            <w:tcW w:w="2174" w:type="dxa"/>
            <w:tcBorders>
              <w:top w:val="nil"/>
              <w:left w:val="single" w:sz="4" w:space="0" w:color="auto"/>
              <w:bottom w:val="nil"/>
              <w:right w:val="single" w:sz="4" w:space="0" w:color="auto"/>
            </w:tcBorders>
            <w:vAlign w:val="bottom"/>
          </w:tcPr>
          <w:p w14:paraId="7EA560D6" w14:textId="2D7A221F"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174</w:t>
            </w:r>
          </w:p>
        </w:tc>
      </w:tr>
      <w:tr w:rsidR="00503A2E" w:rsidRPr="000C156A" w14:paraId="455CDCB6" w14:textId="77777777" w:rsidTr="00503A2E">
        <w:trPr>
          <w:trHeight w:val="20"/>
          <w:jc w:val="center"/>
        </w:trPr>
        <w:tc>
          <w:tcPr>
            <w:tcW w:w="5435" w:type="dxa"/>
            <w:tcBorders>
              <w:top w:val="nil"/>
              <w:left w:val="single" w:sz="4" w:space="0" w:color="auto"/>
              <w:bottom w:val="nil"/>
              <w:right w:val="single" w:sz="4" w:space="0" w:color="auto"/>
            </w:tcBorders>
            <w:noWrap/>
            <w:vAlign w:val="bottom"/>
            <w:hideMark/>
          </w:tcPr>
          <w:p w14:paraId="525BA7D5" w14:textId="77777777" w:rsidR="00503A2E" w:rsidRPr="000C156A" w:rsidRDefault="00503A2E" w:rsidP="00503A2E">
            <w:pPr>
              <w:pStyle w:val="Tabletext"/>
              <w:spacing w:before="20" w:after="20"/>
              <w:rPr>
                <w:bCs/>
                <w:szCs w:val="22"/>
                <w:lang w:val="en-US"/>
              </w:rPr>
            </w:pPr>
            <w:r w:rsidRPr="000C156A">
              <w:rPr>
                <w:rFonts w:hint="eastAsia"/>
                <w:bCs/>
                <w:szCs w:val="22"/>
                <w:lang w:val="en-US"/>
              </w:rPr>
              <w:t>应计利息</w:t>
            </w:r>
          </w:p>
        </w:tc>
        <w:tc>
          <w:tcPr>
            <w:tcW w:w="2126" w:type="dxa"/>
            <w:tcBorders>
              <w:top w:val="nil"/>
              <w:left w:val="single" w:sz="4" w:space="0" w:color="auto"/>
              <w:bottom w:val="nil"/>
              <w:right w:val="nil"/>
            </w:tcBorders>
            <w:shd w:val="clear" w:color="auto" w:fill="auto"/>
            <w:noWrap/>
            <w:vAlign w:val="bottom"/>
          </w:tcPr>
          <w:p w14:paraId="21428221" w14:textId="4B7A33A3"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75</w:t>
            </w:r>
            <w:r w:rsidRPr="00B22101">
              <w:rPr>
                <w:rFonts w:asciiTheme="minorHAnsi" w:hAnsiTheme="minorHAnsi" w:cs="Arial"/>
                <w:color w:val="000000"/>
                <w:sz w:val="22"/>
                <w:szCs w:val="22"/>
                <w:lang w:val="en-US" w:eastAsia="zh-CN"/>
              </w:rPr>
              <w:t xml:space="preserve"> </w:t>
            </w:r>
          </w:p>
        </w:tc>
        <w:tc>
          <w:tcPr>
            <w:tcW w:w="2174" w:type="dxa"/>
            <w:tcBorders>
              <w:top w:val="nil"/>
              <w:left w:val="single" w:sz="4" w:space="0" w:color="auto"/>
              <w:bottom w:val="nil"/>
              <w:right w:val="single" w:sz="4" w:space="0" w:color="auto"/>
            </w:tcBorders>
            <w:vAlign w:val="bottom"/>
          </w:tcPr>
          <w:p w14:paraId="0F86E71C" w14:textId="44D4C82E"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1 688</w:t>
            </w:r>
          </w:p>
        </w:tc>
      </w:tr>
      <w:tr w:rsidR="00503A2E" w:rsidRPr="000C156A" w14:paraId="3BF4E2A1" w14:textId="77777777" w:rsidTr="00503A2E">
        <w:trPr>
          <w:trHeight w:val="20"/>
          <w:jc w:val="center"/>
        </w:trPr>
        <w:tc>
          <w:tcPr>
            <w:tcW w:w="5435" w:type="dxa"/>
            <w:tcBorders>
              <w:top w:val="nil"/>
              <w:left w:val="single" w:sz="4" w:space="0" w:color="auto"/>
              <w:bottom w:val="nil"/>
              <w:right w:val="single" w:sz="4" w:space="0" w:color="auto"/>
            </w:tcBorders>
            <w:noWrap/>
            <w:vAlign w:val="bottom"/>
            <w:hideMark/>
          </w:tcPr>
          <w:p w14:paraId="168C0D28" w14:textId="77777777" w:rsidR="00503A2E" w:rsidRPr="000C156A" w:rsidRDefault="00503A2E" w:rsidP="00503A2E">
            <w:pPr>
              <w:pStyle w:val="Tabletext"/>
              <w:spacing w:before="20" w:after="20"/>
              <w:rPr>
                <w:bCs/>
                <w:szCs w:val="22"/>
                <w:lang w:val="en-US"/>
              </w:rPr>
            </w:pPr>
            <w:r w:rsidRPr="000C156A">
              <w:rPr>
                <w:rFonts w:hint="eastAsia"/>
                <w:bCs/>
                <w:szCs w:val="22"/>
                <w:lang w:val="en-US"/>
              </w:rPr>
              <w:t>应收款项</w:t>
            </w:r>
          </w:p>
        </w:tc>
        <w:tc>
          <w:tcPr>
            <w:tcW w:w="2126" w:type="dxa"/>
            <w:tcBorders>
              <w:top w:val="nil"/>
              <w:left w:val="single" w:sz="4" w:space="0" w:color="auto"/>
              <w:bottom w:val="nil"/>
              <w:right w:val="nil"/>
            </w:tcBorders>
            <w:shd w:val="clear" w:color="auto" w:fill="auto"/>
            <w:noWrap/>
            <w:vAlign w:val="bottom"/>
          </w:tcPr>
          <w:p w14:paraId="15E1859C" w14:textId="52CE23E1"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B22101">
              <w:rPr>
                <w:rFonts w:asciiTheme="minorHAnsi" w:hAnsiTheme="minorHAnsi" w:cs="Arial"/>
                <w:color w:val="000000"/>
                <w:sz w:val="22"/>
                <w:szCs w:val="22"/>
                <w:lang w:val="en-US" w:eastAsia="zh-CN"/>
              </w:rPr>
              <w:t>2</w:t>
            </w:r>
            <w:r>
              <w:rPr>
                <w:rFonts w:asciiTheme="minorHAnsi" w:hAnsiTheme="minorHAnsi" w:cs="Arial"/>
                <w:color w:val="000000"/>
                <w:sz w:val="22"/>
                <w:szCs w:val="22"/>
                <w:lang w:val="en-US" w:eastAsia="zh-CN"/>
              </w:rPr>
              <w:t> </w:t>
            </w:r>
            <w:r w:rsidRPr="00B22101">
              <w:rPr>
                <w:rFonts w:asciiTheme="minorHAnsi" w:hAnsiTheme="minorHAnsi" w:cs="Arial"/>
                <w:color w:val="000000"/>
                <w:sz w:val="22"/>
                <w:szCs w:val="22"/>
                <w:lang w:val="en-US" w:eastAsia="zh-CN"/>
              </w:rPr>
              <w:t xml:space="preserve">369 </w:t>
            </w:r>
          </w:p>
        </w:tc>
        <w:tc>
          <w:tcPr>
            <w:tcW w:w="2174" w:type="dxa"/>
            <w:tcBorders>
              <w:top w:val="nil"/>
              <w:left w:val="single" w:sz="4" w:space="0" w:color="auto"/>
              <w:bottom w:val="nil"/>
              <w:right w:val="single" w:sz="4" w:space="0" w:color="auto"/>
            </w:tcBorders>
            <w:vAlign w:val="bottom"/>
          </w:tcPr>
          <w:p w14:paraId="07CF6F7E" w14:textId="3BF2CD1C" w:rsidR="00503A2E" w:rsidRPr="000C156A" w:rsidRDefault="00503A2E" w:rsidP="00503A2E">
            <w:pPr>
              <w:overflowPunct/>
              <w:autoSpaceDE/>
              <w:autoSpaceDN/>
              <w:adjustRightInd/>
              <w:spacing w:before="0"/>
              <w:jc w:val="right"/>
              <w:textAlignment w:val="auto"/>
              <w:rPr>
                <w:rFonts w:asciiTheme="minorHAnsi" w:hAnsiTheme="minorHAnsi" w:cs="Arial"/>
                <w:color w:val="000000"/>
                <w:sz w:val="22"/>
                <w:szCs w:val="22"/>
                <w:lang w:val="en-US" w:eastAsia="zh-CN"/>
              </w:rPr>
            </w:pPr>
            <w:r w:rsidRPr="000C156A">
              <w:rPr>
                <w:rFonts w:asciiTheme="minorHAnsi" w:hAnsiTheme="minorHAnsi" w:cs="Arial"/>
                <w:color w:val="000000"/>
                <w:sz w:val="22"/>
                <w:szCs w:val="22"/>
                <w:lang w:val="en-US" w:eastAsia="zh-CN"/>
              </w:rPr>
              <w:t>3 105</w:t>
            </w:r>
          </w:p>
        </w:tc>
      </w:tr>
      <w:tr w:rsidR="00503A2E" w:rsidRPr="000C156A" w14:paraId="53989259" w14:textId="77777777" w:rsidTr="003A64C9">
        <w:trPr>
          <w:trHeight w:val="20"/>
          <w:jc w:val="center"/>
        </w:trPr>
        <w:tc>
          <w:tcPr>
            <w:tcW w:w="5435" w:type="dxa"/>
            <w:tcBorders>
              <w:top w:val="single" w:sz="4" w:space="0" w:color="auto"/>
              <w:left w:val="single" w:sz="4" w:space="0" w:color="auto"/>
              <w:bottom w:val="single" w:sz="4" w:space="0" w:color="auto"/>
              <w:right w:val="single" w:sz="4" w:space="0" w:color="auto"/>
            </w:tcBorders>
            <w:noWrap/>
            <w:vAlign w:val="center"/>
            <w:hideMark/>
          </w:tcPr>
          <w:p w14:paraId="3CA71A9F" w14:textId="77777777" w:rsidR="00503A2E" w:rsidRPr="000C156A" w:rsidRDefault="00503A2E" w:rsidP="00503A2E">
            <w:pPr>
              <w:pStyle w:val="Tabletext"/>
              <w:spacing w:before="20" w:after="20"/>
              <w:rPr>
                <w:b/>
                <w:szCs w:val="22"/>
                <w:lang w:val="en-US"/>
              </w:rPr>
            </w:pPr>
            <w:r w:rsidRPr="000C156A">
              <w:rPr>
                <w:rFonts w:hint="eastAsia"/>
                <w:b/>
                <w:szCs w:val="22"/>
                <w:lang w:val="en-US"/>
              </w:rPr>
              <w:t>其它应收款项</w:t>
            </w:r>
          </w:p>
        </w:tc>
        <w:tc>
          <w:tcPr>
            <w:tcW w:w="2126" w:type="dxa"/>
            <w:tcBorders>
              <w:top w:val="single" w:sz="4" w:space="0" w:color="auto"/>
              <w:left w:val="single" w:sz="4" w:space="0" w:color="auto"/>
              <w:bottom w:val="single" w:sz="4" w:space="0" w:color="auto"/>
              <w:right w:val="nil"/>
            </w:tcBorders>
            <w:shd w:val="clear" w:color="auto" w:fill="auto"/>
            <w:noWrap/>
            <w:vAlign w:val="bottom"/>
          </w:tcPr>
          <w:p w14:paraId="71B52152" w14:textId="3891416B" w:rsidR="00503A2E" w:rsidRPr="000C156A" w:rsidRDefault="00503A2E" w:rsidP="00503A2E">
            <w:pPr>
              <w:overflowPunct/>
              <w:autoSpaceDE/>
              <w:autoSpaceDN/>
              <w:adjustRightInd/>
              <w:spacing w:before="0"/>
              <w:jc w:val="right"/>
              <w:textAlignment w:val="auto"/>
              <w:rPr>
                <w:rFonts w:asciiTheme="minorHAnsi" w:hAnsiTheme="minorHAnsi" w:cs="Arial"/>
                <w:b/>
                <w:bCs/>
                <w:color w:val="000000"/>
                <w:sz w:val="22"/>
                <w:szCs w:val="22"/>
                <w:lang w:val="en-US" w:eastAsia="zh-CN"/>
              </w:rPr>
            </w:pPr>
            <w:r>
              <w:rPr>
                <w:rFonts w:asciiTheme="minorHAnsi" w:hAnsiTheme="minorHAnsi" w:cs="Arial"/>
                <w:b/>
                <w:bCs/>
                <w:color w:val="000000"/>
                <w:sz w:val="22"/>
                <w:szCs w:val="22"/>
                <w:lang w:val="en-US" w:eastAsia="zh-CN"/>
              </w:rPr>
              <w:t>7 118</w:t>
            </w:r>
            <w:r w:rsidRPr="00B22101">
              <w:rPr>
                <w:rFonts w:asciiTheme="minorHAnsi" w:hAnsiTheme="minorHAnsi" w:cs="Arial"/>
                <w:b/>
                <w:bCs/>
                <w:color w:val="000000"/>
                <w:sz w:val="22"/>
                <w:szCs w:val="22"/>
                <w:lang w:val="en-US" w:eastAsia="zh-CN"/>
              </w:rPr>
              <w:t> </w:t>
            </w:r>
          </w:p>
        </w:tc>
        <w:tc>
          <w:tcPr>
            <w:tcW w:w="2174" w:type="dxa"/>
            <w:tcBorders>
              <w:top w:val="single" w:sz="4" w:space="0" w:color="auto"/>
              <w:left w:val="single" w:sz="4" w:space="0" w:color="auto"/>
              <w:bottom w:val="single" w:sz="4" w:space="0" w:color="auto"/>
              <w:right w:val="single" w:sz="4" w:space="0" w:color="auto"/>
            </w:tcBorders>
            <w:vAlign w:val="center"/>
          </w:tcPr>
          <w:p w14:paraId="4CCC45A4" w14:textId="3B705361" w:rsidR="00503A2E" w:rsidRPr="000C156A" w:rsidRDefault="00503A2E" w:rsidP="00503A2E">
            <w:pPr>
              <w:overflowPunct/>
              <w:autoSpaceDE/>
              <w:autoSpaceDN/>
              <w:adjustRightInd/>
              <w:spacing w:before="0"/>
              <w:jc w:val="right"/>
              <w:textAlignment w:val="auto"/>
              <w:rPr>
                <w:rFonts w:asciiTheme="minorHAnsi" w:hAnsiTheme="minorHAnsi" w:cs="Arial"/>
                <w:b/>
                <w:bCs/>
                <w:color w:val="000000"/>
                <w:sz w:val="22"/>
                <w:szCs w:val="22"/>
                <w:lang w:val="en-US" w:eastAsia="zh-CN"/>
              </w:rPr>
            </w:pPr>
            <w:r w:rsidRPr="000C156A">
              <w:rPr>
                <w:rFonts w:asciiTheme="minorHAnsi" w:hAnsiTheme="minorHAnsi" w:cs="Arial"/>
                <w:b/>
                <w:bCs/>
                <w:color w:val="000000"/>
                <w:sz w:val="22"/>
                <w:szCs w:val="22"/>
                <w:lang w:val="en-US" w:eastAsia="zh-CN"/>
              </w:rPr>
              <w:t>9 439</w:t>
            </w:r>
          </w:p>
        </w:tc>
      </w:tr>
    </w:tbl>
    <w:p w14:paraId="1F333E25" w14:textId="67DD94F0" w:rsidR="0085433F" w:rsidRPr="000C156A" w:rsidRDefault="0085433F" w:rsidP="0085433F">
      <w:pPr>
        <w:spacing w:before="240"/>
        <w:ind w:firstLineChars="200" w:firstLine="480"/>
        <w:rPr>
          <w:lang w:eastAsia="zh-CN"/>
        </w:rPr>
      </w:pPr>
      <w:r w:rsidRPr="000C156A">
        <w:rPr>
          <w:rFonts w:hint="eastAsia"/>
          <w:lang w:eastAsia="zh-CN"/>
        </w:rPr>
        <w:t>职员预支主要包括支付职员子女</w:t>
      </w:r>
      <w:r w:rsidRPr="000C156A">
        <w:rPr>
          <w:rFonts w:hint="eastAsia"/>
          <w:lang w:eastAsia="zh-CN"/>
        </w:rPr>
        <w:t>9</w:t>
      </w:r>
      <w:r w:rsidR="00FE606E">
        <w:rPr>
          <w:lang w:eastAsia="zh-CN"/>
        </w:rPr>
        <w:t>8</w:t>
      </w:r>
      <w:r w:rsidRPr="000C156A">
        <w:rPr>
          <w:lang w:eastAsia="zh-CN"/>
        </w:rPr>
        <w:t>%</w:t>
      </w:r>
      <w:r w:rsidRPr="000C156A">
        <w:rPr>
          <w:rFonts w:hint="eastAsia"/>
          <w:lang w:eastAsia="zh-CN"/>
        </w:rPr>
        <w:t>的教育补助金。</w:t>
      </w:r>
    </w:p>
    <w:p w14:paraId="0BE3D4CE" w14:textId="7FA581A8" w:rsidR="0085433F" w:rsidRPr="000C156A" w:rsidRDefault="0085433F" w:rsidP="0085433F">
      <w:pPr>
        <w:ind w:firstLineChars="200" w:firstLine="480"/>
        <w:rPr>
          <w:lang w:eastAsia="zh-CN"/>
        </w:rPr>
      </w:pPr>
      <w:r w:rsidRPr="000C156A">
        <w:rPr>
          <w:rFonts w:hint="eastAsia"/>
          <w:lang w:eastAsia="zh-CN"/>
        </w:rPr>
        <w:t>从源课税（</w:t>
      </w:r>
      <w:r w:rsidRPr="000C156A">
        <w:rPr>
          <w:lang w:eastAsia="zh-CN"/>
        </w:rPr>
        <w:t>Tax at source</w:t>
      </w:r>
      <w:r w:rsidRPr="000C156A">
        <w:rPr>
          <w:rFonts w:hint="eastAsia"/>
          <w:lang w:eastAsia="zh-CN"/>
        </w:rPr>
        <w:t>）包括由瑞士联邦税务管理局返还的预扣税和从美国政府那里收回的所得税（</w:t>
      </w:r>
      <w:r w:rsidRPr="000C156A">
        <w:rPr>
          <w:lang w:eastAsia="zh-CN"/>
        </w:rPr>
        <w:t>income tax</w:t>
      </w:r>
      <w:r w:rsidRPr="000C156A">
        <w:rPr>
          <w:rFonts w:hint="eastAsia"/>
          <w:lang w:eastAsia="zh-CN"/>
        </w:rPr>
        <w:t>）。</w:t>
      </w:r>
      <w:r w:rsidRPr="000C156A">
        <w:rPr>
          <w:lang w:eastAsia="zh-CN"/>
        </w:rPr>
        <w:t>20</w:t>
      </w:r>
      <w:r w:rsidRPr="000C156A">
        <w:rPr>
          <w:rFonts w:hint="eastAsia"/>
          <w:lang w:eastAsia="zh-CN"/>
        </w:rPr>
        <w:t>2</w:t>
      </w:r>
      <w:r w:rsidR="00FE606E">
        <w:rPr>
          <w:lang w:eastAsia="zh-CN"/>
        </w:rPr>
        <w:t>1</w:t>
      </w:r>
      <w:r w:rsidRPr="000C156A">
        <w:rPr>
          <w:rFonts w:hint="eastAsia"/>
          <w:lang w:eastAsia="zh-CN"/>
        </w:rPr>
        <w:t>年底，需从该主管部门收回的余额为</w:t>
      </w:r>
      <w:r w:rsidR="00FE606E">
        <w:rPr>
          <w:lang w:eastAsia="zh-CN"/>
        </w:rPr>
        <w:t>193</w:t>
      </w:r>
      <w:r w:rsidRPr="000C156A">
        <w:rPr>
          <w:rFonts w:hint="eastAsia"/>
          <w:lang w:eastAsia="zh-CN"/>
        </w:rPr>
        <w:t>万瑞郎。</w:t>
      </w:r>
    </w:p>
    <w:p w14:paraId="3E67A1A0" w14:textId="77777777" w:rsidR="0085433F" w:rsidRPr="000C156A" w:rsidRDefault="0085433F" w:rsidP="0085433F">
      <w:pPr>
        <w:ind w:firstLineChars="200" w:firstLine="480"/>
        <w:rPr>
          <w:lang w:eastAsia="zh-CN"/>
        </w:rPr>
      </w:pPr>
      <w:r w:rsidRPr="000C156A">
        <w:rPr>
          <w:rFonts w:hint="eastAsia"/>
          <w:lang w:eastAsia="zh-CN"/>
        </w:rPr>
        <w:t>曾为前南斯拉夫共和国债务提供了</w:t>
      </w:r>
      <w:r w:rsidRPr="000C156A">
        <w:rPr>
          <w:lang w:eastAsia="zh-CN"/>
        </w:rPr>
        <w:t>100%</w:t>
      </w:r>
      <w:r w:rsidRPr="000C156A">
        <w:rPr>
          <w:rFonts w:hint="eastAsia"/>
          <w:lang w:eastAsia="zh-CN"/>
        </w:rPr>
        <w:t>的准备金。欠款仍未结清。国际电联正在等待联合国大会就这笔债务做出决定。</w:t>
      </w:r>
    </w:p>
    <w:p w14:paraId="28B05935" w14:textId="4C9D5CDA" w:rsidR="0085433F" w:rsidRPr="000C156A" w:rsidRDefault="0085433F" w:rsidP="0085433F">
      <w:pPr>
        <w:ind w:firstLineChars="200" w:firstLine="480"/>
        <w:rPr>
          <w:lang w:eastAsia="zh-CN"/>
        </w:rPr>
      </w:pPr>
      <w:r w:rsidRPr="000C156A">
        <w:rPr>
          <w:rFonts w:hint="eastAsia"/>
          <w:lang w:eastAsia="zh-CN"/>
        </w:rPr>
        <w:t>应收款项主要呈现为与</w:t>
      </w:r>
      <w:r w:rsidRPr="000C156A">
        <w:rPr>
          <w:lang w:eastAsia="zh-CN"/>
        </w:rPr>
        <w:t>20</w:t>
      </w:r>
      <w:r w:rsidRPr="000C156A">
        <w:rPr>
          <w:rFonts w:hint="eastAsia"/>
          <w:lang w:eastAsia="zh-CN"/>
        </w:rPr>
        <w:t>2</w:t>
      </w:r>
      <w:r w:rsidR="00FE606E">
        <w:rPr>
          <w:lang w:eastAsia="zh-CN"/>
        </w:rPr>
        <w:t>1</w:t>
      </w:r>
      <w:r w:rsidRPr="000C156A">
        <w:rPr>
          <w:rFonts w:hint="eastAsia"/>
          <w:lang w:eastAsia="zh-CN"/>
        </w:rPr>
        <w:t>年预算相关的预付费用。</w:t>
      </w:r>
    </w:p>
    <w:p w14:paraId="1194F9C9" w14:textId="77777777" w:rsidR="0085433F" w:rsidRPr="000C156A" w:rsidRDefault="0085433F" w:rsidP="0085433F">
      <w:pPr>
        <w:pStyle w:val="Heading1"/>
        <w:rPr>
          <w:rFonts w:cs="Microsoft YaHei"/>
          <w:sz w:val="24"/>
          <w:szCs w:val="24"/>
          <w:lang w:eastAsia="zh-CN"/>
        </w:rPr>
      </w:pPr>
      <w:bookmarkStart w:id="684" w:name="_Toc482892570"/>
      <w:bookmarkStart w:id="685" w:name="_Toc482870835"/>
      <w:bookmarkStart w:id="686" w:name="_Toc329165786"/>
      <w:bookmarkStart w:id="687" w:name="_Toc305594745"/>
      <w:bookmarkStart w:id="688" w:name="_Toc511813753"/>
      <w:bookmarkStart w:id="689" w:name="_Toc511817836"/>
      <w:bookmarkStart w:id="690" w:name="_Toc520280736"/>
      <w:bookmarkStart w:id="691" w:name="_Toc10536831"/>
      <w:bookmarkStart w:id="692" w:name="_Toc41905872"/>
      <w:bookmarkStart w:id="693" w:name="_Toc41906901"/>
      <w:bookmarkStart w:id="694" w:name="_Toc41907982"/>
      <w:bookmarkStart w:id="695" w:name="_Toc41908050"/>
      <w:bookmarkStart w:id="696" w:name="_Toc73518688"/>
      <w:bookmarkStart w:id="697" w:name="_Toc73518835"/>
      <w:bookmarkStart w:id="698" w:name="_Toc73519235"/>
      <w:bookmarkStart w:id="699" w:name="_Toc110263998"/>
      <w:bookmarkStart w:id="700" w:name="_Toc110264077"/>
      <w:bookmarkStart w:id="701" w:name="_Toc110265716"/>
      <w:bookmarkStart w:id="702" w:name="_Toc110330086"/>
      <w:bookmarkStart w:id="703" w:name="_Toc110330251"/>
      <w:r w:rsidRPr="000C156A">
        <w:rPr>
          <w:rFonts w:cs="Microsoft YaHei" w:hint="eastAsia"/>
          <w:sz w:val="24"/>
          <w:szCs w:val="24"/>
          <w:lang w:val="fr-FR" w:eastAsia="zh-CN"/>
        </w:rPr>
        <w:t>说明</w:t>
      </w:r>
      <w:r w:rsidRPr="000C156A">
        <w:rPr>
          <w:rFonts w:cs="Microsoft YaHei"/>
          <w:sz w:val="24"/>
          <w:szCs w:val="24"/>
          <w:lang w:eastAsia="zh-CN"/>
        </w:rPr>
        <w:t>11</w:t>
      </w:r>
      <w:r w:rsidRPr="000C156A">
        <w:rPr>
          <w:rFonts w:cs="Microsoft YaHei"/>
          <w:sz w:val="24"/>
          <w:szCs w:val="24"/>
          <w:lang w:eastAsia="zh-CN"/>
        </w:rPr>
        <w:tab/>
      </w:r>
      <w:r w:rsidRPr="000C156A">
        <w:rPr>
          <w:rFonts w:cs="Microsoft YaHei" w:hint="eastAsia"/>
          <w:sz w:val="24"/>
          <w:szCs w:val="24"/>
          <w:lang w:val="fr-FR" w:eastAsia="zh-CN"/>
        </w:rPr>
        <w:t>财产和设备</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1B3F3EBB" w14:textId="77777777" w:rsidR="0085433F" w:rsidRPr="000C156A" w:rsidRDefault="0085433F" w:rsidP="0085433F">
      <w:pPr>
        <w:ind w:firstLineChars="200" w:firstLine="480"/>
        <w:rPr>
          <w:lang w:eastAsia="zh-CN"/>
        </w:rPr>
      </w:pPr>
      <w:r w:rsidRPr="000C156A">
        <w:rPr>
          <w:rFonts w:hint="eastAsia"/>
          <w:lang w:eastAsia="zh-CN"/>
        </w:rPr>
        <w:t>国际电联办公楼包括下列楼宇：</w:t>
      </w:r>
    </w:p>
    <w:p w14:paraId="645653F0" w14:textId="77777777" w:rsidR="0085433F" w:rsidRPr="000C156A" w:rsidRDefault="0085433F" w:rsidP="0085433F">
      <w:pPr>
        <w:pStyle w:val="enumlev1"/>
        <w:rPr>
          <w:lang w:eastAsia="zh-CN"/>
        </w:rPr>
      </w:pPr>
      <w:r w:rsidRPr="000C156A">
        <w:t>–</w:t>
      </w:r>
      <w:r w:rsidRPr="000C156A">
        <w:tab/>
      </w:r>
      <w:r w:rsidRPr="000C156A">
        <w:rPr>
          <w:rFonts w:hint="eastAsia"/>
        </w:rPr>
        <w:t>塔楼，日内瓦</w:t>
      </w:r>
      <w:r w:rsidRPr="000C156A">
        <w:t>rue de Varembé</w:t>
      </w:r>
      <w:r w:rsidRPr="000C156A">
        <w:rPr>
          <w:rFonts w:hint="eastAsia"/>
          <w:lang w:eastAsia="zh-CN"/>
        </w:rPr>
        <w:t>；</w:t>
      </w:r>
    </w:p>
    <w:p w14:paraId="5EDF0D61" w14:textId="77777777" w:rsidR="0085433F" w:rsidRPr="000C156A" w:rsidRDefault="0085433F" w:rsidP="0085433F">
      <w:pPr>
        <w:pStyle w:val="enumlev1"/>
      </w:pPr>
      <w:r w:rsidRPr="000C156A">
        <w:t>–</w:t>
      </w:r>
      <w:r w:rsidRPr="000C156A">
        <w:tab/>
        <w:t>Varembé</w:t>
      </w:r>
      <w:r w:rsidRPr="000C156A">
        <w:rPr>
          <w:rFonts w:hint="eastAsia"/>
        </w:rPr>
        <w:t>楼，日内瓦</w:t>
      </w:r>
      <w:r w:rsidRPr="000C156A">
        <w:t>rue de Varembé</w:t>
      </w:r>
      <w:r w:rsidRPr="000C156A">
        <w:t>；</w:t>
      </w:r>
    </w:p>
    <w:p w14:paraId="2E11315C" w14:textId="77777777" w:rsidR="0085433F" w:rsidRPr="000C156A" w:rsidRDefault="0085433F" w:rsidP="0085433F">
      <w:pPr>
        <w:pStyle w:val="enumlev1"/>
      </w:pPr>
      <w:r w:rsidRPr="000C156A">
        <w:t>–</w:t>
      </w:r>
      <w:r w:rsidRPr="000C156A">
        <w:tab/>
        <w:t>C</w:t>
      </w:r>
      <w:r w:rsidRPr="000C156A">
        <w:rPr>
          <w:rFonts w:hint="eastAsia"/>
        </w:rPr>
        <w:t>翼和咖啡厅，日内瓦</w:t>
      </w:r>
      <w:r w:rsidRPr="000C156A">
        <w:t>rue de Varembé</w:t>
      </w:r>
      <w:r w:rsidRPr="000C156A">
        <w:t>；</w:t>
      </w:r>
    </w:p>
    <w:p w14:paraId="649F5835" w14:textId="77777777" w:rsidR="0085433F" w:rsidRPr="000C156A" w:rsidRDefault="0085433F" w:rsidP="0085433F">
      <w:pPr>
        <w:pStyle w:val="enumlev1"/>
        <w:rPr>
          <w:lang w:eastAsia="zh-CN"/>
        </w:rPr>
      </w:pPr>
      <w:r w:rsidRPr="000C156A">
        <w:rPr>
          <w:lang w:eastAsia="zh-CN"/>
        </w:rPr>
        <w:t>–</w:t>
      </w:r>
      <w:r w:rsidRPr="000C156A">
        <w:rPr>
          <w:lang w:eastAsia="zh-CN"/>
        </w:rPr>
        <w:tab/>
        <w:t>Montbrillant</w:t>
      </w:r>
      <w:r w:rsidRPr="000C156A">
        <w:rPr>
          <w:rFonts w:hint="eastAsia"/>
          <w:lang w:eastAsia="zh-CN"/>
        </w:rPr>
        <w:t>楼，日内瓦</w:t>
      </w:r>
      <w:r w:rsidRPr="000C156A">
        <w:rPr>
          <w:lang w:eastAsia="zh-CN"/>
        </w:rPr>
        <w:t>rue de Varembé</w:t>
      </w:r>
      <w:r w:rsidRPr="000C156A">
        <w:rPr>
          <w:lang w:eastAsia="zh-CN"/>
        </w:rPr>
        <w:t>。</w:t>
      </w:r>
    </w:p>
    <w:p w14:paraId="5007D586" w14:textId="77777777" w:rsidR="0085433F" w:rsidRPr="000C156A" w:rsidRDefault="0085433F" w:rsidP="0085433F">
      <w:pPr>
        <w:ind w:firstLineChars="200" w:firstLine="480"/>
        <w:rPr>
          <w:lang w:eastAsia="zh-CN"/>
        </w:rPr>
      </w:pPr>
      <w:r w:rsidRPr="000C156A">
        <w:rPr>
          <w:lang w:eastAsia="zh-CN"/>
        </w:rPr>
        <w:t>2010</w:t>
      </w:r>
      <w:r w:rsidRPr="000C156A">
        <w:rPr>
          <w:rFonts w:hint="eastAsia"/>
          <w:lang w:eastAsia="zh-CN"/>
        </w:rPr>
        <w:t>年首批</w:t>
      </w:r>
      <w:r w:rsidRPr="000C156A">
        <w:rPr>
          <w:lang w:eastAsia="zh-CN"/>
        </w:rPr>
        <w:t>IPSAS</w:t>
      </w:r>
      <w:r w:rsidRPr="000C156A">
        <w:rPr>
          <w:rFonts w:hint="eastAsia"/>
          <w:lang w:eastAsia="zh-CN"/>
        </w:rPr>
        <w:t>财务报表的外部咨询机构独立确定了这些建筑物的价值。该价值代表建筑物建成后以及自建筑入住后减去累计折旧得出的翻修估值。</w:t>
      </w:r>
    </w:p>
    <w:p w14:paraId="57976193" w14:textId="34B4D91B" w:rsidR="0085433F" w:rsidRPr="000C156A" w:rsidRDefault="0085433F" w:rsidP="0085433F">
      <w:pPr>
        <w:spacing w:after="120"/>
        <w:ind w:firstLineChars="200" w:firstLine="480"/>
        <w:rPr>
          <w:lang w:eastAsia="zh-CN"/>
        </w:rPr>
      </w:pPr>
      <w:r w:rsidRPr="000C156A">
        <w:rPr>
          <w:rFonts w:hint="eastAsia"/>
          <w:lang w:eastAsia="zh-CN"/>
        </w:rPr>
        <w:t>以下说明</w:t>
      </w:r>
      <w:r w:rsidRPr="000C156A">
        <w:rPr>
          <w:lang w:eastAsia="zh-CN"/>
        </w:rPr>
        <w:t>20</w:t>
      </w:r>
      <w:r w:rsidRPr="000C156A">
        <w:rPr>
          <w:rFonts w:hint="eastAsia"/>
          <w:lang w:eastAsia="zh-CN"/>
        </w:rPr>
        <w:t>2</w:t>
      </w:r>
      <w:r w:rsidR="00FE606E">
        <w:rPr>
          <w:lang w:eastAsia="zh-CN"/>
        </w:rPr>
        <w:t>1</w:t>
      </w:r>
      <w:r w:rsidRPr="000C156A">
        <w:rPr>
          <w:rFonts w:hint="eastAsia"/>
          <w:lang w:eastAsia="zh-CN"/>
        </w:rPr>
        <w:t>年期间财产、固定资产和设备的净账面金额的变化情况。</w:t>
      </w:r>
    </w:p>
    <w:p w14:paraId="658733D2" w14:textId="3F3826F4" w:rsidR="0085433F" w:rsidRPr="000C156A" w:rsidRDefault="0085433F" w:rsidP="0085433F">
      <w:pPr>
        <w:spacing w:after="120"/>
        <w:ind w:firstLineChars="200" w:firstLine="480"/>
        <w:rPr>
          <w:lang w:eastAsia="zh-CN"/>
        </w:rPr>
      </w:pPr>
      <w:r w:rsidRPr="000C156A">
        <w:rPr>
          <w:rFonts w:hint="eastAsia"/>
          <w:lang w:eastAsia="zh-CN"/>
        </w:rPr>
        <w:t>截至</w:t>
      </w:r>
      <w:r w:rsidRPr="000C156A">
        <w:rPr>
          <w:lang w:eastAsia="zh-CN"/>
        </w:rPr>
        <w:t>20</w:t>
      </w:r>
      <w:r w:rsidRPr="000C156A">
        <w:rPr>
          <w:rFonts w:hint="eastAsia"/>
          <w:lang w:eastAsia="zh-CN"/>
        </w:rPr>
        <w:t>2</w:t>
      </w:r>
      <w:r w:rsidR="00FE606E">
        <w:rPr>
          <w:lang w:eastAsia="zh-CN"/>
        </w:rPr>
        <w:t>1</w:t>
      </w:r>
      <w:r w:rsidRPr="000C156A">
        <w:rPr>
          <w:rFonts w:hint="eastAsia"/>
          <w:lang w:eastAsia="zh-CN"/>
        </w:rPr>
        <w:t>年</w:t>
      </w:r>
      <w:r w:rsidRPr="000C156A">
        <w:rPr>
          <w:lang w:eastAsia="zh-CN"/>
        </w:rPr>
        <w:t>12</w:t>
      </w:r>
      <w:r w:rsidRPr="000C156A">
        <w:rPr>
          <w:rFonts w:hint="eastAsia"/>
          <w:lang w:eastAsia="zh-CN"/>
        </w:rPr>
        <w:t>月没有任何财产、固定资产或设备被承诺作为债务抵押。</w:t>
      </w:r>
    </w:p>
    <w:p w14:paraId="0EDBDCF4" w14:textId="77777777" w:rsidR="0085433F" w:rsidRPr="000C156A" w:rsidRDefault="0085433F" w:rsidP="0085433F">
      <w:pPr>
        <w:spacing w:after="120"/>
        <w:ind w:firstLineChars="200" w:firstLine="480"/>
        <w:rPr>
          <w:lang w:eastAsia="zh-CN"/>
        </w:rPr>
      </w:pPr>
      <w:r w:rsidRPr="000C156A">
        <w:rPr>
          <w:lang w:eastAsia="zh-CN"/>
        </w:rPr>
        <w:t>从</w:t>
      </w:r>
      <w:r w:rsidRPr="000C156A">
        <w:rPr>
          <w:lang w:eastAsia="zh-CN"/>
        </w:rPr>
        <w:t>2020</w:t>
      </w:r>
      <w:r w:rsidRPr="000C156A">
        <w:rPr>
          <w:lang w:eastAsia="zh-CN"/>
        </w:rPr>
        <w:t>年</w:t>
      </w:r>
      <w:r w:rsidRPr="000C156A">
        <w:rPr>
          <w:lang w:eastAsia="zh-CN"/>
        </w:rPr>
        <w:t>1</w:t>
      </w:r>
      <w:r w:rsidRPr="000C156A">
        <w:rPr>
          <w:lang w:eastAsia="zh-CN"/>
        </w:rPr>
        <w:t>月</w:t>
      </w:r>
      <w:r w:rsidRPr="000C156A">
        <w:rPr>
          <w:lang w:eastAsia="zh-CN"/>
        </w:rPr>
        <w:t>1</w:t>
      </w:r>
      <w:r w:rsidRPr="000C156A">
        <w:rPr>
          <w:lang w:eastAsia="zh-CN"/>
        </w:rPr>
        <w:t>日起，</w:t>
      </w:r>
      <w:r w:rsidRPr="000C156A">
        <w:rPr>
          <w:lang w:eastAsia="zh-CN"/>
        </w:rPr>
        <w:t>Varembé</w:t>
      </w:r>
      <w:r w:rsidRPr="000C156A">
        <w:rPr>
          <w:rFonts w:hint="eastAsia"/>
          <w:lang w:eastAsia="zh-CN"/>
        </w:rPr>
        <w:t>办公楼</w:t>
      </w:r>
      <w:r w:rsidRPr="000C156A">
        <w:rPr>
          <w:lang w:eastAsia="zh-CN"/>
        </w:rPr>
        <w:t>将采用加速折旧，剩余使用</w:t>
      </w:r>
      <w:r w:rsidRPr="000C156A">
        <w:rPr>
          <w:rFonts w:hint="eastAsia"/>
          <w:lang w:eastAsia="zh-CN"/>
        </w:rPr>
        <w:t>寿命</w:t>
      </w:r>
      <w:r w:rsidRPr="000C156A">
        <w:rPr>
          <w:lang w:eastAsia="zh-CN"/>
        </w:rPr>
        <w:t>为</w:t>
      </w:r>
      <w:r w:rsidRPr="000C156A">
        <w:rPr>
          <w:rFonts w:hint="eastAsia"/>
          <w:lang w:eastAsia="zh-CN"/>
        </w:rPr>
        <w:t>三</w:t>
      </w:r>
      <w:r w:rsidRPr="000C156A">
        <w:rPr>
          <w:lang w:eastAsia="zh-CN"/>
        </w:rPr>
        <w:t>年。到</w:t>
      </w:r>
      <w:r w:rsidRPr="000C156A">
        <w:rPr>
          <w:lang w:eastAsia="zh-CN"/>
        </w:rPr>
        <w:t>2022</w:t>
      </w:r>
      <w:r w:rsidRPr="000C156A">
        <w:rPr>
          <w:lang w:eastAsia="zh-CN"/>
        </w:rPr>
        <w:t>年底，</w:t>
      </w:r>
      <w:r w:rsidRPr="000C156A">
        <w:rPr>
          <w:lang w:eastAsia="zh-CN"/>
        </w:rPr>
        <w:t>Varembé</w:t>
      </w:r>
      <w:r w:rsidRPr="000C156A">
        <w:rPr>
          <w:rFonts w:hint="eastAsia"/>
          <w:lang w:eastAsia="zh-CN"/>
        </w:rPr>
        <w:t>办公</w:t>
      </w:r>
      <w:r w:rsidRPr="000C156A">
        <w:rPr>
          <w:lang w:eastAsia="zh-CN"/>
        </w:rPr>
        <w:t>楼的账面净值将为零。</w:t>
      </w:r>
      <w:r w:rsidRPr="000C156A">
        <w:rPr>
          <w:lang w:eastAsia="zh-CN"/>
        </w:rPr>
        <w:t>Varembé</w:t>
      </w:r>
      <w:r w:rsidRPr="000C156A">
        <w:rPr>
          <w:rFonts w:hint="eastAsia"/>
          <w:lang w:eastAsia="zh-CN"/>
        </w:rPr>
        <w:t>办公</w:t>
      </w:r>
      <w:r w:rsidRPr="000C156A">
        <w:rPr>
          <w:lang w:eastAsia="zh-CN"/>
        </w:rPr>
        <w:t>楼计划于</w:t>
      </w:r>
      <w:r w:rsidRPr="000C156A">
        <w:rPr>
          <w:lang w:eastAsia="zh-CN"/>
        </w:rPr>
        <w:t>2023</w:t>
      </w:r>
      <w:r w:rsidRPr="000C156A">
        <w:rPr>
          <w:lang w:eastAsia="zh-CN"/>
        </w:rPr>
        <w:t>年拆除</w:t>
      </w:r>
      <w:r w:rsidRPr="000C156A">
        <w:rPr>
          <w:rFonts w:hint="eastAsia"/>
          <w:lang w:eastAsia="zh-CN"/>
        </w:rPr>
        <w:t>。</w:t>
      </w:r>
    </w:p>
    <w:p w14:paraId="23B83211" w14:textId="77777777" w:rsidR="0085433F" w:rsidRPr="000C156A" w:rsidRDefault="0085433F" w:rsidP="0085433F">
      <w:pPr>
        <w:spacing w:after="240"/>
        <w:ind w:firstLineChars="200" w:firstLine="480"/>
        <w:rPr>
          <w:szCs w:val="24"/>
          <w:lang w:eastAsia="zh-CN"/>
        </w:rPr>
      </w:pPr>
      <w:r w:rsidRPr="000C156A">
        <w:rPr>
          <w:lang w:eastAsia="zh-CN"/>
        </w:rPr>
        <w:t>应该注意的是，移动设备越来越多，</w:t>
      </w:r>
      <w:r w:rsidRPr="000C156A">
        <w:rPr>
          <w:rFonts w:hint="eastAsia"/>
          <w:lang w:eastAsia="zh-CN"/>
        </w:rPr>
        <w:t>职员</w:t>
      </w:r>
      <w:r w:rsidRPr="000C156A">
        <w:rPr>
          <w:lang w:eastAsia="zh-CN"/>
        </w:rPr>
        <w:t>经常远程工作。跟踪</w:t>
      </w:r>
      <w:r w:rsidRPr="000C156A">
        <w:rPr>
          <w:rFonts w:hint="eastAsia"/>
          <w:lang w:eastAsia="zh-CN"/>
        </w:rPr>
        <w:t>这些</w:t>
      </w:r>
      <w:r w:rsidRPr="000C156A">
        <w:rPr>
          <w:lang w:eastAsia="zh-CN"/>
        </w:rPr>
        <w:t>设备需要时间</w:t>
      </w:r>
      <w:r w:rsidRPr="000C156A">
        <w:rPr>
          <w:rFonts w:hint="eastAsia"/>
          <w:lang w:eastAsia="zh-CN"/>
        </w:rPr>
        <w:t>和</w:t>
      </w:r>
      <w:r w:rsidRPr="000C156A">
        <w:rPr>
          <w:lang w:eastAsia="zh-CN"/>
        </w:rPr>
        <w:t>人力资源，在</w:t>
      </w:r>
      <w:r w:rsidRPr="000C156A">
        <w:rPr>
          <w:rFonts w:hint="eastAsia"/>
          <w:lang w:eastAsia="zh-CN"/>
        </w:rPr>
        <w:t>规定</w:t>
      </w:r>
      <w:r w:rsidRPr="000C156A">
        <w:rPr>
          <w:lang w:eastAsia="zh-CN"/>
        </w:rPr>
        <w:t>的时间</w:t>
      </w:r>
      <w:r w:rsidRPr="000C156A">
        <w:rPr>
          <w:rFonts w:hint="eastAsia"/>
          <w:lang w:eastAsia="zh-CN"/>
        </w:rPr>
        <w:t>段</w:t>
      </w:r>
      <w:r w:rsidRPr="000C156A">
        <w:rPr>
          <w:lang w:eastAsia="zh-CN"/>
        </w:rPr>
        <w:t>内是</w:t>
      </w:r>
      <w:r w:rsidRPr="000C156A">
        <w:rPr>
          <w:rFonts w:hint="eastAsia"/>
          <w:lang w:eastAsia="zh-CN"/>
        </w:rPr>
        <w:t>不可能实现</w:t>
      </w:r>
      <w:r w:rsidRPr="000C156A">
        <w:rPr>
          <w:lang w:eastAsia="zh-CN"/>
        </w:rPr>
        <w:t>的。</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8"/>
        <w:gridCol w:w="983"/>
        <w:gridCol w:w="827"/>
        <w:gridCol w:w="795"/>
        <w:gridCol w:w="895"/>
        <w:gridCol w:w="867"/>
        <w:gridCol w:w="1053"/>
        <w:gridCol w:w="1053"/>
      </w:tblGrid>
      <w:tr w:rsidR="0085433F" w:rsidRPr="000C156A" w14:paraId="741D780A" w14:textId="77777777" w:rsidTr="00FE606E">
        <w:trPr>
          <w:jc w:val="center"/>
        </w:trPr>
        <w:tc>
          <w:tcPr>
            <w:tcW w:w="2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657D35" w14:textId="77777777" w:rsidR="0085433F" w:rsidRPr="000C156A" w:rsidRDefault="0085433F" w:rsidP="007261F5">
            <w:pPr>
              <w:pStyle w:val="Tablehead"/>
              <w:keepNext w:val="0"/>
              <w:rPr>
                <w:sz w:val="20"/>
                <w:lang w:val="fr-FR"/>
              </w:rPr>
            </w:pPr>
            <w:r w:rsidRPr="000C156A">
              <w:rPr>
                <w:rFonts w:cs="Microsoft YaHei" w:hint="eastAsia"/>
                <w:sz w:val="20"/>
                <w:lang w:val="fr-FR"/>
              </w:rPr>
              <w:t>资产类别</w:t>
            </w:r>
          </w:p>
        </w:tc>
        <w:tc>
          <w:tcPr>
            <w:tcW w:w="9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813B97" w14:textId="77777777" w:rsidR="0085433F" w:rsidRPr="000C156A" w:rsidRDefault="0085433F" w:rsidP="007261F5">
            <w:pPr>
              <w:pStyle w:val="Tablehead"/>
              <w:keepNext w:val="0"/>
              <w:rPr>
                <w:sz w:val="20"/>
                <w:lang w:val="fr-FR"/>
              </w:rPr>
            </w:pPr>
            <w:r w:rsidRPr="000C156A">
              <w:rPr>
                <w:rFonts w:cs="Microsoft YaHei" w:hint="eastAsia"/>
                <w:sz w:val="20"/>
                <w:lang w:val="fr-FR"/>
              </w:rPr>
              <w:t>办公楼</w:t>
            </w:r>
          </w:p>
        </w:tc>
        <w:tc>
          <w:tcPr>
            <w:tcW w:w="8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D7C188" w14:textId="77777777" w:rsidR="0085433F" w:rsidRPr="000C156A" w:rsidRDefault="0085433F" w:rsidP="007261F5">
            <w:pPr>
              <w:pStyle w:val="Tablehead"/>
              <w:keepNext w:val="0"/>
              <w:rPr>
                <w:sz w:val="20"/>
                <w:lang w:val="fr-FR"/>
              </w:rPr>
            </w:pPr>
            <w:r w:rsidRPr="000C156A">
              <w:rPr>
                <w:rFonts w:cs="Microsoft YaHei" w:hint="eastAsia"/>
                <w:sz w:val="20"/>
                <w:lang w:val="fr-FR"/>
              </w:rPr>
              <w:t>机器和设备</w:t>
            </w:r>
          </w:p>
        </w:tc>
        <w:tc>
          <w:tcPr>
            <w:tcW w:w="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2868A7" w14:textId="77777777" w:rsidR="0085433F" w:rsidRPr="000C156A" w:rsidRDefault="0085433F" w:rsidP="007261F5">
            <w:pPr>
              <w:pStyle w:val="Tablehead"/>
              <w:keepNext w:val="0"/>
              <w:rPr>
                <w:sz w:val="20"/>
                <w:lang w:val="fr-FR"/>
              </w:rPr>
            </w:pPr>
            <w:r w:rsidRPr="000C156A">
              <w:rPr>
                <w:rFonts w:cs="Microsoft YaHei" w:hint="eastAsia"/>
                <w:sz w:val="20"/>
                <w:lang w:val="fr-FR"/>
              </w:rPr>
              <w:t>家具</w:t>
            </w:r>
            <w:r w:rsidRPr="000C156A">
              <w:rPr>
                <w:sz w:val="20"/>
                <w:lang w:val="fr-FR"/>
              </w:rPr>
              <w:br/>
            </w:r>
            <w:r w:rsidRPr="000C156A">
              <w:rPr>
                <w:rFonts w:cs="Microsoft YaHei" w:hint="eastAsia"/>
                <w:sz w:val="20"/>
                <w:lang w:val="fr-FR"/>
              </w:rPr>
              <w:t>安装</w:t>
            </w:r>
          </w:p>
        </w:tc>
        <w:tc>
          <w:tcPr>
            <w:tcW w:w="8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43BE3C" w14:textId="77777777" w:rsidR="0085433F" w:rsidRPr="000C156A" w:rsidRDefault="0085433F" w:rsidP="007261F5">
            <w:pPr>
              <w:pStyle w:val="Tablehead"/>
              <w:keepNext w:val="0"/>
              <w:rPr>
                <w:sz w:val="20"/>
                <w:lang w:val="fr-FR"/>
              </w:rPr>
            </w:pPr>
            <w:r w:rsidRPr="000C156A">
              <w:rPr>
                <w:rFonts w:cs="Microsoft YaHei" w:hint="eastAsia"/>
                <w:sz w:val="20"/>
                <w:lang w:val="fr-FR"/>
              </w:rPr>
              <w:t>计算机</w:t>
            </w:r>
            <w:r w:rsidRPr="000C156A">
              <w:rPr>
                <w:sz w:val="20"/>
                <w:lang w:val="fr-FR"/>
              </w:rPr>
              <w:br/>
            </w:r>
            <w:r w:rsidRPr="000C156A">
              <w:rPr>
                <w:rFonts w:cs="Microsoft YaHei" w:hint="eastAsia"/>
                <w:sz w:val="20"/>
                <w:lang w:val="fr-FR"/>
              </w:rPr>
              <w:t>设备</w:t>
            </w:r>
          </w:p>
        </w:tc>
        <w:tc>
          <w:tcPr>
            <w:tcW w:w="8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E5EF78" w14:textId="77777777" w:rsidR="0085433F" w:rsidRPr="000C156A" w:rsidRDefault="0085433F" w:rsidP="007261F5">
            <w:pPr>
              <w:pStyle w:val="Tablehead"/>
              <w:keepNext w:val="0"/>
              <w:rPr>
                <w:sz w:val="20"/>
                <w:lang w:val="fr-FR"/>
              </w:rPr>
            </w:pPr>
            <w:r w:rsidRPr="000C156A">
              <w:rPr>
                <w:rFonts w:cs="Microsoft YaHei" w:hint="eastAsia"/>
                <w:sz w:val="20"/>
                <w:lang w:val="fr-FR"/>
              </w:rPr>
              <w:t>车辆</w:t>
            </w:r>
          </w:p>
        </w:tc>
        <w:tc>
          <w:tcPr>
            <w:tcW w:w="1053" w:type="dxa"/>
            <w:tcBorders>
              <w:top w:val="single" w:sz="4" w:space="0" w:color="auto"/>
              <w:left w:val="single" w:sz="4" w:space="0" w:color="auto"/>
              <w:bottom w:val="single" w:sz="4" w:space="0" w:color="auto"/>
              <w:right w:val="single" w:sz="4" w:space="0" w:color="auto"/>
            </w:tcBorders>
            <w:hideMark/>
          </w:tcPr>
          <w:p w14:paraId="2220A91C" w14:textId="77777777" w:rsidR="0085433F" w:rsidRPr="000C156A" w:rsidRDefault="0085433F" w:rsidP="007261F5">
            <w:pPr>
              <w:pStyle w:val="Tablehead"/>
              <w:keepNext w:val="0"/>
              <w:rPr>
                <w:sz w:val="20"/>
                <w:lang w:val="fr-FR"/>
              </w:rPr>
            </w:pPr>
            <w:r w:rsidRPr="000C156A">
              <w:rPr>
                <w:rFonts w:cs="Microsoft YaHei" w:hint="eastAsia"/>
                <w:sz w:val="20"/>
                <w:lang w:val="fr-FR"/>
              </w:rPr>
              <w:t>低价值资产</w:t>
            </w:r>
          </w:p>
        </w:tc>
        <w:tc>
          <w:tcPr>
            <w:tcW w:w="1053" w:type="dxa"/>
            <w:tcBorders>
              <w:top w:val="single" w:sz="4" w:space="0" w:color="auto"/>
              <w:left w:val="single" w:sz="4" w:space="0" w:color="auto"/>
              <w:bottom w:val="single" w:sz="4" w:space="0" w:color="auto"/>
              <w:right w:val="single" w:sz="4" w:space="0" w:color="auto"/>
            </w:tcBorders>
          </w:tcPr>
          <w:p w14:paraId="5A045AD5" w14:textId="77777777" w:rsidR="0085433F" w:rsidRPr="000C156A" w:rsidRDefault="0085433F" w:rsidP="007261F5">
            <w:pPr>
              <w:pStyle w:val="Tablehead"/>
              <w:keepNext w:val="0"/>
              <w:rPr>
                <w:sz w:val="20"/>
                <w:lang w:val="fr-FR"/>
              </w:rPr>
            </w:pPr>
            <w:r w:rsidRPr="000C156A">
              <w:rPr>
                <w:rFonts w:cs="Microsoft YaHei" w:hint="eastAsia"/>
                <w:sz w:val="20"/>
                <w:lang w:val="fr-FR"/>
              </w:rPr>
              <w:t>总计</w:t>
            </w:r>
          </w:p>
        </w:tc>
      </w:tr>
      <w:tr w:rsidR="00FE606E" w:rsidRPr="000C156A" w14:paraId="3634412C" w14:textId="77777777" w:rsidTr="00FE606E">
        <w:trPr>
          <w:jc w:val="center"/>
        </w:trPr>
        <w:tc>
          <w:tcPr>
            <w:tcW w:w="2698" w:type="dxa"/>
            <w:tcBorders>
              <w:top w:val="single" w:sz="4" w:space="0" w:color="auto"/>
              <w:left w:val="single" w:sz="4" w:space="0" w:color="auto"/>
              <w:bottom w:val="single" w:sz="4" w:space="0" w:color="auto"/>
              <w:right w:val="single" w:sz="4" w:space="0" w:color="auto"/>
            </w:tcBorders>
            <w:hideMark/>
          </w:tcPr>
          <w:p w14:paraId="29930F98" w14:textId="77777777" w:rsidR="00FE606E" w:rsidRPr="000C156A" w:rsidRDefault="00FE606E" w:rsidP="007261F5">
            <w:pPr>
              <w:pStyle w:val="Tabletext"/>
              <w:spacing w:before="20" w:after="20"/>
              <w:rPr>
                <w:b/>
                <w:bCs/>
                <w:szCs w:val="22"/>
                <w:lang w:val="en-US" w:eastAsia="zh-CN"/>
              </w:rPr>
            </w:pPr>
            <w:r w:rsidRPr="000C156A">
              <w:rPr>
                <w:rFonts w:cs="Arial"/>
                <w:b/>
                <w:bCs/>
                <w:color w:val="000000"/>
                <w:szCs w:val="22"/>
                <w:lang w:val="en-US"/>
              </w:rPr>
              <w:t>1</w:t>
            </w:r>
            <w:r w:rsidRPr="000C156A">
              <w:rPr>
                <w:rFonts w:cs="Arial" w:hint="eastAsia"/>
                <w:b/>
                <w:bCs/>
                <w:color w:val="000000"/>
                <w:szCs w:val="22"/>
                <w:lang w:val="en-US"/>
              </w:rPr>
              <w:t>月</w:t>
            </w:r>
            <w:r w:rsidRPr="000C156A">
              <w:rPr>
                <w:rFonts w:cs="Arial"/>
                <w:b/>
                <w:bCs/>
                <w:color w:val="000000"/>
                <w:szCs w:val="22"/>
                <w:lang w:val="en-US"/>
              </w:rPr>
              <w:t>1</w:t>
            </w:r>
            <w:r w:rsidRPr="000C156A">
              <w:rPr>
                <w:rFonts w:cs="Arial" w:hint="eastAsia"/>
                <w:b/>
                <w:bCs/>
                <w:color w:val="000000"/>
                <w:szCs w:val="22"/>
                <w:lang w:val="en-US"/>
              </w:rPr>
              <w:t>日时的成本</w:t>
            </w:r>
          </w:p>
        </w:tc>
        <w:tc>
          <w:tcPr>
            <w:tcW w:w="983" w:type="dxa"/>
            <w:tcBorders>
              <w:top w:val="single" w:sz="4" w:space="0" w:color="auto"/>
              <w:left w:val="nil"/>
              <w:bottom w:val="single" w:sz="4" w:space="0" w:color="auto"/>
              <w:right w:val="nil"/>
            </w:tcBorders>
            <w:shd w:val="clear" w:color="auto" w:fill="auto"/>
            <w:vAlign w:val="center"/>
            <w:hideMark/>
          </w:tcPr>
          <w:p w14:paraId="09CA0CB8" w14:textId="1EF03C32"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125</w:t>
            </w:r>
            <w:r>
              <w:rPr>
                <w:rFonts w:cs="Calibri"/>
                <w:b/>
                <w:bCs/>
                <w:color w:val="000000"/>
                <w:sz w:val="22"/>
                <w:szCs w:val="22"/>
                <w:lang w:eastAsia="en-GB"/>
              </w:rPr>
              <w:t> </w:t>
            </w:r>
            <w:r w:rsidRPr="00F14C95">
              <w:rPr>
                <w:rFonts w:cs="Calibri"/>
                <w:b/>
                <w:bCs/>
                <w:color w:val="000000"/>
                <w:sz w:val="22"/>
                <w:szCs w:val="22"/>
                <w:lang w:eastAsia="en-GB"/>
              </w:rPr>
              <w:t>0</w:t>
            </w:r>
            <w:r>
              <w:rPr>
                <w:rFonts w:cs="Calibri"/>
                <w:b/>
                <w:bCs/>
                <w:color w:val="000000"/>
                <w:sz w:val="22"/>
                <w:szCs w:val="22"/>
                <w:lang w:eastAsia="en-GB"/>
              </w:rPr>
              <w:t>70</w:t>
            </w:r>
            <w:r w:rsidRPr="00F14C95">
              <w:rPr>
                <w:rFonts w:cs="Calibri"/>
                <w:b/>
                <w:bCs/>
                <w:color w:val="000000"/>
                <w:sz w:val="22"/>
                <w:szCs w:val="22"/>
                <w:lang w:eastAsia="en-GB"/>
              </w:rPr>
              <w:t xml:space="preserve"> </w:t>
            </w:r>
          </w:p>
        </w:tc>
        <w:tc>
          <w:tcPr>
            <w:tcW w:w="827" w:type="dxa"/>
            <w:tcBorders>
              <w:top w:val="single" w:sz="4" w:space="0" w:color="auto"/>
              <w:left w:val="nil"/>
              <w:bottom w:val="single" w:sz="4" w:space="0" w:color="auto"/>
              <w:right w:val="nil"/>
            </w:tcBorders>
            <w:shd w:val="clear" w:color="000000" w:fill="FFFFFF"/>
            <w:vAlign w:val="center"/>
            <w:hideMark/>
          </w:tcPr>
          <w:p w14:paraId="2756A1CC" w14:textId="5F9D40DB"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2 121</w:t>
            </w:r>
            <w:r w:rsidRPr="00F14C95">
              <w:rPr>
                <w:rFonts w:cs="Calibri"/>
                <w:b/>
                <w:bCs/>
                <w:color w:val="000000"/>
                <w:sz w:val="22"/>
                <w:szCs w:val="22"/>
                <w:lang w:eastAsia="en-GB"/>
              </w:rPr>
              <w:t xml:space="preserve"> </w:t>
            </w:r>
          </w:p>
        </w:tc>
        <w:tc>
          <w:tcPr>
            <w:tcW w:w="795" w:type="dxa"/>
            <w:tcBorders>
              <w:top w:val="single" w:sz="4" w:space="0" w:color="auto"/>
              <w:left w:val="nil"/>
              <w:bottom w:val="single" w:sz="4" w:space="0" w:color="auto"/>
              <w:right w:val="nil"/>
            </w:tcBorders>
            <w:shd w:val="clear" w:color="auto" w:fill="auto"/>
            <w:vAlign w:val="center"/>
            <w:hideMark/>
          </w:tcPr>
          <w:p w14:paraId="4189D65E" w14:textId="2E6D5271"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w:t>
            </w:r>
            <w:r>
              <w:rPr>
                <w:rFonts w:cs="Calibri"/>
                <w:b/>
                <w:bCs/>
                <w:color w:val="000000"/>
                <w:sz w:val="22"/>
                <w:szCs w:val="22"/>
                <w:lang w:eastAsia="en-GB"/>
              </w:rPr>
              <w:t> 506</w:t>
            </w:r>
            <w:r w:rsidRPr="00F14C95">
              <w:rPr>
                <w:rFonts w:cs="Calibri"/>
                <w:b/>
                <w:bCs/>
                <w:color w:val="000000"/>
                <w:sz w:val="22"/>
                <w:szCs w:val="22"/>
                <w:lang w:eastAsia="en-GB"/>
              </w:rPr>
              <w:t xml:space="preserve"> </w:t>
            </w:r>
          </w:p>
        </w:tc>
        <w:tc>
          <w:tcPr>
            <w:tcW w:w="895" w:type="dxa"/>
            <w:tcBorders>
              <w:top w:val="single" w:sz="4" w:space="0" w:color="auto"/>
              <w:left w:val="nil"/>
              <w:bottom w:val="single" w:sz="4" w:space="0" w:color="auto"/>
              <w:right w:val="nil"/>
            </w:tcBorders>
            <w:shd w:val="clear" w:color="000000" w:fill="FFFFFF"/>
            <w:vAlign w:val="center"/>
            <w:hideMark/>
          </w:tcPr>
          <w:p w14:paraId="5FF1A405" w14:textId="337B3B44"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9 354</w:t>
            </w:r>
            <w:r w:rsidRPr="00F14C95">
              <w:rPr>
                <w:rFonts w:cs="Calibri"/>
                <w:b/>
                <w:bCs/>
                <w:color w:val="000000"/>
                <w:sz w:val="22"/>
                <w:szCs w:val="22"/>
                <w:lang w:eastAsia="en-GB"/>
              </w:rPr>
              <w:t xml:space="preserve"> </w:t>
            </w:r>
          </w:p>
        </w:tc>
        <w:tc>
          <w:tcPr>
            <w:tcW w:w="867" w:type="dxa"/>
            <w:tcBorders>
              <w:top w:val="single" w:sz="4" w:space="0" w:color="auto"/>
              <w:left w:val="nil"/>
              <w:bottom w:val="single" w:sz="4" w:space="0" w:color="auto"/>
              <w:right w:val="nil"/>
            </w:tcBorders>
            <w:shd w:val="clear" w:color="auto" w:fill="auto"/>
            <w:vAlign w:val="center"/>
            <w:hideMark/>
          </w:tcPr>
          <w:p w14:paraId="542E45C8" w14:textId="1470414C"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 xml:space="preserve">296 </w:t>
            </w:r>
          </w:p>
        </w:tc>
        <w:tc>
          <w:tcPr>
            <w:tcW w:w="1053" w:type="dxa"/>
            <w:tcBorders>
              <w:top w:val="single" w:sz="4" w:space="0" w:color="auto"/>
              <w:left w:val="nil"/>
              <w:bottom w:val="nil"/>
              <w:right w:val="nil"/>
            </w:tcBorders>
            <w:shd w:val="clear" w:color="auto" w:fill="auto"/>
            <w:vAlign w:val="center"/>
            <w:hideMark/>
          </w:tcPr>
          <w:p w14:paraId="0E37EE10" w14:textId="483E6753"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w:t>
            </w:r>
            <w:r>
              <w:rPr>
                <w:rFonts w:cs="Calibri"/>
                <w:b/>
                <w:bCs/>
                <w:color w:val="000000"/>
                <w:sz w:val="22"/>
                <w:szCs w:val="22"/>
                <w:lang w:eastAsia="en-GB"/>
              </w:rPr>
              <w:t>6 154</w:t>
            </w:r>
            <w:r w:rsidRPr="00F14C95">
              <w:rPr>
                <w:rFonts w:cs="Calibri"/>
                <w:b/>
                <w:bCs/>
                <w:color w:val="000000"/>
                <w:sz w:val="22"/>
                <w:szCs w:val="22"/>
                <w:lang w:eastAsia="en-GB"/>
              </w:rPr>
              <w:t xml:space="preserve"> </w:t>
            </w:r>
          </w:p>
        </w:tc>
        <w:tc>
          <w:tcPr>
            <w:tcW w:w="1053" w:type="dxa"/>
            <w:tcBorders>
              <w:top w:val="single" w:sz="4" w:space="0" w:color="auto"/>
              <w:left w:val="nil"/>
              <w:bottom w:val="nil"/>
              <w:right w:val="single" w:sz="4" w:space="0" w:color="auto"/>
            </w:tcBorders>
            <w:shd w:val="clear" w:color="auto" w:fill="auto"/>
            <w:vAlign w:val="center"/>
          </w:tcPr>
          <w:p w14:paraId="12B49E94" w14:textId="58C0C041"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15</w:t>
            </w:r>
            <w:r>
              <w:rPr>
                <w:rFonts w:cs="Calibri"/>
                <w:b/>
                <w:bCs/>
                <w:color w:val="000000"/>
                <w:sz w:val="22"/>
                <w:szCs w:val="22"/>
                <w:lang w:eastAsia="en-GB"/>
              </w:rPr>
              <w:t>4 500</w:t>
            </w:r>
            <w:r w:rsidRPr="00F14C95">
              <w:rPr>
                <w:rFonts w:cs="Calibri"/>
                <w:b/>
                <w:bCs/>
                <w:color w:val="000000"/>
                <w:sz w:val="22"/>
                <w:szCs w:val="22"/>
                <w:lang w:eastAsia="en-GB"/>
              </w:rPr>
              <w:t xml:space="preserve"> </w:t>
            </w:r>
          </w:p>
        </w:tc>
      </w:tr>
      <w:tr w:rsidR="00FE606E" w:rsidRPr="000C156A" w14:paraId="6BF67E58" w14:textId="77777777" w:rsidTr="00FE606E">
        <w:trPr>
          <w:trHeight w:val="156"/>
          <w:jc w:val="center"/>
        </w:trPr>
        <w:tc>
          <w:tcPr>
            <w:tcW w:w="2698" w:type="dxa"/>
            <w:tcBorders>
              <w:top w:val="single" w:sz="4" w:space="0" w:color="auto"/>
              <w:left w:val="single" w:sz="4" w:space="0" w:color="auto"/>
              <w:bottom w:val="nil"/>
              <w:right w:val="single" w:sz="4" w:space="0" w:color="auto"/>
            </w:tcBorders>
            <w:hideMark/>
          </w:tcPr>
          <w:p w14:paraId="0DB511AD" w14:textId="77777777" w:rsidR="00FE606E" w:rsidRPr="000C156A" w:rsidRDefault="00FE606E" w:rsidP="007261F5">
            <w:pPr>
              <w:pStyle w:val="Tabletext"/>
              <w:spacing w:before="20" w:after="20"/>
              <w:rPr>
                <w:szCs w:val="22"/>
                <w:lang w:val="en-US" w:eastAsia="zh-CN"/>
              </w:rPr>
            </w:pPr>
            <w:r w:rsidRPr="000C156A">
              <w:rPr>
                <w:rFonts w:hint="eastAsia"/>
                <w:bCs/>
                <w:szCs w:val="22"/>
                <w:lang w:val="en-US"/>
              </w:rPr>
              <w:t>增补</w:t>
            </w:r>
          </w:p>
        </w:tc>
        <w:tc>
          <w:tcPr>
            <w:tcW w:w="983" w:type="dxa"/>
            <w:tcBorders>
              <w:top w:val="nil"/>
              <w:left w:val="nil"/>
              <w:bottom w:val="nil"/>
              <w:right w:val="nil"/>
            </w:tcBorders>
            <w:shd w:val="clear" w:color="auto" w:fill="auto"/>
            <w:hideMark/>
          </w:tcPr>
          <w:p w14:paraId="7673C168" w14:textId="18AE44B7"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4</w:t>
            </w:r>
            <w:r w:rsidRPr="00F14C95">
              <w:rPr>
                <w:rFonts w:cs="Calibri"/>
                <w:color w:val="000000"/>
                <w:sz w:val="22"/>
                <w:szCs w:val="22"/>
                <w:lang w:eastAsia="en-GB"/>
              </w:rPr>
              <w:t xml:space="preserve">9 </w:t>
            </w:r>
          </w:p>
        </w:tc>
        <w:tc>
          <w:tcPr>
            <w:tcW w:w="827" w:type="dxa"/>
            <w:tcBorders>
              <w:top w:val="nil"/>
              <w:left w:val="nil"/>
              <w:bottom w:val="nil"/>
              <w:right w:val="nil"/>
            </w:tcBorders>
            <w:shd w:val="clear" w:color="auto" w:fill="auto"/>
            <w:hideMark/>
          </w:tcPr>
          <w:p w14:paraId="51CFAF63" w14:textId="60614F54"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34</w:t>
            </w:r>
            <w:r w:rsidRPr="00F14C95">
              <w:rPr>
                <w:rFonts w:cs="Calibri"/>
                <w:color w:val="000000"/>
                <w:sz w:val="22"/>
                <w:szCs w:val="22"/>
                <w:lang w:eastAsia="en-GB"/>
              </w:rPr>
              <w:t xml:space="preserve"> </w:t>
            </w:r>
          </w:p>
        </w:tc>
        <w:tc>
          <w:tcPr>
            <w:tcW w:w="795" w:type="dxa"/>
            <w:tcBorders>
              <w:top w:val="nil"/>
              <w:left w:val="nil"/>
              <w:bottom w:val="nil"/>
              <w:right w:val="nil"/>
            </w:tcBorders>
            <w:shd w:val="clear" w:color="auto" w:fill="auto"/>
          </w:tcPr>
          <w:p w14:paraId="27884581" w14:textId="3B279695"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r w:rsidRPr="00F14C95">
              <w:rPr>
                <w:rFonts w:cs="Calibri"/>
                <w:color w:val="000000"/>
                <w:sz w:val="22"/>
                <w:szCs w:val="22"/>
                <w:lang w:eastAsia="en-GB"/>
              </w:rPr>
              <w:t xml:space="preserve"> </w:t>
            </w:r>
          </w:p>
        </w:tc>
        <w:tc>
          <w:tcPr>
            <w:tcW w:w="895" w:type="dxa"/>
            <w:tcBorders>
              <w:top w:val="nil"/>
              <w:left w:val="nil"/>
              <w:bottom w:val="nil"/>
              <w:right w:val="nil"/>
            </w:tcBorders>
            <w:shd w:val="clear" w:color="auto" w:fill="auto"/>
            <w:hideMark/>
          </w:tcPr>
          <w:p w14:paraId="31DF25DA" w14:textId="3139C5CF"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910</w:t>
            </w:r>
            <w:r w:rsidRPr="00F14C95">
              <w:rPr>
                <w:rFonts w:cs="Calibri"/>
                <w:color w:val="000000"/>
                <w:sz w:val="22"/>
                <w:szCs w:val="22"/>
                <w:lang w:eastAsia="en-GB"/>
              </w:rPr>
              <w:t xml:space="preserve"> </w:t>
            </w:r>
          </w:p>
        </w:tc>
        <w:tc>
          <w:tcPr>
            <w:tcW w:w="867" w:type="dxa"/>
            <w:tcBorders>
              <w:top w:val="nil"/>
              <w:left w:val="nil"/>
              <w:bottom w:val="nil"/>
              <w:right w:val="nil"/>
            </w:tcBorders>
            <w:shd w:val="clear" w:color="auto" w:fill="auto"/>
            <w:vAlign w:val="bottom"/>
            <w:hideMark/>
          </w:tcPr>
          <w:p w14:paraId="58BBFAAE" w14:textId="61391639"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w:t>
            </w:r>
            <w:r w:rsidRPr="00F14C95">
              <w:rPr>
                <w:rFonts w:cs="Calibri"/>
                <w:color w:val="000000"/>
                <w:sz w:val="22"/>
                <w:szCs w:val="22"/>
                <w:lang w:eastAsia="en-GB"/>
              </w:rPr>
              <w:t xml:space="preserve"> </w:t>
            </w:r>
          </w:p>
        </w:tc>
        <w:tc>
          <w:tcPr>
            <w:tcW w:w="1053" w:type="dxa"/>
            <w:tcBorders>
              <w:top w:val="single" w:sz="4" w:space="0" w:color="auto"/>
              <w:left w:val="nil"/>
              <w:bottom w:val="nil"/>
              <w:right w:val="nil"/>
            </w:tcBorders>
            <w:shd w:val="clear" w:color="auto" w:fill="auto"/>
            <w:vAlign w:val="center"/>
            <w:hideMark/>
          </w:tcPr>
          <w:p w14:paraId="3E8CC0EC" w14:textId="49586CE3"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818</w:t>
            </w:r>
            <w:r w:rsidRPr="00F14C95">
              <w:rPr>
                <w:rFonts w:cs="Calibri"/>
                <w:b/>
                <w:bCs/>
                <w:color w:val="000000"/>
                <w:sz w:val="22"/>
                <w:szCs w:val="22"/>
                <w:lang w:eastAsia="en-GB"/>
              </w:rPr>
              <w:t xml:space="preserve"> </w:t>
            </w:r>
          </w:p>
        </w:tc>
        <w:tc>
          <w:tcPr>
            <w:tcW w:w="1053" w:type="dxa"/>
            <w:tcBorders>
              <w:top w:val="single" w:sz="4" w:space="0" w:color="auto"/>
              <w:left w:val="nil"/>
              <w:bottom w:val="nil"/>
              <w:right w:val="single" w:sz="4" w:space="0" w:color="auto"/>
            </w:tcBorders>
            <w:shd w:val="clear" w:color="auto" w:fill="auto"/>
            <w:vAlign w:val="center"/>
          </w:tcPr>
          <w:p w14:paraId="38D2042A" w14:textId="0B54FD7D"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w:t>
            </w:r>
            <w:r>
              <w:rPr>
                <w:rFonts w:cs="Calibri"/>
                <w:b/>
                <w:bCs/>
                <w:color w:val="000000"/>
                <w:sz w:val="22"/>
                <w:szCs w:val="22"/>
                <w:lang w:eastAsia="en-GB"/>
              </w:rPr>
              <w:t> </w:t>
            </w:r>
            <w:r w:rsidRPr="00F14C95">
              <w:rPr>
                <w:rFonts w:cs="Calibri"/>
                <w:b/>
                <w:bCs/>
                <w:color w:val="000000"/>
                <w:sz w:val="22"/>
                <w:szCs w:val="22"/>
                <w:lang w:eastAsia="en-GB"/>
              </w:rPr>
              <w:t>8</w:t>
            </w:r>
            <w:r>
              <w:rPr>
                <w:rFonts w:cs="Calibri"/>
                <w:b/>
                <w:bCs/>
                <w:color w:val="000000"/>
                <w:sz w:val="22"/>
                <w:szCs w:val="22"/>
                <w:lang w:eastAsia="en-GB"/>
              </w:rPr>
              <w:t>12</w:t>
            </w:r>
          </w:p>
        </w:tc>
      </w:tr>
      <w:tr w:rsidR="00FE606E" w:rsidRPr="000C156A" w14:paraId="11CC752A" w14:textId="77777777" w:rsidTr="003A64C9">
        <w:trPr>
          <w:jc w:val="center"/>
        </w:trPr>
        <w:tc>
          <w:tcPr>
            <w:tcW w:w="2698" w:type="dxa"/>
            <w:tcBorders>
              <w:top w:val="nil"/>
              <w:left w:val="single" w:sz="4" w:space="0" w:color="auto"/>
              <w:bottom w:val="nil"/>
              <w:right w:val="single" w:sz="4" w:space="0" w:color="auto"/>
            </w:tcBorders>
            <w:hideMark/>
          </w:tcPr>
          <w:p w14:paraId="6A59F3EC" w14:textId="77777777" w:rsidR="00FE606E" w:rsidRPr="000C156A" w:rsidRDefault="00FE606E" w:rsidP="007261F5">
            <w:pPr>
              <w:pStyle w:val="Tabletext"/>
              <w:spacing w:before="20" w:after="20"/>
              <w:rPr>
                <w:rFonts w:cs="Arial"/>
                <w:color w:val="000000"/>
                <w:szCs w:val="22"/>
                <w:lang w:val="en-US"/>
              </w:rPr>
            </w:pPr>
            <w:r w:rsidRPr="000C156A">
              <w:rPr>
                <w:rFonts w:hint="eastAsia"/>
                <w:bCs/>
                <w:szCs w:val="22"/>
                <w:lang w:val="en-US"/>
              </w:rPr>
              <w:t>礼品</w:t>
            </w:r>
          </w:p>
        </w:tc>
        <w:tc>
          <w:tcPr>
            <w:tcW w:w="983" w:type="dxa"/>
            <w:tcBorders>
              <w:top w:val="nil"/>
              <w:left w:val="nil"/>
              <w:bottom w:val="nil"/>
              <w:right w:val="nil"/>
            </w:tcBorders>
            <w:shd w:val="clear" w:color="auto" w:fill="auto"/>
          </w:tcPr>
          <w:p w14:paraId="17EF8B9D" w14:textId="45254296"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 xml:space="preserve">-   </w:t>
            </w:r>
          </w:p>
        </w:tc>
        <w:tc>
          <w:tcPr>
            <w:tcW w:w="827" w:type="dxa"/>
            <w:tcBorders>
              <w:top w:val="nil"/>
              <w:left w:val="nil"/>
              <w:bottom w:val="nil"/>
              <w:right w:val="nil"/>
            </w:tcBorders>
            <w:shd w:val="clear" w:color="auto" w:fill="auto"/>
          </w:tcPr>
          <w:p w14:paraId="5BCBC892" w14:textId="1DE894B0"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795" w:type="dxa"/>
            <w:tcBorders>
              <w:top w:val="nil"/>
              <w:left w:val="nil"/>
              <w:bottom w:val="nil"/>
              <w:right w:val="nil"/>
            </w:tcBorders>
            <w:shd w:val="clear" w:color="auto" w:fill="auto"/>
          </w:tcPr>
          <w:p w14:paraId="33DA6E45" w14:textId="66423E2A"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895" w:type="dxa"/>
            <w:tcBorders>
              <w:top w:val="nil"/>
              <w:left w:val="nil"/>
              <w:bottom w:val="nil"/>
              <w:right w:val="nil"/>
            </w:tcBorders>
            <w:shd w:val="clear" w:color="auto" w:fill="auto"/>
          </w:tcPr>
          <w:p w14:paraId="5DC50FC0" w14:textId="3DE3DD64"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867" w:type="dxa"/>
            <w:tcBorders>
              <w:top w:val="nil"/>
              <w:left w:val="nil"/>
              <w:bottom w:val="nil"/>
              <w:right w:val="nil"/>
            </w:tcBorders>
            <w:shd w:val="clear" w:color="auto" w:fill="auto"/>
          </w:tcPr>
          <w:p w14:paraId="6BFA2BEA" w14:textId="497E97E2"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1053" w:type="dxa"/>
            <w:tcBorders>
              <w:top w:val="nil"/>
              <w:left w:val="nil"/>
              <w:bottom w:val="nil"/>
              <w:right w:val="nil"/>
            </w:tcBorders>
            <w:shd w:val="clear" w:color="auto" w:fill="auto"/>
          </w:tcPr>
          <w:p w14:paraId="777390D0" w14:textId="3AE2D3DD"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1053" w:type="dxa"/>
            <w:tcBorders>
              <w:top w:val="nil"/>
              <w:left w:val="nil"/>
              <w:bottom w:val="nil"/>
              <w:right w:val="single" w:sz="4" w:space="0" w:color="auto"/>
            </w:tcBorders>
            <w:shd w:val="clear" w:color="auto" w:fill="auto"/>
          </w:tcPr>
          <w:p w14:paraId="27876F7A" w14:textId="6D1FD889"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 xml:space="preserve">-   </w:t>
            </w:r>
          </w:p>
        </w:tc>
      </w:tr>
      <w:tr w:rsidR="00FE606E" w:rsidRPr="000C156A" w14:paraId="7EC84EA5" w14:textId="77777777" w:rsidTr="00FE606E">
        <w:trPr>
          <w:jc w:val="center"/>
        </w:trPr>
        <w:tc>
          <w:tcPr>
            <w:tcW w:w="2698" w:type="dxa"/>
            <w:tcBorders>
              <w:top w:val="nil"/>
              <w:left w:val="single" w:sz="4" w:space="0" w:color="auto"/>
              <w:bottom w:val="nil"/>
              <w:right w:val="single" w:sz="4" w:space="0" w:color="auto"/>
            </w:tcBorders>
            <w:hideMark/>
          </w:tcPr>
          <w:p w14:paraId="6BB77790" w14:textId="77777777" w:rsidR="00FE606E" w:rsidRPr="000C156A" w:rsidRDefault="00FE606E" w:rsidP="007261F5">
            <w:pPr>
              <w:pStyle w:val="Tabletext"/>
              <w:spacing w:before="20" w:after="20"/>
              <w:rPr>
                <w:rFonts w:cs="Arial"/>
                <w:color w:val="000000"/>
                <w:szCs w:val="22"/>
                <w:lang w:val="en-US"/>
              </w:rPr>
            </w:pPr>
            <w:r w:rsidRPr="000C156A">
              <w:rPr>
                <w:rFonts w:hint="eastAsia"/>
                <w:bCs/>
                <w:szCs w:val="22"/>
                <w:lang w:val="en-US"/>
              </w:rPr>
              <w:t>处置</w:t>
            </w:r>
          </w:p>
        </w:tc>
        <w:tc>
          <w:tcPr>
            <w:tcW w:w="983" w:type="dxa"/>
            <w:tcBorders>
              <w:top w:val="nil"/>
              <w:left w:val="nil"/>
              <w:bottom w:val="nil"/>
              <w:right w:val="nil"/>
            </w:tcBorders>
            <w:shd w:val="clear" w:color="auto" w:fill="auto"/>
          </w:tcPr>
          <w:p w14:paraId="7872CF10" w14:textId="49A77B51"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 xml:space="preserve">-   </w:t>
            </w:r>
          </w:p>
        </w:tc>
        <w:tc>
          <w:tcPr>
            <w:tcW w:w="827" w:type="dxa"/>
            <w:tcBorders>
              <w:top w:val="nil"/>
              <w:left w:val="nil"/>
              <w:bottom w:val="nil"/>
              <w:right w:val="nil"/>
            </w:tcBorders>
            <w:shd w:val="clear" w:color="auto" w:fill="auto"/>
            <w:hideMark/>
          </w:tcPr>
          <w:p w14:paraId="677E8D79" w14:textId="27F2D1AB"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-4</w:t>
            </w:r>
            <w:r>
              <w:rPr>
                <w:rFonts w:cs="Calibri"/>
                <w:color w:val="000000"/>
                <w:sz w:val="22"/>
                <w:szCs w:val="22"/>
                <w:lang w:eastAsia="en-GB"/>
              </w:rPr>
              <w:t>3</w:t>
            </w:r>
            <w:r w:rsidRPr="00F14C95">
              <w:rPr>
                <w:rFonts w:cs="Calibri"/>
                <w:color w:val="000000"/>
                <w:sz w:val="22"/>
                <w:szCs w:val="22"/>
                <w:lang w:eastAsia="en-GB"/>
              </w:rPr>
              <w:t xml:space="preserve"> </w:t>
            </w:r>
          </w:p>
        </w:tc>
        <w:tc>
          <w:tcPr>
            <w:tcW w:w="795" w:type="dxa"/>
            <w:tcBorders>
              <w:top w:val="nil"/>
              <w:left w:val="nil"/>
              <w:bottom w:val="nil"/>
              <w:right w:val="nil"/>
            </w:tcBorders>
            <w:shd w:val="clear" w:color="auto" w:fill="auto"/>
          </w:tcPr>
          <w:p w14:paraId="7D06541D" w14:textId="79575594"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w:t>
            </w:r>
            <w:r>
              <w:rPr>
                <w:rFonts w:cs="Calibri"/>
                <w:color w:val="000000"/>
                <w:sz w:val="22"/>
                <w:szCs w:val="22"/>
                <w:lang w:eastAsia="en-GB"/>
              </w:rPr>
              <w:t>112</w:t>
            </w:r>
            <w:r w:rsidRPr="00F14C95">
              <w:rPr>
                <w:rFonts w:cs="Calibri"/>
                <w:color w:val="000000"/>
                <w:sz w:val="22"/>
                <w:szCs w:val="22"/>
                <w:lang w:eastAsia="en-GB"/>
              </w:rPr>
              <w:t xml:space="preserve"> </w:t>
            </w:r>
          </w:p>
        </w:tc>
        <w:tc>
          <w:tcPr>
            <w:tcW w:w="895" w:type="dxa"/>
            <w:tcBorders>
              <w:top w:val="nil"/>
              <w:left w:val="nil"/>
              <w:bottom w:val="nil"/>
              <w:right w:val="nil"/>
            </w:tcBorders>
            <w:shd w:val="clear" w:color="auto" w:fill="auto"/>
            <w:hideMark/>
          </w:tcPr>
          <w:p w14:paraId="76D5D1B8" w14:textId="051B8C0A"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-1</w:t>
            </w:r>
            <w:r>
              <w:rPr>
                <w:rFonts w:cs="Calibri"/>
                <w:color w:val="000000"/>
                <w:sz w:val="22"/>
                <w:szCs w:val="22"/>
                <w:lang w:eastAsia="en-GB"/>
              </w:rPr>
              <w:t>  461</w:t>
            </w:r>
          </w:p>
        </w:tc>
        <w:tc>
          <w:tcPr>
            <w:tcW w:w="867" w:type="dxa"/>
            <w:tcBorders>
              <w:top w:val="nil"/>
              <w:left w:val="nil"/>
              <w:bottom w:val="nil"/>
              <w:right w:val="nil"/>
            </w:tcBorders>
            <w:shd w:val="clear" w:color="auto" w:fill="auto"/>
            <w:vAlign w:val="bottom"/>
          </w:tcPr>
          <w:p w14:paraId="03DB8359" w14:textId="2AF9A01B"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w:t>
            </w:r>
          </w:p>
        </w:tc>
        <w:tc>
          <w:tcPr>
            <w:tcW w:w="1053" w:type="dxa"/>
            <w:tcBorders>
              <w:top w:val="nil"/>
              <w:left w:val="nil"/>
              <w:bottom w:val="nil"/>
              <w:right w:val="nil"/>
            </w:tcBorders>
            <w:shd w:val="clear" w:color="auto" w:fill="auto"/>
            <w:vAlign w:val="bottom"/>
          </w:tcPr>
          <w:p w14:paraId="174A986B" w14:textId="4295CDAE"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w:t>
            </w:r>
            <w:r>
              <w:rPr>
                <w:rFonts w:cs="Calibri"/>
                <w:color w:val="000000"/>
                <w:sz w:val="22"/>
                <w:szCs w:val="22"/>
                <w:lang w:eastAsia="en-GB"/>
              </w:rPr>
              <w:t>929</w:t>
            </w:r>
            <w:r w:rsidRPr="00F14C95">
              <w:rPr>
                <w:rFonts w:cs="Calibri"/>
                <w:color w:val="000000"/>
                <w:sz w:val="22"/>
                <w:szCs w:val="22"/>
                <w:lang w:eastAsia="en-GB"/>
              </w:rPr>
              <w:t xml:space="preserve"> </w:t>
            </w:r>
          </w:p>
        </w:tc>
        <w:tc>
          <w:tcPr>
            <w:tcW w:w="1053" w:type="dxa"/>
            <w:tcBorders>
              <w:top w:val="nil"/>
              <w:left w:val="nil"/>
              <w:bottom w:val="nil"/>
              <w:right w:val="single" w:sz="4" w:space="0" w:color="auto"/>
            </w:tcBorders>
            <w:shd w:val="clear" w:color="auto" w:fill="auto"/>
            <w:vAlign w:val="bottom"/>
          </w:tcPr>
          <w:p w14:paraId="23C6055C" w14:textId="59B120DB"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w:t>
            </w:r>
            <w:r>
              <w:rPr>
                <w:rFonts w:cs="Calibri"/>
                <w:color w:val="000000"/>
                <w:sz w:val="22"/>
                <w:szCs w:val="22"/>
                <w:lang w:eastAsia="en-GB"/>
              </w:rPr>
              <w:t>2 545</w:t>
            </w:r>
          </w:p>
        </w:tc>
      </w:tr>
      <w:tr w:rsidR="00FE606E" w:rsidRPr="000C156A" w14:paraId="69976308" w14:textId="77777777" w:rsidTr="003A64C9">
        <w:trPr>
          <w:jc w:val="center"/>
        </w:trPr>
        <w:tc>
          <w:tcPr>
            <w:tcW w:w="2698" w:type="dxa"/>
            <w:tcBorders>
              <w:top w:val="nil"/>
              <w:left w:val="single" w:sz="4" w:space="0" w:color="auto"/>
              <w:bottom w:val="nil"/>
              <w:right w:val="single" w:sz="4" w:space="0" w:color="auto"/>
            </w:tcBorders>
            <w:hideMark/>
          </w:tcPr>
          <w:p w14:paraId="657E00EE" w14:textId="77777777" w:rsidR="00FE606E" w:rsidRPr="000C156A" w:rsidRDefault="00FE606E" w:rsidP="007261F5">
            <w:pPr>
              <w:pStyle w:val="Tabletext"/>
              <w:spacing w:before="20" w:after="20"/>
              <w:rPr>
                <w:rFonts w:cs="Arial"/>
                <w:color w:val="000000"/>
                <w:szCs w:val="22"/>
                <w:lang w:val="en-US"/>
              </w:rPr>
            </w:pPr>
            <w:r w:rsidRPr="000C156A">
              <w:rPr>
                <w:rFonts w:hint="eastAsia"/>
                <w:bCs/>
                <w:szCs w:val="22"/>
                <w:lang w:val="en-US"/>
              </w:rPr>
              <w:t>减值损失</w:t>
            </w:r>
          </w:p>
        </w:tc>
        <w:tc>
          <w:tcPr>
            <w:tcW w:w="983" w:type="dxa"/>
            <w:tcBorders>
              <w:top w:val="nil"/>
              <w:left w:val="nil"/>
              <w:bottom w:val="nil"/>
              <w:right w:val="nil"/>
            </w:tcBorders>
            <w:shd w:val="clear" w:color="auto" w:fill="auto"/>
          </w:tcPr>
          <w:p w14:paraId="2DF6A75E" w14:textId="5B8FC9FD"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 xml:space="preserve">-   </w:t>
            </w:r>
          </w:p>
        </w:tc>
        <w:tc>
          <w:tcPr>
            <w:tcW w:w="827" w:type="dxa"/>
            <w:tcBorders>
              <w:top w:val="nil"/>
              <w:left w:val="nil"/>
              <w:bottom w:val="nil"/>
              <w:right w:val="nil"/>
            </w:tcBorders>
            <w:shd w:val="clear" w:color="auto" w:fill="auto"/>
          </w:tcPr>
          <w:p w14:paraId="6A7F931E" w14:textId="0893F6E4"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795" w:type="dxa"/>
            <w:tcBorders>
              <w:top w:val="nil"/>
              <w:left w:val="nil"/>
              <w:bottom w:val="nil"/>
              <w:right w:val="nil"/>
            </w:tcBorders>
            <w:shd w:val="clear" w:color="auto" w:fill="auto"/>
          </w:tcPr>
          <w:p w14:paraId="3B3BDB29" w14:textId="7247D4BB"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895" w:type="dxa"/>
            <w:tcBorders>
              <w:top w:val="nil"/>
              <w:left w:val="nil"/>
              <w:bottom w:val="nil"/>
              <w:right w:val="nil"/>
            </w:tcBorders>
            <w:shd w:val="clear" w:color="auto" w:fill="auto"/>
          </w:tcPr>
          <w:p w14:paraId="02539801" w14:textId="7B540EA7"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867" w:type="dxa"/>
            <w:tcBorders>
              <w:top w:val="nil"/>
              <w:left w:val="nil"/>
              <w:bottom w:val="nil"/>
              <w:right w:val="nil"/>
            </w:tcBorders>
            <w:shd w:val="clear" w:color="auto" w:fill="auto"/>
          </w:tcPr>
          <w:p w14:paraId="5BFB0540" w14:textId="6FD8E3F8"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1053" w:type="dxa"/>
            <w:tcBorders>
              <w:top w:val="nil"/>
              <w:left w:val="nil"/>
              <w:bottom w:val="nil"/>
              <w:right w:val="nil"/>
            </w:tcBorders>
            <w:shd w:val="clear" w:color="auto" w:fill="auto"/>
          </w:tcPr>
          <w:p w14:paraId="48054C82" w14:textId="3A71E953"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 xml:space="preserve">-   </w:t>
            </w:r>
          </w:p>
        </w:tc>
        <w:tc>
          <w:tcPr>
            <w:tcW w:w="1053" w:type="dxa"/>
            <w:tcBorders>
              <w:top w:val="nil"/>
              <w:left w:val="nil"/>
              <w:bottom w:val="nil"/>
              <w:right w:val="single" w:sz="4" w:space="0" w:color="auto"/>
            </w:tcBorders>
            <w:shd w:val="clear" w:color="auto" w:fill="auto"/>
          </w:tcPr>
          <w:p w14:paraId="0E54E30F" w14:textId="040A01DA"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 xml:space="preserve">-   </w:t>
            </w:r>
          </w:p>
        </w:tc>
      </w:tr>
      <w:tr w:rsidR="00FE606E" w:rsidRPr="000C156A" w14:paraId="7FF809D0" w14:textId="77777777" w:rsidTr="003A64C9">
        <w:trPr>
          <w:jc w:val="center"/>
        </w:trPr>
        <w:tc>
          <w:tcPr>
            <w:tcW w:w="2698" w:type="dxa"/>
            <w:tcBorders>
              <w:top w:val="nil"/>
              <w:left w:val="single" w:sz="4" w:space="0" w:color="auto"/>
              <w:bottom w:val="nil"/>
              <w:right w:val="single" w:sz="4" w:space="0" w:color="auto"/>
            </w:tcBorders>
            <w:hideMark/>
          </w:tcPr>
          <w:p w14:paraId="6FBF06AA" w14:textId="77777777" w:rsidR="00FE606E" w:rsidRPr="000C156A" w:rsidRDefault="00FE606E" w:rsidP="007261F5">
            <w:pPr>
              <w:pStyle w:val="Tabletext"/>
              <w:spacing w:before="20" w:after="20"/>
              <w:rPr>
                <w:rFonts w:cs="Arial"/>
                <w:color w:val="000000"/>
                <w:szCs w:val="22"/>
                <w:lang w:val="en-US"/>
              </w:rPr>
            </w:pPr>
            <w:r w:rsidRPr="000C156A">
              <w:rPr>
                <w:rFonts w:hint="eastAsia"/>
                <w:bCs/>
                <w:szCs w:val="22"/>
                <w:lang w:val="en-US"/>
              </w:rPr>
              <w:t>重新分类与校正</w:t>
            </w:r>
          </w:p>
        </w:tc>
        <w:tc>
          <w:tcPr>
            <w:tcW w:w="983" w:type="dxa"/>
            <w:tcBorders>
              <w:top w:val="nil"/>
              <w:left w:val="nil"/>
              <w:bottom w:val="nil"/>
              <w:right w:val="nil"/>
            </w:tcBorders>
            <w:shd w:val="clear" w:color="auto" w:fill="auto"/>
            <w:vAlign w:val="center"/>
          </w:tcPr>
          <w:p w14:paraId="0E6FA305" w14:textId="56F4A99E"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lang w:eastAsia="en-GB"/>
              </w:rPr>
              <w:t>1 219</w:t>
            </w:r>
            <w:r w:rsidRPr="00F14C95">
              <w:rPr>
                <w:rFonts w:cs="Calibri"/>
                <w:color w:val="000000"/>
                <w:sz w:val="22"/>
                <w:szCs w:val="22"/>
                <w:lang w:eastAsia="en-GB"/>
              </w:rPr>
              <w:t xml:space="preserve">   </w:t>
            </w:r>
          </w:p>
        </w:tc>
        <w:tc>
          <w:tcPr>
            <w:tcW w:w="827" w:type="dxa"/>
            <w:tcBorders>
              <w:top w:val="nil"/>
              <w:left w:val="nil"/>
              <w:bottom w:val="nil"/>
              <w:right w:val="nil"/>
            </w:tcBorders>
            <w:shd w:val="clear" w:color="auto" w:fill="auto"/>
          </w:tcPr>
          <w:p w14:paraId="6BCDA2A6" w14:textId="39B0CC10"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 xml:space="preserve">-   </w:t>
            </w:r>
          </w:p>
        </w:tc>
        <w:tc>
          <w:tcPr>
            <w:tcW w:w="795" w:type="dxa"/>
            <w:tcBorders>
              <w:top w:val="nil"/>
              <w:left w:val="nil"/>
              <w:bottom w:val="nil"/>
              <w:right w:val="nil"/>
            </w:tcBorders>
            <w:shd w:val="clear" w:color="auto" w:fill="auto"/>
          </w:tcPr>
          <w:p w14:paraId="4AE59E1C" w14:textId="35FACF6F"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895" w:type="dxa"/>
            <w:tcBorders>
              <w:top w:val="nil"/>
              <w:left w:val="nil"/>
              <w:bottom w:val="nil"/>
              <w:right w:val="nil"/>
            </w:tcBorders>
            <w:shd w:val="clear" w:color="auto" w:fill="auto"/>
            <w:hideMark/>
          </w:tcPr>
          <w:p w14:paraId="65EF6FE9" w14:textId="4EDA5F01"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867" w:type="dxa"/>
            <w:tcBorders>
              <w:top w:val="nil"/>
              <w:left w:val="nil"/>
              <w:bottom w:val="nil"/>
              <w:right w:val="nil"/>
            </w:tcBorders>
            <w:shd w:val="clear" w:color="auto" w:fill="auto"/>
          </w:tcPr>
          <w:p w14:paraId="2DA53262" w14:textId="5FEF2D5A"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1053" w:type="dxa"/>
            <w:tcBorders>
              <w:top w:val="nil"/>
              <w:left w:val="nil"/>
              <w:bottom w:val="nil"/>
              <w:right w:val="nil"/>
            </w:tcBorders>
            <w:shd w:val="clear" w:color="auto" w:fill="auto"/>
          </w:tcPr>
          <w:p w14:paraId="358AB34B" w14:textId="5B427559"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 xml:space="preserve">-   </w:t>
            </w:r>
          </w:p>
        </w:tc>
        <w:tc>
          <w:tcPr>
            <w:tcW w:w="1053" w:type="dxa"/>
            <w:tcBorders>
              <w:top w:val="nil"/>
              <w:left w:val="nil"/>
              <w:bottom w:val="nil"/>
              <w:right w:val="single" w:sz="4" w:space="0" w:color="auto"/>
            </w:tcBorders>
            <w:shd w:val="clear" w:color="auto" w:fill="auto"/>
            <w:vAlign w:val="center"/>
          </w:tcPr>
          <w:p w14:paraId="250D07FC" w14:textId="6170AFC3"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Pr>
                <w:rFonts w:cs="Calibri"/>
                <w:color w:val="000000"/>
                <w:sz w:val="22"/>
                <w:szCs w:val="22"/>
              </w:rPr>
              <w:t>1 </w:t>
            </w:r>
            <w:r>
              <w:rPr>
                <w:rFonts w:cs="Calibri"/>
                <w:color w:val="000000"/>
                <w:sz w:val="22"/>
                <w:szCs w:val="22"/>
                <w:lang w:eastAsia="en-GB"/>
              </w:rPr>
              <w:t>219</w:t>
            </w:r>
            <w:r w:rsidRPr="00F14C95">
              <w:rPr>
                <w:rFonts w:cs="Calibri"/>
                <w:color w:val="000000"/>
                <w:sz w:val="22"/>
                <w:szCs w:val="22"/>
                <w:lang w:eastAsia="en-GB"/>
              </w:rPr>
              <w:t xml:space="preserve">   </w:t>
            </w:r>
          </w:p>
        </w:tc>
      </w:tr>
      <w:tr w:rsidR="00FE606E" w:rsidRPr="000C156A" w14:paraId="03974CE6" w14:textId="77777777" w:rsidTr="003A64C9">
        <w:trPr>
          <w:jc w:val="center"/>
        </w:trPr>
        <w:tc>
          <w:tcPr>
            <w:tcW w:w="2698" w:type="dxa"/>
            <w:tcBorders>
              <w:top w:val="nil"/>
              <w:left w:val="single" w:sz="4" w:space="0" w:color="auto"/>
              <w:bottom w:val="single" w:sz="4" w:space="0" w:color="auto"/>
              <w:right w:val="single" w:sz="4" w:space="0" w:color="auto"/>
            </w:tcBorders>
            <w:hideMark/>
          </w:tcPr>
          <w:p w14:paraId="699D6466" w14:textId="77777777" w:rsidR="00FE606E" w:rsidRPr="000C156A" w:rsidRDefault="00FE606E" w:rsidP="007261F5">
            <w:pPr>
              <w:pStyle w:val="Tabletext"/>
              <w:spacing w:before="20" w:after="20"/>
              <w:rPr>
                <w:rFonts w:cs="Arial"/>
                <w:color w:val="000000"/>
                <w:szCs w:val="22"/>
                <w:lang w:val="en-US"/>
              </w:rPr>
            </w:pPr>
            <w:r w:rsidRPr="000C156A">
              <w:rPr>
                <w:rFonts w:hint="eastAsia"/>
                <w:bCs/>
                <w:szCs w:val="22"/>
                <w:lang w:val="en-US"/>
              </w:rPr>
              <w:t>重新估值</w:t>
            </w:r>
          </w:p>
        </w:tc>
        <w:tc>
          <w:tcPr>
            <w:tcW w:w="983" w:type="dxa"/>
            <w:tcBorders>
              <w:top w:val="nil"/>
              <w:left w:val="nil"/>
              <w:bottom w:val="nil"/>
              <w:right w:val="nil"/>
            </w:tcBorders>
            <w:shd w:val="clear" w:color="auto" w:fill="auto"/>
          </w:tcPr>
          <w:p w14:paraId="5621965D" w14:textId="70AFC773"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 xml:space="preserve">-   </w:t>
            </w:r>
          </w:p>
        </w:tc>
        <w:tc>
          <w:tcPr>
            <w:tcW w:w="827" w:type="dxa"/>
            <w:tcBorders>
              <w:top w:val="nil"/>
              <w:left w:val="nil"/>
              <w:bottom w:val="nil"/>
              <w:right w:val="nil"/>
            </w:tcBorders>
            <w:shd w:val="clear" w:color="auto" w:fill="auto"/>
          </w:tcPr>
          <w:p w14:paraId="61924A8B" w14:textId="2B093B11"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795" w:type="dxa"/>
            <w:tcBorders>
              <w:top w:val="nil"/>
              <w:left w:val="nil"/>
              <w:bottom w:val="nil"/>
              <w:right w:val="nil"/>
            </w:tcBorders>
            <w:shd w:val="clear" w:color="auto" w:fill="auto"/>
          </w:tcPr>
          <w:p w14:paraId="4442B1C1" w14:textId="57197D53"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895" w:type="dxa"/>
            <w:tcBorders>
              <w:top w:val="nil"/>
              <w:left w:val="nil"/>
              <w:bottom w:val="nil"/>
              <w:right w:val="nil"/>
            </w:tcBorders>
            <w:shd w:val="clear" w:color="auto" w:fill="auto"/>
          </w:tcPr>
          <w:p w14:paraId="4DAA0B3C" w14:textId="2D19D9B6"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867" w:type="dxa"/>
            <w:tcBorders>
              <w:top w:val="nil"/>
              <w:left w:val="nil"/>
              <w:bottom w:val="nil"/>
              <w:right w:val="nil"/>
            </w:tcBorders>
            <w:shd w:val="clear" w:color="auto" w:fill="auto"/>
          </w:tcPr>
          <w:p w14:paraId="0F7DD9A3" w14:textId="51F65726"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1053" w:type="dxa"/>
            <w:tcBorders>
              <w:top w:val="nil"/>
              <w:left w:val="nil"/>
              <w:bottom w:val="nil"/>
              <w:right w:val="nil"/>
            </w:tcBorders>
            <w:shd w:val="clear" w:color="auto" w:fill="auto"/>
          </w:tcPr>
          <w:p w14:paraId="6A12F7B6" w14:textId="57200BF6"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1053" w:type="dxa"/>
            <w:tcBorders>
              <w:top w:val="nil"/>
              <w:left w:val="nil"/>
              <w:bottom w:val="single" w:sz="4" w:space="0" w:color="auto"/>
              <w:right w:val="single" w:sz="4" w:space="0" w:color="auto"/>
            </w:tcBorders>
            <w:shd w:val="clear" w:color="auto" w:fill="auto"/>
          </w:tcPr>
          <w:p w14:paraId="74B5F57A" w14:textId="22FD5C46"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 xml:space="preserve">-   </w:t>
            </w:r>
          </w:p>
        </w:tc>
      </w:tr>
      <w:tr w:rsidR="00FE606E" w:rsidRPr="000C156A" w14:paraId="3389BC80" w14:textId="77777777" w:rsidTr="00FE606E">
        <w:trPr>
          <w:jc w:val="center"/>
        </w:trPr>
        <w:tc>
          <w:tcPr>
            <w:tcW w:w="2698" w:type="dxa"/>
            <w:tcBorders>
              <w:top w:val="single" w:sz="4" w:space="0" w:color="auto"/>
              <w:left w:val="single" w:sz="4" w:space="0" w:color="auto"/>
              <w:bottom w:val="single" w:sz="4" w:space="0" w:color="auto"/>
              <w:right w:val="single" w:sz="4" w:space="0" w:color="auto"/>
            </w:tcBorders>
            <w:hideMark/>
          </w:tcPr>
          <w:p w14:paraId="5E6DC588" w14:textId="77777777" w:rsidR="00FE606E" w:rsidRPr="000C156A" w:rsidRDefault="00FE606E" w:rsidP="007261F5">
            <w:pPr>
              <w:pStyle w:val="Tabletext"/>
              <w:spacing w:before="20" w:after="20"/>
              <w:rPr>
                <w:b/>
                <w:bCs/>
                <w:szCs w:val="22"/>
                <w:lang w:val="en-US" w:eastAsia="zh-CN"/>
              </w:rPr>
            </w:pPr>
            <w:r w:rsidRPr="000C156A">
              <w:rPr>
                <w:rFonts w:cs="Arial"/>
                <w:b/>
                <w:bCs/>
                <w:color w:val="000000"/>
                <w:szCs w:val="22"/>
                <w:lang w:val="en-US"/>
              </w:rPr>
              <w:lastRenderedPageBreak/>
              <w:t>12</w:t>
            </w:r>
            <w:r w:rsidRPr="000C156A">
              <w:rPr>
                <w:rFonts w:cs="Arial" w:hint="eastAsia"/>
                <w:b/>
                <w:bCs/>
                <w:color w:val="000000"/>
                <w:szCs w:val="22"/>
                <w:lang w:val="en-US"/>
              </w:rPr>
              <w:t>月</w:t>
            </w:r>
            <w:r w:rsidRPr="000C156A">
              <w:rPr>
                <w:b/>
                <w:bCs/>
                <w:szCs w:val="22"/>
                <w:lang w:val="en-US"/>
              </w:rPr>
              <w:t>31</w:t>
            </w:r>
            <w:r w:rsidRPr="000C156A">
              <w:rPr>
                <w:rFonts w:cs="Arial" w:hint="eastAsia"/>
                <w:b/>
                <w:bCs/>
                <w:color w:val="000000"/>
                <w:szCs w:val="22"/>
                <w:lang w:val="en-US"/>
              </w:rPr>
              <w:t>日时的成本</w:t>
            </w:r>
          </w:p>
        </w:tc>
        <w:tc>
          <w:tcPr>
            <w:tcW w:w="983" w:type="dxa"/>
            <w:tcBorders>
              <w:top w:val="single" w:sz="4" w:space="0" w:color="auto"/>
              <w:left w:val="nil"/>
              <w:bottom w:val="single" w:sz="4" w:space="0" w:color="auto"/>
              <w:right w:val="nil"/>
            </w:tcBorders>
            <w:shd w:val="clear" w:color="auto" w:fill="auto"/>
            <w:vAlign w:val="center"/>
            <w:hideMark/>
          </w:tcPr>
          <w:p w14:paraId="343FD22A" w14:textId="7D549B09"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1</w:t>
            </w:r>
            <w:r w:rsidRPr="00F14C95">
              <w:rPr>
                <w:rFonts w:cs="Calibri"/>
                <w:b/>
                <w:bCs/>
                <w:color w:val="000000"/>
                <w:sz w:val="22"/>
                <w:szCs w:val="22"/>
                <w:lang w:eastAsia="en-GB"/>
              </w:rPr>
              <w:t>2</w:t>
            </w:r>
            <w:r>
              <w:rPr>
                <w:rFonts w:cs="Calibri"/>
                <w:b/>
                <w:bCs/>
                <w:color w:val="000000"/>
                <w:sz w:val="22"/>
                <w:szCs w:val="22"/>
                <w:lang w:eastAsia="en-GB"/>
              </w:rPr>
              <w:t>6 339</w:t>
            </w:r>
          </w:p>
        </w:tc>
        <w:tc>
          <w:tcPr>
            <w:tcW w:w="827" w:type="dxa"/>
            <w:tcBorders>
              <w:top w:val="single" w:sz="4" w:space="0" w:color="auto"/>
              <w:left w:val="nil"/>
              <w:bottom w:val="single" w:sz="4" w:space="0" w:color="auto"/>
              <w:right w:val="nil"/>
            </w:tcBorders>
            <w:shd w:val="clear" w:color="auto" w:fill="auto"/>
            <w:vAlign w:val="center"/>
            <w:hideMark/>
          </w:tcPr>
          <w:p w14:paraId="0F6E7458" w14:textId="12FDA091"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2</w:t>
            </w:r>
            <w:r>
              <w:rPr>
                <w:rFonts w:cs="Calibri"/>
                <w:b/>
                <w:bCs/>
                <w:color w:val="000000"/>
                <w:sz w:val="22"/>
                <w:szCs w:val="22"/>
                <w:lang w:eastAsia="en-GB"/>
              </w:rPr>
              <w:t> </w:t>
            </w:r>
            <w:r w:rsidRPr="00F14C95">
              <w:rPr>
                <w:rFonts w:cs="Calibri"/>
                <w:b/>
                <w:bCs/>
                <w:color w:val="000000"/>
                <w:sz w:val="22"/>
                <w:szCs w:val="22"/>
                <w:lang w:eastAsia="en-GB"/>
              </w:rPr>
              <w:t>1</w:t>
            </w:r>
            <w:r>
              <w:rPr>
                <w:rFonts w:cs="Calibri"/>
                <w:b/>
                <w:bCs/>
                <w:color w:val="000000"/>
                <w:sz w:val="22"/>
                <w:szCs w:val="22"/>
                <w:lang w:eastAsia="en-GB"/>
              </w:rPr>
              <w:t>13</w:t>
            </w:r>
            <w:r w:rsidRPr="00F14C95">
              <w:rPr>
                <w:rFonts w:cs="Calibri"/>
                <w:b/>
                <w:bCs/>
                <w:color w:val="000000"/>
                <w:sz w:val="22"/>
                <w:szCs w:val="22"/>
                <w:lang w:eastAsia="en-GB"/>
              </w:rPr>
              <w:t xml:space="preserve"> </w:t>
            </w:r>
          </w:p>
        </w:tc>
        <w:tc>
          <w:tcPr>
            <w:tcW w:w="795" w:type="dxa"/>
            <w:tcBorders>
              <w:top w:val="single" w:sz="4" w:space="0" w:color="auto"/>
              <w:left w:val="nil"/>
              <w:bottom w:val="single" w:sz="4" w:space="0" w:color="auto"/>
              <w:right w:val="nil"/>
            </w:tcBorders>
            <w:shd w:val="clear" w:color="auto" w:fill="auto"/>
            <w:vAlign w:val="center"/>
            <w:hideMark/>
          </w:tcPr>
          <w:p w14:paraId="1B721AB4" w14:textId="1D0B4A3F"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w:t>
            </w:r>
            <w:r>
              <w:rPr>
                <w:rFonts w:cs="Calibri"/>
                <w:b/>
                <w:bCs/>
                <w:color w:val="000000"/>
                <w:sz w:val="22"/>
                <w:szCs w:val="22"/>
                <w:lang w:eastAsia="en-GB"/>
              </w:rPr>
              <w:t> 394</w:t>
            </w:r>
          </w:p>
        </w:tc>
        <w:tc>
          <w:tcPr>
            <w:tcW w:w="895" w:type="dxa"/>
            <w:tcBorders>
              <w:top w:val="single" w:sz="4" w:space="0" w:color="auto"/>
              <w:left w:val="nil"/>
              <w:bottom w:val="single" w:sz="4" w:space="0" w:color="auto"/>
              <w:right w:val="nil"/>
            </w:tcBorders>
            <w:shd w:val="clear" w:color="auto" w:fill="auto"/>
            <w:vAlign w:val="center"/>
            <w:hideMark/>
          </w:tcPr>
          <w:p w14:paraId="037730DA" w14:textId="1544CC3A"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8 802</w:t>
            </w:r>
            <w:r w:rsidRPr="00F14C95">
              <w:rPr>
                <w:rFonts w:cs="Calibri"/>
                <w:b/>
                <w:bCs/>
                <w:color w:val="000000"/>
                <w:sz w:val="22"/>
                <w:szCs w:val="22"/>
                <w:lang w:eastAsia="en-GB"/>
              </w:rPr>
              <w:t xml:space="preserve"> </w:t>
            </w:r>
          </w:p>
        </w:tc>
        <w:tc>
          <w:tcPr>
            <w:tcW w:w="867" w:type="dxa"/>
            <w:tcBorders>
              <w:top w:val="single" w:sz="4" w:space="0" w:color="auto"/>
              <w:left w:val="nil"/>
              <w:bottom w:val="single" w:sz="4" w:space="0" w:color="auto"/>
              <w:right w:val="nil"/>
            </w:tcBorders>
            <w:shd w:val="clear" w:color="auto" w:fill="auto"/>
            <w:vAlign w:val="center"/>
            <w:hideMark/>
          </w:tcPr>
          <w:p w14:paraId="0E99DD49" w14:textId="717EF89A"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 xml:space="preserve">296 </w:t>
            </w:r>
          </w:p>
        </w:tc>
        <w:tc>
          <w:tcPr>
            <w:tcW w:w="1053" w:type="dxa"/>
            <w:tcBorders>
              <w:top w:val="single" w:sz="4" w:space="0" w:color="auto"/>
              <w:left w:val="nil"/>
              <w:bottom w:val="single" w:sz="4" w:space="0" w:color="auto"/>
              <w:right w:val="nil"/>
            </w:tcBorders>
            <w:shd w:val="clear" w:color="auto" w:fill="auto"/>
            <w:vAlign w:val="center"/>
            <w:hideMark/>
          </w:tcPr>
          <w:p w14:paraId="3FCAF4F0" w14:textId="521CD87C"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16</w:t>
            </w:r>
            <w:r>
              <w:rPr>
                <w:rFonts w:cs="Calibri"/>
                <w:b/>
                <w:bCs/>
                <w:color w:val="000000"/>
                <w:sz w:val="22"/>
                <w:szCs w:val="22"/>
                <w:lang w:eastAsia="en-GB"/>
              </w:rPr>
              <w:t> 043</w:t>
            </w:r>
            <w:r w:rsidRPr="00F14C95">
              <w:rPr>
                <w:rFonts w:cs="Calibri"/>
                <w:b/>
                <w:bCs/>
                <w:color w:val="000000"/>
                <w:sz w:val="22"/>
                <w:szCs w:val="22"/>
                <w:lang w:eastAsia="en-GB"/>
              </w:rPr>
              <w:t xml:space="preserve"> </w:t>
            </w:r>
          </w:p>
        </w:tc>
        <w:tc>
          <w:tcPr>
            <w:tcW w:w="1053" w:type="dxa"/>
            <w:tcBorders>
              <w:top w:val="nil"/>
              <w:left w:val="nil"/>
              <w:bottom w:val="single" w:sz="4" w:space="0" w:color="auto"/>
              <w:right w:val="single" w:sz="4" w:space="0" w:color="auto"/>
            </w:tcBorders>
            <w:shd w:val="clear" w:color="auto" w:fill="auto"/>
            <w:vAlign w:val="center"/>
          </w:tcPr>
          <w:p w14:paraId="68237699" w14:textId="0DFCADC4"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154</w:t>
            </w:r>
            <w:r>
              <w:rPr>
                <w:rFonts w:cs="Calibri"/>
                <w:b/>
                <w:bCs/>
                <w:color w:val="000000"/>
                <w:sz w:val="22"/>
                <w:szCs w:val="22"/>
                <w:lang w:eastAsia="en-GB"/>
              </w:rPr>
              <w:t> 987</w:t>
            </w:r>
            <w:r w:rsidRPr="00F14C95">
              <w:rPr>
                <w:rFonts w:cs="Calibri"/>
                <w:b/>
                <w:bCs/>
                <w:color w:val="000000"/>
                <w:sz w:val="22"/>
                <w:szCs w:val="22"/>
                <w:lang w:eastAsia="en-GB"/>
              </w:rPr>
              <w:t xml:space="preserve"> </w:t>
            </w:r>
          </w:p>
        </w:tc>
      </w:tr>
      <w:tr w:rsidR="00FE606E" w:rsidRPr="000C156A" w14:paraId="6FA23CD6" w14:textId="77777777" w:rsidTr="00FE606E">
        <w:trPr>
          <w:jc w:val="center"/>
        </w:trPr>
        <w:tc>
          <w:tcPr>
            <w:tcW w:w="2698" w:type="dxa"/>
            <w:tcBorders>
              <w:top w:val="single" w:sz="4" w:space="0" w:color="auto"/>
              <w:left w:val="single" w:sz="4" w:space="0" w:color="auto"/>
              <w:bottom w:val="single" w:sz="4" w:space="0" w:color="auto"/>
              <w:right w:val="single" w:sz="4" w:space="0" w:color="auto"/>
            </w:tcBorders>
            <w:hideMark/>
          </w:tcPr>
          <w:p w14:paraId="46114A13" w14:textId="77777777" w:rsidR="00FE606E" w:rsidRPr="000C156A" w:rsidRDefault="00FE606E" w:rsidP="007261F5">
            <w:pPr>
              <w:pStyle w:val="Tabletext"/>
              <w:spacing w:before="20" w:after="20"/>
              <w:rPr>
                <w:b/>
                <w:bCs/>
                <w:szCs w:val="22"/>
                <w:lang w:val="en-US" w:eastAsia="zh-CN"/>
              </w:rPr>
            </w:pPr>
            <w:r w:rsidRPr="000C156A">
              <w:rPr>
                <w:rFonts w:cs="Arial"/>
                <w:b/>
                <w:bCs/>
                <w:color w:val="000000"/>
                <w:szCs w:val="22"/>
                <w:lang w:val="en-US"/>
              </w:rPr>
              <w:t>1</w:t>
            </w:r>
            <w:r w:rsidRPr="000C156A">
              <w:rPr>
                <w:rFonts w:cs="Arial" w:hint="eastAsia"/>
                <w:b/>
                <w:bCs/>
                <w:color w:val="000000"/>
                <w:szCs w:val="22"/>
                <w:lang w:val="en-US"/>
              </w:rPr>
              <w:t>月</w:t>
            </w:r>
            <w:r w:rsidRPr="000C156A">
              <w:rPr>
                <w:rFonts w:cs="Arial"/>
                <w:b/>
                <w:bCs/>
                <w:color w:val="000000"/>
                <w:szCs w:val="22"/>
                <w:lang w:val="en-US"/>
              </w:rPr>
              <w:t>1</w:t>
            </w:r>
            <w:r w:rsidRPr="000C156A">
              <w:rPr>
                <w:rFonts w:cs="Arial" w:hint="eastAsia"/>
                <w:b/>
                <w:bCs/>
                <w:color w:val="000000"/>
                <w:szCs w:val="22"/>
                <w:lang w:val="en-US"/>
              </w:rPr>
              <w:t>日时的折旧</w:t>
            </w:r>
          </w:p>
        </w:tc>
        <w:tc>
          <w:tcPr>
            <w:tcW w:w="983" w:type="dxa"/>
            <w:tcBorders>
              <w:top w:val="nil"/>
              <w:left w:val="nil"/>
              <w:bottom w:val="single" w:sz="4" w:space="0" w:color="auto"/>
              <w:right w:val="nil"/>
            </w:tcBorders>
            <w:shd w:val="clear" w:color="auto" w:fill="auto"/>
            <w:vAlign w:val="center"/>
            <w:hideMark/>
          </w:tcPr>
          <w:p w14:paraId="205390FF" w14:textId="548B491D"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48 084</w:t>
            </w:r>
            <w:r w:rsidRPr="00F14C95">
              <w:rPr>
                <w:rFonts w:cs="Calibri"/>
                <w:b/>
                <w:bCs/>
                <w:color w:val="000000"/>
                <w:sz w:val="22"/>
                <w:szCs w:val="22"/>
                <w:lang w:eastAsia="en-GB"/>
              </w:rPr>
              <w:t xml:space="preserve"> </w:t>
            </w:r>
          </w:p>
        </w:tc>
        <w:tc>
          <w:tcPr>
            <w:tcW w:w="827" w:type="dxa"/>
            <w:tcBorders>
              <w:top w:val="nil"/>
              <w:left w:val="nil"/>
              <w:bottom w:val="single" w:sz="4" w:space="0" w:color="auto"/>
              <w:right w:val="nil"/>
            </w:tcBorders>
            <w:shd w:val="clear" w:color="auto" w:fill="auto"/>
            <w:vAlign w:val="center"/>
            <w:hideMark/>
          </w:tcPr>
          <w:p w14:paraId="40EE5529" w14:textId="299A9FF9"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1 989</w:t>
            </w:r>
            <w:r w:rsidRPr="00F14C95">
              <w:rPr>
                <w:rFonts w:cs="Calibri"/>
                <w:b/>
                <w:bCs/>
                <w:color w:val="000000"/>
                <w:sz w:val="22"/>
                <w:szCs w:val="22"/>
                <w:lang w:eastAsia="en-GB"/>
              </w:rPr>
              <w:t xml:space="preserve"> </w:t>
            </w:r>
          </w:p>
        </w:tc>
        <w:tc>
          <w:tcPr>
            <w:tcW w:w="795" w:type="dxa"/>
            <w:tcBorders>
              <w:top w:val="nil"/>
              <w:left w:val="nil"/>
              <w:bottom w:val="single" w:sz="4" w:space="0" w:color="auto"/>
              <w:right w:val="nil"/>
            </w:tcBorders>
            <w:shd w:val="clear" w:color="auto" w:fill="auto"/>
            <w:vAlign w:val="center"/>
            <w:hideMark/>
          </w:tcPr>
          <w:p w14:paraId="1245ED86" w14:textId="5F3AE698"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w:t>
            </w:r>
            <w:r>
              <w:rPr>
                <w:rFonts w:cs="Calibri"/>
                <w:b/>
                <w:bCs/>
                <w:color w:val="000000"/>
                <w:sz w:val="22"/>
                <w:szCs w:val="22"/>
                <w:lang w:eastAsia="en-GB"/>
              </w:rPr>
              <w:t> 449</w:t>
            </w:r>
            <w:r w:rsidRPr="00F14C95">
              <w:rPr>
                <w:rFonts w:cs="Calibri"/>
                <w:b/>
                <w:bCs/>
                <w:color w:val="000000"/>
                <w:sz w:val="22"/>
                <w:szCs w:val="22"/>
                <w:lang w:eastAsia="en-GB"/>
              </w:rPr>
              <w:t xml:space="preserve"> </w:t>
            </w:r>
          </w:p>
        </w:tc>
        <w:tc>
          <w:tcPr>
            <w:tcW w:w="895" w:type="dxa"/>
            <w:tcBorders>
              <w:top w:val="nil"/>
              <w:left w:val="nil"/>
              <w:bottom w:val="single" w:sz="4" w:space="0" w:color="auto"/>
              <w:right w:val="nil"/>
            </w:tcBorders>
            <w:shd w:val="clear" w:color="auto" w:fill="auto"/>
            <w:vAlign w:val="center"/>
            <w:hideMark/>
          </w:tcPr>
          <w:p w14:paraId="1FB5E92D" w14:textId="1D0157F8"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8 582</w:t>
            </w:r>
          </w:p>
        </w:tc>
        <w:tc>
          <w:tcPr>
            <w:tcW w:w="867" w:type="dxa"/>
            <w:tcBorders>
              <w:top w:val="nil"/>
              <w:left w:val="nil"/>
              <w:bottom w:val="single" w:sz="4" w:space="0" w:color="auto"/>
              <w:right w:val="nil"/>
            </w:tcBorders>
            <w:shd w:val="clear" w:color="auto" w:fill="auto"/>
            <w:vAlign w:val="center"/>
            <w:hideMark/>
          </w:tcPr>
          <w:p w14:paraId="20BF1F5E" w14:textId="49B9B821"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2</w:t>
            </w:r>
            <w:r>
              <w:rPr>
                <w:rFonts w:cs="Calibri"/>
                <w:b/>
                <w:bCs/>
                <w:color w:val="000000"/>
                <w:sz w:val="22"/>
                <w:szCs w:val="22"/>
                <w:lang w:eastAsia="en-GB"/>
              </w:rPr>
              <w:t>03</w:t>
            </w:r>
            <w:r w:rsidRPr="00F14C95">
              <w:rPr>
                <w:rFonts w:cs="Calibri"/>
                <w:b/>
                <w:bCs/>
                <w:color w:val="000000"/>
                <w:sz w:val="22"/>
                <w:szCs w:val="22"/>
                <w:lang w:eastAsia="en-GB"/>
              </w:rPr>
              <w:t xml:space="preserve"> </w:t>
            </w:r>
          </w:p>
        </w:tc>
        <w:tc>
          <w:tcPr>
            <w:tcW w:w="1053" w:type="dxa"/>
            <w:tcBorders>
              <w:top w:val="nil"/>
              <w:left w:val="nil"/>
              <w:bottom w:val="nil"/>
              <w:right w:val="nil"/>
            </w:tcBorders>
            <w:shd w:val="clear" w:color="auto" w:fill="auto"/>
            <w:vAlign w:val="center"/>
            <w:hideMark/>
          </w:tcPr>
          <w:p w14:paraId="5F231F94" w14:textId="0EB551F5"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w:t>
            </w:r>
            <w:r>
              <w:rPr>
                <w:rFonts w:cs="Calibri"/>
                <w:b/>
                <w:bCs/>
                <w:color w:val="000000"/>
                <w:sz w:val="22"/>
                <w:szCs w:val="22"/>
                <w:lang w:eastAsia="en-GB"/>
              </w:rPr>
              <w:t>6 154</w:t>
            </w:r>
          </w:p>
        </w:tc>
        <w:tc>
          <w:tcPr>
            <w:tcW w:w="1053" w:type="dxa"/>
            <w:tcBorders>
              <w:top w:val="nil"/>
              <w:left w:val="nil"/>
              <w:bottom w:val="nil"/>
              <w:right w:val="single" w:sz="4" w:space="0" w:color="auto"/>
            </w:tcBorders>
            <w:shd w:val="clear" w:color="auto" w:fill="auto"/>
            <w:vAlign w:val="center"/>
          </w:tcPr>
          <w:p w14:paraId="617F6713" w14:textId="29FE1B19"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76 461</w:t>
            </w:r>
            <w:r w:rsidRPr="00F14C95">
              <w:rPr>
                <w:rFonts w:cs="Calibri"/>
                <w:b/>
                <w:bCs/>
                <w:color w:val="000000"/>
                <w:sz w:val="22"/>
                <w:szCs w:val="22"/>
                <w:lang w:eastAsia="en-GB"/>
              </w:rPr>
              <w:t xml:space="preserve"> </w:t>
            </w:r>
          </w:p>
        </w:tc>
      </w:tr>
      <w:tr w:rsidR="00FE606E" w:rsidRPr="000C156A" w14:paraId="489AA809" w14:textId="77777777" w:rsidTr="00FE606E">
        <w:trPr>
          <w:jc w:val="center"/>
        </w:trPr>
        <w:tc>
          <w:tcPr>
            <w:tcW w:w="2698" w:type="dxa"/>
            <w:tcBorders>
              <w:top w:val="single" w:sz="4" w:space="0" w:color="auto"/>
              <w:left w:val="single" w:sz="4" w:space="0" w:color="auto"/>
              <w:bottom w:val="nil"/>
              <w:right w:val="single" w:sz="4" w:space="0" w:color="auto"/>
            </w:tcBorders>
            <w:hideMark/>
          </w:tcPr>
          <w:p w14:paraId="3E04BE07" w14:textId="77777777" w:rsidR="00FE606E" w:rsidRPr="000C156A" w:rsidRDefault="00FE606E" w:rsidP="007261F5">
            <w:pPr>
              <w:pStyle w:val="Tabletext"/>
              <w:spacing w:before="20" w:after="20"/>
              <w:rPr>
                <w:szCs w:val="22"/>
                <w:lang w:val="en-US" w:eastAsia="fr-FR"/>
              </w:rPr>
            </w:pPr>
            <w:r w:rsidRPr="000C156A">
              <w:rPr>
                <w:rFonts w:hint="eastAsia"/>
                <w:bCs/>
                <w:szCs w:val="22"/>
                <w:lang w:val="en-US"/>
              </w:rPr>
              <w:t>年度期间得到确认</w:t>
            </w:r>
          </w:p>
        </w:tc>
        <w:tc>
          <w:tcPr>
            <w:tcW w:w="983" w:type="dxa"/>
            <w:tcBorders>
              <w:top w:val="nil"/>
              <w:left w:val="nil"/>
              <w:bottom w:val="nil"/>
              <w:right w:val="nil"/>
            </w:tcBorders>
            <w:shd w:val="clear" w:color="auto" w:fill="auto"/>
            <w:vAlign w:val="center"/>
            <w:hideMark/>
          </w:tcPr>
          <w:p w14:paraId="56FAD5C1" w14:textId="2139C48B"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8 028 </w:t>
            </w:r>
          </w:p>
        </w:tc>
        <w:tc>
          <w:tcPr>
            <w:tcW w:w="827" w:type="dxa"/>
            <w:tcBorders>
              <w:top w:val="nil"/>
              <w:left w:val="nil"/>
              <w:bottom w:val="nil"/>
              <w:right w:val="nil"/>
            </w:tcBorders>
            <w:shd w:val="clear" w:color="auto" w:fill="auto"/>
            <w:vAlign w:val="center"/>
            <w:hideMark/>
          </w:tcPr>
          <w:p w14:paraId="6FE72454" w14:textId="784ABD08"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43 </w:t>
            </w:r>
          </w:p>
        </w:tc>
        <w:tc>
          <w:tcPr>
            <w:tcW w:w="795" w:type="dxa"/>
            <w:tcBorders>
              <w:top w:val="nil"/>
              <w:left w:val="nil"/>
              <w:bottom w:val="nil"/>
              <w:right w:val="nil"/>
            </w:tcBorders>
            <w:shd w:val="clear" w:color="auto" w:fill="auto"/>
            <w:vAlign w:val="center"/>
            <w:hideMark/>
          </w:tcPr>
          <w:p w14:paraId="116994D8" w14:textId="7301D52C"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25 </w:t>
            </w:r>
          </w:p>
        </w:tc>
        <w:tc>
          <w:tcPr>
            <w:tcW w:w="895" w:type="dxa"/>
            <w:tcBorders>
              <w:top w:val="nil"/>
              <w:left w:val="nil"/>
              <w:bottom w:val="nil"/>
              <w:right w:val="nil"/>
            </w:tcBorders>
            <w:shd w:val="clear" w:color="auto" w:fill="auto"/>
            <w:vAlign w:val="center"/>
            <w:hideMark/>
          </w:tcPr>
          <w:p w14:paraId="1A7FCC5B" w14:textId="08895EDE"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453 </w:t>
            </w:r>
          </w:p>
        </w:tc>
        <w:tc>
          <w:tcPr>
            <w:tcW w:w="867" w:type="dxa"/>
            <w:tcBorders>
              <w:top w:val="nil"/>
              <w:left w:val="nil"/>
              <w:bottom w:val="nil"/>
              <w:right w:val="nil"/>
            </w:tcBorders>
            <w:shd w:val="clear" w:color="auto" w:fill="auto"/>
            <w:vAlign w:val="center"/>
            <w:hideMark/>
          </w:tcPr>
          <w:p w14:paraId="33CF8724" w14:textId="602411DB"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33 </w:t>
            </w:r>
          </w:p>
        </w:tc>
        <w:tc>
          <w:tcPr>
            <w:tcW w:w="1053" w:type="dxa"/>
            <w:tcBorders>
              <w:top w:val="single" w:sz="4" w:space="0" w:color="auto"/>
              <w:left w:val="nil"/>
              <w:bottom w:val="nil"/>
              <w:right w:val="nil"/>
            </w:tcBorders>
            <w:shd w:val="clear" w:color="auto" w:fill="auto"/>
            <w:vAlign w:val="center"/>
          </w:tcPr>
          <w:p w14:paraId="3B803FE1" w14:textId="0E9C13D4" w:rsidR="00FE606E" w:rsidRPr="00CB4182" w:rsidRDefault="00FE606E" w:rsidP="007261F5">
            <w:pPr>
              <w:overflowPunct/>
              <w:autoSpaceDE/>
              <w:autoSpaceDN/>
              <w:adjustRightInd/>
              <w:spacing w:before="0"/>
              <w:jc w:val="right"/>
              <w:textAlignment w:val="auto"/>
              <w:rPr>
                <w:rFonts w:cs="Calibri"/>
                <w:b/>
                <w:bCs/>
                <w:color w:val="000000"/>
                <w:sz w:val="22"/>
                <w:szCs w:val="22"/>
                <w:lang w:eastAsia="en-GB"/>
              </w:rPr>
            </w:pPr>
            <w:r w:rsidRPr="00CB4182">
              <w:rPr>
                <w:rFonts w:cs="Calibri"/>
                <w:b/>
                <w:bCs/>
                <w:color w:val="000000"/>
                <w:sz w:val="22"/>
                <w:szCs w:val="22"/>
                <w:lang w:eastAsia="en-GB"/>
              </w:rPr>
              <w:t xml:space="preserve">818 </w:t>
            </w:r>
          </w:p>
        </w:tc>
        <w:tc>
          <w:tcPr>
            <w:tcW w:w="1053" w:type="dxa"/>
            <w:tcBorders>
              <w:top w:val="single" w:sz="4" w:space="0" w:color="auto"/>
              <w:left w:val="nil"/>
              <w:bottom w:val="nil"/>
              <w:right w:val="single" w:sz="4" w:space="0" w:color="auto"/>
            </w:tcBorders>
            <w:shd w:val="clear" w:color="auto" w:fill="auto"/>
            <w:vAlign w:val="center"/>
          </w:tcPr>
          <w:p w14:paraId="421F5F5F" w14:textId="681DFD2E" w:rsidR="00FE606E" w:rsidRPr="00CB4182" w:rsidRDefault="00FE606E" w:rsidP="007261F5">
            <w:pPr>
              <w:overflowPunct/>
              <w:autoSpaceDE/>
              <w:autoSpaceDN/>
              <w:adjustRightInd/>
              <w:spacing w:before="0"/>
              <w:jc w:val="right"/>
              <w:textAlignment w:val="auto"/>
              <w:rPr>
                <w:rFonts w:cs="Calibri"/>
                <w:b/>
                <w:bCs/>
                <w:color w:val="000000"/>
                <w:sz w:val="22"/>
                <w:szCs w:val="22"/>
                <w:lang w:eastAsia="en-GB"/>
              </w:rPr>
            </w:pPr>
            <w:r w:rsidRPr="00CB4182">
              <w:rPr>
                <w:rFonts w:cs="Calibri"/>
                <w:b/>
                <w:bCs/>
                <w:color w:val="000000"/>
                <w:sz w:val="22"/>
                <w:szCs w:val="22"/>
                <w:lang w:eastAsia="en-GB"/>
              </w:rPr>
              <w:t xml:space="preserve">9 401 </w:t>
            </w:r>
          </w:p>
        </w:tc>
      </w:tr>
      <w:tr w:rsidR="00FE606E" w:rsidRPr="000C156A" w14:paraId="03B05A2A" w14:textId="77777777" w:rsidTr="003A64C9">
        <w:trPr>
          <w:jc w:val="center"/>
        </w:trPr>
        <w:tc>
          <w:tcPr>
            <w:tcW w:w="2698" w:type="dxa"/>
            <w:tcBorders>
              <w:top w:val="nil"/>
              <w:left w:val="single" w:sz="4" w:space="0" w:color="auto"/>
              <w:bottom w:val="nil"/>
              <w:right w:val="single" w:sz="4" w:space="0" w:color="auto"/>
            </w:tcBorders>
            <w:hideMark/>
          </w:tcPr>
          <w:p w14:paraId="702D4A04" w14:textId="77777777" w:rsidR="00FE606E" w:rsidRPr="000C156A" w:rsidRDefault="00FE606E" w:rsidP="007261F5">
            <w:pPr>
              <w:pStyle w:val="Tabletext"/>
              <w:spacing w:before="20" w:after="20"/>
              <w:rPr>
                <w:rFonts w:cs="Arial"/>
                <w:color w:val="000000"/>
                <w:szCs w:val="22"/>
                <w:lang w:val="en-US"/>
              </w:rPr>
            </w:pPr>
            <w:r w:rsidRPr="000C156A">
              <w:rPr>
                <w:rFonts w:cs="Arial" w:hint="eastAsia"/>
                <w:color w:val="000000"/>
                <w:szCs w:val="22"/>
                <w:lang w:val="en-US"/>
              </w:rPr>
              <w:t>处置</w:t>
            </w:r>
          </w:p>
        </w:tc>
        <w:tc>
          <w:tcPr>
            <w:tcW w:w="983" w:type="dxa"/>
            <w:tcBorders>
              <w:top w:val="nil"/>
              <w:left w:val="nil"/>
              <w:bottom w:val="nil"/>
              <w:right w:val="nil"/>
            </w:tcBorders>
            <w:shd w:val="clear" w:color="auto" w:fill="auto"/>
          </w:tcPr>
          <w:p w14:paraId="147D791C" w14:textId="21A16ED1"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   </w:t>
            </w:r>
          </w:p>
        </w:tc>
        <w:tc>
          <w:tcPr>
            <w:tcW w:w="827" w:type="dxa"/>
            <w:tcBorders>
              <w:top w:val="nil"/>
              <w:left w:val="nil"/>
              <w:bottom w:val="nil"/>
              <w:right w:val="nil"/>
            </w:tcBorders>
            <w:shd w:val="clear" w:color="auto" w:fill="auto"/>
            <w:vAlign w:val="center"/>
            <w:hideMark/>
          </w:tcPr>
          <w:p w14:paraId="2C9BF22D" w14:textId="587877CB"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-43 </w:t>
            </w:r>
          </w:p>
        </w:tc>
        <w:tc>
          <w:tcPr>
            <w:tcW w:w="795" w:type="dxa"/>
            <w:tcBorders>
              <w:top w:val="nil"/>
              <w:left w:val="nil"/>
              <w:bottom w:val="nil"/>
              <w:right w:val="nil"/>
            </w:tcBorders>
            <w:shd w:val="clear" w:color="auto" w:fill="auto"/>
            <w:vAlign w:val="center"/>
          </w:tcPr>
          <w:p w14:paraId="75A67B5E" w14:textId="01F6270F"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-112 </w:t>
            </w:r>
          </w:p>
        </w:tc>
        <w:tc>
          <w:tcPr>
            <w:tcW w:w="895" w:type="dxa"/>
            <w:tcBorders>
              <w:top w:val="nil"/>
              <w:left w:val="nil"/>
              <w:bottom w:val="nil"/>
              <w:right w:val="nil"/>
            </w:tcBorders>
            <w:shd w:val="clear" w:color="auto" w:fill="auto"/>
            <w:vAlign w:val="center"/>
            <w:hideMark/>
          </w:tcPr>
          <w:p w14:paraId="0ED7A8E2" w14:textId="1A6EB217"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-1 461 </w:t>
            </w:r>
          </w:p>
        </w:tc>
        <w:tc>
          <w:tcPr>
            <w:tcW w:w="867" w:type="dxa"/>
            <w:tcBorders>
              <w:top w:val="nil"/>
              <w:left w:val="nil"/>
              <w:bottom w:val="nil"/>
              <w:right w:val="nil"/>
            </w:tcBorders>
            <w:shd w:val="clear" w:color="auto" w:fill="auto"/>
          </w:tcPr>
          <w:p w14:paraId="02769097" w14:textId="10787386"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   </w:t>
            </w:r>
          </w:p>
        </w:tc>
        <w:tc>
          <w:tcPr>
            <w:tcW w:w="1053" w:type="dxa"/>
            <w:tcBorders>
              <w:top w:val="nil"/>
              <w:left w:val="nil"/>
              <w:bottom w:val="nil"/>
              <w:right w:val="nil"/>
            </w:tcBorders>
            <w:shd w:val="clear" w:color="auto" w:fill="auto"/>
            <w:vAlign w:val="center"/>
          </w:tcPr>
          <w:p w14:paraId="1995A3F6" w14:textId="79AE661A"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-929 </w:t>
            </w:r>
          </w:p>
        </w:tc>
        <w:tc>
          <w:tcPr>
            <w:tcW w:w="1053" w:type="dxa"/>
            <w:tcBorders>
              <w:top w:val="nil"/>
              <w:left w:val="nil"/>
              <w:bottom w:val="nil"/>
              <w:right w:val="single" w:sz="4" w:space="0" w:color="auto"/>
            </w:tcBorders>
            <w:shd w:val="clear" w:color="auto" w:fill="auto"/>
            <w:vAlign w:val="center"/>
          </w:tcPr>
          <w:p w14:paraId="1CBFC334" w14:textId="11DFFB7B" w:rsidR="00FE606E" w:rsidRPr="00CB4182" w:rsidRDefault="00FE606E" w:rsidP="007261F5">
            <w:pPr>
              <w:overflowPunct/>
              <w:autoSpaceDE/>
              <w:autoSpaceDN/>
              <w:adjustRightInd/>
              <w:spacing w:before="0"/>
              <w:jc w:val="right"/>
              <w:textAlignment w:val="auto"/>
              <w:rPr>
                <w:rFonts w:cs="Calibri"/>
                <w:bCs/>
                <w:color w:val="000000"/>
                <w:sz w:val="22"/>
                <w:szCs w:val="22"/>
                <w:lang w:eastAsia="en-GB"/>
              </w:rPr>
            </w:pPr>
            <w:r w:rsidRPr="00CB4182">
              <w:rPr>
                <w:rFonts w:cs="Calibri"/>
                <w:b/>
                <w:bCs/>
                <w:color w:val="000000"/>
                <w:sz w:val="22"/>
                <w:szCs w:val="22"/>
                <w:lang w:eastAsia="en-GB"/>
              </w:rPr>
              <w:t xml:space="preserve">-2 545 </w:t>
            </w:r>
          </w:p>
        </w:tc>
      </w:tr>
      <w:tr w:rsidR="00FE606E" w:rsidRPr="000C156A" w14:paraId="37473848" w14:textId="77777777" w:rsidTr="003A64C9">
        <w:trPr>
          <w:jc w:val="center"/>
        </w:trPr>
        <w:tc>
          <w:tcPr>
            <w:tcW w:w="2698" w:type="dxa"/>
            <w:tcBorders>
              <w:top w:val="nil"/>
              <w:left w:val="single" w:sz="4" w:space="0" w:color="auto"/>
              <w:bottom w:val="nil"/>
              <w:right w:val="single" w:sz="4" w:space="0" w:color="auto"/>
            </w:tcBorders>
            <w:hideMark/>
          </w:tcPr>
          <w:p w14:paraId="1F7FC08C" w14:textId="77777777" w:rsidR="00FE606E" w:rsidRPr="000C156A" w:rsidRDefault="00FE606E" w:rsidP="007261F5">
            <w:pPr>
              <w:pStyle w:val="Tabletext"/>
              <w:spacing w:before="20" w:after="20"/>
              <w:rPr>
                <w:rFonts w:cs="Arial"/>
                <w:color w:val="000000"/>
                <w:szCs w:val="22"/>
                <w:lang w:val="en-US"/>
              </w:rPr>
            </w:pPr>
            <w:r w:rsidRPr="000C156A">
              <w:rPr>
                <w:rFonts w:hint="eastAsia"/>
                <w:bCs/>
                <w:szCs w:val="22"/>
                <w:lang w:val="en-US"/>
              </w:rPr>
              <w:t>减值损失</w:t>
            </w:r>
          </w:p>
        </w:tc>
        <w:tc>
          <w:tcPr>
            <w:tcW w:w="983" w:type="dxa"/>
            <w:tcBorders>
              <w:top w:val="nil"/>
              <w:left w:val="nil"/>
              <w:bottom w:val="nil"/>
              <w:right w:val="nil"/>
            </w:tcBorders>
            <w:shd w:val="clear" w:color="auto" w:fill="auto"/>
          </w:tcPr>
          <w:p w14:paraId="030A72AF" w14:textId="19C69BF7"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   </w:t>
            </w:r>
          </w:p>
        </w:tc>
        <w:tc>
          <w:tcPr>
            <w:tcW w:w="827" w:type="dxa"/>
            <w:tcBorders>
              <w:top w:val="nil"/>
              <w:left w:val="nil"/>
              <w:bottom w:val="nil"/>
              <w:right w:val="nil"/>
            </w:tcBorders>
            <w:shd w:val="clear" w:color="auto" w:fill="auto"/>
          </w:tcPr>
          <w:p w14:paraId="42DE636A" w14:textId="3292DBDF" w:rsidR="00FE606E" w:rsidRPr="00CB4182" w:rsidRDefault="00FE606E" w:rsidP="007261F5">
            <w:pPr>
              <w:overflowPunct/>
              <w:autoSpaceDE/>
              <w:autoSpaceDN/>
              <w:adjustRightInd/>
              <w:spacing w:before="0"/>
              <w:jc w:val="right"/>
              <w:textAlignment w:val="auto"/>
              <w:rPr>
                <w:rFonts w:cs="Calibri"/>
                <w:sz w:val="22"/>
                <w:szCs w:val="22"/>
                <w:lang w:eastAsia="en-GB"/>
              </w:rPr>
            </w:pPr>
            <w:r w:rsidRPr="00CB4182">
              <w:rPr>
                <w:rFonts w:cs="Calibri"/>
                <w:color w:val="000000"/>
                <w:sz w:val="22"/>
                <w:szCs w:val="22"/>
                <w:lang w:eastAsia="en-GB"/>
              </w:rPr>
              <w:t xml:space="preserve">-   </w:t>
            </w:r>
          </w:p>
        </w:tc>
        <w:tc>
          <w:tcPr>
            <w:tcW w:w="795" w:type="dxa"/>
            <w:tcBorders>
              <w:top w:val="nil"/>
              <w:left w:val="nil"/>
              <w:bottom w:val="nil"/>
              <w:right w:val="nil"/>
            </w:tcBorders>
            <w:shd w:val="clear" w:color="auto" w:fill="auto"/>
          </w:tcPr>
          <w:p w14:paraId="6898AA0E" w14:textId="3D4767FD" w:rsidR="00FE606E" w:rsidRPr="00CB4182" w:rsidRDefault="00FE606E" w:rsidP="007261F5">
            <w:pPr>
              <w:overflowPunct/>
              <w:autoSpaceDE/>
              <w:autoSpaceDN/>
              <w:adjustRightInd/>
              <w:spacing w:before="0"/>
              <w:jc w:val="right"/>
              <w:textAlignment w:val="auto"/>
              <w:rPr>
                <w:rFonts w:cs="Calibri"/>
                <w:sz w:val="22"/>
                <w:szCs w:val="22"/>
                <w:lang w:eastAsia="en-GB"/>
              </w:rPr>
            </w:pPr>
            <w:r w:rsidRPr="00CB4182">
              <w:rPr>
                <w:rFonts w:cs="Calibri"/>
                <w:color w:val="000000"/>
                <w:sz w:val="22"/>
                <w:szCs w:val="22"/>
                <w:lang w:eastAsia="en-GB"/>
              </w:rPr>
              <w:t xml:space="preserve">-   </w:t>
            </w:r>
          </w:p>
        </w:tc>
        <w:tc>
          <w:tcPr>
            <w:tcW w:w="895" w:type="dxa"/>
            <w:tcBorders>
              <w:top w:val="nil"/>
              <w:left w:val="nil"/>
              <w:bottom w:val="nil"/>
              <w:right w:val="nil"/>
            </w:tcBorders>
            <w:shd w:val="clear" w:color="auto" w:fill="auto"/>
          </w:tcPr>
          <w:p w14:paraId="43C0D60B" w14:textId="7B3602E3" w:rsidR="00FE606E" w:rsidRPr="00CB4182" w:rsidRDefault="00FE606E" w:rsidP="007261F5">
            <w:pPr>
              <w:overflowPunct/>
              <w:autoSpaceDE/>
              <w:autoSpaceDN/>
              <w:adjustRightInd/>
              <w:spacing w:before="0"/>
              <w:jc w:val="right"/>
              <w:textAlignment w:val="auto"/>
              <w:rPr>
                <w:rFonts w:cs="Calibri"/>
                <w:sz w:val="22"/>
                <w:szCs w:val="22"/>
                <w:lang w:eastAsia="en-GB"/>
              </w:rPr>
            </w:pPr>
            <w:r w:rsidRPr="00CB4182">
              <w:rPr>
                <w:rFonts w:cs="Calibri"/>
                <w:color w:val="000000"/>
                <w:sz w:val="22"/>
                <w:szCs w:val="22"/>
                <w:lang w:eastAsia="en-GB"/>
              </w:rPr>
              <w:t xml:space="preserve">-   </w:t>
            </w:r>
          </w:p>
        </w:tc>
        <w:tc>
          <w:tcPr>
            <w:tcW w:w="867" w:type="dxa"/>
            <w:tcBorders>
              <w:top w:val="nil"/>
              <w:left w:val="nil"/>
              <w:bottom w:val="nil"/>
              <w:right w:val="nil"/>
            </w:tcBorders>
            <w:shd w:val="clear" w:color="auto" w:fill="auto"/>
          </w:tcPr>
          <w:p w14:paraId="57E0409B" w14:textId="13642706" w:rsidR="00FE606E" w:rsidRPr="00CB4182" w:rsidRDefault="00FE606E" w:rsidP="007261F5">
            <w:pPr>
              <w:overflowPunct/>
              <w:autoSpaceDE/>
              <w:autoSpaceDN/>
              <w:adjustRightInd/>
              <w:spacing w:before="0"/>
              <w:jc w:val="right"/>
              <w:textAlignment w:val="auto"/>
              <w:rPr>
                <w:rFonts w:cs="Calibri"/>
                <w:sz w:val="22"/>
                <w:szCs w:val="22"/>
                <w:lang w:eastAsia="en-GB"/>
              </w:rPr>
            </w:pPr>
            <w:r w:rsidRPr="00CB4182">
              <w:rPr>
                <w:rFonts w:cs="Calibri"/>
                <w:color w:val="000000"/>
                <w:sz w:val="22"/>
                <w:szCs w:val="22"/>
                <w:lang w:eastAsia="en-GB"/>
              </w:rPr>
              <w:t xml:space="preserve">-   </w:t>
            </w:r>
          </w:p>
        </w:tc>
        <w:tc>
          <w:tcPr>
            <w:tcW w:w="1053" w:type="dxa"/>
            <w:tcBorders>
              <w:top w:val="nil"/>
              <w:left w:val="nil"/>
              <w:bottom w:val="nil"/>
              <w:right w:val="nil"/>
            </w:tcBorders>
            <w:shd w:val="clear" w:color="auto" w:fill="auto"/>
            <w:hideMark/>
          </w:tcPr>
          <w:p w14:paraId="511B67A1" w14:textId="594A6367" w:rsidR="00FE606E" w:rsidRPr="00CB4182" w:rsidRDefault="00FE606E" w:rsidP="007261F5">
            <w:pPr>
              <w:overflowPunct/>
              <w:autoSpaceDE/>
              <w:autoSpaceDN/>
              <w:adjustRightInd/>
              <w:spacing w:before="0"/>
              <w:jc w:val="right"/>
              <w:textAlignment w:val="auto"/>
              <w:rPr>
                <w:rFonts w:cs="Calibri"/>
                <w:sz w:val="22"/>
                <w:szCs w:val="22"/>
                <w:lang w:eastAsia="en-GB"/>
              </w:rPr>
            </w:pPr>
            <w:r w:rsidRPr="00CB4182">
              <w:rPr>
                <w:rFonts w:cs="Calibri"/>
                <w:color w:val="000000"/>
                <w:sz w:val="22"/>
                <w:szCs w:val="22"/>
                <w:lang w:eastAsia="en-GB"/>
              </w:rPr>
              <w:t xml:space="preserve">-   </w:t>
            </w:r>
          </w:p>
        </w:tc>
        <w:tc>
          <w:tcPr>
            <w:tcW w:w="1053" w:type="dxa"/>
            <w:tcBorders>
              <w:top w:val="nil"/>
              <w:left w:val="nil"/>
              <w:bottom w:val="nil"/>
              <w:right w:val="single" w:sz="4" w:space="0" w:color="auto"/>
            </w:tcBorders>
            <w:shd w:val="clear" w:color="auto" w:fill="auto"/>
          </w:tcPr>
          <w:p w14:paraId="236365DB" w14:textId="41B4A3EB" w:rsidR="00FE606E" w:rsidRPr="00CB4182" w:rsidRDefault="00FE606E" w:rsidP="007261F5">
            <w:pPr>
              <w:overflowPunct/>
              <w:autoSpaceDE/>
              <w:autoSpaceDN/>
              <w:adjustRightInd/>
              <w:spacing w:before="0"/>
              <w:jc w:val="right"/>
              <w:textAlignment w:val="auto"/>
              <w:rPr>
                <w:rFonts w:cs="Calibri"/>
                <w:b/>
                <w:bCs/>
                <w:color w:val="000000"/>
                <w:sz w:val="22"/>
                <w:szCs w:val="22"/>
                <w:lang w:eastAsia="en-GB"/>
              </w:rPr>
            </w:pPr>
            <w:r w:rsidRPr="00CB4182">
              <w:rPr>
                <w:rFonts w:cs="Calibri"/>
                <w:b/>
                <w:bCs/>
                <w:color w:val="000000"/>
                <w:sz w:val="22"/>
                <w:szCs w:val="22"/>
                <w:lang w:eastAsia="en-GB"/>
              </w:rPr>
              <w:t xml:space="preserve">-   </w:t>
            </w:r>
          </w:p>
        </w:tc>
      </w:tr>
      <w:tr w:rsidR="00FE606E" w:rsidRPr="000C156A" w14:paraId="01DE0556" w14:textId="77777777" w:rsidTr="003A64C9">
        <w:trPr>
          <w:jc w:val="center"/>
        </w:trPr>
        <w:tc>
          <w:tcPr>
            <w:tcW w:w="2698" w:type="dxa"/>
            <w:tcBorders>
              <w:top w:val="nil"/>
              <w:left w:val="single" w:sz="4" w:space="0" w:color="auto"/>
              <w:bottom w:val="nil"/>
              <w:right w:val="single" w:sz="4" w:space="0" w:color="auto"/>
            </w:tcBorders>
            <w:hideMark/>
          </w:tcPr>
          <w:p w14:paraId="42470510" w14:textId="77777777" w:rsidR="00FE606E" w:rsidRPr="000C156A" w:rsidRDefault="00FE606E" w:rsidP="007261F5">
            <w:pPr>
              <w:pStyle w:val="Tabletext"/>
              <w:spacing w:before="20" w:after="20"/>
              <w:rPr>
                <w:rFonts w:cs="Arial"/>
                <w:color w:val="000000"/>
                <w:szCs w:val="22"/>
                <w:lang w:val="en-US"/>
              </w:rPr>
            </w:pPr>
            <w:r w:rsidRPr="000C156A">
              <w:rPr>
                <w:rFonts w:hint="eastAsia"/>
                <w:bCs/>
                <w:szCs w:val="22"/>
                <w:lang w:val="en-US"/>
              </w:rPr>
              <w:t>重新分类与校正</w:t>
            </w:r>
          </w:p>
        </w:tc>
        <w:tc>
          <w:tcPr>
            <w:tcW w:w="983" w:type="dxa"/>
            <w:tcBorders>
              <w:top w:val="nil"/>
              <w:left w:val="nil"/>
              <w:bottom w:val="nil"/>
              <w:right w:val="nil"/>
            </w:tcBorders>
            <w:shd w:val="clear" w:color="auto" w:fill="auto"/>
          </w:tcPr>
          <w:p w14:paraId="399A07A9" w14:textId="5FD80EFC" w:rsidR="00FE606E" w:rsidRPr="00CB4182" w:rsidRDefault="00FE606E" w:rsidP="007261F5">
            <w:pPr>
              <w:overflowPunct/>
              <w:autoSpaceDE/>
              <w:autoSpaceDN/>
              <w:adjustRightInd/>
              <w:spacing w:before="0"/>
              <w:jc w:val="right"/>
              <w:textAlignment w:val="auto"/>
              <w:rPr>
                <w:rFonts w:cs="Calibri"/>
                <w:color w:val="000000"/>
                <w:sz w:val="22"/>
                <w:szCs w:val="22"/>
                <w:lang w:eastAsia="en-GB"/>
              </w:rPr>
            </w:pPr>
            <w:r w:rsidRPr="00CB4182">
              <w:rPr>
                <w:rFonts w:cs="Calibri"/>
                <w:color w:val="000000"/>
                <w:sz w:val="22"/>
                <w:szCs w:val="22"/>
                <w:lang w:eastAsia="en-GB"/>
              </w:rPr>
              <w:t xml:space="preserve">-   </w:t>
            </w:r>
          </w:p>
        </w:tc>
        <w:tc>
          <w:tcPr>
            <w:tcW w:w="827" w:type="dxa"/>
            <w:tcBorders>
              <w:top w:val="nil"/>
              <w:left w:val="nil"/>
              <w:bottom w:val="nil"/>
              <w:right w:val="nil"/>
            </w:tcBorders>
            <w:shd w:val="clear" w:color="auto" w:fill="auto"/>
          </w:tcPr>
          <w:p w14:paraId="6524B7DB" w14:textId="5E0E6F81" w:rsidR="00FE606E" w:rsidRPr="00CB4182" w:rsidRDefault="00FE606E" w:rsidP="007261F5">
            <w:pPr>
              <w:overflowPunct/>
              <w:autoSpaceDE/>
              <w:autoSpaceDN/>
              <w:adjustRightInd/>
              <w:spacing w:before="0"/>
              <w:jc w:val="right"/>
              <w:textAlignment w:val="auto"/>
              <w:rPr>
                <w:rFonts w:cs="Calibri"/>
                <w:sz w:val="22"/>
                <w:szCs w:val="22"/>
                <w:lang w:eastAsia="en-GB"/>
              </w:rPr>
            </w:pPr>
            <w:r w:rsidRPr="00CB4182">
              <w:rPr>
                <w:rFonts w:cs="Calibri"/>
                <w:color w:val="000000"/>
                <w:sz w:val="22"/>
                <w:szCs w:val="22"/>
                <w:lang w:eastAsia="en-GB"/>
              </w:rPr>
              <w:t xml:space="preserve">-   </w:t>
            </w:r>
          </w:p>
        </w:tc>
        <w:tc>
          <w:tcPr>
            <w:tcW w:w="795" w:type="dxa"/>
            <w:tcBorders>
              <w:top w:val="nil"/>
              <w:left w:val="nil"/>
              <w:bottom w:val="nil"/>
              <w:right w:val="nil"/>
            </w:tcBorders>
            <w:shd w:val="clear" w:color="auto" w:fill="auto"/>
          </w:tcPr>
          <w:p w14:paraId="4CAE481D" w14:textId="3034A99E" w:rsidR="00FE606E" w:rsidRPr="00CB4182" w:rsidRDefault="00FE606E" w:rsidP="007261F5">
            <w:pPr>
              <w:overflowPunct/>
              <w:autoSpaceDE/>
              <w:autoSpaceDN/>
              <w:adjustRightInd/>
              <w:spacing w:before="0"/>
              <w:jc w:val="right"/>
              <w:textAlignment w:val="auto"/>
              <w:rPr>
                <w:rFonts w:cs="Calibri"/>
                <w:sz w:val="22"/>
                <w:szCs w:val="22"/>
                <w:lang w:eastAsia="en-GB"/>
              </w:rPr>
            </w:pPr>
            <w:r w:rsidRPr="00CB4182">
              <w:rPr>
                <w:rFonts w:cs="Calibri"/>
                <w:color w:val="000000"/>
                <w:sz w:val="22"/>
                <w:szCs w:val="22"/>
                <w:lang w:eastAsia="en-GB"/>
              </w:rPr>
              <w:t xml:space="preserve">-   </w:t>
            </w:r>
          </w:p>
        </w:tc>
        <w:tc>
          <w:tcPr>
            <w:tcW w:w="895" w:type="dxa"/>
            <w:tcBorders>
              <w:top w:val="nil"/>
              <w:left w:val="nil"/>
              <w:bottom w:val="nil"/>
              <w:right w:val="nil"/>
            </w:tcBorders>
            <w:shd w:val="clear" w:color="auto" w:fill="auto"/>
            <w:hideMark/>
          </w:tcPr>
          <w:p w14:paraId="55116E87" w14:textId="1291A267" w:rsidR="00FE606E" w:rsidRPr="00CB4182" w:rsidRDefault="00FE606E" w:rsidP="007261F5">
            <w:pPr>
              <w:overflowPunct/>
              <w:autoSpaceDE/>
              <w:autoSpaceDN/>
              <w:adjustRightInd/>
              <w:spacing w:before="0"/>
              <w:jc w:val="right"/>
              <w:textAlignment w:val="auto"/>
              <w:rPr>
                <w:rFonts w:cs="Calibri"/>
                <w:sz w:val="22"/>
                <w:szCs w:val="22"/>
                <w:lang w:eastAsia="en-GB"/>
              </w:rPr>
            </w:pPr>
            <w:r w:rsidRPr="00CB4182">
              <w:rPr>
                <w:rFonts w:cs="Calibri"/>
                <w:color w:val="000000"/>
                <w:sz w:val="22"/>
                <w:szCs w:val="22"/>
                <w:lang w:eastAsia="en-GB"/>
              </w:rPr>
              <w:t xml:space="preserve">-   </w:t>
            </w:r>
          </w:p>
        </w:tc>
        <w:tc>
          <w:tcPr>
            <w:tcW w:w="867" w:type="dxa"/>
            <w:tcBorders>
              <w:top w:val="nil"/>
              <w:left w:val="nil"/>
              <w:bottom w:val="nil"/>
              <w:right w:val="nil"/>
            </w:tcBorders>
            <w:shd w:val="clear" w:color="auto" w:fill="auto"/>
          </w:tcPr>
          <w:p w14:paraId="18CA23C3" w14:textId="3AEEC807" w:rsidR="00FE606E" w:rsidRPr="00CB4182" w:rsidRDefault="00FE606E" w:rsidP="007261F5">
            <w:pPr>
              <w:overflowPunct/>
              <w:autoSpaceDE/>
              <w:autoSpaceDN/>
              <w:adjustRightInd/>
              <w:spacing w:before="0"/>
              <w:jc w:val="right"/>
              <w:textAlignment w:val="auto"/>
              <w:rPr>
                <w:rFonts w:cs="Calibri"/>
                <w:sz w:val="22"/>
                <w:szCs w:val="22"/>
                <w:lang w:eastAsia="en-GB"/>
              </w:rPr>
            </w:pPr>
            <w:r w:rsidRPr="00CB4182">
              <w:rPr>
                <w:rFonts w:cs="Calibri"/>
                <w:color w:val="000000"/>
                <w:sz w:val="22"/>
                <w:szCs w:val="22"/>
                <w:lang w:eastAsia="en-GB"/>
              </w:rPr>
              <w:t xml:space="preserve">-   </w:t>
            </w:r>
          </w:p>
        </w:tc>
        <w:tc>
          <w:tcPr>
            <w:tcW w:w="1053" w:type="dxa"/>
            <w:tcBorders>
              <w:top w:val="nil"/>
              <w:left w:val="nil"/>
              <w:bottom w:val="nil"/>
              <w:right w:val="nil"/>
            </w:tcBorders>
            <w:shd w:val="clear" w:color="auto" w:fill="auto"/>
            <w:hideMark/>
          </w:tcPr>
          <w:p w14:paraId="1DCAA6D7" w14:textId="0B2AB038" w:rsidR="00FE606E" w:rsidRPr="00CB4182" w:rsidRDefault="00FE606E" w:rsidP="007261F5">
            <w:pPr>
              <w:overflowPunct/>
              <w:autoSpaceDE/>
              <w:autoSpaceDN/>
              <w:adjustRightInd/>
              <w:spacing w:before="0"/>
              <w:jc w:val="right"/>
              <w:textAlignment w:val="auto"/>
              <w:rPr>
                <w:rFonts w:cs="Calibri"/>
                <w:sz w:val="22"/>
                <w:szCs w:val="22"/>
                <w:lang w:eastAsia="en-GB"/>
              </w:rPr>
            </w:pPr>
            <w:r w:rsidRPr="00CB4182">
              <w:rPr>
                <w:rFonts w:cs="Calibri"/>
                <w:color w:val="000000"/>
                <w:sz w:val="22"/>
                <w:szCs w:val="22"/>
                <w:lang w:eastAsia="en-GB"/>
              </w:rPr>
              <w:t xml:space="preserve">-   </w:t>
            </w:r>
          </w:p>
        </w:tc>
        <w:tc>
          <w:tcPr>
            <w:tcW w:w="1053" w:type="dxa"/>
            <w:tcBorders>
              <w:top w:val="nil"/>
              <w:left w:val="nil"/>
              <w:bottom w:val="nil"/>
              <w:right w:val="single" w:sz="4" w:space="0" w:color="auto"/>
            </w:tcBorders>
            <w:shd w:val="clear" w:color="auto" w:fill="auto"/>
          </w:tcPr>
          <w:p w14:paraId="026F4606" w14:textId="2E58CFFF" w:rsidR="00FE606E" w:rsidRPr="00CB4182" w:rsidRDefault="00FE606E" w:rsidP="007261F5">
            <w:pPr>
              <w:overflowPunct/>
              <w:autoSpaceDE/>
              <w:autoSpaceDN/>
              <w:adjustRightInd/>
              <w:spacing w:before="0"/>
              <w:jc w:val="right"/>
              <w:textAlignment w:val="auto"/>
              <w:rPr>
                <w:rFonts w:cs="Calibri"/>
                <w:b/>
                <w:bCs/>
                <w:color w:val="000000"/>
                <w:sz w:val="22"/>
                <w:szCs w:val="22"/>
                <w:lang w:eastAsia="en-GB"/>
              </w:rPr>
            </w:pPr>
            <w:r w:rsidRPr="00CB4182">
              <w:rPr>
                <w:rFonts w:cs="Calibri"/>
                <w:b/>
                <w:bCs/>
                <w:color w:val="000000"/>
                <w:sz w:val="22"/>
                <w:szCs w:val="22"/>
                <w:lang w:eastAsia="en-GB"/>
              </w:rPr>
              <w:t xml:space="preserve">-   </w:t>
            </w:r>
          </w:p>
        </w:tc>
      </w:tr>
      <w:tr w:rsidR="00FE606E" w:rsidRPr="000C156A" w14:paraId="5EB58F86" w14:textId="77777777" w:rsidTr="003A64C9">
        <w:trPr>
          <w:jc w:val="center"/>
        </w:trPr>
        <w:tc>
          <w:tcPr>
            <w:tcW w:w="2698" w:type="dxa"/>
            <w:tcBorders>
              <w:top w:val="nil"/>
              <w:left w:val="single" w:sz="4" w:space="0" w:color="auto"/>
              <w:bottom w:val="single" w:sz="4" w:space="0" w:color="auto"/>
              <w:right w:val="single" w:sz="4" w:space="0" w:color="auto"/>
            </w:tcBorders>
            <w:hideMark/>
          </w:tcPr>
          <w:p w14:paraId="3D7F6DB7" w14:textId="77777777" w:rsidR="00FE606E" w:rsidRPr="000C156A" w:rsidRDefault="00FE606E" w:rsidP="007261F5">
            <w:pPr>
              <w:pStyle w:val="Tabletext"/>
              <w:spacing w:before="20" w:after="20"/>
              <w:rPr>
                <w:rFonts w:cs="Arial"/>
                <w:color w:val="000000"/>
                <w:szCs w:val="22"/>
                <w:lang w:val="en-US"/>
              </w:rPr>
            </w:pPr>
            <w:r w:rsidRPr="000C156A">
              <w:rPr>
                <w:rFonts w:hint="eastAsia"/>
                <w:bCs/>
                <w:szCs w:val="22"/>
                <w:lang w:val="en-US"/>
              </w:rPr>
              <w:t>重新估值</w:t>
            </w:r>
          </w:p>
        </w:tc>
        <w:tc>
          <w:tcPr>
            <w:tcW w:w="983" w:type="dxa"/>
            <w:tcBorders>
              <w:top w:val="nil"/>
              <w:left w:val="nil"/>
              <w:bottom w:val="nil"/>
              <w:right w:val="nil"/>
            </w:tcBorders>
            <w:shd w:val="clear" w:color="auto" w:fill="auto"/>
          </w:tcPr>
          <w:p w14:paraId="5CA0DC2B" w14:textId="36F3558C" w:rsidR="00FE606E" w:rsidRPr="000C156A" w:rsidRDefault="00FE606E" w:rsidP="007261F5">
            <w:pPr>
              <w:overflowPunct/>
              <w:autoSpaceDE/>
              <w:autoSpaceDN/>
              <w:adjustRightInd/>
              <w:spacing w:before="0"/>
              <w:jc w:val="right"/>
              <w:textAlignment w:val="auto"/>
              <w:rPr>
                <w:rFonts w:cs="Calibri"/>
                <w:color w:val="000000"/>
                <w:sz w:val="22"/>
                <w:szCs w:val="22"/>
                <w:lang w:eastAsia="en-GB"/>
              </w:rPr>
            </w:pPr>
            <w:r w:rsidRPr="00F14C95">
              <w:rPr>
                <w:rFonts w:cs="Calibri"/>
                <w:color w:val="000000"/>
                <w:sz w:val="22"/>
                <w:szCs w:val="22"/>
                <w:lang w:eastAsia="en-GB"/>
              </w:rPr>
              <w:t xml:space="preserve">-   </w:t>
            </w:r>
          </w:p>
        </w:tc>
        <w:tc>
          <w:tcPr>
            <w:tcW w:w="827" w:type="dxa"/>
            <w:tcBorders>
              <w:top w:val="nil"/>
              <w:left w:val="nil"/>
              <w:bottom w:val="nil"/>
              <w:right w:val="nil"/>
            </w:tcBorders>
            <w:shd w:val="clear" w:color="auto" w:fill="auto"/>
          </w:tcPr>
          <w:p w14:paraId="222B35E4" w14:textId="12BA7C9D"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795" w:type="dxa"/>
            <w:tcBorders>
              <w:top w:val="nil"/>
              <w:left w:val="nil"/>
              <w:bottom w:val="nil"/>
              <w:right w:val="nil"/>
            </w:tcBorders>
            <w:shd w:val="clear" w:color="auto" w:fill="auto"/>
            <w:hideMark/>
          </w:tcPr>
          <w:p w14:paraId="6EBF1E41" w14:textId="3118D926"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895" w:type="dxa"/>
            <w:tcBorders>
              <w:top w:val="nil"/>
              <w:left w:val="nil"/>
              <w:bottom w:val="nil"/>
              <w:right w:val="nil"/>
            </w:tcBorders>
            <w:shd w:val="clear" w:color="auto" w:fill="auto"/>
          </w:tcPr>
          <w:p w14:paraId="34F886D2" w14:textId="1A56F87E"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867" w:type="dxa"/>
            <w:tcBorders>
              <w:top w:val="nil"/>
              <w:left w:val="nil"/>
              <w:bottom w:val="nil"/>
              <w:right w:val="nil"/>
            </w:tcBorders>
            <w:shd w:val="clear" w:color="auto" w:fill="auto"/>
          </w:tcPr>
          <w:p w14:paraId="3D58ECA6" w14:textId="43C8B5CB"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1053" w:type="dxa"/>
            <w:tcBorders>
              <w:top w:val="nil"/>
              <w:left w:val="nil"/>
              <w:bottom w:val="nil"/>
              <w:right w:val="nil"/>
            </w:tcBorders>
            <w:shd w:val="clear" w:color="auto" w:fill="auto"/>
            <w:hideMark/>
          </w:tcPr>
          <w:p w14:paraId="177B654A" w14:textId="2E713568" w:rsidR="00FE606E" w:rsidRPr="000C156A" w:rsidRDefault="00FE606E" w:rsidP="007261F5">
            <w:pPr>
              <w:overflowPunct/>
              <w:autoSpaceDE/>
              <w:autoSpaceDN/>
              <w:adjustRightInd/>
              <w:spacing w:before="0"/>
              <w:jc w:val="right"/>
              <w:textAlignment w:val="auto"/>
              <w:rPr>
                <w:sz w:val="20"/>
                <w:lang w:eastAsia="en-GB"/>
              </w:rPr>
            </w:pPr>
            <w:r w:rsidRPr="00F14C95">
              <w:rPr>
                <w:rFonts w:cs="Calibri"/>
                <w:color w:val="000000"/>
                <w:sz w:val="22"/>
                <w:szCs w:val="22"/>
                <w:lang w:eastAsia="en-GB"/>
              </w:rPr>
              <w:t xml:space="preserve">-   </w:t>
            </w:r>
          </w:p>
        </w:tc>
        <w:tc>
          <w:tcPr>
            <w:tcW w:w="1053" w:type="dxa"/>
            <w:tcBorders>
              <w:top w:val="nil"/>
              <w:left w:val="nil"/>
              <w:bottom w:val="nil"/>
              <w:right w:val="single" w:sz="4" w:space="0" w:color="auto"/>
            </w:tcBorders>
            <w:shd w:val="clear" w:color="auto" w:fill="auto"/>
          </w:tcPr>
          <w:p w14:paraId="73E97835" w14:textId="761AF6AE" w:rsidR="00FE606E" w:rsidRPr="00FE606E" w:rsidRDefault="00FE606E" w:rsidP="007261F5">
            <w:pPr>
              <w:overflowPunct/>
              <w:autoSpaceDE/>
              <w:autoSpaceDN/>
              <w:adjustRightInd/>
              <w:spacing w:before="0"/>
              <w:jc w:val="right"/>
              <w:textAlignment w:val="auto"/>
              <w:rPr>
                <w:rFonts w:cs="Calibri"/>
                <w:b/>
                <w:bCs/>
                <w:color w:val="000000"/>
                <w:sz w:val="22"/>
                <w:szCs w:val="22"/>
                <w:lang w:eastAsia="en-GB"/>
              </w:rPr>
            </w:pPr>
            <w:r w:rsidRPr="00FE606E">
              <w:rPr>
                <w:rFonts w:cs="Calibri"/>
                <w:b/>
                <w:bCs/>
                <w:color w:val="000000"/>
                <w:sz w:val="22"/>
                <w:szCs w:val="22"/>
                <w:lang w:eastAsia="en-GB"/>
              </w:rPr>
              <w:t xml:space="preserve">-   </w:t>
            </w:r>
          </w:p>
        </w:tc>
      </w:tr>
      <w:tr w:rsidR="00FE606E" w:rsidRPr="000C156A" w14:paraId="60E0C0C0" w14:textId="77777777" w:rsidTr="00FE606E">
        <w:trPr>
          <w:jc w:val="center"/>
        </w:trPr>
        <w:tc>
          <w:tcPr>
            <w:tcW w:w="2698" w:type="dxa"/>
            <w:tcBorders>
              <w:top w:val="single" w:sz="4" w:space="0" w:color="auto"/>
              <w:left w:val="single" w:sz="4" w:space="0" w:color="auto"/>
              <w:bottom w:val="single" w:sz="4" w:space="0" w:color="auto"/>
              <w:right w:val="single" w:sz="4" w:space="0" w:color="auto"/>
            </w:tcBorders>
            <w:hideMark/>
          </w:tcPr>
          <w:p w14:paraId="764FF4B3" w14:textId="77777777" w:rsidR="00FE606E" w:rsidRPr="000C156A" w:rsidRDefault="00FE606E" w:rsidP="007261F5">
            <w:pPr>
              <w:pStyle w:val="Tabletext"/>
              <w:spacing w:before="20" w:after="20"/>
              <w:rPr>
                <w:b/>
                <w:bCs/>
                <w:szCs w:val="22"/>
                <w:lang w:val="en-US" w:eastAsia="zh-CN"/>
              </w:rPr>
            </w:pPr>
            <w:r w:rsidRPr="000C156A">
              <w:rPr>
                <w:rFonts w:cs="Arial"/>
                <w:b/>
                <w:bCs/>
                <w:color w:val="000000"/>
                <w:szCs w:val="22"/>
                <w:lang w:val="en-US"/>
              </w:rPr>
              <w:t>12</w:t>
            </w:r>
            <w:r w:rsidRPr="000C156A">
              <w:rPr>
                <w:rFonts w:cs="Arial" w:hint="eastAsia"/>
                <w:b/>
                <w:bCs/>
                <w:color w:val="000000"/>
                <w:szCs w:val="22"/>
                <w:lang w:val="en-US"/>
              </w:rPr>
              <w:t>月</w:t>
            </w:r>
            <w:r w:rsidRPr="000C156A">
              <w:rPr>
                <w:rFonts w:cs="Arial"/>
                <w:b/>
                <w:bCs/>
                <w:color w:val="000000"/>
                <w:szCs w:val="22"/>
                <w:lang w:val="en-US"/>
              </w:rPr>
              <w:t>31</w:t>
            </w:r>
            <w:r w:rsidRPr="000C156A">
              <w:rPr>
                <w:rFonts w:cs="Arial" w:hint="eastAsia"/>
                <w:b/>
                <w:bCs/>
                <w:color w:val="000000"/>
                <w:szCs w:val="22"/>
                <w:lang w:val="en-US"/>
              </w:rPr>
              <w:t>日时的折旧</w:t>
            </w:r>
          </w:p>
        </w:tc>
        <w:tc>
          <w:tcPr>
            <w:tcW w:w="983" w:type="dxa"/>
            <w:tcBorders>
              <w:top w:val="single" w:sz="4" w:space="0" w:color="auto"/>
              <w:left w:val="nil"/>
              <w:bottom w:val="single" w:sz="4" w:space="0" w:color="auto"/>
              <w:right w:val="nil"/>
            </w:tcBorders>
            <w:shd w:val="clear" w:color="auto" w:fill="auto"/>
            <w:vAlign w:val="center"/>
            <w:hideMark/>
          </w:tcPr>
          <w:p w14:paraId="746B5BE1" w14:textId="76F405DB"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56 112</w:t>
            </w:r>
            <w:r w:rsidRPr="00F14C95">
              <w:rPr>
                <w:rFonts w:cs="Calibri"/>
                <w:b/>
                <w:bCs/>
                <w:color w:val="000000"/>
                <w:sz w:val="22"/>
                <w:szCs w:val="22"/>
                <w:lang w:eastAsia="en-GB"/>
              </w:rPr>
              <w:t xml:space="preserve"> </w:t>
            </w:r>
          </w:p>
        </w:tc>
        <w:tc>
          <w:tcPr>
            <w:tcW w:w="827" w:type="dxa"/>
            <w:tcBorders>
              <w:top w:val="single" w:sz="4" w:space="0" w:color="auto"/>
              <w:left w:val="nil"/>
              <w:bottom w:val="single" w:sz="4" w:space="0" w:color="auto"/>
              <w:right w:val="nil"/>
            </w:tcBorders>
            <w:shd w:val="clear" w:color="auto" w:fill="auto"/>
            <w:vAlign w:val="center"/>
            <w:hideMark/>
          </w:tcPr>
          <w:p w14:paraId="55B0B375" w14:textId="5F6A4978"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 xml:space="preserve"> 1</w:t>
            </w:r>
            <w:r>
              <w:rPr>
                <w:rFonts w:cs="Calibri"/>
                <w:b/>
                <w:bCs/>
                <w:color w:val="000000"/>
                <w:sz w:val="22"/>
                <w:szCs w:val="22"/>
                <w:lang w:eastAsia="en-GB"/>
              </w:rPr>
              <w:t> </w:t>
            </w:r>
            <w:r w:rsidRPr="00F14C95">
              <w:rPr>
                <w:rFonts w:cs="Calibri"/>
                <w:b/>
                <w:bCs/>
                <w:color w:val="000000"/>
                <w:sz w:val="22"/>
                <w:szCs w:val="22"/>
                <w:lang w:eastAsia="en-GB"/>
              </w:rPr>
              <w:t xml:space="preserve">989 </w:t>
            </w:r>
          </w:p>
        </w:tc>
        <w:tc>
          <w:tcPr>
            <w:tcW w:w="795" w:type="dxa"/>
            <w:tcBorders>
              <w:top w:val="single" w:sz="4" w:space="0" w:color="auto"/>
              <w:left w:val="nil"/>
              <w:bottom w:val="single" w:sz="4" w:space="0" w:color="auto"/>
              <w:right w:val="nil"/>
            </w:tcBorders>
            <w:shd w:val="clear" w:color="auto" w:fill="auto"/>
            <w:vAlign w:val="center"/>
            <w:hideMark/>
          </w:tcPr>
          <w:p w14:paraId="76E17EEB" w14:textId="57E3A79C"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w:t>
            </w:r>
            <w:r>
              <w:rPr>
                <w:rFonts w:cs="Calibri"/>
                <w:b/>
                <w:bCs/>
                <w:color w:val="000000"/>
                <w:sz w:val="22"/>
                <w:szCs w:val="22"/>
                <w:lang w:eastAsia="en-GB"/>
              </w:rPr>
              <w:t> 361</w:t>
            </w:r>
            <w:r w:rsidRPr="00F14C95">
              <w:rPr>
                <w:rFonts w:cs="Calibri"/>
                <w:b/>
                <w:bCs/>
                <w:color w:val="000000"/>
                <w:sz w:val="22"/>
                <w:szCs w:val="22"/>
                <w:lang w:eastAsia="en-GB"/>
              </w:rPr>
              <w:t xml:space="preserve"> </w:t>
            </w:r>
          </w:p>
        </w:tc>
        <w:tc>
          <w:tcPr>
            <w:tcW w:w="895" w:type="dxa"/>
            <w:tcBorders>
              <w:top w:val="single" w:sz="4" w:space="0" w:color="auto"/>
              <w:left w:val="nil"/>
              <w:bottom w:val="single" w:sz="4" w:space="0" w:color="auto"/>
              <w:right w:val="nil"/>
            </w:tcBorders>
            <w:shd w:val="clear" w:color="auto" w:fill="auto"/>
            <w:vAlign w:val="center"/>
            <w:hideMark/>
          </w:tcPr>
          <w:p w14:paraId="43CF0165" w14:textId="11B5E8E6"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7 573</w:t>
            </w:r>
            <w:r w:rsidRPr="00F14C95">
              <w:rPr>
                <w:rFonts w:cs="Calibri"/>
                <w:b/>
                <w:bCs/>
                <w:color w:val="000000"/>
                <w:sz w:val="22"/>
                <w:szCs w:val="22"/>
                <w:lang w:eastAsia="en-GB"/>
              </w:rPr>
              <w:t xml:space="preserve"> </w:t>
            </w:r>
          </w:p>
        </w:tc>
        <w:tc>
          <w:tcPr>
            <w:tcW w:w="867" w:type="dxa"/>
            <w:tcBorders>
              <w:top w:val="single" w:sz="4" w:space="0" w:color="auto"/>
              <w:left w:val="nil"/>
              <w:bottom w:val="single" w:sz="4" w:space="0" w:color="auto"/>
              <w:right w:val="nil"/>
            </w:tcBorders>
            <w:shd w:val="clear" w:color="auto" w:fill="auto"/>
            <w:vAlign w:val="center"/>
            <w:hideMark/>
          </w:tcPr>
          <w:p w14:paraId="77755BA0" w14:textId="7CB60638"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2</w:t>
            </w:r>
            <w:r>
              <w:rPr>
                <w:rFonts w:cs="Calibri"/>
                <w:b/>
                <w:bCs/>
                <w:color w:val="000000"/>
                <w:sz w:val="22"/>
                <w:szCs w:val="22"/>
                <w:lang w:eastAsia="en-GB"/>
              </w:rPr>
              <w:t>36</w:t>
            </w:r>
            <w:r w:rsidRPr="00F14C95">
              <w:rPr>
                <w:rFonts w:cs="Calibri"/>
                <w:b/>
                <w:bCs/>
                <w:color w:val="000000"/>
                <w:sz w:val="22"/>
                <w:szCs w:val="22"/>
                <w:lang w:eastAsia="en-GB"/>
              </w:rPr>
              <w:t xml:space="preserve"> </w:t>
            </w:r>
          </w:p>
        </w:tc>
        <w:tc>
          <w:tcPr>
            <w:tcW w:w="1053" w:type="dxa"/>
            <w:tcBorders>
              <w:top w:val="single" w:sz="4" w:space="0" w:color="auto"/>
              <w:left w:val="nil"/>
              <w:bottom w:val="single" w:sz="4" w:space="0" w:color="auto"/>
              <w:right w:val="nil"/>
            </w:tcBorders>
            <w:shd w:val="clear" w:color="auto" w:fill="auto"/>
            <w:vAlign w:val="center"/>
            <w:hideMark/>
          </w:tcPr>
          <w:p w14:paraId="6C490474" w14:textId="79928840"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16</w:t>
            </w:r>
            <w:r>
              <w:rPr>
                <w:rFonts w:cs="Calibri"/>
                <w:b/>
                <w:bCs/>
                <w:color w:val="000000"/>
                <w:sz w:val="22"/>
                <w:szCs w:val="22"/>
                <w:lang w:eastAsia="en-GB"/>
              </w:rPr>
              <w:t> 043</w:t>
            </w:r>
            <w:r w:rsidRPr="00F14C95">
              <w:rPr>
                <w:rFonts w:cs="Calibri"/>
                <w:b/>
                <w:bCs/>
                <w:color w:val="000000"/>
                <w:sz w:val="22"/>
                <w:szCs w:val="22"/>
                <w:lang w:eastAsia="en-GB"/>
              </w:rPr>
              <w:t xml:space="preserve"> </w:t>
            </w:r>
          </w:p>
        </w:tc>
        <w:tc>
          <w:tcPr>
            <w:tcW w:w="1053" w:type="dxa"/>
            <w:tcBorders>
              <w:top w:val="single" w:sz="4" w:space="0" w:color="auto"/>
              <w:left w:val="nil"/>
              <w:bottom w:val="single" w:sz="4" w:space="0" w:color="auto"/>
              <w:right w:val="single" w:sz="4" w:space="0" w:color="auto"/>
            </w:tcBorders>
            <w:shd w:val="clear" w:color="auto" w:fill="auto"/>
            <w:vAlign w:val="center"/>
          </w:tcPr>
          <w:p w14:paraId="483CD5BE" w14:textId="6FEF4E68"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83 316</w:t>
            </w:r>
            <w:r w:rsidRPr="00F14C95">
              <w:rPr>
                <w:rFonts w:cs="Calibri"/>
                <w:b/>
                <w:bCs/>
                <w:color w:val="000000"/>
                <w:sz w:val="22"/>
                <w:szCs w:val="22"/>
                <w:lang w:eastAsia="en-GB"/>
              </w:rPr>
              <w:t xml:space="preserve"> </w:t>
            </w:r>
          </w:p>
        </w:tc>
      </w:tr>
      <w:tr w:rsidR="00FE606E" w:rsidRPr="000C156A" w14:paraId="538DC15B" w14:textId="77777777" w:rsidTr="00FE606E">
        <w:trPr>
          <w:jc w:val="center"/>
        </w:trPr>
        <w:tc>
          <w:tcPr>
            <w:tcW w:w="2698" w:type="dxa"/>
            <w:tcBorders>
              <w:top w:val="single" w:sz="4" w:space="0" w:color="auto"/>
              <w:left w:val="single" w:sz="4" w:space="0" w:color="auto"/>
              <w:bottom w:val="single" w:sz="4" w:space="0" w:color="auto"/>
              <w:right w:val="single" w:sz="4" w:space="0" w:color="auto"/>
            </w:tcBorders>
            <w:hideMark/>
          </w:tcPr>
          <w:p w14:paraId="294F60B7" w14:textId="77777777" w:rsidR="00FE606E" w:rsidRPr="000C156A" w:rsidRDefault="00FE606E" w:rsidP="007261F5">
            <w:pPr>
              <w:pStyle w:val="Tabletext"/>
              <w:spacing w:before="20" w:after="20"/>
              <w:rPr>
                <w:b/>
                <w:bCs/>
                <w:szCs w:val="22"/>
                <w:lang w:val="en-US" w:eastAsia="zh-CN"/>
              </w:rPr>
            </w:pPr>
            <w:r w:rsidRPr="000C156A">
              <w:rPr>
                <w:rFonts w:cs="Arial"/>
                <w:b/>
                <w:bCs/>
                <w:color w:val="000000"/>
                <w:szCs w:val="22"/>
                <w:lang w:val="en-US" w:eastAsia="zh-CN"/>
              </w:rPr>
              <w:t>1</w:t>
            </w:r>
            <w:r w:rsidRPr="000C156A">
              <w:rPr>
                <w:rFonts w:cs="Arial" w:hint="eastAsia"/>
                <w:b/>
                <w:bCs/>
                <w:color w:val="000000"/>
                <w:szCs w:val="22"/>
                <w:lang w:val="en-US" w:eastAsia="zh-CN"/>
              </w:rPr>
              <w:t>月</w:t>
            </w:r>
            <w:r w:rsidRPr="000C156A">
              <w:rPr>
                <w:rFonts w:cs="Arial"/>
                <w:b/>
                <w:bCs/>
                <w:color w:val="000000"/>
                <w:szCs w:val="22"/>
                <w:lang w:val="en-US" w:eastAsia="zh-CN"/>
              </w:rPr>
              <w:t>1</w:t>
            </w:r>
            <w:r w:rsidRPr="000C156A">
              <w:rPr>
                <w:rFonts w:cs="Arial" w:hint="eastAsia"/>
                <w:b/>
                <w:bCs/>
                <w:color w:val="000000"/>
                <w:szCs w:val="22"/>
                <w:lang w:val="en-US" w:eastAsia="zh-CN"/>
              </w:rPr>
              <w:t>日时的净账面金额</w:t>
            </w:r>
          </w:p>
        </w:tc>
        <w:tc>
          <w:tcPr>
            <w:tcW w:w="983" w:type="dxa"/>
            <w:tcBorders>
              <w:top w:val="nil"/>
              <w:left w:val="nil"/>
              <w:bottom w:val="single" w:sz="4" w:space="0" w:color="auto"/>
              <w:right w:val="nil"/>
            </w:tcBorders>
            <w:shd w:val="clear" w:color="auto" w:fill="auto"/>
            <w:vAlign w:val="center"/>
            <w:hideMark/>
          </w:tcPr>
          <w:p w14:paraId="653E1396" w14:textId="44D51B82"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76 985</w:t>
            </w:r>
            <w:r w:rsidRPr="00F14C95">
              <w:rPr>
                <w:rFonts w:cs="Calibri"/>
                <w:b/>
                <w:bCs/>
                <w:color w:val="000000"/>
                <w:sz w:val="22"/>
                <w:szCs w:val="22"/>
                <w:lang w:eastAsia="en-GB"/>
              </w:rPr>
              <w:t xml:space="preserve"> </w:t>
            </w:r>
          </w:p>
        </w:tc>
        <w:tc>
          <w:tcPr>
            <w:tcW w:w="827" w:type="dxa"/>
            <w:tcBorders>
              <w:top w:val="nil"/>
              <w:left w:val="nil"/>
              <w:bottom w:val="single" w:sz="4" w:space="0" w:color="auto"/>
              <w:right w:val="nil"/>
            </w:tcBorders>
            <w:shd w:val="clear" w:color="auto" w:fill="auto"/>
            <w:vAlign w:val="center"/>
            <w:hideMark/>
          </w:tcPr>
          <w:p w14:paraId="198249CC" w14:textId="4969F91E"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132</w:t>
            </w:r>
            <w:r w:rsidRPr="00F14C95">
              <w:rPr>
                <w:rFonts w:cs="Calibri"/>
                <w:b/>
                <w:bCs/>
                <w:color w:val="000000"/>
                <w:sz w:val="22"/>
                <w:szCs w:val="22"/>
                <w:lang w:eastAsia="en-GB"/>
              </w:rPr>
              <w:t xml:space="preserve"> </w:t>
            </w:r>
          </w:p>
        </w:tc>
        <w:tc>
          <w:tcPr>
            <w:tcW w:w="795" w:type="dxa"/>
            <w:tcBorders>
              <w:top w:val="nil"/>
              <w:left w:val="nil"/>
              <w:bottom w:val="single" w:sz="4" w:space="0" w:color="auto"/>
              <w:right w:val="nil"/>
            </w:tcBorders>
            <w:shd w:val="clear" w:color="auto" w:fill="auto"/>
            <w:vAlign w:val="center"/>
            <w:hideMark/>
          </w:tcPr>
          <w:p w14:paraId="3655C497" w14:textId="4B073BFE"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58</w:t>
            </w:r>
            <w:r w:rsidRPr="00F14C95">
              <w:rPr>
                <w:rFonts w:cs="Calibri"/>
                <w:b/>
                <w:bCs/>
                <w:color w:val="000000"/>
                <w:sz w:val="22"/>
                <w:szCs w:val="22"/>
                <w:lang w:eastAsia="en-GB"/>
              </w:rPr>
              <w:t xml:space="preserve"> </w:t>
            </w:r>
          </w:p>
        </w:tc>
        <w:tc>
          <w:tcPr>
            <w:tcW w:w="895" w:type="dxa"/>
            <w:tcBorders>
              <w:top w:val="nil"/>
              <w:left w:val="nil"/>
              <w:bottom w:val="single" w:sz="4" w:space="0" w:color="auto"/>
              <w:right w:val="nil"/>
            </w:tcBorders>
            <w:shd w:val="clear" w:color="auto" w:fill="auto"/>
            <w:vAlign w:val="center"/>
            <w:hideMark/>
          </w:tcPr>
          <w:p w14:paraId="1363B883" w14:textId="2BCE8279"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77</w:t>
            </w:r>
            <w:r>
              <w:rPr>
                <w:rFonts w:cs="Calibri"/>
                <w:b/>
                <w:bCs/>
                <w:color w:val="000000"/>
                <w:sz w:val="22"/>
                <w:szCs w:val="22"/>
                <w:lang w:eastAsia="en-GB"/>
              </w:rPr>
              <w:t>2</w:t>
            </w:r>
            <w:r w:rsidRPr="00F14C95">
              <w:rPr>
                <w:rFonts w:cs="Calibri"/>
                <w:b/>
                <w:bCs/>
                <w:color w:val="000000"/>
                <w:sz w:val="22"/>
                <w:szCs w:val="22"/>
                <w:lang w:eastAsia="en-GB"/>
              </w:rPr>
              <w:t xml:space="preserve"> </w:t>
            </w:r>
          </w:p>
        </w:tc>
        <w:tc>
          <w:tcPr>
            <w:tcW w:w="867" w:type="dxa"/>
            <w:tcBorders>
              <w:top w:val="nil"/>
              <w:left w:val="nil"/>
              <w:bottom w:val="single" w:sz="4" w:space="0" w:color="auto"/>
              <w:right w:val="nil"/>
            </w:tcBorders>
            <w:shd w:val="clear" w:color="auto" w:fill="auto"/>
            <w:vAlign w:val="center"/>
            <w:hideMark/>
          </w:tcPr>
          <w:p w14:paraId="73AA4364" w14:textId="1D208411"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93</w:t>
            </w:r>
            <w:r w:rsidRPr="00F14C95">
              <w:rPr>
                <w:rFonts w:cs="Calibri"/>
                <w:b/>
                <w:bCs/>
                <w:color w:val="000000"/>
                <w:sz w:val="22"/>
                <w:szCs w:val="22"/>
                <w:lang w:eastAsia="en-GB"/>
              </w:rPr>
              <w:t xml:space="preserve"> </w:t>
            </w:r>
          </w:p>
        </w:tc>
        <w:tc>
          <w:tcPr>
            <w:tcW w:w="1053" w:type="dxa"/>
            <w:tcBorders>
              <w:top w:val="nil"/>
              <w:left w:val="nil"/>
              <w:bottom w:val="single" w:sz="4" w:space="0" w:color="auto"/>
              <w:right w:val="nil"/>
            </w:tcBorders>
            <w:shd w:val="clear" w:color="auto" w:fill="auto"/>
            <w:vAlign w:val="center"/>
            <w:hideMark/>
          </w:tcPr>
          <w:p w14:paraId="65E8504E" w14:textId="65A01DF0"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 xml:space="preserve">-   </w:t>
            </w:r>
          </w:p>
        </w:tc>
        <w:tc>
          <w:tcPr>
            <w:tcW w:w="1053" w:type="dxa"/>
            <w:tcBorders>
              <w:top w:val="nil"/>
              <w:left w:val="nil"/>
              <w:bottom w:val="single" w:sz="4" w:space="0" w:color="auto"/>
              <w:right w:val="single" w:sz="4" w:space="0" w:color="auto"/>
            </w:tcBorders>
            <w:shd w:val="clear" w:color="auto" w:fill="auto"/>
            <w:vAlign w:val="center"/>
          </w:tcPr>
          <w:p w14:paraId="1C5DBFA4" w14:textId="2CC6BAC5" w:rsidR="00FE606E" w:rsidRPr="000C156A" w:rsidRDefault="00FE606E"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78 040</w:t>
            </w:r>
            <w:r w:rsidRPr="00F14C95">
              <w:rPr>
                <w:rFonts w:cs="Calibri"/>
                <w:b/>
                <w:bCs/>
                <w:color w:val="000000"/>
                <w:sz w:val="22"/>
                <w:szCs w:val="22"/>
                <w:lang w:eastAsia="en-GB"/>
              </w:rPr>
              <w:t xml:space="preserve"> </w:t>
            </w:r>
          </w:p>
        </w:tc>
      </w:tr>
      <w:tr w:rsidR="00CB4182" w:rsidRPr="000C156A" w14:paraId="7BA24257" w14:textId="77777777" w:rsidTr="00FE606E">
        <w:trPr>
          <w:jc w:val="center"/>
        </w:trPr>
        <w:tc>
          <w:tcPr>
            <w:tcW w:w="2698" w:type="dxa"/>
            <w:tcBorders>
              <w:top w:val="single" w:sz="4" w:space="0" w:color="auto"/>
              <w:left w:val="single" w:sz="4" w:space="0" w:color="auto"/>
              <w:bottom w:val="single" w:sz="4" w:space="0" w:color="auto"/>
              <w:right w:val="single" w:sz="4" w:space="0" w:color="auto"/>
            </w:tcBorders>
            <w:hideMark/>
          </w:tcPr>
          <w:p w14:paraId="003FA48B" w14:textId="77777777" w:rsidR="00CB4182" w:rsidRPr="000C156A" w:rsidRDefault="00CB4182" w:rsidP="007261F5">
            <w:pPr>
              <w:pStyle w:val="Tabletext"/>
              <w:spacing w:before="20" w:after="20"/>
              <w:rPr>
                <w:b/>
                <w:bCs/>
                <w:szCs w:val="22"/>
                <w:lang w:val="en-US" w:eastAsia="zh-CN"/>
              </w:rPr>
            </w:pPr>
            <w:r w:rsidRPr="000C156A">
              <w:rPr>
                <w:rFonts w:cs="Arial"/>
                <w:b/>
                <w:bCs/>
                <w:color w:val="000000"/>
                <w:szCs w:val="22"/>
                <w:lang w:val="en-US" w:eastAsia="zh-CN"/>
              </w:rPr>
              <w:t>12</w:t>
            </w:r>
            <w:r w:rsidRPr="000C156A">
              <w:rPr>
                <w:rFonts w:cs="Arial" w:hint="eastAsia"/>
                <w:b/>
                <w:bCs/>
                <w:color w:val="000000"/>
                <w:szCs w:val="22"/>
                <w:lang w:val="en-US" w:eastAsia="zh-CN"/>
              </w:rPr>
              <w:t>月</w:t>
            </w:r>
            <w:r w:rsidRPr="000C156A">
              <w:rPr>
                <w:rFonts w:cs="Arial"/>
                <w:b/>
                <w:bCs/>
                <w:color w:val="000000"/>
                <w:szCs w:val="22"/>
                <w:lang w:val="en-US" w:eastAsia="zh-CN"/>
              </w:rPr>
              <w:t>31</w:t>
            </w:r>
            <w:r w:rsidRPr="000C156A">
              <w:rPr>
                <w:rFonts w:cs="Arial" w:hint="eastAsia"/>
                <w:b/>
                <w:bCs/>
                <w:color w:val="000000"/>
                <w:szCs w:val="22"/>
                <w:lang w:val="en-US" w:eastAsia="zh-CN"/>
              </w:rPr>
              <w:t>日时的净账面金额</w:t>
            </w:r>
          </w:p>
        </w:tc>
        <w:tc>
          <w:tcPr>
            <w:tcW w:w="983" w:type="dxa"/>
            <w:tcBorders>
              <w:top w:val="nil"/>
              <w:left w:val="nil"/>
              <w:bottom w:val="single" w:sz="4" w:space="0" w:color="auto"/>
              <w:right w:val="nil"/>
            </w:tcBorders>
            <w:shd w:val="clear" w:color="auto" w:fill="auto"/>
            <w:vAlign w:val="center"/>
            <w:hideMark/>
          </w:tcPr>
          <w:p w14:paraId="24980BDD" w14:textId="6C0D6FE7" w:rsidR="00CB4182" w:rsidRPr="000C156A" w:rsidRDefault="00CB4182"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70 226</w:t>
            </w:r>
            <w:r w:rsidRPr="00F14C95">
              <w:rPr>
                <w:rFonts w:cs="Calibri"/>
                <w:b/>
                <w:bCs/>
                <w:color w:val="000000"/>
                <w:sz w:val="22"/>
                <w:szCs w:val="22"/>
                <w:lang w:eastAsia="en-GB"/>
              </w:rPr>
              <w:t xml:space="preserve"> </w:t>
            </w:r>
          </w:p>
        </w:tc>
        <w:tc>
          <w:tcPr>
            <w:tcW w:w="827" w:type="dxa"/>
            <w:tcBorders>
              <w:top w:val="nil"/>
              <w:left w:val="nil"/>
              <w:bottom w:val="single" w:sz="4" w:space="0" w:color="auto"/>
              <w:right w:val="nil"/>
            </w:tcBorders>
            <w:shd w:val="clear" w:color="auto" w:fill="auto"/>
            <w:vAlign w:val="center"/>
            <w:hideMark/>
          </w:tcPr>
          <w:p w14:paraId="780BECEF" w14:textId="1135EA23" w:rsidR="00CB4182" w:rsidRPr="000C156A" w:rsidRDefault="00CB4182"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1</w:t>
            </w:r>
            <w:r>
              <w:rPr>
                <w:rFonts w:cs="Calibri"/>
                <w:b/>
                <w:bCs/>
                <w:color w:val="000000"/>
                <w:sz w:val="22"/>
                <w:szCs w:val="22"/>
                <w:lang w:eastAsia="en-GB"/>
              </w:rPr>
              <w:t>23</w:t>
            </w:r>
            <w:r w:rsidRPr="00F14C95">
              <w:rPr>
                <w:rFonts w:cs="Calibri"/>
                <w:b/>
                <w:bCs/>
                <w:color w:val="000000"/>
                <w:sz w:val="22"/>
                <w:szCs w:val="22"/>
                <w:lang w:eastAsia="en-GB"/>
              </w:rPr>
              <w:t xml:space="preserve"> </w:t>
            </w:r>
          </w:p>
        </w:tc>
        <w:tc>
          <w:tcPr>
            <w:tcW w:w="795" w:type="dxa"/>
            <w:tcBorders>
              <w:top w:val="nil"/>
              <w:left w:val="nil"/>
              <w:bottom w:val="single" w:sz="4" w:space="0" w:color="auto"/>
              <w:right w:val="nil"/>
            </w:tcBorders>
            <w:shd w:val="clear" w:color="auto" w:fill="auto"/>
            <w:vAlign w:val="center"/>
            <w:hideMark/>
          </w:tcPr>
          <w:p w14:paraId="7C8D7845" w14:textId="35376728" w:rsidR="00CB4182" w:rsidRPr="000C156A" w:rsidRDefault="00CB4182"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32</w:t>
            </w:r>
            <w:r w:rsidRPr="00F14C95">
              <w:rPr>
                <w:rFonts w:cs="Calibri"/>
                <w:b/>
                <w:bCs/>
                <w:color w:val="000000"/>
                <w:sz w:val="22"/>
                <w:szCs w:val="22"/>
                <w:lang w:eastAsia="en-GB"/>
              </w:rPr>
              <w:t xml:space="preserve"> </w:t>
            </w:r>
          </w:p>
        </w:tc>
        <w:tc>
          <w:tcPr>
            <w:tcW w:w="895" w:type="dxa"/>
            <w:tcBorders>
              <w:top w:val="nil"/>
              <w:left w:val="nil"/>
              <w:bottom w:val="single" w:sz="4" w:space="0" w:color="auto"/>
              <w:right w:val="nil"/>
            </w:tcBorders>
            <w:shd w:val="clear" w:color="auto" w:fill="auto"/>
            <w:vAlign w:val="center"/>
            <w:hideMark/>
          </w:tcPr>
          <w:p w14:paraId="5A4BDB30" w14:textId="70803E86" w:rsidR="00CB4182" w:rsidRPr="000C156A" w:rsidRDefault="00CB4182"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1 229</w:t>
            </w:r>
            <w:r w:rsidRPr="00F14C95">
              <w:rPr>
                <w:rFonts w:cs="Calibri"/>
                <w:b/>
                <w:bCs/>
                <w:color w:val="000000"/>
                <w:sz w:val="22"/>
                <w:szCs w:val="22"/>
                <w:lang w:eastAsia="en-GB"/>
              </w:rPr>
              <w:t xml:space="preserve"> </w:t>
            </w:r>
          </w:p>
        </w:tc>
        <w:tc>
          <w:tcPr>
            <w:tcW w:w="867" w:type="dxa"/>
            <w:tcBorders>
              <w:top w:val="nil"/>
              <w:left w:val="nil"/>
              <w:bottom w:val="single" w:sz="4" w:space="0" w:color="auto"/>
              <w:right w:val="nil"/>
            </w:tcBorders>
            <w:shd w:val="clear" w:color="auto" w:fill="auto"/>
            <w:vAlign w:val="center"/>
            <w:hideMark/>
          </w:tcPr>
          <w:p w14:paraId="2B249E79" w14:textId="1C7C78B9" w:rsidR="00CB4182" w:rsidRPr="000C156A" w:rsidRDefault="00CB4182" w:rsidP="007261F5">
            <w:pPr>
              <w:overflowPunct/>
              <w:autoSpaceDE/>
              <w:autoSpaceDN/>
              <w:adjustRightInd/>
              <w:spacing w:before="0"/>
              <w:jc w:val="right"/>
              <w:textAlignment w:val="auto"/>
              <w:rPr>
                <w:rFonts w:cs="Calibri"/>
                <w:b/>
                <w:bCs/>
                <w:color w:val="000000"/>
                <w:sz w:val="22"/>
                <w:szCs w:val="22"/>
                <w:lang w:eastAsia="en-GB"/>
              </w:rPr>
            </w:pPr>
            <w:r>
              <w:rPr>
                <w:rFonts w:cs="Calibri"/>
                <w:b/>
                <w:bCs/>
                <w:color w:val="000000"/>
                <w:sz w:val="22"/>
                <w:szCs w:val="22"/>
                <w:lang w:eastAsia="en-GB"/>
              </w:rPr>
              <w:t>59</w:t>
            </w:r>
            <w:r w:rsidRPr="00F14C95">
              <w:rPr>
                <w:rFonts w:cs="Calibri"/>
                <w:b/>
                <w:bCs/>
                <w:color w:val="000000"/>
                <w:sz w:val="22"/>
                <w:szCs w:val="22"/>
                <w:lang w:eastAsia="en-GB"/>
              </w:rPr>
              <w:t xml:space="preserve"> </w:t>
            </w:r>
          </w:p>
        </w:tc>
        <w:tc>
          <w:tcPr>
            <w:tcW w:w="1053" w:type="dxa"/>
            <w:tcBorders>
              <w:top w:val="nil"/>
              <w:left w:val="nil"/>
              <w:bottom w:val="single" w:sz="4" w:space="0" w:color="auto"/>
              <w:right w:val="nil"/>
            </w:tcBorders>
            <w:shd w:val="clear" w:color="auto" w:fill="auto"/>
            <w:vAlign w:val="center"/>
            <w:hideMark/>
          </w:tcPr>
          <w:p w14:paraId="36E06039" w14:textId="2FD8CC90" w:rsidR="00CB4182" w:rsidRPr="000C156A" w:rsidRDefault="00CB4182"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 xml:space="preserve">-   </w:t>
            </w:r>
          </w:p>
        </w:tc>
        <w:tc>
          <w:tcPr>
            <w:tcW w:w="1053" w:type="dxa"/>
            <w:tcBorders>
              <w:top w:val="nil"/>
              <w:left w:val="nil"/>
              <w:bottom w:val="single" w:sz="4" w:space="0" w:color="auto"/>
              <w:right w:val="single" w:sz="4" w:space="0" w:color="auto"/>
            </w:tcBorders>
            <w:shd w:val="clear" w:color="auto" w:fill="auto"/>
            <w:vAlign w:val="center"/>
          </w:tcPr>
          <w:p w14:paraId="58D8437F" w14:textId="2961CD5E" w:rsidR="00CB4182" w:rsidRPr="000C156A" w:rsidRDefault="00CB4182" w:rsidP="007261F5">
            <w:pPr>
              <w:overflowPunct/>
              <w:autoSpaceDE/>
              <w:autoSpaceDN/>
              <w:adjustRightInd/>
              <w:spacing w:before="0"/>
              <w:jc w:val="right"/>
              <w:textAlignment w:val="auto"/>
              <w:rPr>
                <w:rFonts w:cs="Calibri"/>
                <w:b/>
                <w:bCs/>
                <w:color w:val="000000"/>
                <w:sz w:val="22"/>
                <w:szCs w:val="22"/>
                <w:lang w:eastAsia="en-GB"/>
              </w:rPr>
            </w:pPr>
            <w:r w:rsidRPr="00F14C95">
              <w:rPr>
                <w:rFonts w:cs="Calibri"/>
                <w:b/>
                <w:bCs/>
                <w:color w:val="000000"/>
                <w:sz w:val="22"/>
                <w:szCs w:val="22"/>
                <w:lang w:eastAsia="en-GB"/>
              </w:rPr>
              <w:t>7</w:t>
            </w:r>
            <w:r>
              <w:rPr>
                <w:rFonts w:cs="Calibri"/>
                <w:b/>
                <w:bCs/>
                <w:color w:val="000000"/>
                <w:sz w:val="22"/>
                <w:szCs w:val="22"/>
                <w:lang w:eastAsia="en-GB"/>
              </w:rPr>
              <w:t>1 671</w:t>
            </w:r>
            <w:r w:rsidRPr="00F14C95">
              <w:rPr>
                <w:rFonts w:cs="Calibri"/>
                <w:b/>
                <w:bCs/>
                <w:color w:val="000000"/>
                <w:sz w:val="22"/>
                <w:szCs w:val="22"/>
                <w:lang w:eastAsia="en-GB"/>
              </w:rPr>
              <w:t xml:space="preserve"> </w:t>
            </w:r>
          </w:p>
        </w:tc>
      </w:tr>
    </w:tbl>
    <w:p w14:paraId="1AD7F054" w14:textId="77777777" w:rsidR="0085433F" w:rsidRPr="000C156A" w:rsidRDefault="0085433F" w:rsidP="007261F5">
      <w:pPr>
        <w:pStyle w:val="Heading1"/>
        <w:spacing w:before="240" w:after="240"/>
        <w:rPr>
          <w:rFonts w:cs="Microsoft YaHei"/>
          <w:sz w:val="24"/>
          <w:szCs w:val="24"/>
          <w:lang w:val="fr-FR"/>
        </w:rPr>
      </w:pPr>
      <w:bookmarkStart w:id="704" w:name="_Toc482870836"/>
      <w:bookmarkStart w:id="705" w:name="_Toc482892571"/>
      <w:bookmarkStart w:id="706" w:name="_Toc511813754"/>
      <w:bookmarkStart w:id="707" w:name="_Toc511817837"/>
      <w:bookmarkStart w:id="708" w:name="_Toc520280737"/>
      <w:bookmarkStart w:id="709" w:name="_Toc10536832"/>
      <w:bookmarkStart w:id="710" w:name="_Toc41905873"/>
      <w:bookmarkStart w:id="711" w:name="_Toc41906902"/>
      <w:bookmarkStart w:id="712" w:name="_Toc41907983"/>
      <w:bookmarkStart w:id="713" w:name="_Toc41908051"/>
      <w:bookmarkStart w:id="714" w:name="_Toc73518689"/>
      <w:bookmarkStart w:id="715" w:name="_Toc73518836"/>
      <w:bookmarkStart w:id="716" w:name="_Toc73519236"/>
      <w:bookmarkStart w:id="717" w:name="_Toc110263999"/>
      <w:bookmarkStart w:id="718" w:name="_Toc110264078"/>
      <w:bookmarkStart w:id="719" w:name="_Toc110265717"/>
      <w:bookmarkStart w:id="720" w:name="_Toc110330087"/>
      <w:bookmarkStart w:id="721" w:name="_Toc110330252"/>
      <w:r w:rsidRPr="000C156A">
        <w:rPr>
          <w:rFonts w:cs="Microsoft YaHei" w:hint="eastAsia"/>
          <w:sz w:val="24"/>
          <w:szCs w:val="24"/>
          <w:lang w:val="fr-FR"/>
        </w:rPr>
        <w:t>说明</w:t>
      </w:r>
      <w:r w:rsidRPr="000C156A">
        <w:rPr>
          <w:rFonts w:cs="Microsoft YaHei"/>
          <w:sz w:val="24"/>
          <w:szCs w:val="24"/>
          <w:lang w:val="fr-FR"/>
        </w:rPr>
        <w:t>12</w:t>
      </w:r>
      <w:r w:rsidRPr="000C156A">
        <w:rPr>
          <w:rFonts w:cs="Microsoft YaHei"/>
          <w:sz w:val="24"/>
          <w:szCs w:val="24"/>
          <w:lang w:val="fr-FR"/>
        </w:rPr>
        <w:tab/>
      </w:r>
      <w:r w:rsidRPr="000C156A">
        <w:rPr>
          <w:rFonts w:cs="Microsoft YaHei" w:hint="eastAsia"/>
          <w:sz w:val="24"/>
          <w:szCs w:val="24"/>
          <w:lang w:val="fr-FR"/>
        </w:rPr>
        <w:t>无形资产</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tbl>
      <w:tblPr>
        <w:tblW w:w="4922" w:type="pct"/>
        <w:jc w:val="center"/>
        <w:tblLayout w:type="fixed"/>
        <w:tblLook w:val="04A0" w:firstRow="1" w:lastRow="0" w:firstColumn="1" w:lastColumn="0" w:noHBand="0" w:noVBand="1"/>
      </w:tblPr>
      <w:tblGrid>
        <w:gridCol w:w="2662"/>
        <w:gridCol w:w="1704"/>
        <w:gridCol w:w="1704"/>
        <w:gridCol w:w="1704"/>
        <w:gridCol w:w="1705"/>
      </w:tblGrid>
      <w:tr w:rsidR="0085433F" w:rsidRPr="000C156A" w14:paraId="03E1B236" w14:textId="77777777" w:rsidTr="007261F5">
        <w:trPr>
          <w:trHeight w:val="476"/>
          <w:jc w:val="center"/>
        </w:trPr>
        <w:tc>
          <w:tcPr>
            <w:tcW w:w="2662" w:type="dxa"/>
            <w:tcBorders>
              <w:top w:val="single" w:sz="4" w:space="0" w:color="auto"/>
              <w:left w:val="single" w:sz="4" w:space="0" w:color="auto"/>
              <w:bottom w:val="nil"/>
              <w:right w:val="nil"/>
            </w:tcBorders>
            <w:vAlign w:val="center"/>
            <w:hideMark/>
          </w:tcPr>
          <w:p w14:paraId="692B8F92" w14:textId="77777777" w:rsidR="0085433F" w:rsidRPr="000C156A" w:rsidRDefault="0085433F" w:rsidP="007261F5">
            <w:pPr>
              <w:pStyle w:val="Tablehead"/>
              <w:keepLines/>
              <w:spacing w:before="20" w:after="20"/>
              <w:jc w:val="left"/>
              <w:rPr>
                <w:szCs w:val="22"/>
                <w:lang w:val="en-US" w:eastAsia="zh-CN"/>
              </w:rPr>
            </w:pPr>
            <w:r w:rsidRPr="000C156A">
              <w:rPr>
                <w:rFonts w:hint="eastAsia"/>
                <w:szCs w:val="22"/>
                <w:lang w:val="en-US" w:eastAsia="zh-CN"/>
              </w:rPr>
              <w:t>资产类别</w:t>
            </w:r>
          </w:p>
        </w:tc>
        <w:tc>
          <w:tcPr>
            <w:tcW w:w="1704" w:type="dxa"/>
            <w:tcBorders>
              <w:top w:val="single" w:sz="4" w:space="0" w:color="auto"/>
              <w:left w:val="single" w:sz="4" w:space="0" w:color="auto"/>
              <w:bottom w:val="single" w:sz="4" w:space="0" w:color="auto"/>
              <w:right w:val="single" w:sz="4" w:space="0" w:color="000000"/>
            </w:tcBorders>
            <w:vAlign w:val="center"/>
            <w:hideMark/>
          </w:tcPr>
          <w:p w14:paraId="472FB1B3" w14:textId="77777777" w:rsidR="0085433F" w:rsidRPr="000C156A" w:rsidRDefault="0085433F" w:rsidP="007261F5">
            <w:pPr>
              <w:pStyle w:val="Tablehead"/>
              <w:keepLines/>
              <w:spacing w:before="20" w:after="20"/>
              <w:rPr>
                <w:szCs w:val="22"/>
                <w:lang w:val="en-US" w:eastAsia="zh-CN"/>
              </w:rPr>
            </w:pPr>
            <w:r w:rsidRPr="000C156A">
              <w:rPr>
                <w:rFonts w:hint="eastAsia"/>
                <w:szCs w:val="22"/>
                <w:lang w:val="en-US" w:eastAsia="zh-CN"/>
              </w:rPr>
              <w:t>内部开发</w:t>
            </w:r>
          </w:p>
        </w:tc>
        <w:tc>
          <w:tcPr>
            <w:tcW w:w="1704" w:type="dxa"/>
            <w:tcBorders>
              <w:top w:val="single" w:sz="4" w:space="0" w:color="auto"/>
              <w:left w:val="single" w:sz="4" w:space="0" w:color="000000"/>
              <w:bottom w:val="single" w:sz="4" w:space="0" w:color="auto"/>
              <w:right w:val="single" w:sz="4" w:space="0" w:color="auto"/>
            </w:tcBorders>
            <w:vAlign w:val="center"/>
            <w:hideMark/>
          </w:tcPr>
          <w:p w14:paraId="0BC0FBD1" w14:textId="77777777" w:rsidR="0085433F" w:rsidRPr="000C156A" w:rsidRDefault="0085433F" w:rsidP="007261F5">
            <w:pPr>
              <w:pStyle w:val="Tablehead"/>
              <w:keepLines/>
              <w:spacing w:before="20" w:after="20"/>
              <w:rPr>
                <w:szCs w:val="22"/>
                <w:lang w:val="en-US" w:eastAsia="zh-CN"/>
              </w:rPr>
            </w:pPr>
            <w:r w:rsidRPr="000C156A">
              <w:rPr>
                <w:rFonts w:hint="eastAsia"/>
                <w:szCs w:val="22"/>
                <w:lang w:val="en-US" w:eastAsia="zh-CN"/>
              </w:rPr>
              <w:t>软件</w:t>
            </w:r>
          </w:p>
        </w:tc>
        <w:tc>
          <w:tcPr>
            <w:tcW w:w="1704" w:type="dxa"/>
            <w:tcBorders>
              <w:top w:val="single" w:sz="4" w:space="0" w:color="auto"/>
              <w:left w:val="single" w:sz="4" w:space="0" w:color="auto"/>
              <w:bottom w:val="single" w:sz="4" w:space="0" w:color="auto"/>
              <w:right w:val="single" w:sz="4" w:space="0" w:color="auto"/>
            </w:tcBorders>
            <w:vAlign w:val="center"/>
          </w:tcPr>
          <w:p w14:paraId="058947F6" w14:textId="77777777" w:rsidR="0085433F" w:rsidRPr="000C156A" w:rsidRDefault="0085433F" w:rsidP="007261F5">
            <w:pPr>
              <w:pStyle w:val="Tablehead"/>
              <w:keepLines/>
              <w:spacing w:before="20" w:after="20"/>
              <w:rPr>
                <w:szCs w:val="22"/>
                <w:lang w:val="en-US" w:eastAsia="zh-CN"/>
              </w:rPr>
            </w:pPr>
            <w:r w:rsidRPr="000C156A">
              <w:rPr>
                <w:rFonts w:cs="Arial"/>
                <w:bCs/>
                <w:color w:val="000000"/>
                <w:sz w:val="20"/>
                <w:lang w:val="en-US" w:eastAsia="zh-CN"/>
              </w:rPr>
              <w:t>LVA</w:t>
            </w:r>
            <w:r w:rsidRPr="000C156A">
              <w:rPr>
                <w:rFonts w:cs="Arial" w:hint="eastAsia"/>
                <w:bCs/>
                <w:color w:val="000000"/>
                <w:sz w:val="20"/>
                <w:lang w:val="en-US" w:eastAsia="zh-CN"/>
              </w:rPr>
              <w:t>软件</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E9A6355" w14:textId="77777777" w:rsidR="0085433F" w:rsidRPr="000C156A" w:rsidRDefault="0085433F" w:rsidP="007261F5">
            <w:pPr>
              <w:pStyle w:val="Tablehead"/>
              <w:keepLines/>
              <w:spacing w:before="20" w:after="20"/>
              <w:rPr>
                <w:szCs w:val="22"/>
                <w:lang w:val="en-US" w:eastAsia="zh-CN"/>
              </w:rPr>
            </w:pPr>
            <w:r w:rsidRPr="000C156A">
              <w:rPr>
                <w:rFonts w:hint="eastAsia"/>
                <w:szCs w:val="22"/>
                <w:lang w:val="en-US" w:eastAsia="zh-CN"/>
              </w:rPr>
              <w:t>合计</w:t>
            </w:r>
          </w:p>
        </w:tc>
      </w:tr>
      <w:tr w:rsidR="007261F5" w:rsidRPr="000C156A" w14:paraId="45DD7040" w14:textId="77777777" w:rsidTr="007261F5">
        <w:trPr>
          <w:trHeight w:val="210"/>
          <w:jc w:val="center"/>
        </w:trPr>
        <w:tc>
          <w:tcPr>
            <w:tcW w:w="2662" w:type="dxa"/>
            <w:tcBorders>
              <w:top w:val="single" w:sz="4" w:space="0" w:color="auto"/>
              <w:left w:val="single" w:sz="4" w:space="0" w:color="auto"/>
              <w:bottom w:val="nil"/>
              <w:right w:val="nil"/>
            </w:tcBorders>
            <w:hideMark/>
          </w:tcPr>
          <w:p w14:paraId="047E7EB0" w14:textId="77777777" w:rsidR="007261F5" w:rsidRPr="000C156A" w:rsidRDefault="007261F5" w:rsidP="007261F5">
            <w:pPr>
              <w:pStyle w:val="Tabletext"/>
              <w:keepNext/>
              <w:keepLines/>
              <w:spacing w:before="20" w:after="20"/>
              <w:rPr>
                <w:rFonts w:cs="Arial"/>
                <w:b/>
                <w:bCs/>
                <w:color w:val="000000"/>
                <w:szCs w:val="22"/>
                <w:lang w:val="en-US" w:eastAsia="zh-CN"/>
              </w:rPr>
            </w:pPr>
            <w:r w:rsidRPr="000C156A">
              <w:rPr>
                <w:rFonts w:cs="Arial"/>
                <w:b/>
                <w:bCs/>
                <w:color w:val="000000"/>
                <w:szCs w:val="22"/>
                <w:lang w:val="en-US" w:eastAsia="zh-CN"/>
              </w:rPr>
              <w:t> </w:t>
            </w:r>
          </w:p>
        </w:tc>
        <w:tc>
          <w:tcPr>
            <w:tcW w:w="1704" w:type="dxa"/>
            <w:tcBorders>
              <w:top w:val="nil"/>
              <w:left w:val="single" w:sz="4" w:space="0" w:color="auto"/>
              <w:bottom w:val="single" w:sz="4" w:space="0" w:color="auto"/>
              <w:right w:val="single" w:sz="4" w:space="0" w:color="auto"/>
            </w:tcBorders>
            <w:vAlign w:val="center"/>
            <w:hideMark/>
          </w:tcPr>
          <w:p w14:paraId="03CEDAD7" w14:textId="14629415" w:rsidR="007261F5" w:rsidRPr="000C156A" w:rsidRDefault="007261F5" w:rsidP="007261F5">
            <w:pPr>
              <w:keepNext/>
              <w:keepLines/>
              <w:overflowPunct/>
              <w:adjustRightInd/>
              <w:spacing w:before="0"/>
              <w:jc w:val="center"/>
              <w:rPr>
                <w:rFonts w:cs="Arial"/>
                <w:b/>
                <w:bCs/>
                <w:color w:val="000000"/>
                <w:sz w:val="22"/>
                <w:szCs w:val="22"/>
                <w:lang w:val="en-US" w:eastAsia="zh-CN"/>
              </w:rPr>
            </w:pPr>
            <w:r w:rsidRPr="000C156A">
              <w:rPr>
                <w:rFonts w:cs="Arial"/>
                <w:b/>
                <w:bCs/>
                <w:color w:val="000000"/>
                <w:sz w:val="22"/>
                <w:szCs w:val="22"/>
                <w:lang w:val="en-US" w:eastAsia="zh-CN"/>
              </w:rPr>
              <w:t>20</w:t>
            </w:r>
            <w:r w:rsidRPr="000C156A">
              <w:rPr>
                <w:rFonts w:cs="Arial" w:hint="eastAsia"/>
                <w:b/>
                <w:bCs/>
                <w:color w:val="000000"/>
                <w:sz w:val="22"/>
                <w:szCs w:val="22"/>
                <w:lang w:val="en-US" w:eastAsia="zh-CN"/>
              </w:rPr>
              <w:t>2</w:t>
            </w:r>
            <w:r>
              <w:rPr>
                <w:rFonts w:cs="Arial"/>
                <w:b/>
                <w:bCs/>
                <w:color w:val="000000"/>
                <w:sz w:val="22"/>
                <w:szCs w:val="22"/>
                <w:lang w:val="en-US" w:eastAsia="zh-CN"/>
              </w:rPr>
              <w:t>1</w:t>
            </w:r>
            <w:r w:rsidRPr="000C156A">
              <w:rPr>
                <w:rFonts w:cs="Arial" w:hint="eastAsia"/>
                <w:b/>
                <w:bCs/>
                <w:color w:val="000000"/>
                <w:sz w:val="22"/>
                <w:szCs w:val="22"/>
                <w:lang w:val="en-US" w:eastAsia="zh-CN"/>
              </w:rPr>
              <w:t>年</w:t>
            </w:r>
          </w:p>
        </w:tc>
        <w:tc>
          <w:tcPr>
            <w:tcW w:w="1704" w:type="dxa"/>
            <w:tcBorders>
              <w:top w:val="nil"/>
              <w:left w:val="nil"/>
              <w:bottom w:val="single" w:sz="4" w:space="0" w:color="auto"/>
              <w:right w:val="single" w:sz="4" w:space="0" w:color="auto"/>
            </w:tcBorders>
            <w:vAlign w:val="center"/>
            <w:hideMark/>
          </w:tcPr>
          <w:p w14:paraId="31AE26B9" w14:textId="76920BC7" w:rsidR="007261F5" w:rsidRPr="000C156A" w:rsidRDefault="007261F5" w:rsidP="007261F5">
            <w:pPr>
              <w:keepNext/>
              <w:keepLines/>
              <w:overflowPunct/>
              <w:adjustRightInd/>
              <w:spacing w:before="0"/>
              <w:jc w:val="center"/>
              <w:rPr>
                <w:rFonts w:cs="Arial"/>
                <w:b/>
                <w:bCs/>
                <w:color w:val="000000"/>
                <w:sz w:val="22"/>
                <w:szCs w:val="22"/>
                <w:lang w:val="en-US" w:eastAsia="zh-CN"/>
              </w:rPr>
            </w:pPr>
            <w:r w:rsidRPr="000C156A">
              <w:rPr>
                <w:rFonts w:cs="Arial"/>
                <w:b/>
                <w:bCs/>
                <w:color w:val="000000"/>
                <w:sz w:val="22"/>
                <w:szCs w:val="22"/>
                <w:lang w:val="en-US" w:eastAsia="zh-CN"/>
              </w:rPr>
              <w:t>20</w:t>
            </w:r>
            <w:r w:rsidRPr="000C156A">
              <w:rPr>
                <w:rFonts w:cs="Arial" w:hint="eastAsia"/>
                <w:b/>
                <w:bCs/>
                <w:color w:val="000000"/>
                <w:sz w:val="22"/>
                <w:szCs w:val="22"/>
                <w:lang w:val="en-US" w:eastAsia="zh-CN"/>
              </w:rPr>
              <w:t>2</w:t>
            </w:r>
            <w:r>
              <w:rPr>
                <w:rFonts w:cs="Arial"/>
                <w:b/>
                <w:bCs/>
                <w:color w:val="000000"/>
                <w:sz w:val="22"/>
                <w:szCs w:val="22"/>
                <w:lang w:val="en-US" w:eastAsia="zh-CN"/>
              </w:rPr>
              <w:t>1</w:t>
            </w:r>
            <w:r w:rsidRPr="000C156A">
              <w:rPr>
                <w:rFonts w:cs="Arial" w:hint="eastAsia"/>
                <w:b/>
                <w:bCs/>
                <w:color w:val="000000"/>
                <w:sz w:val="22"/>
                <w:szCs w:val="22"/>
                <w:lang w:val="en-US" w:eastAsia="zh-CN"/>
              </w:rPr>
              <w:t>年</w:t>
            </w:r>
          </w:p>
        </w:tc>
        <w:tc>
          <w:tcPr>
            <w:tcW w:w="1704" w:type="dxa"/>
            <w:tcBorders>
              <w:top w:val="nil"/>
              <w:left w:val="single" w:sz="4" w:space="0" w:color="auto"/>
              <w:bottom w:val="single" w:sz="4" w:space="0" w:color="auto"/>
              <w:right w:val="single" w:sz="4" w:space="0" w:color="auto"/>
            </w:tcBorders>
            <w:vAlign w:val="center"/>
          </w:tcPr>
          <w:p w14:paraId="01105F07" w14:textId="738FD34C" w:rsidR="007261F5" w:rsidRPr="000C156A" w:rsidRDefault="007261F5" w:rsidP="007261F5">
            <w:pPr>
              <w:keepNext/>
              <w:keepLines/>
              <w:overflowPunct/>
              <w:adjustRightInd/>
              <w:spacing w:before="0"/>
              <w:jc w:val="center"/>
              <w:rPr>
                <w:rFonts w:cs="Arial"/>
                <w:b/>
                <w:bCs/>
                <w:color w:val="000000"/>
                <w:sz w:val="22"/>
                <w:szCs w:val="22"/>
                <w:lang w:val="en-US" w:eastAsia="zh-CN"/>
              </w:rPr>
            </w:pPr>
            <w:r w:rsidRPr="000C156A">
              <w:rPr>
                <w:rFonts w:cs="Arial"/>
                <w:b/>
                <w:bCs/>
                <w:color w:val="000000"/>
                <w:sz w:val="22"/>
                <w:szCs w:val="22"/>
                <w:lang w:val="en-US" w:eastAsia="zh-CN"/>
              </w:rPr>
              <w:t>20</w:t>
            </w:r>
            <w:r w:rsidRPr="000C156A">
              <w:rPr>
                <w:rFonts w:cs="Arial" w:hint="eastAsia"/>
                <w:b/>
                <w:bCs/>
                <w:color w:val="000000"/>
                <w:sz w:val="22"/>
                <w:szCs w:val="22"/>
                <w:lang w:val="en-US" w:eastAsia="zh-CN"/>
              </w:rPr>
              <w:t>2</w:t>
            </w:r>
            <w:r>
              <w:rPr>
                <w:rFonts w:cs="Arial"/>
                <w:b/>
                <w:bCs/>
                <w:color w:val="000000"/>
                <w:sz w:val="22"/>
                <w:szCs w:val="22"/>
                <w:lang w:val="en-US" w:eastAsia="zh-CN"/>
              </w:rPr>
              <w:t>1</w:t>
            </w:r>
            <w:r w:rsidRPr="000C156A">
              <w:rPr>
                <w:rFonts w:cs="Arial" w:hint="eastAsia"/>
                <w:b/>
                <w:bCs/>
                <w:color w:val="000000"/>
                <w:sz w:val="22"/>
                <w:szCs w:val="22"/>
                <w:lang w:val="en-US" w:eastAsia="zh-CN"/>
              </w:rPr>
              <w:t>年</w:t>
            </w:r>
          </w:p>
        </w:tc>
        <w:tc>
          <w:tcPr>
            <w:tcW w:w="1705" w:type="dxa"/>
            <w:tcBorders>
              <w:top w:val="nil"/>
              <w:left w:val="single" w:sz="4" w:space="0" w:color="auto"/>
              <w:bottom w:val="single" w:sz="4" w:space="0" w:color="auto"/>
              <w:right w:val="single" w:sz="4" w:space="0" w:color="auto"/>
            </w:tcBorders>
            <w:vAlign w:val="center"/>
            <w:hideMark/>
          </w:tcPr>
          <w:p w14:paraId="6C1A3E85" w14:textId="6673E1A7" w:rsidR="007261F5" w:rsidRPr="000C156A" w:rsidRDefault="007261F5" w:rsidP="00DE55DC">
            <w:pPr>
              <w:keepNext/>
              <w:keepLines/>
              <w:overflowPunct/>
              <w:adjustRightInd/>
              <w:spacing w:before="0"/>
              <w:jc w:val="center"/>
              <w:rPr>
                <w:rFonts w:cs="Arial"/>
                <w:b/>
                <w:bCs/>
                <w:color w:val="000000"/>
                <w:sz w:val="22"/>
                <w:szCs w:val="22"/>
                <w:lang w:val="en-US" w:eastAsia="zh-CN"/>
              </w:rPr>
            </w:pPr>
            <w:r w:rsidRPr="000C156A">
              <w:rPr>
                <w:rFonts w:cs="Arial"/>
                <w:b/>
                <w:bCs/>
                <w:color w:val="000000"/>
                <w:sz w:val="22"/>
                <w:szCs w:val="22"/>
                <w:lang w:val="en-US" w:eastAsia="zh-CN"/>
              </w:rPr>
              <w:t>20</w:t>
            </w:r>
            <w:r w:rsidRPr="000C156A">
              <w:rPr>
                <w:rFonts w:cs="Arial" w:hint="eastAsia"/>
                <w:b/>
                <w:bCs/>
                <w:color w:val="000000"/>
                <w:sz w:val="22"/>
                <w:szCs w:val="22"/>
                <w:lang w:val="en-US" w:eastAsia="zh-CN"/>
              </w:rPr>
              <w:t>2</w:t>
            </w:r>
            <w:r>
              <w:rPr>
                <w:rFonts w:cs="Arial"/>
                <w:b/>
                <w:bCs/>
                <w:color w:val="000000"/>
                <w:sz w:val="22"/>
                <w:szCs w:val="22"/>
                <w:lang w:val="en-US" w:eastAsia="zh-CN"/>
              </w:rPr>
              <w:t>1</w:t>
            </w:r>
            <w:r w:rsidRPr="000C156A">
              <w:rPr>
                <w:rFonts w:cs="Arial" w:hint="eastAsia"/>
                <w:b/>
                <w:bCs/>
                <w:color w:val="000000"/>
                <w:sz w:val="22"/>
                <w:szCs w:val="22"/>
                <w:lang w:val="en-US" w:eastAsia="zh-CN"/>
              </w:rPr>
              <w:t>年</w:t>
            </w:r>
          </w:p>
        </w:tc>
      </w:tr>
      <w:tr w:rsidR="00003B03" w:rsidRPr="000C156A" w14:paraId="181DF006" w14:textId="77777777" w:rsidTr="007261F5">
        <w:trPr>
          <w:trHeight w:val="253"/>
          <w:jc w:val="center"/>
        </w:trPr>
        <w:tc>
          <w:tcPr>
            <w:tcW w:w="2662" w:type="dxa"/>
            <w:tcBorders>
              <w:top w:val="single" w:sz="4" w:space="0" w:color="auto"/>
              <w:left w:val="single" w:sz="4" w:space="0" w:color="auto"/>
              <w:bottom w:val="single" w:sz="4" w:space="0" w:color="auto"/>
              <w:right w:val="nil"/>
            </w:tcBorders>
            <w:hideMark/>
          </w:tcPr>
          <w:p w14:paraId="5B2816E6" w14:textId="77777777" w:rsidR="00003B03" w:rsidRPr="000C156A" w:rsidRDefault="00003B03" w:rsidP="00003B03">
            <w:pPr>
              <w:pStyle w:val="Tabletext"/>
              <w:keepNext/>
              <w:keepLines/>
              <w:spacing w:before="20" w:after="20"/>
              <w:rPr>
                <w:b/>
                <w:bCs/>
                <w:szCs w:val="22"/>
                <w:lang w:val="en-US" w:eastAsia="zh-CN"/>
              </w:rPr>
            </w:pPr>
            <w:r w:rsidRPr="000C156A">
              <w:rPr>
                <w:b/>
                <w:bCs/>
                <w:szCs w:val="22"/>
                <w:lang w:val="en-US" w:eastAsia="zh-CN"/>
              </w:rPr>
              <w:t>1</w:t>
            </w:r>
            <w:r w:rsidRPr="000C156A">
              <w:rPr>
                <w:rFonts w:hint="eastAsia"/>
                <w:b/>
                <w:bCs/>
                <w:szCs w:val="22"/>
                <w:lang w:val="en-US" w:eastAsia="zh-CN"/>
              </w:rPr>
              <w:t>月</w:t>
            </w:r>
            <w:r w:rsidRPr="000C156A">
              <w:rPr>
                <w:b/>
                <w:bCs/>
                <w:szCs w:val="22"/>
                <w:lang w:val="en-US" w:eastAsia="zh-CN"/>
              </w:rPr>
              <w:t>1</w:t>
            </w:r>
            <w:r w:rsidRPr="000C156A">
              <w:rPr>
                <w:rFonts w:hint="eastAsia"/>
                <w:b/>
                <w:bCs/>
                <w:szCs w:val="22"/>
                <w:lang w:val="en-US" w:eastAsia="zh-CN"/>
              </w:rPr>
              <w:t>日时的成本</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14:paraId="2C03529E" w14:textId="2EA9E6BF"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sidRPr="0045306E">
              <w:rPr>
                <w:rFonts w:asciiTheme="minorHAnsi" w:hAnsiTheme="minorHAnsi" w:cstheme="minorHAnsi"/>
                <w:b/>
                <w:bCs/>
                <w:color w:val="000000"/>
                <w:sz w:val="22"/>
                <w:szCs w:val="22"/>
                <w:lang w:eastAsia="en-GB"/>
              </w:rPr>
              <w:t>3</w:t>
            </w:r>
            <w:r>
              <w:rPr>
                <w:rFonts w:asciiTheme="minorHAnsi" w:hAnsiTheme="minorHAnsi" w:cstheme="minorHAnsi"/>
                <w:b/>
                <w:bCs/>
                <w:color w:val="000000"/>
                <w:sz w:val="22"/>
                <w:szCs w:val="22"/>
                <w:lang w:eastAsia="en-GB"/>
              </w:rPr>
              <w:t> 211</w:t>
            </w:r>
            <w:r w:rsidRPr="0045306E">
              <w:rPr>
                <w:rFonts w:asciiTheme="minorHAnsi" w:hAnsiTheme="minorHAnsi" w:cstheme="minorHAnsi"/>
                <w:b/>
                <w:bCs/>
                <w:color w:val="000000"/>
                <w:sz w:val="22"/>
                <w:szCs w:val="22"/>
                <w:lang w:eastAsia="en-GB"/>
              </w:rPr>
              <w:t xml:space="preserve"> </w:t>
            </w:r>
          </w:p>
        </w:tc>
        <w:tc>
          <w:tcPr>
            <w:tcW w:w="1704" w:type="dxa"/>
            <w:tcBorders>
              <w:top w:val="nil"/>
              <w:left w:val="nil"/>
              <w:bottom w:val="single" w:sz="4" w:space="0" w:color="auto"/>
              <w:right w:val="single" w:sz="4" w:space="0" w:color="auto"/>
            </w:tcBorders>
            <w:shd w:val="clear" w:color="000000" w:fill="FFFFFF"/>
            <w:noWrap/>
            <w:vAlign w:val="center"/>
            <w:hideMark/>
          </w:tcPr>
          <w:p w14:paraId="168541CE" w14:textId="44A10DD1"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7 025</w:t>
            </w:r>
            <w:r w:rsidRPr="0045306E">
              <w:rPr>
                <w:rFonts w:asciiTheme="minorHAnsi" w:hAnsiTheme="minorHAnsi" w:cstheme="minorHAnsi"/>
                <w:b/>
                <w:bCs/>
                <w:color w:val="000000"/>
                <w:sz w:val="22"/>
                <w:szCs w:val="22"/>
                <w:lang w:eastAsia="en-GB"/>
              </w:rPr>
              <w:t xml:space="preserve"> </w:t>
            </w:r>
          </w:p>
        </w:tc>
        <w:tc>
          <w:tcPr>
            <w:tcW w:w="1704" w:type="dxa"/>
            <w:tcBorders>
              <w:top w:val="nil"/>
              <w:left w:val="nil"/>
              <w:bottom w:val="single" w:sz="4" w:space="0" w:color="auto"/>
              <w:right w:val="single" w:sz="4" w:space="0" w:color="auto"/>
            </w:tcBorders>
            <w:shd w:val="clear" w:color="auto" w:fill="auto"/>
            <w:vAlign w:val="center"/>
          </w:tcPr>
          <w:p w14:paraId="113A3D7A" w14:textId="7437FCA8"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859</w:t>
            </w:r>
            <w:r w:rsidRPr="0045306E">
              <w:rPr>
                <w:rFonts w:asciiTheme="minorHAnsi" w:hAnsiTheme="minorHAnsi" w:cstheme="minorHAnsi"/>
                <w:b/>
                <w:bCs/>
                <w:color w:val="000000"/>
                <w:sz w:val="22"/>
                <w:szCs w:val="22"/>
                <w:lang w:eastAsia="en-GB"/>
              </w:rPr>
              <w:t xml:space="preserve"> </w:t>
            </w:r>
          </w:p>
        </w:tc>
        <w:tc>
          <w:tcPr>
            <w:tcW w:w="1705" w:type="dxa"/>
            <w:tcBorders>
              <w:top w:val="nil"/>
              <w:left w:val="nil"/>
              <w:bottom w:val="single" w:sz="4" w:space="0" w:color="auto"/>
              <w:right w:val="single" w:sz="4" w:space="0" w:color="auto"/>
            </w:tcBorders>
            <w:shd w:val="clear" w:color="000000" w:fill="FFFFFF"/>
            <w:noWrap/>
            <w:vAlign w:val="center"/>
            <w:hideMark/>
          </w:tcPr>
          <w:p w14:paraId="0255294C" w14:textId="3889A83D"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sidRPr="0045306E">
              <w:rPr>
                <w:rFonts w:asciiTheme="minorHAnsi" w:hAnsiTheme="minorHAnsi" w:cstheme="minorHAnsi"/>
                <w:b/>
                <w:bCs/>
                <w:color w:val="000000"/>
                <w:sz w:val="22"/>
                <w:szCs w:val="22"/>
                <w:lang w:eastAsia="en-GB"/>
              </w:rPr>
              <w:t>1</w:t>
            </w:r>
            <w:r>
              <w:rPr>
                <w:rFonts w:asciiTheme="minorHAnsi" w:hAnsiTheme="minorHAnsi" w:cstheme="minorHAnsi"/>
                <w:b/>
                <w:bCs/>
                <w:color w:val="000000"/>
                <w:sz w:val="22"/>
                <w:szCs w:val="22"/>
                <w:lang w:eastAsia="en-GB"/>
              </w:rPr>
              <w:t>1 095</w:t>
            </w:r>
            <w:r w:rsidRPr="0045306E">
              <w:rPr>
                <w:rFonts w:asciiTheme="minorHAnsi" w:hAnsiTheme="minorHAnsi" w:cstheme="minorHAnsi"/>
                <w:b/>
                <w:bCs/>
                <w:color w:val="000000"/>
                <w:sz w:val="22"/>
                <w:szCs w:val="22"/>
                <w:lang w:eastAsia="en-GB"/>
              </w:rPr>
              <w:t xml:space="preserve"> </w:t>
            </w:r>
          </w:p>
        </w:tc>
      </w:tr>
      <w:tr w:rsidR="00003B03" w:rsidRPr="000C156A" w14:paraId="6DD8D3AD" w14:textId="77777777" w:rsidTr="003A64C9">
        <w:trPr>
          <w:trHeight w:val="253"/>
          <w:jc w:val="center"/>
        </w:trPr>
        <w:tc>
          <w:tcPr>
            <w:tcW w:w="2662" w:type="dxa"/>
            <w:tcBorders>
              <w:top w:val="nil"/>
              <w:left w:val="single" w:sz="4" w:space="0" w:color="auto"/>
              <w:bottom w:val="nil"/>
              <w:right w:val="nil"/>
            </w:tcBorders>
            <w:hideMark/>
          </w:tcPr>
          <w:p w14:paraId="4F8DDE7D" w14:textId="77777777" w:rsidR="00003B03" w:rsidRPr="000C156A" w:rsidRDefault="00003B03" w:rsidP="00003B03">
            <w:pPr>
              <w:pStyle w:val="Tabletext"/>
              <w:keepNext/>
              <w:keepLines/>
              <w:spacing w:before="20" w:after="20"/>
              <w:rPr>
                <w:szCs w:val="22"/>
                <w:lang w:val="en-US" w:eastAsia="zh-CN"/>
              </w:rPr>
            </w:pPr>
            <w:r w:rsidRPr="000C156A">
              <w:rPr>
                <w:rFonts w:hint="eastAsia"/>
                <w:bCs/>
                <w:szCs w:val="22"/>
                <w:lang w:val="en-US"/>
              </w:rPr>
              <w:t>增补</w:t>
            </w:r>
          </w:p>
        </w:tc>
        <w:tc>
          <w:tcPr>
            <w:tcW w:w="1704" w:type="dxa"/>
            <w:tcBorders>
              <w:top w:val="nil"/>
              <w:left w:val="single" w:sz="4" w:space="0" w:color="auto"/>
              <w:bottom w:val="nil"/>
              <w:right w:val="single" w:sz="4" w:space="0" w:color="auto"/>
            </w:tcBorders>
            <w:shd w:val="clear" w:color="auto" w:fill="auto"/>
            <w:vAlign w:val="center"/>
            <w:hideMark/>
          </w:tcPr>
          <w:p w14:paraId="109D36C2" w14:textId="1350BCB4"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Pr>
                <w:rFonts w:asciiTheme="minorHAnsi" w:hAnsiTheme="minorHAnsi" w:cstheme="minorHAnsi"/>
                <w:color w:val="000000"/>
                <w:sz w:val="22"/>
                <w:szCs w:val="22"/>
                <w:lang w:eastAsia="en-GB"/>
              </w:rPr>
              <w:t>77</w:t>
            </w: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noWrap/>
            <w:vAlign w:val="center"/>
            <w:hideMark/>
          </w:tcPr>
          <w:p w14:paraId="7A4A5FAE" w14:textId="13631960"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Pr>
                <w:rFonts w:asciiTheme="minorHAnsi" w:hAnsiTheme="minorHAnsi" w:cstheme="minorHAnsi"/>
                <w:color w:val="000000"/>
                <w:sz w:val="22"/>
                <w:szCs w:val="22"/>
                <w:lang w:eastAsia="en-GB"/>
              </w:rPr>
              <w:t>384</w:t>
            </w: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vAlign w:val="center"/>
          </w:tcPr>
          <w:p w14:paraId="124580B0" w14:textId="4A01CC01"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2</w:t>
            </w:r>
            <w:r>
              <w:rPr>
                <w:rFonts w:asciiTheme="minorHAnsi" w:hAnsiTheme="minorHAnsi" w:cstheme="minorHAnsi"/>
                <w:color w:val="000000"/>
                <w:sz w:val="22"/>
                <w:szCs w:val="22"/>
                <w:lang w:eastAsia="en-GB"/>
              </w:rPr>
              <w:t>91</w:t>
            </w:r>
            <w:r w:rsidRPr="0045306E">
              <w:rPr>
                <w:rFonts w:asciiTheme="minorHAnsi" w:hAnsiTheme="minorHAnsi" w:cstheme="minorHAnsi"/>
                <w:color w:val="000000"/>
                <w:sz w:val="22"/>
                <w:szCs w:val="22"/>
                <w:lang w:eastAsia="en-GB"/>
              </w:rPr>
              <w:t xml:space="preserve"> </w:t>
            </w:r>
          </w:p>
        </w:tc>
        <w:tc>
          <w:tcPr>
            <w:tcW w:w="1705" w:type="dxa"/>
            <w:tcBorders>
              <w:top w:val="nil"/>
              <w:left w:val="nil"/>
              <w:bottom w:val="nil"/>
              <w:right w:val="single" w:sz="4" w:space="0" w:color="auto"/>
            </w:tcBorders>
            <w:shd w:val="clear" w:color="auto" w:fill="auto"/>
            <w:noWrap/>
            <w:vAlign w:val="center"/>
            <w:hideMark/>
          </w:tcPr>
          <w:p w14:paraId="0F6697C3" w14:textId="0CF1CFE2"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Pr>
                <w:rFonts w:asciiTheme="minorHAnsi" w:hAnsiTheme="minorHAnsi" w:cstheme="minorHAnsi"/>
                <w:color w:val="000000"/>
                <w:sz w:val="22"/>
                <w:szCs w:val="22"/>
                <w:lang w:eastAsia="en-GB"/>
              </w:rPr>
              <w:t>752</w:t>
            </w:r>
            <w:r w:rsidRPr="0045306E">
              <w:rPr>
                <w:rFonts w:asciiTheme="minorHAnsi" w:hAnsiTheme="minorHAnsi" w:cstheme="minorHAnsi"/>
                <w:color w:val="000000"/>
                <w:sz w:val="22"/>
                <w:szCs w:val="22"/>
                <w:lang w:eastAsia="en-GB"/>
              </w:rPr>
              <w:t xml:space="preserve"> </w:t>
            </w:r>
          </w:p>
        </w:tc>
      </w:tr>
      <w:tr w:rsidR="00003B03" w:rsidRPr="000C156A" w14:paraId="5892D3CA" w14:textId="77777777" w:rsidTr="003A64C9">
        <w:trPr>
          <w:trHeight w:val="253"/>
          <w:jc w:val="center"/>
        </w:trPr>
        <w:tc>
          <w:tcPr>
            <w:tcW w:w="2662" w:type="dxa"/>
            <w:tcBorders>
              <w:top w:val="nil"/>
              <w:left w:val="single" w:sz="4" w:space="0" w:color="auto"/>
              <w:bottom w:val="nil"/>
              <w:right w:val="nil"/>
            </w:tcBorders>
            <w:hideMark/>
          </w:tcPr>
          <w:p w14:paraId="323D8AC3" w14:textId="77777777" w:rsidR="00003B03" w:rsidRPr="000C156A" w:rsidRDefault="00003B03" w:rsidP="00003B03">
            <w:pPr>
              <w:pStyle w:val="Tabletext"/>
              <w:keepNext/>
              <w:keepLines/>
              <w:spacing w:before="20" w:after="20"/>
              <w:rPr>
                <w:bCs/>
                <w:szCs w:val="22"/>
                <w:lang w:val="en-US"/>
              </w:rPr>
            </w:pPr>
            <w:r w:rsidRPr="000C156A">
              <w:rPr>
                <w:rFonts w:hint="eastAsia"/>
                <w:bCs/>
                <w:szCs w:val="22"/>
                <w:lang w:val="en-US"/>
              </w:rPr>
              <w:t>礼品</w:t>
            </w:r>
          </w:p>
        </w:tc>
        <w:tc>
          <w:tcPr>
            <w:tcW w:w="1704" w:type="dxa"/>
            <w:tcBorders>
              <w:top w:val="nil"/>
              <w:left w:val="single" w:sz="4" w:space="0" w:color="auto"/>
              <w:bottom w:val="nil"/>
              <w:right w:val="single" w:sz="4" w:space="0" w:color="auto"/>
            </w:tcBorders>
            <w:shd w:val="clear" w:color="auto" w:fill="auto"/>
            <w:vAlign w:val="center"/>
            <w:hideMark/>
          </w:tcPr>
          <w:p w14:paraId="7E011881" w14:textId="26E7D31E"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noWrap/>
            <w:vAlign w:val="center"/>
            <w:hideMark/>
          </w:tcPr>
          <w:p w14:paraId="0B15F983" w14:textId="6612C230"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vAlign w:val="center"/>
          </w:tcPr>
          <w:p w14:paraId="6511D8C0" w14:textId="298AE8B9"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5" w:type="dxa"/>
            <w:tcBorders>
              <w:top w:val="nil"/>
              <w:left w:val="nil"/>
              <w:bottom w:val="nil"/>
              <w:right w:val="single" w:sz="4" w:space="0" w:color="auto"/>
            </w:tcBorders>
            <w:shd w:val="clear" w:color="auto" w:fill="auto"/>
            <w:noWrap/>
            <w:vAlign w:val="center"/>
            <w:hideMark/>
          </w:tcPr>
          <w:p w14:paraId="78B5267F" w14:textId="3DD45CA0"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r>
      <w:tr w:rsidR="00003B03" w:rsidRPr="000C156A" w14:paraId="3F286466" w14:textId="77777777" w:rsidTr="003A64C9">
        <w:trPr>
          <w:trHeight w:val="253"/>
          <w:jc w:val="center"/>
        </w:trPr>
        <w:tc>
          <w:tcPr>
            <w:tcW w:w="2662" w:type="dxa"/>
            <w:tcBorders>
              <w:top w:val="nil"/>
              <w:left w:val="single" w:sz="4" w:space="0" w:color="auto"/>
              <w:bottom w:val="nil"/>
              <w:right w:val="nil"/>
            </w:tcBorders>
            <w:hideMark/>
          </w:tcPr>
          <w:p w14:paraId="13D3DDC1" w14:textId="77777777" w:rsidR="00003B03" w:rsidRPr="000C156A" w:rsidRDefault="00003B03" w:rsidP="00003B03">
            <w:pPr>
              <w:pStyle w:val="Tabletext"/>
              <w:keepNext/>
              <w:keepLines/>
              <w:spacing w:before="20" w:after="20"/>
              <w:rPr>
                <w:bCs/>
                <w:szCs w:val="22"/>
                <w:lang w:val="en-US"/>
              </w:rPr>
            </w:pPr>
            <w:r w:rsidRPr="000C156A">
              <w:rPr>
                <w:rFonts w:hint="eastAsia"/>
                <w:bCs/>
                <w:szCs w:val="22"/>
                <w:lang w:val="en-US"/>
              </w:rPr>
              <w:t>处置</w:t>
            </w:r>
          </w:p>
        </w:tc>
        <w:tc>
          <w:tcPr>
            <w:tcW w:w="1704" w:type="dxa"/>
            <w:tcBorders>
              <w:top w:val="nil"/>
              <w:left w:val="single" w:sz="4" w:space="0" w:color="auto"/>
              <w:bottom w:val="nil"/>
              <w:right w:val="single" w:sz="4" w:space="0" w:color="auto"/>
            </w:tcBorders>
            <w:shd w:val="clear" w:color="auto" w:fill="auto"/>
            <w:vAlign w:val="center"/>
            <w:hideMark/>
          </w:tcPr>
          <w:p w14:paraId="41EEE1C5" w14:textId="213845B1"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noWrap/>
            <w:vAlign w:val="center"/>
            <w:hideMark/>
          </w:tcPr>
          <w:p w14:paraId="0458264D" w14:textId="0FF11A0B"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592</w:t>
            </w: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vAlign w:val="center"/>
          </w:tcPr>
          <w:p w14:paraId="44C20262" w14:textId="11FB5297"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417</w:t>
            </w:r>
            <w:r w:rsidRPr="0045306E">
              <w:rPr>
                <w:rFonts w:asciiTheme="minorHAnsi" w:hAnsiTheme="minorHAnsi" w:cstheme="minorHAnsi"/>
                <w:color w:val="000000"/>
                <w:sz w:val="22"/>
                <w:szCs w:val="22"/>
                <w:lang w:eastAsia="en-GB"/>
              </w:rPr>
              <w:t xml:space="preserve"> </w:t>
            </w:r>
          </w:p>
        </w:tc>
        <w:tc>
          <w:tcPr>
            <w:tcW w:w="1705" w:type="dxa"/>
            <w:tcBorders>
              <w:top w:val="nil"/>
              <w:left w:val="nil"/>
              <w:bottom w:val="nil"/>
              <w:right w:val="single" w:sz="4" w:space="0" w:color="auto"/>
            </w:tcBorders>
            <w:shd w:val="clear" w:color="auto" w:fill="auto"/>
            <w:noWrap/>
            <w:vAlign w:val="center"/>
            <w:hideMark/>
          </w:tcPr>
          <w:p w14:paraId="61E23C19" w14:textId="6E2C6F24"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1 009</w:t>
            </w:r>
            <w:r w:rsidRPr="0045306E">
              <w:rPr>
                <w:rFonts w:asciiTheme="minorHAnsi" w:hAnsiTheme="minorHAnsi" w:cstheme="minorHAnsi"/>
                <w:color w:val="000000"/>
                <w:sz w:val="22"/>
                <w:szCs w:val="22"/>
                <w:lang w:eastAsia="en-GB"/>
              </w:rPr>
              <w:t xml:space="preserve"> </w:t>
            </w:r>
          </w:p>
        </w:tc>
      </w:tr>
      <w:tr w:rsidR="00003B03" w:rsidRPr="000C156A" w14:paraId="49CF6249" w14:textId="77777777" w:rsidTr="003A64C9">
        <w:trPr>
          <w:trHeight w:val="253"/>
          <w:jc w:val="center"/>
        </w:trPr>
        <w:tc>
          <w:tcPr>
            <w:tcW w:w="2662" w:type="dxa"/>
            <w:tcBorders>
              <w:top w:val="nil"/>
              <w:left w:val="single" w:sz="4" w:space="0" w:color="auto"/>
              <w:bottom w:val="nil"/>
              <w:right w:val="nil"/>
            </w:tcBorders>
            <w:hideMark/>
          </w:tcPr>
          <w:p w14:paraId="0BA06451" w14:textId="77777777" w:rsidR="00003B03" w:rsidRPr="000C156A" w:rsidRDefault="00003B03" w:rsidP="00003B03">
            <w:pPr>
              <w:pStyle w:val="Tabletext"/>
              <w:keepNext/>
              <w:keepLines/>
              <w:spacing w:before="20" w:after="20"/>
              <w:rPr>
                <w:szCs w:val="22"/>
                <w:lang w:val="en-US" w:eastAsia="zh-CN"/>
              </w:rPr>
            </w:pPr>
            <w:r w:rsidRPr="000C156A">
              <w:rPr>
                <w:rFonts w:hint="eastAsia"/>
                <w:szCs w:val="22"/>
                <w:lang w:val="en-US" w:eastAsia="zh-CN"/>
              </w:rPr>
              <w:t>减值损失</w:t>
            </w:r>
          </w:p>
        </w:tc>
        <w:tc>
          <w:tcPr>
            <w:tcW w:w="1704" w:type="dxa"/>
            <w:tcBorders>
              <w:top w:val="nil"/>
              <w:left w:val="single" w:sz="4" w:space="0" w:color="auto"/>
              <w:bottom w:val="nil"/>
              <w:right w:val="single" w:sz="4" w:space="0" w:color="auto"/>
            </w:tcBorders>
            <w:shd w:val="clear" w:color="auto" w:fill="auto"/>
            <w:vAlign w:val="center"/>
            <w:hideMark/>
          </w:tcPr>
          <w:p w14:paraId="233520F0" w14:textId="4E125314"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noWrap/>
            <w:vAlign w:val="center"/>
            <w:hideMark/>
          </w:tcPr>
          <w:p w14:paraId="483D62CA" w14:textId="3623210D"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vAlign w:val="center"/>
          </w:tcPr>
          <w:p w14:paraId="7603C3C9" w14:textId="07B588CC"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5" w:type="dxa"/>
            <w:tcBorders>
              <w:top w:val="nil"/>
              <w:left w:val="nil"/>
              <w:bottom w:val="nil"/>
              <w:right w:val="single" w:sz="4" w:space="0" w:color="auto"/>
            </w:tcBorders>
            <w:shd w:val="clear" w:color="auto" w:fill="auto"/>
            <w:noWrap/>
            <w:vAlign w:val="center"/>
            <w:hideMark/>
          </w:tcPr>
          <w:p w14:paraId="097ADF26" w14:textId="6A5E3758"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r>
      <w:tr w:rsidR="00003B03" w:rsidRPr="000C156A" w14:paraId="7CBAAAEB" w14:textId="77777777" w:rsidTr="003A64C9">
        <w:trPr>
          <w:trHeight w:val="253"/>
          <w:jc w:val="center"/>
        </w:trPr>
        <w:tc>
          <w:tcPr>
            <w:tcW w:w="2662" w:type="dxa"/>
            <w:tcBorders>
              <w:top w:val="nil"/>
              <w:left w:val="single" w:sz="4" w:space="0" w:color="auto"/>
              <w:bottom w:val="nil"/>
              <w:right w:val="nil"/>
            </w:tcBorders>
            <w:hideMark/>
          </w:tcPr>
          <w:p w14:paraId="33FA6E2D" w14:textId="77777777" w:rsidR="00003B03" w:rsidRPr="000C156A" w:rsidRDefault="00003B03" w:rsidP="00003B03">
            <w:pPr>
              <w:pStyle w:val="Tabletext"/>
              <w:keepNext/>
              <w:keepLines/>
              <w:spacing w:before="20" w:after="20"/>
              <w:rPr>
                <w:szCs w:val="22"/>
                <w:lang w:val="en-US" w:eastAsia="zh-CN"/>
              </w:rPr>
            </w:pPr>
            <w:r w:rsidRPr="000C156A">
              <w:rPr>
                <w:rFonts w:hint="eastAsia"/>
                <w:bCs/>
                <w:szCs w:val="22"/>
                <w:lang w:val="en-US"/>
              </w:rPr>
              <w:t>重新分类与校正</w:t>
            </w:r>
          </w:p>
        </w:tc>
        <w:tc>
          <w:tcPr>
            <w:tcW w:w="1704" w:type="dxa"/>
            <w:tcBorders>
              <w:top w:val="nil"/>
              <w:left w:val="single" w:sz="4" w:space="0" w:color="auto"/>
              <w:bottom w:val="nil"/>
              <w:right w:val="single" w:sz="4" w:space="0" w:color="auto"/>
            </w:tcBorders>
            <w:shd w:val="clear" w:color="auto" w:fill="auto"/>
            <w:vAlign w:val="center"/>
            <w:hideMark/>
          </w:tcPr>
          <w:p w14:paraId="29617E27" w14:textId="08C193DC"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noWrap/>
            <w:vAlign w:val="center"/>
            <w:hideMark/>
          </w:tcPr>
          <w:p w14:paraId="1C3174CA" w14:textId="2EF0AB30"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vAlign w:val="center"/>
          </w:tcPr>
          <w:p w14:paraId="305A1BF6" w14:textId="733C8BD0"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5" w:type="dxa"/>
            <w:tcBorders>
              <w:top w:val="nil"/>
              <w:left w:val="nil"/>
              <w:bottom w:val="nil"/>
              <w:right w:val="single" w:sz="4" w:space="0" w:color="auto"/>
            </w:tcBorders>
            <w:shd w:val="clear" w:color="auto" w:fill="auto"/>
            <w:noWrap/>
            <w:vAlign w:val="center"/>
            <w:hideMark/>
          </w:tcPr>
          <w:p w14:paraId="0BEF7726" w14:textId="7148544B"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r>
      <w:tr w:rsidR="00003B03" w:rsidRPr="000C156A" w14:paraId="6731C535" w14:textId="77777777" w:rsidTr="007261F5">
        <w:trPr>
          <w:trHeight w:val="253"/>
          <w:jc w:val="center"/>
        </w:trPr>
        <w:tc>
          <w:tcPr>
            <w:tcW w:w="2662" w:type="dxa"/>
            <w:tcBorders>
              <w:top w:val="single" w:sz="4" w:space="0" w:color="auto"/>
              <w:left w:val="single" w:sz="4" w:space="0" w:color="auto"/>
              <w:bottom w:val="single" w:sz="4" w:space="0" w:color="auto"/>
              <w:right w:val="nil"/>
            </w:tcBorders>
            <w:hideMark/>
          </w:tcPr>
          <w:p w14:paraId="203BE977" w14:textId="77777777" w:rsidR="00003B03" w:rsidRPr="000C156A" w:rsidRDefault="00003B03" w:rsidP="00003B03">
            <w:pPr>
              <w:pStyle w:val="Tabletext"/>
              <w:keepNext/>
              <w:keepLines/>
              <w:spacing w:before="20" w:after="20"/>
              <w:rPr>
                <w:b/>
                <w:bCs/>
                <w:szCs w:val="22"/>
                <w:lang w:val="en-US" w:eastAsia="fr-FR"/>
              </w:rPr>
            </w:pPr>
            <w:r w:rsidRPr="000C156A">
              <w:rPr>
                <w:b/>
                <w:bCs/>
                <w:szCs w:val="22"/>
                <w:lang w:val="en-US" w:eastAsia="fr-FR"/>
              </w:rPr>
              <w:t>12</w:t>
            </w:r>
            <w:r w:rsidRPr="000C156A">
              <w:rPr>
                <w:rFonts w:hint="eastAsia"/>
                <w:b/>
                <w:bCs/>
                <w:szCs w:val="22"/>
                <w:lang w:val="en-US" w:eastAsia="fr-FR"/>
              </w:rPr>
              <w:t>月</w:t>
            </w:r>
            <w:r w:rsidRPr="000C156A">
              <w:rPr>
                <w:b/>
                <w:bCs/>
                <w:szCs w:val="22"/>
                <w:lang w:val="en-US" w:eastAsia="fr-FR"/>
              </w:rPr>
              <w:t>31</w:t>
            </w:r>
            <w:r w:rsidRPr="000C156A">
              <w:rPr>
                <w:rFonts w:hint="eastAsia"/>
                <w:b/>
                <w:bCs/>
                <w:szCs w:val="22"/>
                <w:lang w:val="en-US"/>
              </w:rPr>
              <w:t>日时的成本</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849E1" w14:textId="16AC68C1"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sidRPr="0045306E">
              <w:rPr>
                <w:rFonts w:asciiTheme="minorHAnsi" w:hAnsiTheme="minorHAnsi" w:cstheme="minorHAnsi"/>
                <w:b/>
                <w:bCs/>
                <w:color w:val="000000"/>
                <w:sz w:val="22"/>
                <w:szCs w:val="22"/>
                <w:lang w:eastAsia="en-GB"/>
              </w:rPr>
              <w:t>3</w:t>
            </w:r>
            <w:r>
              <w:rPr>
                <w:rFonts w:asciiTheme="minorHAnsi" w:hAnsiTheme="minorHAnsi" w:cstheme="minorHAnsi"/>
                <w:b/>
                <w:bCs/>
                <w:color w:val="000000"/>
                <w:sz w:val="22"/>
                <w:szCs w:val="22"/>
                <w:lang w:eastAsia="en-GB"/>
              </w:rPr>
              <w:t> </w:t>
            </w:r>
            <w:r w:rsidRPr="0045306E">
              <w:rPr>
                <w:rFonts w:asciiTheme="minorHAnsi" w:hAnsiTheme="minorHAnsi" w:cstheme="minorHAnsi"/>
                <w:b/>
                <w:bCs/>
                <w:color w:val="000000"/>
                <w:sz w:val="22"/>
                <w:szCs w:val="22"/>
                <w:lang w:eastAsia="en-GB"/>
              </w:rPr>
              <w:t>2</w:t>
            </w:r>
            <w:r>
              <w:rPr>
                <w:rFonts w:asciiTheme="minorHAnsi" w:hAnsiTheme="minorHAnsi" w:cstheme="minorHAnsi"/>
                <w:b/>
                <w:bCs/>
                <w:color w:val="000000"/>
                <w:sz w:val="22"/>
                <w:szCs w:val="22"/>
                <w:lang w:eastAsia="en-GB"/>
              </w:rPr>
              <w:t>88</w:t>
            </w:r>
            <w:r w:rsidRPr="0045306E">
              <w:rPr>
                <w:rFonts w:asciiTheme="minorHAnsi" w:hAnsiTheme="minorHAnsi" w:cstheme="minorHAnsi"/>
                <w:b/>
                <w:bCs/>
                <w:color w:val="000000"/>
                <w:sz w:val="22"/>
                <w:szCs w:val="22"/>
                <w:lang w:eastAsia="en-GB"/>
              </w:rPr>
              <w:t xml:space="preserve"> </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62B719CC" w14:textId="463E52FA"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6 817</w:t>
            </w:r>
            <w:r w:rsidRPr="0045306E">
              <w:rPr>
                <w:rFonts w:asciiTheme="minorHAnsi" w:hAnsiTheme="minorHAnsi" w:cstheme="minorHAnsi"/>
                <w:b/>
                <w:bCs/>
                <w:color w:val="000000"/>
                <w:sz w:val="22"/>
                <w:szCs w:val="22"/>
                <w:lang w:eastAsia="en-GB"/>
              </w:rPr>
              <w:t xml:space="preserve"> </w:t>
            </w:r>
          </w:p>
        </w:tc>
        <w:tc>
          <w:tcPr>
            <w:tcW w:w="1704" w:type="dxa"/>
            <w:tcBorders>
              <w:top w:val="single" w:sz="4" w:space="0" w:color="auto"/>
              <w:left w:val="nil"/>
              <w:bottom w:val="single" w:sz="4" w:space="0" w:color="auto"/>
              <w:right w:val="single" w:sz="4" w:space="0" w:color="auto"/>
            </w:tcBorders>
            <w:shd w:val="clear" w:color="auto" w:fill="auto"/>
            <w:vAlign w:val="center"/>
          </w:tcPr>
          <w:p w14:paraId="256597E1" w14:textId="2A89C638"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734</w:t>
            </w:r>
            <w:r w:rsidRPr="0045306E">
              <w:rPr>
                <w:rFonts w:asciiTheme="minorHAnsi" w:hAnsiTheme="minorHAnsi" w:cstheme="minorHAnsi"/>
                <w:b/>
                <w:bCs/>
                <w:color w:val="000000"/>
                <w:sz w:val="22"/>
                <w:szCs w:val="22"/>
                <w:lang w:eastAsia="en-GB"/>
              </w:rPr>
              <w:t xml:space="preserve"> </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45805460" w14:textId="479E01BD"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sidRPr="0045306E">
              <w:rPr>
                <w:rFonts w:asciiTheme="minorHAnsi" w:hAnsiTheme="minorHAnsi" w:cstheme="minorHAnsi"/>
                <w:b/>
                <w:bCs/>
                <w:color w:val="000000"/>
                <w:sz w:val="22"/>
                <w:szCs w:val="22"/>
                <w:lang w:eastAsia="en-GB"/>
              </w:rPr>
              <w:t>1</w:t>
            </w:r>
            <w:r>
              <w:rPr>
                <w:rFonts w:asciiTheme="minorHAnsi" w:hAnsiTheme="minorHAnsi" w:cstheme="minorHAnsi"/>
                <w:b/>
                <w:bCs/>
                <w:color w:val="000000"/>
                <w:sz w:val="22"/>
                <w:szCs w:val="22"/>
                <w:lang w:eastAsia="en-GB"/>
              </w:rPr>
              <w:t>0 839</w:t>
            </w:r>
            <w:r w:rsidRPr="0045306E">
              <w:rPr>
                <w:rFonts w:asciiTheme="minorHAnsi" w:hAnsiTheme="minorHAnsi" w:cstheme="minorHAnsi"/>
                <w:b/>
                <w:bCs/>
                <w:color w:val="000000"/>
                <w:sz w:val="22"/>
                <w:szCs w:val="22"/>
                <w:lang w:eastAsia="en-GB"/>
              </w:rPr>
              <w:t xml:space="preserve"> </w:t>
            </w:r>
          </w:p>
        </w:tc>
      </w:tr>
      <w:tr w:rsidR="00003B03" w:rsidRPr="000C156A" w14:paraId="7B7FE395" w14:textId="77777777" w:rsidTr="007261F5">
        <w:trPr>
          <w:trHeight w:val="253"/>
          <w:jc w:val="center"/>
        </w:trPr>
        <w:tc>
          <w:tcPr>
            <w:tcW w:w="2662" w:type="dxa"/>
            <w:tcBorders>
              <w:top w:val="nil"/>
              <w:left w:val="single" w:sz="4" w:space="0" w:color="auto"/>
              <w:bottom w:val="single" w:sz="4" w:space="0" w:color="auto"/>
              <w:right w:val="nil"/>
            </w:tcBorders>
            <w:hideMark/>
          </w:tcPr>
          <w:p w14:paraId="7B677664" w14:textId="77777777" w:rsidR="00003B03" w:rsidRPr="000C156A" w:rsidRDefault="00003B03" w:rsidP="00003B03">
            <w:pPr>
              <w:pStyle w:val="Tabletext"/>
              <w:keepNext/>
              <w:keepLines/>
              <w:spacing w:before="20" w:after="20"/>
              <w:rPr>
                <w:b/>
                <w:bCs/>
                <w:szCs w:val="22"/>
                <w:lang w:val="en-US" w:eastAsia="fr-FR"/>
              </w:rPr>
            </w:pPr>
            <w:r w:rsidRPr="000C156A">
              <w:rPr>
                <w:b/>
                <w:bCs/>
                <w:szCs w:val="22"/>
                <w:lang w:val="en-US" w:eastAsia="fr-FR"/>
              </w:rPr>
              <w:t>1</w:t>
            </w:r>
            <w:r w:rsidRPr="000C156A">
              <w:rPr>
                <w:rFonts w:hint="eastAsia"/>
                <w:b/>
                <w:bCs/>
                <w:szCs w:val="22"/>
                <w:lang w:val="en-US" w:eastAsia="fr-FR"/>
              </w:rPr>
              <w:t>月</w:t>
            </w:r>
            <w:r w:rsidRPr="000C156A">
              <w:rPr>
                <w:b/>
                <w:bCs/>
                <w:szCs w:val="22"/>
                <w:lang w:val="en-US" w:eastAsia="fr-FR"/>
              </w:rPr>
              <w:t>1</w:t>
            </w:r>
            <w:r w:rsidRPr="000C156A">
              <w:rPr>
                <w:rFonts w:hint="eastAsia"/>
                <w:b/>
                <w:bCs/>
                <w:szCs w:val="22"/>
                <w:lang w:val="en-US"/>
              </w:rPr>
              <w:t>日时的折旧</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14:paraId="4B35C8FF" w14:textId="63619607"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sidRPr="0045306E">
              <w:rPr>
                <w:rFonts w:asciiTheme="minorHAnsi" w:hAnsiTheme="minorHAnsi" w:cstheme="minorHAnsi"/>
                <w:b/>
                <w:bCs/>
                <w:color w:val="000000"/>
                <w:sz w:val="22"/>
                <w:szCs w:val="22"/>
                <w:lang w:eastAsia="en-GB"/>
              </w:rPr>
              <w:t>2</w:t>
            </w:r>
            <w:r>
              <w:rPr>
                <w:rFonts w:asciiTheme="minorHAnsi" w:hAnsiTheme="minorHAnsi" w:cstheme="minorHAnsi"/>
                <w:b/>
                <w:bCs/>
                <w:color w:val="000000"/>
                <w:sz w:val="22"/>
                <w:szCs w:val="22"/>
                <w:lang w:eastAsia="en-GB"/>
              </w:rPr>
              <w:t> 590</w:t>
            </w:r>
            <w:r w:rsidRPr="0045306E">
              <w:rPr>
                <w:rFonts w:asciiTheme="minorHAnsi" w:hAnsiTheme="minorHAnsi" w:cstheme="minorHAnsi"/>
                <w:b/>
                <w:bCs/>
                <w:color w:val="000000"/>
                <w:sz w:val="22"/>
                <w:szCs w:val="22"/>
                <w:lang w:eastAsia="en-GB"/>
              </w:rPr>
              <w:t xml:space="preserve"> </w:t>
            </w:r>
          </w:p>
        </w:tc>
        <w:tc>
          <w:tcPr>
            <w:tcW w:w="1704" w:type="dxa"/>
            <w:tcBorders>
              <w:top w:val="nil"/>
              <w:left w:val="nil"/>
              <w:bottom w:val="single" w:sz="4" w:space="0" w:color="auto"/>
              <w:right w:val="single" w:sz="4" w:space="0" w:color="auto"/>
            </w:tcBorders>
            <w:shd w:val="clear" w:color="auto" w:fill="auto"/>
            <w:noWrap/>
            <w:vAlign w:val="center"/>
            <w:hideMark/>
          </w:tcPr>
          <w:p w14:paraId="696CC36A" w14:textId="7D9ABFFB"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sidRPr="0045306E">
              <w:rPr>
                <w:rFonts w:asciiTheme="minorHAnsi" w:hAnsiTheme="minorHAnsi" w:cstheme="minorHAnsi"/>
                <w:b/>
                <w:bCs/>
                <w:color w:val="000000"/>
                <w:sz w:val="22"/>
                <w:szCs w:val="22"/>
                <w:lang w:eastAsia="en-GB"/>
              </w:rPr>
              <w:t>6</w:t>
            </w:r>
            <w:r>
              <w:rPr>
                <w:rFonts w:asciiTheme="minorHAnsi" w:hAnsiTheme="minorHAnsi" w:cstheme="minorHAnsi"/>
                <w:b/>
                <w:bCs/>
                <w:color w:val="000000"/>
                <w:sz w:val="22"/>
                <w:szCs w:val="22"/>
                <w:lang w:eastAsia="en-GB"/>
              </w:rPr>
              <w:t> 203</w:t>
            </w:r>
            <w:r w:rsidRPr="0045306E">
              <w:rPr>
                <w:rFonts w:asciiTheme="minorHAnsi" w:hAnsiTheme="minorHAnsi" w:cstheme="minorHAnsi"/>
                <w:b/>
                <w:bCs/>
                <w:color w:val="000000"/>
                <w:sz w:val="22"/>
                <w:szCs w:val="22"/>
                <w:lang w:eastAsia="en-GB"/>
              </w:rPr>
              <w:t xml:space="preserve"> </w:t>
            </w:r>
          </w:p>
        </w:tc>
        <w:tc>
          <w:tcPr>
            <w:tcW w:w="1704" w:type="dxa"/>
            <w:tcBorders>
              <w:top w:val="nil"/>
              <w:left w:val="nil"/>
              <w:bottom w:val="single" w:sz="4" w:space="0" w:color="auto"/>
              <w:right w:val="single" w:sz="4" w:space="0" w:color="auto"/>
            </w:tcBorders>
            <w:shd w:val="clear" w:color="auto" w:fill="auto"/>
            <w:vAlign w:val="center"/>
          </w:tcPr>
          <w:p w14:paraId="0C919F1D" w14:textId="7ECF0487"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859</w:t>
            </w:r>
            <w:r w:rsidRPr="0045306E">
              <w:rPr>
                <w:rFonts w:asciiTheme="minorHAnsi" w:hAnsiTheme="minorHAnsi" w:cstheme="minorHAnsi"/>
                <w:b/>
                <w:bCs/>
                <w:color w:val="000000"/>
                <w:sz w:val="22"/>
                <w:szCs w:val="22"/>
                <w:lang w:eastAsia="en-GB"/>
              </w:rPr>
              <w:t xml:space="preserve"> </w:t>
            </w:r>
          </w:p>
        </w:tc>
        <w:tc>
          <w:tcPr>
            <w:tcW w:w="1705" w:type="dxa"/>
            <w:tcBorders>
              <w:top w:val="nil"/>
              <w:left w:val="nil"/>
              <w:bottom w:val="single" w:sz="4" w:space="0" w:color="auto"/>
              <w:right w:val="single" w:sz="4" w:space="0" w:color="auto"/>
            </w:tcBorders>
            <w:shd w:val="clear" w:color="auto" w:fill="auto"/>
            <w:noWrap/>
            <w:vAlign w:val="center"/>
            <w:hideMark/>
          </w:tcPr>
          <w:p w14:paraId="4991DAB3" w14:textId="306CA7E0"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9 653</w:t>
            </w:r>
            <w:r w:rsidRPr="0045306E">
              <w:rPr>
                <w:rFonts w:asciiTheme="minorHAnsi" w:hAnsiTheme="minorHAnsi" w:cstheme="minorHAnsi"/>
                <w:b/>
                <w:bCs/>
                <w:color w:val="000000"/>
                <w:sz w:val="22"/>
                <w:szCs w:val="22"/>
                <w:lang w:eastAsia="en-GB"/>
              </w:rPr>
              <w:t xml:space="preserve"> </w:t>
            </w:r>
          </w:p>
        </w:tc>
      </w:tr>
      <w:tr w:rsidR="00003B03" w:rsidRPr="000C156A" w14:paraId="1409071F" w14:textId="77777777" w:rsidTr="007261F5">
        <w:trPr>
          <w:trHeight w:val="253"/>
          <w:jc w:val="center"/>
        </w:trPr>
        <w:tc>
          <w:tcPr>
            <w:tcW w:w="2662" w:type="dxa"/>
            <w:tcBorders>
              <w:top w:val="nil"/>
              <w:left w:val="single" w:sz="4" w:space="0" w:color="auto"/>
              <w:bottom w:val="nil"/>
              <w:right w:val="nil"/>
            </w:tcBorders>
            <w:hideMark/>
          </w:tcPr>
          <w:p w14:paraId="744AD42B" w14:textId="77777777" w:rsidR="00003B03" w:rsidRPr="000C156A" w:rsidRDefault="00003B03" w:rsidP="00003B03">
            <w:pPr>
              <w:pStyle w:val="Tabletext"/>
              <w:keepNext/>
              <w:keepLines/>
              <w:spacing w:before="20" w:after="20"/>
              <w:rPr>
                <w:szCs w:val="22"/>
                <w:lang w:val="en-US" w:eastAsia="fr-FR"/>
              </w:rPr>
            </w:pPr>
            <w:r w:rsidRPr="000C156A">
              <w:rPr>
                <w:rFonts w:hint="eastAsia"/>
                <w:bCs/>
                <w:szCs w:val="22"/>
                <w:lang w:val="en-US"/>
              </w:rPr>
              <w:t>年度期间得到确认</w:t>
            </w:r>
          </w:p>
        </w:tc>
        <w:tc>
          <w:tcPr>
            <w:tcW w:w="1704" w:type="dxa"/>
            <w:tcBorders>
              <w:top w:val="nil"/>
              <w:left w:val="single" w:sz="4" w:space="0" w:color="auto"/>
              <w:bottom w:val="nil"/>
              <w:right w:val="single" w:sz="4" w:space="0" w:color="auto"/>
            </w:tcBorders>
            <w:shd w:val="clear" w:color="auto" w:fill="auto"/>
            <w:vAlign w:val="center"/>
            <w:hideMark/>
          </w:tcPr>
          <w:p w14:paraId="75BA7E5D" w14:textId="14152F39"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Pr>
                <w:rFonts w:asciiTheme="minorHAnsi" w:hAnsiTheme="minorHAnsi" w:cstheme="minorHAnsi"/>
                <w:color w:val="000000"/>
                <w:sz w:val="22"/>
                <w:szCs w:val="22"/>
                <w:lang w:eastAsia="en-GB"/>
              </w:rPr>
              <w:t>473</w:t>
            </w:r>
          </w:p>
        </w:tc>
        <w:tc>
          <w:tcPr>
            <w:tcW w:w="1704" w:type="dxa"/>
            <w:tcBorders>
              <w:top w:val="nil"/>
              <w:left w:val="nil"/>
              <w:bottom w:val="nil"/>
              <w:right w:val="single" w:sz="4" w:space="0" w:color="auto"/>
            </w:tcBorders>
            <w:shd w:val="clear" w:color="auto" w:fill="auto"/>
            <w:noWrap/>
            <w:vAlign w:val="center"/>
            <w:hideMark/>
          </w:tcPr>
          <w:p w14:paraId="0E8EA2A9" w14:textId="51777B9B"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52</w:t>
            </w:r>
            <w:r>
              <w:rPr>
                <w:rFonts w:asciiTheme="minorHAnsi" w:hAnsiTheme="minorHAnsi" w:cstheme="minorHAnsi"/>
                <w:color w:val="000000"/>
                <w:sz w:val="22"/>
                <w:szCs w:val="22"/>
                <w:lang w:eastAsia="en-GB"/>
              </w:rPr>
              <w:t>2</w:t>
            </w: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vAlign w:val="center"/>
          </w:tcPr>
          <w:p w14:paraId="1102DE07" w14:textId="2B5AF84E"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2</w:t>
            </w:r>
            <w:r>
              <w:rPr>
                <w:rFonts w:asciiTheme="minorHAnsi" w:hAnsiTheme="minorHAnsi" w:cstheme="minorHAnsi"/>
                <w:color w:val="000000"/>
                <w:sz w:val="22"/>
                <w:szCs w:val="22"/>
                <w:lang w:eastAsia="en-GB"/>
              </w:rPr>
              <w:t>91</w:t>
            </w:r>
            <w:r w:rsidRPr="0045306E">
              <w:rPr>
                <w:rFonts w:asciiTheme="minorHAnsi" w:hAnsiTheme="minorHAnsi" w:cstheme="minorHAnsi"/>
                <w:color w:val="000000"/>
                <w:sz w:val="22"/>
                <w:szCs w:val="22"/>
                <w:lang w:eastAsia="en-GB"/>
              </w:rPr>
              <w:t xml:space="preserve"> </w:t>
            </w:r>
          </w:p>
        </w:tc>
        <w:tc>
          <w:tcPr>
            <w:tcW w:w="1705" w:type="dxa"/>
            <w:tcBorders>
              <w:top w:val="nil"/>
              <w:left w:val="nil"/>
              <w:bottom w:val="nil"/>
              <w:right w:val="single" w:sz="4" w:space="0" w:color="auto"/>
            </w:tcBorders>
            <w:shd w:val="clear" w:color="auto" w:fill="auto"/>
            <w:noWrap/>
            <w:vAlign w:val="center"/>
            <w:hideMark/>
          </w:tcPr>
          <w:p w14:paraId="360C6199" w14:textId="5BF497FC"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1</w:t>
            </w:r>
            <w:r>
              <w:rPr>
                <w:rFonts w:asciiTheme="minorHAnsi" w:hAnsiTheme="minorHAnsi" w:cstheme="minorHAnsi"/>
                <w:color w:val="000000"/>
                <w:sz w:val="22"/>
                <w:szCs w:val="22"/>
                <w:lang w:eastAsia="en-GB"/>
              </w:rPr>
              <w:t> 287</w:t>
            </w:r>
            <w:r w:rsidRPr="0045306E">
              <w:rPr>
                <w:rFonts w:asciiTheme="minorHAnsi" w:hAnsiTheme="minorHAnsi" w:cstheme="minorHAnsi"/>
                <w:color w:val="000000"/>
                <w:sz w:val="22"/>
                <w:szCs w:val="22"/>
                <w:lang w:eastAsia="en-GB"/>
              </w:rPr>
              <w:t xml:space="preserve"> </w:t>
            </w:r>
          </w:p>
        </w:tc>
      </w:tr>
      <w:tr w:rsidR="00003B03" w:rsidRPr="000C156A" w14:paraId="1F561C4D" w14:textId="77777777" w:rsidTr="007261F5">
        <w:trPr>
          <w:trHeight w:val="253"/>
          <w:jc w:val="center"/>
        </w:trPr>
        <w:tc>
          <w:tcPr>
            <w:tcW w:w="2662" w:type="dxa"/>
            <w:tcBorders>
              <w:top w:val="nil"/>
              <w:left w:val="single" w:sz="4" w:space="0" w:color="auto"/>
              <w:bottom w:val="nil"/>
              <w:right w:val="nil"/>
            </w:tcBorders>
            <w:hideMark/>
          </w:tcPr>
          <w:p w14:paraId="3962F040" w14:textId="77777777" w:rsidR="00003B03" w:rsidRPr="000C156A" w:rsidRDefault="00003B03" w:rsidP="00003B03">
            <w:pPr>
              <w:pStyle w:val="Tabletext"/>
              <w:keepNext/>
              <w:keepLines/>
              <w:spacing w:before="20" w:after="20"/>
              <w:rPr>
                <w:bCs/>
                <w:szCs w:val="22"/>
                <w:lang w:val="en-US"/>
              </w:rPr>
            </w:pPr>
            <w:r w:rsidRPr="000C156A">
              <w:rPr>
                <w:rFonts w:hint="eastAsia"/>
                <w:bCs/>
                <w:szCs w:val="22"/>
                <w:lang w:val="en-US"/>
              </w:rPr>
              <w:t>处置</w:t>
            </w:r>
          </w:p>
        </w:tc>
        <w:tc>
          <w:tcPr>
            <w:tcW w:w="1704" w:type="dxa"/>
            <w:tcBorders>
              <w:top w:val="nil"/>
              <w:left w:val="single" w:sz="4" w:space="0" w:color="auto"/>
              <w:bottom w:val="nil"/>
              <w:right w:val="single" w:sz="4" w:space="0" w:color="auto"/>
            </w:tcBorders>
            <w:shd w:val="clear" w:color="auto" w:fill="auto"/>
            <w:vAlign w:val="center"/>
            <w:hideMark/>
          </w:tcPr>
          <w:p w14:paraId="23A7A5BD" w14:textId="46C6F891"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w:t>
            </w:r>
          </w:p>
        </w:tc>
        <w:tc>
          <w:tcPr>
            <w:tcW w:w="1704" w:type="dxa"/>
            <w:tcBorders>
              <w:top w:val="nil"/>
              <w:left w:val="nil"/>
              <w:bottom w:val="nil"/>
              <w:right w:val="single" w:sz="4" w:space="0" w:color="auto"/>
            </w:tcBorders>
            <w:shd w:val="clear" w:color="auto" w:fill="auto"/>
            <w:noWrap/>
            <w:vAlign w:val="center"/>
            <w:hideMark/>
          </w:tcPr>
          <w:p w14:paraId="718DF902" w14:textId="1732BE8D"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476</w:t>
            </w:r>
          </w:p>
        </w:tc>
        <w:tc>
          <w:tcPr>
            <w:tcW w:w="1704" w:type="dxa"/>
            <w:tcBorders>
              <w:top w:val="nil"/>
              <w:left w:val="nil"/>
              <w:bottom w:val="nil"/>
              <w:right w:val="single" w:sz="4" w:space="0" w:color="auto"/>
            </w:tcBorders>
            <w:shd w:val="clear" w:color="auto" w:fill="auto"/>
            <w:vAlign w:val="center"/>
          </w:tcPr>
          <w:p w14:paraId="6E96A827" w14:textId="6D541C2F"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417</w:t>
            </w:r>
          </w:p>
        </w:tc>
        <w:tc>
          <w:tcPr>
            <w:tcW w:w="1705" w:type="dxa"/>
            <w:tcBorders>
              <w:top w:val="nil"/>
              <w:left w:val="nil"/>
              <w:bottom w:val="nil"/>
              <w:right w:val="single" w:sz="4" w:space="0" w:color="auto"/>
            </w:tcBorders>
            <w:shd w:val="clear" w:color="auto" w:fill="auto"/>
            <w:noWrap/>
            <w:vAlign w:val="center"/>
            <w:hideMark/>
          </w:tcPr>
          <w:p w14:paraId="24BDC5B3" w14:textId="3E8692D0"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w:t>
            </w:r>
            <w:r>
              <w:rPr>
                <w:rFonts w:asciiTheme="minorHAnsi" w:hAnsiTheme="minorHAnsi" w:cstheme="minorHAnsi"/>
                <w:color w:val="000000"/>
                <w:sz w:val="22"/>
                <w:szCs w:val="22"/>
                <w:lang w:eastAsia="en-GB"/>
              </w:rPr>
              <w:t>893</w:t>
            </w:r>
          </w:p>
        </w:tc>
      </w:tr>
      <w:tr w:rsidR="00003B03" w:rsidRPr="000C156A" w14:paraId="758C0D99" w14:textId="77777777" w:rsidTr="007261F5">
        <w:trPr>
          <w:trHeight w:val="253"/>
          <w:jc w:val="center"/>
        </w:trPr>
        <w:tc>
          <w:tcPr>
            <w:tcW w:w="2662" w:type="dxa"/>
            <w:tcBorders>
              <w:top w:val="nil"/>
              <w:left w:val="single" w:sz="4" w:space="0" w:color="auto"/>
              <w:bottom w:val="nil"/>
              <w:right w:val="nil"/>
            </w:tcBorders>
            <w:hideMark/>
          </w:tcPr>
          <w:p w14:paraId="45887942" w14:textId="77777777" w:rsidR="00003B03" w:rsidRPr="000C156A" w:rsidRDefault="00003B03" w:rsidP="00003B03">
            <w:pPr>
              <w:pStyle w:val="Tabletext"/>
              <w:keepNext/>
              <w:keepLines/>
              <w:spacing w:before="20" w:after="20"/>
              <w:rPr>
                <w:bCs/>
                <w:szCs w:val="22"/>
                <w:lang w:val="en-US"/>
              </w:rPr>
            </w:pPr>
            <w:r w:rsidRPr="000C156A">
              <w:rPr>
                <w:rFonts w:hint="eastAsia"/>
                <w:bCs/>
                <w:szCs w:val="22"/>
                <w:lang w:val="en-US"/>
              </w:rPr>
              <w:t>减值损失</w:t>
            </w:r>
          </w:p>
        </w:tc>
        <w:tc>
          <w:tcPr>
            <w:tcW w:w="1704" w:type="dxa"/>
            <w:tcBorders>
              <w:top w:val="nil"/>
              <w:left w:val="single" w:sz="4" w:space="0" w:color="auto"/>
              <w:bottom w:val="nil"/>
              <w:right w:val="single" w:sz="4" w:space="0" w:color="auto"/>
            </w:tcBorders>
            <w:shd w:val="clear" w:color="auto" w:fill="auto"/>
            <w:vAlign w:val="center"/>
            <w:hideMark/>
          </w:tcPr>
          <w:p w14:paraId="1FA0B72A" w14:textId="7306A881"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noWrap/>
            <w:vAlign w:val="center"/>
            <w:hideMark/>
          </w:tcPr>
          <w:p w14:paraId="739F8618" w14:textId="5474A982"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4" w:type="dxa"/>
            <w:tcBorders>
              <w:top w:val="nil"/>
              <w:left w:val="nil"/>
              <w:bottom w:val="nil"/>
              <w:right w:val="single" w:sz="4" w:space="0" w:color="auto"/>
            </w:tcBorders>
            <w:shd w:val="clear" w:color="auto" w:fill="auto"/>
            <w:vAlign w:val="center"/>
          </w:tcPr>
          <w:p w14:paraId="49E83DA1" w14:textId="4B9E7AC4"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c>
          <w:tcPr>
            <w:tcW w:w="1705" w:type="dxa"/>
            <w:tcBorders>
              <w:top w:val="nil"/>
              <w:left w:val="nil"/>
              <w:bottom w:val="nil"/>
              <w:right w:val="single" w:sz="4" w:space="0" w:color="auto"/>
            </w:tcBorders>
            <w:shd w:val="clear" w:color="auto" w:fill="auto"/>
            <w:noWrap/>
            <w:vAlign w:val="center"/>
            <w:hideMark/>
          </w:tcPr>
          <w:p w14:paraId="6D912D84" w14:textId="261B36FC" w:rsidR="00003B03" w:rsidRPr="000C156A" w:rsidRDefault="00003B03" w:rsidP="00003B03">
            <w:pPr>
              <w:keepNext/>
              <w:keepLines/>
              <w:overflowPunct/>
              <w:autoSpaceDE/>
              <w:autoSpaceDN/>
              <w:adjustRightInd/>
              <w:spacing w:before="0"/>
              <w:jc w:val="right"/>
              <w:textAlignment w:val="auto"/>
              <w:rPr>
                <w:rFonts w:cs="Calibri"/>
                <w:color w:val="000000"/>
                <w:sz w:val="22"/>
                <w:szCs w:val="22"/>
                <w:lang w:eastAsia="en-GB"/>
              </w:rPr>
            </w:pPr>
            <w:r w:rsidRPr="0045306E">
              <w:rPr>
                <w:rFonts w:asciiTheme="minorHAnsi" w:hAnsiTheme="minorHAnsi" w:cstheme="minorHAnsi"/>
                <w:color w:val="000000"/>
                <w:sz w:val="22"/>
                <w:szCs w:val="22"/>
                <w:lang w:eastAsia="en-GB"/>
              </w:rPr>
              <w:t xml:space="preserve">-   </w:t>
            </w:r>
          </w:p>
        </w:tc>
      </w:tr>
      <w:tr w:rsidR="00003B03" w:rsidRPr="000C156A" w14:paraId="36803A05" w14:textId="77777777" w:rsidTr="007261F5">
        <w:trPr>
          <w:trHeight w:val="253"/>
          <w:jc w:val="center"/>
        </w:trPr>
        <w:tc>
          <w:tcPr>
            <w:tcW w:w="2662" w:type="dxa"/>
            <w:tcBorders>
              <w:top w:val="single" w:sz="4" w:space="0" w:color="auto"/>
              <w:left w:val="single" w:sz="4" w:space="0" w:color="auto"/>
              <w:bottom w:val="single" w:sz="4" w:space="0" w:color="auto"/>
              <w:right w:val="nil"/>
            </w:tcBorders>
            <w:hideMark/>
          </w:tcPr>
          <w:p w14:paraId="18F28F1C" w14:textId="77777777" w:rsidR="00003B03" w:rsidRPr="000C156A" w:rsidRDefault="00003B03" w:rsidP="00003B03">
            <w:pPr>
              <w:pStyle w:val="Tabletext"/>
              <w:keepNext/>
              <w:keepLines/>
              <w:spacing w:before="20" w:after="20"/>
              <w:rPr>
                <w:b/>
                <w:bCs/>
                <w:szCs w:val="22"/>
                <w:lang w:val="en-US" w:eastAsia="fr-FR"/>
              </w:rPr>
            </w:pPr>
            <w:r w:rsidRPr="000C156A">
              <w:rPr>
                <w:b/>
                <w:bCs/>
                <w:szCs w:val="22"/>
                <w:lang w:val="en-US" w:eastAsia="fr-FR"/>
              </w:rPr>
              <w:t>12</w:t>
            </w:r>
            <w:r w:rsidRPr="000C156A">
              <w:rPr>
                <w:rFonts w:hint="eastAsia"/>
                <w:b/>
                <w:bCs/>
                <w:szCs w:val="22"/>
                <w:lang w:val="en-US" w:eastAsia="fr-FR"/>
              </w:rPr>
              <w:t>月</w:t>
            </w:r>
            <w:r w:rsidRPr="000C156A">
              <w:rPr>
                <w:b/>
                <w:bCs/>
                <w:szCs w:val="22"/>
                <w:lang w:val="en-US" w:eastAsia="fr-FR"/>
              </w:rPr>
              <w:t>31</w:t>
            </w:r>
            <w:r w:rsidRPr="000C156A">
              <w:rPr>
                <w:rFonts w:hint="eastAsia"/>
                <w:b/>
                <w:bCs/>
                <w:szCs w:val="22"/>
                <w:lang w:val="en-US"/>
              </w:rPr>
              <w:t>日时的折旧</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8E7A3" w14:textId="683E5596"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3 063</w:t>
            </w:r>
            <w:r w:rsidRPr="0045306E">
              <w:rPr>
                <w:rFonts w:asciiTheme="minorHAnsi" w:hAnsiTheme="minorHAnsi" w:cstheme="minorHAnsi"/>
                <w:b/>
                <w:bCs/>
                <w:color w:val="000000"/>
                <w:sz w:val="22"/>
                <w:szCs w:val="22"/>
                <w:lang w:eastAsia="en-GB"/>
              </w:rPr>
              <w:t xml:space="preserve"> </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4F8B101C" w14:textId="3A664298"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sidRPr="0045306E">
              <w:rPr>
                <w:rFonts w:asciiTheme="minorHAnsi" w:hAnsiTheme="minorHAnsi" w:cstheme="minorHAnsi"/>
                <w:b/>
                <w:bCs/>
                <w:color w:val="000000"/>
                <w:sz w:val="22"/>
                <w:szCs w:val="22"/>
                <w:lang w:eastAsia="en-GB"/>
              </w:rPr>
              <w:t>6</w:t>
            </w:r>
            <w:r>
              <w:rPr>
                <w:rFonts w:asciiTheme="minorHAnsi" w:hAnsiTheme="minorHAnsi" w:cstheme="minorHAnsi"/>
                <w:b/>
                <w:bCs/>
                <w:color w:val="000000"/>
                <w:sz w:val="22"/>
                <w:szCs w:val="22"/>
                <w:lang w:eastAsia="en-GB"/>
              </w:rPr>
              <w:t> </w:t>
            </w:r>
            <w:r w:rsidRPr="0045306E">
              <w:rPr>
                <w:rFonts w:asciiTheme="minorHAnsi" w:hAnsiTheme="minorHAnsi" w:cstheme="minorHAnsi"/>
                <w:b/>
                <w:bCs/>
                <w:color w:val="000000"/>
                <w:sz w:val="22"/>
                <w:szCs w:val="22"/>
                <w:lang w:eastAsia="en-GB"/>
              </w:rPr>
              <w:t>2</w:t>
            </w:r>
            <w:r>
              <w:rPr>
                <w:rFonts w:asciiTheme="minorHAnsi" w:hAnsiTheme="minorHAnsi" w:cstheme="minorHAnsi"/>
                <w:b/>
                <w:bCs/>
                <w:color w:val="000000"/>
                <w:sz w:val="22"/>
                <w:szCs w:val="22"/>
                <w:lang w:eastAsia="en-GB"/>
              </w:rPr>
              <w:t>49</w:t>
            </w:r>
            <w:r w:rsidRPr="0045306E">
              <w:rPr>
                <w:rFonts w:asciiTheme="minorHAnsi" w:hAnsiTheme="minorHAnsi" w:cstheme="minorHAnsi"/>
                <w:b/>
                <w:bCs/>
                <w:color w:val="000000"/>
                <w:sz w:val="22"/>
                <w:szCs w:val="22"/>
                <w:lang w:eastAsia="en-GB"/>
              </w:rPr>
              <w:t xml:space="preserve"> </w:t>
            </w:r>
          </w:p>
        </w:tc>
        <w:tc>
          <w:tcPr>
            <w:tcW w:w="1704" w:type="dxa"/>
            <w:tcBorders>
              <w:top w:val="single" w:sz="4" w:space="0" w:color="auto"/>
              <w:left w:val="nil"/>
              <w:bottom w:val="single" w:sz="4" w:space="0" w:color="auto"/>
              <w:right w:val="single" w:sz="4" w:space="0" w:color="auto"/>
            </w:tcBorders>
            <w:shd w:val="clear" w:color="auto" w:fill="auto"/>
            <w:vAlign w:val="center"/>
          </w:tcPr>
          <w:p w14:paraId="24F5EF58" w14:textId="001598AA"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734</w:t>
            </w:r>
            <w:r w:rsidRPr="0045306E">
              <w:rPr>
                <w:rFonts w:asciiTheme="minorHAnsi" w:hAnsiTheme="minorHAnsi" w:cstheme="minorHAnsi"/>
                <w:b/>
                <w:bCs/>
                <w:color w:val="000000"/>
                <w:sz w:val="22"/>
                <w:szCs w:val="22"/>
                <w:lang w:eastAsia="en-GB"/>
              </w:rPr>
              <w:t xml:space="preserve"> </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09EBCF66" w14:textId="578E6442"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10 046</w:t>
            </w:r>
          </w:p>
        </w:tc>
      </w:tr>
      <w:tr w:rsidR="00003B03" w:rsidRPr="000C156A" w14:paraId="0943925B" w14:textId="77777777" w:rsidTr="007261F5">
        <w:trPr>
          <w:trHeight w:val="253"/>
          <w:jc w:val="center"/>
        </w:trPr>
        <w:tc>
          <w:tcPr>
            <w:tcW w:w="2662" w:type="dxa"/>
            <w:tcBorders>
              <w:top w:val="nil"/>
              <w:left w:val="single" w:sz="4" w:space="0" w:color="auto"/>
              <w:bottom w:val="single" w:sz="4" w:space="0" w:color="auto"/>
              <w:right w:val="nil"/>
            </w:tcBorders>
            <w:hideMark/>
          </w:tcPr>
          <w:p w14:paraId="703EB3F8" w14:textId="77777777" w:rsidR="00003B03" w:rsidRPr="000C156A" w:rsidRDefault="00003B03" w:rsidP="00003B03">
            <w:pPr>
              <w:pStyle w:val="Tabletext"/>
              <w:keepNext/>
              <w:keepLines/>
              <w:spacing w:before="20" w:after="20"/>
              <w:rPr>
                <w:b/>
                <w:bCs/>
                <w:szCs w:val="22"/>
                <w:lang w:val="en-US" w:eastAsia="zh-CN"/>
              </w:rPr>
            </w:pPr>
            <w:r w:rsidRPr="000C156A">
              <w:rPr>
                <w:b/>
                <w:bCs/>
                <w:szCs w:val="22"/>
                <w:lang w:val="en-US" w:eastAsia="zh-CN"/>
              </w:rPr>
              <w:t>1</w:t>
            </w:r>
            <w:r w:rsidRPr="000C156A">
              <w:rPr>
                <w:rFonts w:hint="eastAsia"/>
                <w:b/>
                <w:bCs/>
                <w:szCs w:val="22"/>
                <w:lang w:val="en-US" w:eastAsia="zh-CN"/>
              </w:rPr>
              <w:t>月</w:t>
            </w:r>
            <w:r w:rsidRPr="000C156A">
              <w:rPr>
                <w:b/>
                <w:bCs/>
                <w:szCs w:val="22"/>
                <w:lang w:val="en-US" w:eastAsia="zh-CN"/>
              </w:rPr>
              <w:t>1</w:t>
            </w:r>
            <w:r w:rsidRPr="000C156A">
              <w:rPr>
                <w:rFonts w:hint="eastAsia"/>
                <w:b/>
                <w:bCs/>
                <w:szCs w:val="22"/>
                <w:lang w:val="en-US"/>
              </w:rPr>
              <w:t>日时的净账面金额</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14:paraId="308B2F59" w14:textId="2C6F9213"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621</w:t>
            </w:r>
            <w:r w:rsidRPr="0045306E">
              <w:rPr>
                <w:rFonts w:asciiTheme="minorHAnsi" w:hAnsiTheme="minorHAnsi" w:cstheme="minorHAnsi"/>
                <w:b/>
                <w:bCs/>
                <w:color w:val="000000"/>
                <w:sz w:val="22"/>
                <w:szCs w:val="22"/>
                <w:lang w:eastAsia="en-GB"/>
              </w:rPr>
              <w:t xml:space="preserve"> </w:t>
            </w:r>
          </w:p>
        </w:tc>
        <w:tc>
          <w:tcPr>
            <w:tcW w:w="1704" w:type="dxa"/>
            <w:tcBorders>
              <w:top w:val="nil"/>
              <w:left w:val="nil"/>
              <w:bottom w:val="single" w:sz="4" w:space="0" w:color="auto"/>
              <w:right w:val="single" w:sz="4" w:space="0" w:color="auto"/>
            </w:tcBorders>
            <w:shd w:val="clear" w:color="auto" w:fill="auto"/>
            <w:vAlign w:val="center"/>
            <w:hideMark/>
          </w:tcPr>
          <w:p w14:paraId="66A445B7" w14:textId="64FA266C"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821</w:t>
            </w:r>
            <w:r w:rsidRPr="0045306E">
              <w:rPr>
                <w:rFonts w:asciiTheme="minorHAnsi" w:hAnsiTheme="minorHAnsi" w:cstheme="minorHAnsi"/>
                <w:b/>
                <w:bCs/>
                <w:color w:val="000000"/>
                <w:sz w:val="22"/>
                <w:szCs w:val="22"/>
                <w:lang w:eastAsia="en-GB"/>
              </w:rPr>
              <w:t xml:space="preserve"> </w:t>
            </w:r>
          </w:p>
        </w:tc>
        <w:tc>
          <w:tcPr>
            <w:tcW w:w="1704" w:type="dxa"/>
            <w:tcBorders>
              <w:top w:val="nil"/>
              <w:left w:val="nil"/>
              <w:bottom w:val="single" w:sz="4" w:space="0" w:color="auto"/>
              <w:right w:val="single" w:sz="4" w:space="0" w:color="auto"/>
            </w:tcBorders>
            <w:shd w:val="clear" w:color="auto" w:fill="auto"/>
            <w:vAlign w:val="center"/>
          </w:tcPr>
          <w:p w14:paraId="47137C42" w14:textId="6D68C8AB" w:rsidR="00003B03" w:rsidRPr="00003B03"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sidRPr="00003B03">
              <w:rPr>
                <w:rFonts w:asciiTheme="minorHAnsi" w:hAnsiTheme="minorHAnsi" w:cstheme="minorHAnsi"/>
                <w:b/>
                <w:bCs/>
                <w:color w:val="000000"/>
                <w:sz w:val="22"/>
                <w:szCs w:val="22"/>
                <w:lang w:eastAsia="en-GB"/>
              </w:rPr>
              <w:t xml:space="preserve">-   </w:t>
            </w:r>
          </w:p>
        </w:tc>
        <w:tc>
          <w:tcPr>
            <w:tcW w:w="1705" w:type="dxa"/>
            <w:tcBorders>
              <w:top w:val="nil"/>
              <w:left w:val="nil"/>
              <w:bottom w:val="single" w:sz="4" w:space="0" w:color="auto"/>
              <w:right w:val="single" w:sz="4" w:space="0" w:color="auto"/>
            </w:tcBorders>
            <w:shd w:val="clear" w:color="auto" w:fill="auto"/>
            <w:vAlign w:val="center"/>
            <w:hideMark/>
          </w:tcPr>
          <w:p w14:paraId="5192D6B4" w14:textId="0CA92228"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sidRPr="0045306E">
              <w:rPr>
                <w:rFonts w:asciiTheme="minorHAnsi" w:hAnsiTheme="minorHAnsi" w:cstheme="minorHAnsi"/>
                <w:b/>
                <w:bCs/>
                <w:color w:val="000000"/>
                <w:sz w:val="22"/>
                <w:szCs w:val="22"/>
                <w:lang w:eastAsia="en-GB"/>
              </w:rPr>
              <w:t>1</w:t>
            </w:r>
            <w:r>
              <w:rPr>
                <w:rFonts w:asciiTheme="minorHAnsi" w:hAnsiTheme="minorHAnsi" w:cstheme="minorHAnsi"/>
                <w:b/>
                <w:bCs/>
                <w:color w:val="000000"/>
                <w:sz w:val="22"/>
                <w:szCs w:val="22"/>
                <w:lang w:eastAsia="en-GB"/>
              </w:rPr>
              <w:t> 443</w:t>
            </w:r>
            <w:r w:rsidRPr="0045306E">
              <w:rPr>
                <w:rFonts w:asciiTheme="minorHAnsi" w:hAnsiTheme="minorHAnsi" w:cstheme="minorHAnsi"/>
                <w:b/>
                <w:bCs/>
                <w:color w:val="000000"/>
                <w:sz w:val="22"/>
                <w:szCs w:val="22"/>
                <w:lang w:eastAsia="en-GB"/>
              </w:rPr>
              <w:t xml:space="preserve"> </w:t>
            </w:r>
          </w:p>
        </w:tc>
      </w:tr>
      <w:tr w:rsidR="00003B03" w:rsidRPr="000C156A" w14:paraId="4A631E18" w14:textId="77777777" w:rsidTr="007261F5">
        <w:trPr>
          <w:trHeight w:val="299"/>
          <w:jc w:val="center"/>
        </w:trPr>
        <w:tc>
          <w:tcPr>
            <w:tcW w:w="2662" w:type="dxa"/>
            <w:tcBorders>
              <w:top w:val="nil"/>
              <w:left w:val="single" w:sz="4" w:space="0" w:color="auto"/>
              <w:bottom w:val="single" w:sz="4" w:space="0" w:color="auto"/>
              <w:right w:val="nil"/>
            </w:tcBorders>
            <w:hideMark/>
          </w:tcPr>
          <w:p w14:paraId="0052742B" w14:textId="77777777" w:rsidR="00003B03" w:rsidRPr="000C156A" w:rsidRDefault="00003B03" w:rsidP="00003B03">
            <w:pPr>
              <w:pStyle w:val="Tabletext"/>
              <w:keepNext/>
              <w:keepLines/>
              <w:spacing w:before="20" w:after="20"/>
              <w:rPr>
                <w:b/>
                <w:bCs/>
                <w:szCs w:val="22"/>
                <w:lang w:val="en-US" w:eastAsia="zh-CN"/>
              </w:rPr>
            </w:pPr>
            <w:r w:rsidRPr="000C156A">
              <w:rPr>
                <w:b/>
                <w:bCs/>
                <w:szCs w:val="22"/>
                <w:lang w:val="en-US" w:eastAsia="zh-CN"/>
              </w:rPr>
              <w:t>12</w:t>
            </w:r>
            <w:r w:rsidRPr="000C156A">
              <w:rPr>
                <w:rFonts w:hint="eastAsia"/>
                <w:b/>
                <w:bCs/>
                <w:szCs w:val="22"/>
                <w:lang w:val="en-US" w:eastAsia="zh-CN"/>
              </w:rPr>
              <w:t>月</w:t>
            </w:r>
            <w:r w:rsidRPr="000C156A">
              <w:rPr>
                <w:b/>
                <w:bCs/>
                <w:szCs w:val="22"/>
                <w:lang w:val="en-US" w:eastAsia="zh-CN"/>
              </w:rPr>
              <w:t>31</w:t>
            </w:r>
            <w:r w:rsidRPr="000C156A">
              <w:rPr>
                <w:rFonts w:hint="eastAsia"/>
                <w:b/>
                <w:bCs/>
                <w:szCs w:val="22"/>
                <w:lang w:val="en-US"/>
              </w:rPr>
              <w:t>日时的净账面金额</w:t>
            </w:r>
          </w:p>
        </w:tc>
        <w:tc>
          <w:tcPr>
            <w:tcW w:w="1704" w:type="dxa"/>
            <w:tcBorders>
              <w:top w:val="nil"/>
              <w:left w:val="single" w:sz="4" w:space="0" w:color="auto"/>
              <w:bottom w:val="single" w:sz="4" w:space="0" w:color="auto"/>
              <w:right w:val="single" w:sz="4" w:space="0" w:color="auto"/>
            </w:tcBorders>
            <w:shd w:val="clear" w:color="auto" w:fill="auto"/>
            <w:vAlign w:val="center"/>
            <w:hideMark/>
          </w:tcPr>
          <w:p w14:paraId="763F578E" w14:textId="3367B3F5"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224</w:t>
            </w:r>
            <w:r w:rsidRPr="0045306E">
              <w:rPr>
                <w:rFonts w:asciiTheme="minorHAnsi" w:hAnsiTheme="minorHAnsi" w:cstheme="minorHAnsi"/>
                <w:b/>
                <w:bCs/>
                <w:color w:val="000000"/>
                <w:sz w:val="22"/>
                <w:szCs w:val="22"/>
                <w:lang w:eastAsia="en-GB"/>
              </w:rPr>
              <w:t xml:space="preserve"> </w:t>
            </w:r>
          </w:p>
        </w:tc>
        <w:tc>
          <w:tcPr>
            <w:tcW w:w="1704" w:type="dxa"/>
            <w:tcBorders>
              <w:top w:val="nil"/>
              <w:left w:val="nil"/>
              <w:bottom w:val="single" w:sz="4" w:space="0" w:color="auto"/>
              <w:right w:val="single" w:sz="4" w:space="0" w:color="auto"/>
            </w:tcBorders>
            <w:shd w:val="clear" w:color="auto" w:fill="auto"/>
            <w:vAlign w:val="center"/>
            <w:hideMark/>
          </w:tcPr>
          <w:p w14:paraId="770EDCCB" w14:textId="4F43B519"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568</w:t>
            </w:r>
            <w:r w:rsidRPr="0045306E">
              <w:rPr>
                <w:rFonts w:asciiTheme="minorHAnsi" w:hAnsiTheme="minorHAnsi" w:cstheme="minorHAnsi"/>
                <w:b/>
                <w:bCs/>
                <w:color w:val="000000"/>
                <w:sz w:val="22"/>
                <w:szCs w:val="22"/>
                <w:lang w:eastAsia="en-GB"/>
              </w:rPr>
              <w:t xml:space="preserve"> </w:t>
            </w:r>
          </w:p>
        </w:tc>
        <w:tc>
          <w:tcPr>
            <w:tcW w:w="1704" w:type="dxa"/>
            <w:tcBorders>
              <w:top w:val="nil"/>
              <w:left w:val="nil"/>
              <w:bottom w:val="single" w:sz="4" w:space="0" w:color="auto"/>
              <w:right w:val="single" w:sz="4" w:space="0" w:color="auto"/>
            </w:tcBorders>
            <w:shd w:val="clear" w:color="auto" w:fill="auto"/>
            <w:vAlign w:val="center"/>
          </w:tcPr>
          <w:p w14:paraId="103949DD" w14:textId="2DE2B481" w:rsidR="00003B03" w:rsidRPr="00003B03"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sidRPr="00003B03">
              <w:rPr>
                <w:rFonts w:asciiTheme="minorHAnsi" w:hAnsiTheme="minorHAnsi" w:cstheme="minorHAnsi"/>
                <w:b/>
                <w:bCs/>
                <w:color w:val="000000"/>
                <w:sz w:val="22"/>
                <w:szCs w:val="22"/>
                <w:lang w:eastAsia="en-GB"/>
              </w:rPr>
              <w:t xml:space="preserve">-   </w:t>
            </w:r>
          </w:p>
        </w:tc>
        <w:tc>
          <w:tcPr>
            <w:tcW w:w="1705" w:type="dxa"/>
            <w:tcBorders>
              <w:top w:val="nil"/>
              <w:left w:val="nil"/>
              <w:bottom w:val="single" w:sz="4" w:space="0" w:color="auto"/>
              <w:right w:val="single" w:sz="4" w:space="0" w:color="auto"/>
            </w:tcBorders>
            <w:shd w:val="clear" w:color="auto" w:fill="auto"/>
            <w:vAlign w:val="center"/>
            <w:hideMark/>
          </w:tcPr>
          <w:p w14:paraId="00D36F57" w14:textId="4F90020A" w:rsidR="00003B03" w:rsidRPr="000C156A" w:rsidRDefault="00003B03" w:rsidP="00003B03">
            <w:pPr>
              <w:keepNext/>
              <w:keepLines/>
              <w:overflowPunct/>
              <w:autoSpaceDE/>
              <w:autoSpaceDN/>
              <w:adjustRightInd/>
              <w:spacing w:before="0"/>
              <w:jc w:val="right"/>
              <w:textAlignment w:val="auto"/>
              <w:rPr>
                <w:rFonts w:cs="Calibri"/>
                <w:b/>
                <w:bCs/>
                <w:color w:val="000000"/>
                <w:sz w:val="22"/>
                <w:szCs w:val="22"/>
                <w:lang w:eastAsia="en-GB"/>
              </w:rPr>
            </w:pPr>
            <w:r>
              <w:rPr>
                <w:rFonts w:asciiTheme="minorHAnsi" w:hAnsiTheme="minorHAnsi" w:cstheme="minorHAnsi"/>
                <w:b/>
                <w:bCs/>
                <w:color w:val="000000"/>
                <w:sz w:val="22"/>
                <w:szCs w:val="22"/>
                <w:lang w:eastAsia="en-GB"/>
              </w:rPr>
              <w:t>792</w:t>
            </w:r>
            <w:r w:rsidRPr="0045306E">
              <w:rPr>
                <w:rFonts w:asciiTheme="minorHAnsi" w:hAnsiTheme="minorHAnsi" w:cstheme="minorHAnsi"/>
                <w:b/>
                <w:bCs/>
                <w:color w:val="000000"/>
                <w:sz w:val="22"/>
                <w:szCs w:val="22"/>
                <w:lang w:eastAsia="en-GB"/>
              </w:rPr>
              <w:t xml:space="preserve"> </w:t>
            </w:r>
          </w:p>
        </w:tc>
      </w:tr>
    </w:tbl>
    <w:p w14:paraId="57864F1E" w14:textId="77777777" w:rsidR="0085433F" w:rsidRPr="000C156A" w:rsidRDefault="0085433F" w:rsidP="0085433F">
      <w:pPr>
        <w:spacing w:before="240"/>
        <w:ind w:firstLineChars="200" w:firstLine="480"/>
        <w:rPr>
          <w:lang w:val="en-US" w:eastAsia="zh-CN"/>
        </w:rPr>
      </w:pPr>
      <w:r w:rsidRPr="000C156A">
        <w:rPr>
          <w:rFonts w:hint="eastAsia"/>
          <w:lang w:eastAsia="zh-CN"/>
        </w:rPr>
        <w:t>根据</w:t>
      </w:r>
      <w:r w:rsidRPr="000C156A">
        <w:rPr>
          <w:lang w:eastAsia="zh-CN"/>
        </w:rPr>
        <w:t>IPSAS</w:t>
      </w:r>
      <w:r w:rsidRPr="000C156A">
        <w:rPr>
          <w:rFonts w:hint="eastAsia"/>
          <w:lang w:eastAsia="zh-CN"/>
        </w:rPr>
        <w:t>第</w:t>
      </w:r>
      <w:r w:rsidRPr="000C156A">
        <w:rPr>
          <w:lang w:eastAsia="zh-CN"/>
        </w:rPr>
        <w:t>31</w:t>
      </w:r>
      <w:r w:rsidRPr="000C156A">
        <w:rPr>
          <w:rFonts w:hint="eastAsia"/>
          <w:lang w:eastAsia="zh-CN"/>
        </w:rPr>
        <w:t>号要求，为改善向成员提供的服务，尤其是国际电联文件的获取、管理和存档，已对内部开发进行了资本化。资本化的软件为标准软件，升级包用于国际电联的日常活动。</w:t>
      </w:r>
    </w:p>
    <w:p w14:paraId="56961361" w14:textId="77777777" w:rsidR="0085433F" w:rsidRPr="000C156A" w:rsidRDefault="0085433F" w:rsidP="00D23BBB">
      <w:pPr>
        <w:pStyle w:val="Heading1"/>
        <w:keepNext w:val="0"/>
        <w:keepLines w:val="0"/>
        <w:spacing w:before="200" w:after="240"/>
        <w:rPr>
          <w:rFonts w:cs="Microsoft YaHei"/>
          <w:sz w:val="24"/>
          <w:szCs w:val="24"/>
          <w:lang w:val="fr-FR"/>
        </w:rPr>
      </w:pPr>
      <w:bookmarkStart w:id="722" w:name="_Toc511813755"/>
      <w:bookmarkStart w:id="723" w:name="_Toc511817838"/>
      <w:bookmarkStart w:id="724" w:name="_Toc520280738"/>
      <w:bookmarkStart w:id="725" w:name="_Toc10536833"/>
      <w:bookmarkStart w:id="726" w:name="_Toc41905874"/>
      <w:bookmarkStart w:id="727" w:name="_Toc41906903"/>
      <w:bookmarkStart w:id="728" w:name="_Toc41907984"/>
      <w:bookmarkStart w:id="729" w:name="_Toc41908052"/>
      <w:bookmarkStart w:id="730" w:name="_Toc73518690"/>
      <w:bookmarkStart w:id="731" w:name="_Toc73518837"/>
      <w:bookmarkStart w:id="732" w:name="_Toc73519237"/>
      <w:bookmarkStart w:id="733" w:name="_Toc110264000"/>
      <w:bookmarkStart w:id="734" w:name="_Toc110264079"/>
      <w:bookmarkStart w:id="735" w:name="_Toc110265718"/>
      <w:bookmarkStart w:id="736" w:name="_Toc110330088"/>
      <w:bookmarkStart w:id="737" w:name="_Toc110330253"/>
      <w:bookmarkStart w:id="738" w:name="_Toc482892572"/>
      <w:bookmarkStart w:id="739" w:name="_Toc482870837"/>
      <w:bookmarkStart w:id="740" w:name="_Toc329165788"/>
      <w:bookmarkStart w:id="741" w:name="_Toc305594747"/>
      <w:r w:rsidRPr="000C156A">
        <w:rPr>
          <w:rFonts w:cs="Microsoft YaHei" w:hint="eastAsia"/>
          <w:sz w:val="24"/>
          <w:szCs w:val="24"/>
          <w:lang w:val="fr-FR"/>
        </w:rPr>
        <w:t>说明</w:t>
      </w:r>
      <w:r w:rsidRPr="000C156A">
        <w:rPr>
          <w:rFonts w:cs="Microsoft YaHei"/>
          <w:sz w:val="24"/>
          <w:szCs w:val="24"/>
          <w:lang w:val="fr-FR"/>
        </w:rPr>
        <w:t>13</w:t>
      </w:r>
      <w:r w:rsidRPr="000C156A">
        <w:rPr>
          <w:rFonts w:cs="Microsoft YaHei"/>
          <w:sz w:val="24"/>
          <w:szCs w:val="24"/>
          <w:lang w:val="fr-FR"/>
        </w:rPr>
        <w:tab/>
      </w:r>
      <w:r w:rsidRPr="000C156A">
        <w:rPr>
          <w:rFonts w:cs="Microsoft YaHei" w:hint="eastAsia"/>
          <w:sz w:val="24"/>
          <w:szCs w:val="24"/>
          <w:lang w:val="fr-FR"/>
        </w:rPr>
        <w:t>建设中的资产</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tbl>
      <w:tblPr>
        <w:tblW w:w="7188"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042"/>
        <w:gridCol w:w="1520"/>
        <w:gridCol w:w="1383"/>
        <w:gridCol w:w="1243"/>
      </w:tblGrid>
      <w:tr w:rsidR="0085433F" w:rsidRPr="000C156A" w14:paraId="071E072E" w14:textId="77777777" w:rsidTr="003A64C9">
        <w:trPr>
          <w:trHeight w:val="226"/>
          <w:tblHeader/>
          <w:jc w:val="center"/>
        </w:trPr>
        <w:tc>
          <w:tcPr>
            <w:tcW w:w="3042" w:type="dxa"/>
            <w:tcBorders>
              <w:bottom w:val="single" w:sz="4" w:space="0" w:color="000000"/>
            </w:tcBorders>
            <w:shd w:val="clear" w:color="auto" w:fill="auto"/>
            <w:hideMark/>
          </w:tcPr>
          <w:p w14:paraId="56725624" w14:textId="77777777" w:rsidR="0085433F" w:rsidRPr="000C156A" w:rsidRDefault="0085433F" w:rsidP="00D23BBB">
            <w:pPr>
              <w:pStyle w:val="Tablehead"/>
              <w:keepNext w:val="0"/>
              <w:rPr>
                <w:lang w:val="en-US" w:eastAsia="zh-CN"/>
              </w:rPr>
            </w:pPr>
            <w:r w:rsidRPr="000C156A">
              <w:rPr>
                <w:rFonts w:hint="eastAsia"/>
                <w:lang w:val="en-US" w:eastAsia="zh-CN"/>
              </w:rPr>
              <w:t>资产类别</w:t>
            </w:r>
          </w:p>
        </w:tc>
        <w:tc>
          <w:tcPr>
            <w:tcW w:w="1520" w:type="dxa"/>
            <w:tcBorders>
              <w:bottom w:val="single" w:sz="4" w:space="0" w:color="000000"/>
            </w:tcBorders>
            <w:shd w:val="clear" w:color="auto" w:fill="auto"/>
            <w:hideMark/>
          </w:tcPr>
          <w:p w14:paraId="7B5F7E1D" w14:textId="77777777" w:rsidR="0085433F" w:rsidRPr="000C156A" w:rsidRDefault="0085433F" w:rsidP="00D23BBB">
            <w:pPr>
              <w:pStyle w:val="Tablehead"/>
              <w:keepNext w:val="0"/>
              <w:rPr>
                <w:lang w:val="en-US" w:eastAsia="zh-CN"/>
              </w:rPr>
            </w:pPr>
            <w:r w:rsidRPr="000C156A">
              <w:rPr>
                <w:rFonts w:hint="eastAsia"/>
                <w:lang w:val="en-US" w:eastAsia="zh-CN"/>
              </w:rPr>
              <w:t>在建楼宇</w:t>
            </w:r>
          </w:p>
        </w:tc>
        <w:tc>
          <w:tcPr>
            <w:tcW w:w="1383" w:type="dxa"/>
            <w:tcBorders>
              <w:bottom w:val="single" w:sz="4" w:space="0" w:color="000000"/>
            </w:tcBorders>
            <w:shd w:val="clear" w:color="auto" w:fill="auto"/>
            <w:hideMark/>
          </w:tcPr>
          <w:p w14:paraId="197612FA" w14:textId="77777777" w:rsidR="0085433F" w:rsidRPr="000C156A" w:rsidRDefault="0085433F" w:rsidP="00D23BBB">
            <w:pPr>
              <w:pStyle w:val="Tablehead"/>
              <w:keepNext w:val="0"/>
              <w:rPr>
                <w:lang w:val="en-US" w:eastAsia="zh-CN"/>
              </w:rPr>
            </w:pPr>
            <w:r w:rsidRPr="000C156A">
              <w:rPr>
                <w:rFonts w:hint="eastAsia"/>
                <w:lang w:val="en-US" w:eastAsia="zh-CN"/>
              </w:rPr>
              <w:t>其他建设</w:t>
            </w:r>
          </w:p>
        </w:tc>
        <w:tc>
          <w:tcPr>
            <w:tcW w:w="1243" w:type="dxa"/>
            <w:tcBorders>
              <w:bottom w:val="single" w:sz="4" w:space="0" w:color="000000"/>
            </w:tcBorders>
            <w:shd w:val="clear" w:color="auto" w:fill="auto"/>
            <w:hideMark/>
          </w:tcPr>
          <w:p w14:paraId="61C2BEC9" w14:textId="77777777" w:rsidR="0085433F" w:rsidRPr="000C156A" w:rsidRDefault="0085433F" w:rsidP="00D23BBB">
            <w:pPr>
              <w:pStyle w:val="Tablehead"/>
              <w:keepNext w:val="0"/>
              <w:rPr>
                <w:lang w:val="en-US" w:eastAsia="zh-CN"/>
              </w:rPr>
            </w:pPr>
            <w:r w:rsidRPr="000C156A">
              <w:rPr>
                <w:rFonts w:hint="eastAsia"/>
                <w:lang w:val="en-US" w:eastAsia="zh-CN"/>
              </w:rPr>
              <w:t>合计</w:t>
            </w:r>
          </w:p>
        </w:tc>
      </w:tr>
      <w:tr w:rsidR="00D23BBB" w:rsidRPr="000C156A" w14:paraId="7529794A" w14:textId="77777777" w:rsidTr="003A64C9">
        <w:trPr>
          <w:trHeight w:val="120"/>
          <w:jc w:val="center"/>
        </w:trPr>
        <w:tc>
          <w:tcPr>
            <w:tcW w:w="3042" w:type="dxa"/>
            <w:tcBorders>
              <w:top w:val="single" w:sz="4" w:space="0" w:color="000000"/>
              <w:bottom w:val="single" w:sz="4" w:space="0" w:color="000000"/>
            </w:tcBorders>
            <w:shd w:val="clear" w:color="auto" w:fill="auto"/>
            <w:vAlign w:val="center"/>
            <w:hideMark/>
          </w:tcPr>
          <w:p w14:paraId="2606213E" w14:textId="77777777" w:rsidR="00D23BBB" w:rsidRPr="000C156A" w:rsidRDefault="00D23BBB" w:rsidP="00D23BBB">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日时的成本</w:t>
            </w:r>
          </w:p>
        </w:tc>
        <w:tc>
          <w:tcPr>
            <w:tcW w:w="1520" w:type="dxa"/>
            <w:tcBorders>
              <w:top w:val="single" w:sz="4" w:space="0" w:color="000000"/>
              <w:bottom w:val="single" w:sz="4" w:space="0" w:color="000000"/>
            </w:tcBorders>
            <w:shd w:val="clear" w:color="auto" w:fill="auto"/>
            <w:vAlign w:val="center"/>
            <w:hideMark/>
          </w:tcPr>
          <w:p w14:paraId="5435FD79" w14:textId="0699B3D8" w:rsidR="00D23BBB" w:rsidRPr="00D23BBB" w:rsidRDefault="00D23BBB" w:rsidP="00D23BBB">
            <w:pPr>
              <w:overflowPunct/>
              <w:autoSpaceDE/>
              <w:autoSpaceDN/>
              <w:adjustRightInd/>
              <w:spacing w:before="0"/>
              <w:jc w:val="right"/>
              <w:textAlignment w:val="auto"/>
              <w:rPr>
                <w:rFonts w:cstheme="minorHAnsi"/>
                <w:b/>
                <w:bCs/>
                <w:sz w:val="22"/>
                <w:szCs w:val="22"/>
                <w:lang w:eastAsia="en-GB"/>
              </w:rPr>
            </w:pPr>
            <w:r w:rsidRPr="00D23BBB">
              <w:rPr>
                <w:rFonts w:asciiTheme="minorHAnsi" w:hAnsiTheme="minorHAnsi" w:cstheme="minorHAnsi"/>
                <w:b/>
                <w:bCs/>
                <w:sz w:val="22"/>
                <w:szCs w:val="22"/>
                <w:lang w:eastAsia="en-GB"/>
              </w:rPr>
              <w:t>8</w:t>
            </w:r>
            <w:r>
              <w:rPr>
                <w:rFonts w:asciiTheme="minorHAnsi" w:hAnsiTheme="minorHAnsi" w:cstheme="minorHAnsi"/>
                <w:b/>
                <w:bCs/>
                <w:sz w:val="22"/>
                <w:szCs w:val="22"/>
                <w:lang w:eastAsia="en-GB"/>
              </w:rPr>
              <w:t> </w:t>
            </w:r>
            <w:r w:rsidRPr="00D23BBB">
              <w:rPr>
                <w:rFonts w:asciiTheme="minorHAnsi" w:hAnsiTheme="minorHAnsi" w:cstheme="minorHAnsi"/>
                <w:b/>
                <w:bCs/>
                <w:sz w:val="22"/>
                <w:szCs w:val="22"/>
                <w:lang w:eastAsia="en-GB"/>
              </w:rPr>
              <w:t xml:space="preserve">176 </w:t>
            </w:r>
          </w:p>
        </w:tc>
        <w:tc>
          <w:tcPr>
            <w:tcW w:w="1383" w:type="dxa"/>
            <w:tcBorders>
              <w:top w:val="single" w:sz="4" w:space="0" w:color="000000"/>
              <w:bottom w:val="single" w:sz="4" w:space="0" w:color="000000"/>
            </w:tcBorders>
            <w:shd w:val="clear" w:color="auto" w:fill="auto"/>
            <w:noWrap/>
            <w:vAlign w:val="center"/>
            <w:hideMark/>
          </w:tcPr>
          <w:p w14:paraId="3649DC68" w14:textId="608BC658" w:rsidR="00D23BBB" w:rsidRPr="00D23BBB" w:rsidRDefault="00D23BBB" w:rsidP="00D23BBB">
            <w:pPr>
              <w:overflowPunct/>
              <w:autoSpaceDE/>
              <w:autoSpaceDN/>
              <w:adjustRightInd/>
              <w:spacing w:before="0"/>
              <w:jc w:val="right"/>
              <w:textAlignment w:val="auto"/>
              <w:rPr>
                <w:rFonts w:cstheme="minorHAnsi"/>
                <w:b/>
                <w:bCs/>
                <w:sz w:val="22"/>
                <w:szCs w:val="22"/>
                <w:lang w:eastAsia="en-GB"/>
              </w:rPr>
            </w:pPr>
            <w:r w:rsidRPr="00D23BBB">
              <w:rPr>
                <w:rFonts w:asciiTheme="minorHAnsi" w:hAnsiTheme="minorHAnsi" w:cstheme="minorHAnsi"/>
                <w:b/>
                <w:bCs/>
                <w:sz w:val="22"/>
                <w:szCs w:val="22"/>
                <w:lang w:eastAsia="en-GB"/>
              </w:rPr>
              <w:t>1</w:t>
            </w:r>
            <w:r>
              <w:rPr>
                <w:rFonts w:asciiTheme="minorHAnsi" w:hAnsiTheme="minorHAnsi" w:cstheme="minorHAnsi"/>
                <w:b/>
                <w:bCs/>
                <w:sz w:val="22"/>
                <w:szCs w:val="22"/>
                <w:lang w:eastAsia="en-GB"/>
              </w:rPr>
              <w:t> </w:t>
            </w:r>
            <w:r w:rsidRPr="00D23BBB">
              <w:rPr>
                <w:rFonts w:asciiTheme="minorHAnsi" w:hAnsiTheme="minorHAnsi" w:cstheme="minorHAnsi"/>
                <w:b/>
                <w:bCs/>
                <w:sz w:val="22"/>
                <w:szCs w:val="22"/>
                <w:lang w:eastAsia="en-GB"/>
              </w:rPr>
              <w:t xml:space="preserve">267 </w:t>
            </w:r>
          </w:p>
        </w:tc>
        <w:tc>
          <w:tcPr>
            <w:tcW w:w="1243" w:type="dxa"/>
            <w:tcBorders>
              <w:top w:val="single" w:sz="4" w:space="0" w:color="000000"/>
              <w:bottom w:val="single" w:sz="4" w:space="0" w:color="000000"/>
            </w:tcBorders>
            <w:shd w:val="clear" w:color="000000" w:fill="FFFFFF"/>
            <w:noWrap/>
            <w:vAlign w:val="center"/>
            <w:hideMark/>
          </w:tcPr>
          <w:p w14:paraId="4A994644" w14:textId="09BB53AF"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9</w:t>
            </w:r>
            <w:r>
              <w:rPr>
                <w:rFonts w:asciiTheme="minorHAnsi" w:hAnsiTheme="minorHAnsi" w:cstheme="minorHAnsi"/>
                <w:b/>
                <w:bCs/>
                <w:color w:val="000000"/>
                <w:sz w:val="22"/>
                <w:szCs w:val="22"/>
                <w:lang w:eastAsia="en-GB"/>
              </w:rPr>
              <w:t> </w:t>
            </w:r>
            <w:r w:rsidRPr="00D23BBB">
              <w:rPr>
                <w:rFonts w:asciiTheme="minorHAnsi" w:hAnsiTheme="minorHAnsi" w:cstheme="minorHAnsi"/>
                <w:b/>
                <w:bCs/>
                <w:color w:val="000000"/>
                <w:sz w:val="22"/>
                <w:szCs w:val="22"/>
                <w:lang w:eastAsia="en-GB"/>
              </w:rPr>
              <w:t xml:space="preserve">443 </w:t>
            </w:r>
          </w:p>
        </w:tc>
      </w:tr>
      <w:tr w:rsidR="00D23BBB" w:rsidRPr="000C156A" w14:paraId="56BF3EC0" w14:textId="77777777" w:rsidTr="003A64C9">
        <w:trPr>
          <w:trHeight w:val="120"/>
          <w:jc w:val="center"/>
        </w:trPr>
        <w:tc>
          <w:tcPr>
            <w:tcW w:w="3042" w:type="dxa"/>
            <w:tcBorders>
              <w:top w:val="single" w:sz="4" w:space="0" w:color="000000"/>
            </w:tcBorders>
            <w:hideMark/>
          </w:tcPr>
          <w:p w14:paraId="531EFCE0" w14:textId="77777777" w:rsidR="00D23BBB" w:rsidRPr="000C156A" w:rsidRDefault="00D23BBB" w:rsidP="00D23BBB">
            <w:pPr>
              <w:pStyle w:val="Tabletext"/>
              <w:spacing w:before="20" w:after="20"/>
              <w:rPr>
                <w:szCs w:val="22"/>
                <w:lang w:val="en-US" w:eastAsia="zh-CN"/>
              </w:rPr>
            </w:pPr>
            <w:r w:rsidRPr="000C156A">
              <w:rPr>
                <w:rFonts w:hint="eastAsia"/>
                <w:bCs/>
                <w:szCs w:val="22"/>
                <w:lang w:val="en-US"/>
              </w:rPr>
              <w:t>增补</w:t>
            </w:r>
          </w:p>
        </w:tc>
        <w:tc>
          <w:tcPr>
            <w:tcW w:w="1520" w:type="dxa"/>
            <w:tcBorders>
              <w:top w:val="single" w:sz="4" w:space="0" w:color="000000"/>
            </w:tcBorders>
            <w:shd w:val="clear" w:color="auto" w:fill="auto"/>
            <w:noWrap/>
            <w:vAlign w:val="bottom"/>
            <w:hideMark/>
          </w:tcPr>
          <w:p w14:paraId="66D7F3EA" w14:textId="1F9067CF" w:rsidR="00D23BBB" w:rsidRPr="00D23BBB" w:rsidRDefault="00D23BBB" w:rsidP="00D23BBB">
            <w:pPr>
              <w:overflowPunct/>
              <w:autoSpaceDE/>
              <w:autoSpaceDN/>
              <w:adjustRightInd/>
              <w:spacing w:before="0"/>
              <w:jc w:val="right"/>
              <w:textAlignment w:val="auto"/>
              <w:rPr>
                <w:rFonts w:cstheme="minorHAnsi"/>
                <w:sz w:val="22"/>
                <w:szCs w:val="22"/>
                <w:lang w:eastAsia="en-GB"/>
              </w:rPr>
            </w:pPr>
            <w:r w:rsidRPr="00D23BBB">
              <w:rPr>
                <w:rFonts w:asciiTheme="minorHAnsi" w:hAnsiTheme="minorHAnsi" w:cstheme="minorHAnsi"/>
                <w:sz w:val="22"/>
                <w:szCs w:val="22"/>
                <w:lang w:eastAsia="en-GB"/>
              </w:rPr>
              <w:t>5</w:t>
            </w:r>
            <w:r>
              <w:rPr>
                <w:rFonts w:asciiTheme="minorHAnsi" w:hAnsiTheme="minorHAnsi" w:cstheme="minorHAnsi"/>
                <w:sz w:val="22"/>
                <w:szCs w:val="22"/>
                <w:lang w:eastAsia="en-GB"/>
              </w:rPr>
              <w:t> </w:t>
            </w:r>
            <w:r w:rsidRPr="00D23BBB">
              <w:rPr>
                <w:rFonts w:asciiTheme="minorHAnsi" w:hAnsiTheme="minorHAnsi" w:cstheme="minorHAnsi"/>
                <w:sz w:val="22"/>
                <w:szCs w:val="22"/>
                <w:lang w:eastAsia="en-GB"/>
              </w:rPr>
              <w:t xml:space="preserve">186 </w:t>
            </w:r>
          </w:p>
        </w:tc>
        <w:tc>
          <w:tcPr>
            <w:tcW w:w="1383" w:type="dxa"/>
            <w:tcBorders>
              <w:top w:val="single" w:sz="4" w:space="0" w:color="000000"/>
            </w:tcBorders>
            <w:shd w:val="clear" w:color="auto" w:fill="auto"/>
            <w:noWrap/>
            <w:vAlign w:val="bottom"/>
            <w:hideMark/>
          </w:tcPr>
          <w:p w14:paraId="05B55059" w14:textId="7E380954"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sz w:val="22"/>
                <w:szCs w:val="22"/>
                <w:lang w:eastAsia="en-GB"/>
              </w:rPr>
              <w:t xml:space="preserve">323 </w:t>
            </w:r>
          </w:p>
        </w:tc>
        <w:tc>
          <w:tcPr>
            <w:tcW w:w="1243" w:type="dxa"/>
            <w:tcBorders>
              <w:top w:val="single" w:sz="4" w:space="0" w:color="000000"/>
            </w:tcBorders>
            <w:shd w:val="clear" w:color="auto" w:fill="auto"/>
            <w:noWrap/>
            <w:vAlign w:val="center"/>
            <w:hideMark/>
          </w:tcPr>
          <w:p w14:paraId="17D80EDF" w14:textId="34517AB2"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5</w:t>
            </w:r>
            <w:r>
              <w:rPr>
                <w:rFonts w:asciiTheme="minorHAnsi" w:hAnsiTheme="minorHAnsi" w:cstheme="minorHAnsi"/>
                <w:color w:val="000000"/>
                <w:sz w:val="22"/>
                <w:szCs w:val="22"/>
                <w:lang w:eastAsia="en-GB"/>
              </w:rPr>
              <w:t> </w:t>
            </w:r>
            <w:r w:rsidRPr="00D23BBB">
              <w:rPr>
                <w:rFonts w:asciiTheme="minorHAnsi" w:hAnsiTheme="minorHAnsi" w:cstheme="minorHAnsi"/>
                <w:color w:val="000000"/>
                <w:sz w:val="22"/>
                <w:szCs w:val="22"/>
                <w:lang w:eastAsia="en-GB"/>
              </w:rPr>
              <w:t xml:space="preserve">508 </w:t>
            </w:r>
          </w:p>
        </w:tc>
      </w:tr>
      <w:tr w:rsidR="00D23BBB" w:rsidRPr="000C156A" w14:paraId="430D9F35" w14:textId="77777777" w:rsidTr="003A64C9">
        <w:trPr>
          <w:trHeight w:val="120"/>
          <w:jc w:val="center"/>
        </w:trPr>
        <w:tc>
          <w:tcPr>
            <w:tcW w:w="3042" w:type="dxa"/>
            <w:hideMark/>
          </w:tcPr>
          <w:p w14:paraId="01D73F5E" w14:textId="77777777" w:rsidR="00D23BBB" w:rsidRPr="000C156A" w:rsidRDefault="00D23BBB" w:rsidP="00D23BBB">
            <w:pPr>
              <w:pStyle w:val="Tabletext"/>
              <w:spacing w:before="20" w:after="20"/>
              <w:rPr>
                <w:bCs/>
                <w:szCs w:val="22"/>
                <w:lang w:val="en-US"/>
              </w:rPr>
            </w:pPr>
            <w:r w:rsidRPr="000C156A">
              <w:rPr>
                <w:rFonts w:hint="eastAsia"/>
                <w:bCs/>
                <w:szCs w:val="22"/>
                <w:lang w:val="en-US"/>
              </w:rPr>
              <w:t>礼品</w:t>
            </w:r>
          </w:p>
        </w:tc>
        <w:tc>
          <w:tcPr>
            <w:tcW w:w="1520" w:type="dxa"/>
            <w:shd w:val="clear" w:color="auto" w:fill="auto"/>
            <w:noWrap/>
            <w:vAlign w:val="bottom"/>
            <w:hideMark/>
          </w:tcPr>
          <w:p w14:paraId="39A6B70A" w14:textId="7777777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4BC8D5D3" w14:textId="6D4A0A6B"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w:t>
            </w:r>
          </w:p>
        </w:tc>
        <w:tc>
          <w:tcPr>
            <w:tcW w:w="1243" w:type="dxa"/>
            <w:shd w:val="clear" w:color="auto" w:fill="auto"/>
            <w:noWrap/>
            <w:vAlign w:val="center"/>
            <w:hideMark/>
          </w:tcPr>
          <w:p w14:paraId="72BFCC4D" w14:textId="78010434"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xml:space="preserve">- </w:t>
            </w:r>
          </w:p>
        </w:tc>
      </w:tr>
      <w:tr w:rsidR="00D23BBB" w:rsidRPr="000C156A" w14:paraId="73460CE2" w14:textId="77777777" w:rsidTr="003A64C9">
        <w:trPr>
          <w:trHeight w:val="120"/>
          <w:jc w:val="center"/>
        </w:trPr>
        <w:tc>
          <w:tcPr>
            <w:tcW w:w="3042" w:type="dxa"/>
            <w:hideMark/>
          </w:tcPr>
          <w:p w14:paraId="7CA18A31" w14:textId="77777777" w:rsidR="00D23BBB" w:rsidRPr="000C156A" w:rsidRDefault="00D23BBB" w:rsidP="00D23BBB">
            <w:pPr>
              <w:pStyle w:val="Tabletext"/>
              <w:spacing w:before="20" w:after="20"/>
              <w:rPr>
                <w:bCs/>
                <w:szCs w:val="22"/>
                <w:lang w:val="en-US"/>
              </w:rPr>
            </w:pPr>
            <w:r w:rsidRPr="000C156A">
              <w:rPr>
                <w:rFonts w:hint="eastAsia"/>
                <w:bCs/>
                <w:szCs w:val="22"/>
                <w:lang w:val="en-US"/>
              </w:rPr>
              <w:t>处置</w:t>
            </w:r>
          </w:p>
        </w:tc>
        <w:tc>
          <w:tcPr>
            <w:tcW w:w="1520" w:type="dxa"/>
            <w:shd w:val="clear" w:color="auto" w:fill="auto"/>
            <w:noWrap/>
            <w:vAlign w:val="bottom"/>
            <w:hideMark/>
          </w:tcPr>
          <w:p w14:paraId="5C3F871D" w14:textId="7777777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0C2F538E" w14:textId="3CE94110"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w:t>
            </w:r>
          </w:p>
        </w:tc>
        <w:tc>
          <w:tcPr>
            <w:tcW w:w="1243" w:type="dxa"/>
            <w:shd w:val="clear" w:color="auto" w:fill="auto"/>
            <w:noWrap/>
            <w:vAlign w:val="center"/>
            <w:hideMark/>
          </w:tcPr>
          <w:p w14:paraId="0EA53745" w14:textId="2FCAB63F"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xml:space="preserve">- </w:t>
            </w:r>
          </w:p>
        </w:tc>
      </w:tr>
      <w:tr w:rsidR="00D23BBB" w:rsidRPr="000C156A" w14:paraId="47E0C785" w14:textId="77777777" w:rsidTr="003A64C9">
        <w:trPr>
          <w:trHeight w:val="120"/>
          <w:jc w:val="center"/>
        </w:trPr>
        <w:tc>
          <w:tcPr>
            <w:tcW w:w="3042" w:type="dxa"/>
            <w:hideMark/>
          </w:tcPr>
          <w:p w14:paraId="61692A7E" w14:textId="77777777" w:rsidR="00D23BBB" w:rsidRPr="000C156A" w:rsidRDefault="00D23BBB" w:rsidP="00D23BBB">
            <w:pPr>
              <w:pStyle w:val="Tabletext"/>
              <w:spacing w:before="20" w:after="20"/>
              <w:rPr>
                <w:szCs w:val="22"/>
                <w:lang w:val="en-US" w:eastAsia="zh-CN"/>
              </w:rPr>
            </w:pPr>
            <w:r w:rsidRPr="000C156A">
              <w:rPr>
                <w:rFonts w:hint="eastAsia"/>
                <w:szCs w:val="22"/>
                <w:lang w:val="en-US" w:eastAsia="zh-CN"/>
              </w:rPr>
              <w:t>减值损失</w:t>
            </w:r>
          </w:p>
        </w:tc>
        <w:tc>
          <w:tcPr>
            <w:tcW w:w="1520" w:type="dxa"/>
            <w:shd w:val="clear" w:color="auto" w:fill="auto"/>
            <w:noWrap/>
            <w:vAlign w:val="bottom"/>
            <w:hideMark/>
          </w:tcPr>
          <w:p w14:paraId="1A900F4C" w14:textId="7777777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23A7A330" w14:textId="4F5132FC"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w:t>
            </w:r>
          </w:p>
        </w:tc>
        <w:tc>
          <w:tcPr>
            <w:tcW w:w="1243" w:type="dxa"/>
            <w:shd w:val="clear" w:color="auto" w:fill="auto"/>
            <w:noWrap/>
            <w:vAlign w:val="center"/>
            <w:hideMark/>
          </w:tcPr>
          <w:p w14:paraId="712C3456" w14:textId="38462A71"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xml:space="preserve">- </w:t>
            </w:r>
          </w:p>
        </w:tc>
      </w:tr>
      <w:tr w:rsidR="00D23BBB" w:rsidRPr="000C156A" w14:paraId="44CE9473" w14:textId="77777777" w:rsidTr="003A64C9">
        <w:trPr>
          <w:trHeight w:val="120"/>
          <w:jc w:val="center"/>
        </w:trPr>
        <w:tc>
          <w:tcPr>
            <w:tcW w:w="3042" w:type="dxa"/>
            <w:hideMark/>
          </w:tcPr>
          <w:p w14:paraId="155311F6" w14:textId="77777777" w:rsidR="00D23BBB" w:rsidRPr="000C156A" w:rsidRDefault="00D23BBB" w:rsidP="00D23BBB">
            <w:pPr>
              <w:pStyle w:val="Tabletext"/>
              <w:spacing w:before="20" w:after="20"/>
              <w:rPr>
                <w:szCs w:val="22"/>
                <w:lang w:val="en-US" w:eastAsia="zh-CN"/>
              </w:rPr>
            </w:pPr>
            <w:r w:rsidRPr="000C156A">
              <w:rPr>
                <w:rFonts w:hint="eastAsia"/>
                <w:bCs/>
                <w:szCs w:val="22"/>
                <w:lang w:val="en-US"/>
              </w:rPr>
              <w:t>重新分类与校正</w:t>
            </w:r>
          </w:p>
        </w:tc>
        <w:tc>
          <w:tcPr>
            <w:tcW w:w="1520" w:type="dxa"/>
            <w:shd w:val="clear" w:color="auto" w:fill="auto"/>
            <w:noWrap/>
            <w:vAlign w:val="bottom"/>
            <w:hideMark/>
          </w:tcPr>
          <w:p w14:paraId="2EE4B946" w14:textId="77777777" w:rsidR="00D23BBB" w:rsidRPr="00D23BBB" w:rsidRDefault="00D23BBB" w:rsidP="00D23BBB">
            <w:pPr>
              <w:overflowPunct/>
              <w:autoSpaceDE/>
              <w:autoSpaceDN/>
              <w:adjustRightInd/>
              <w:spacing w:before="0"/>
              <w:jc w:val="right"/>
              <w:textAlignment w:val="auto"/>
              <w:rPr>
                <w:rFonts w:cstheme="minorHAnsi"/>
                <w:sz w:val="22"/>
                <w:szCs w:val="22"/>
                <w:lang w:eastAsia="en-GB"/>
              </w:rPr>
            </w:pPr>
          </w:p>
        </w:tc>
        <w:tc>
          <w:tcPr>
            <w:tcW w:w="1383" w:type="dxa"/>
            <w:shd w:val="clear" w:color="auto" w:fill="auto"/>
            <w:noWrap/>
            <w:vAlign w:val="bottom"/>
            <w:hideMark/>
          </w:tcPr>
          <w:p w14:paraId="17A48108" w14:textId="134EA4E0"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-1</w:t>
            </w:r>
            <w:r>
              <w:rPr>
                <w:rFonts w:asciiTheme="minorHAnsi" w:hAnsiTheme="minorHAnsi" w:cstheme="minorHAnsi"/>
                <w:color w:val="000000"/>
                <w:sz w:val="22"/>
                <w:szCs w:val="22"/>
                <w:lang w:eastAsia="en-GB"/>
              </w:rPr>
              <w:t> </w:t>
            </w:r>
            <w:r w:rsidRPr="00D23BBB">
              <w:rPr>
                <w:rFonts w:asciiTheme="minorHAnsi" w:hAnsiTheme="minorHAnsi" w:cstheme="minorHAnsi"/>
                <w:color w:val="000000"/>
                <w:sz w:val="22"/>
                <w:szCs w:val="22"/>
                <w:lang w:eastAsia="en-GB"/>
              </w:rPr>
              <w:t xml:space="preserve">219 </w:t>
            </w:r>
          </w:p>
        </w:tc>
        <w:tc>
          <w:tcPr>
            <w:tcW w:w="1243" w:type="dxa"/>
            <w:shd w:val="clear" w:color="auto" w:fill="auto"/>
            <w:noWrap/>
            <w:vAlign w:val="center"/>
            <w:hideMark/>
          </w:tcPr>
          <w:p w14:paraId="1CF6D824" w14:textId="6D4B905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-1</w:t>
            </w:r>
            <w:r>
              <w:rPr>
                <w:rFonts w:asciiTheme="minorHAnsi" w:hAnsiTheme="minorHAnsi" w:cstheme="minorHAnsi"/>
                <w:color w:val="000000"/>
                <w:sz w:val="22"/>
                <w:szCs w:val="22"/>
                <w:lang w:eastAsia="en-GB"/>
              </w:rPr>
              <w:t> </w:t>
            </w:r>
            <w:r w:rsidRPr="00D23BBB">
              <w:rPr>
                <w:rFonts w:asciiTheme="minorHAnsi" w:hAnsiTheme="minorHAnsi" w:cstheme="minorHAnsi"/>
                <w:color w:val="000000"/>
                <w:sz w:val="22"/>
                <w:szCs w:val="22"/>
                <w:lang w:eastAsia="en-GB"/>
              </w:rPr>
              <w:t>219</w:t>
            </w:r>
          </w:p>
        </w:tc>
      </w:tr>
      <w:tr w:rsidR="00D23BBB" w:rsidRPr="000C156A" w14:paraId="4609A79A" w14:textId="77777777" w:rsidTr="003A64C9">
        <w:trPr>
          <w:trHeight w:val="120"/>
          <w:jc w:val="center"/>
        </w:trPr>
        <w:tc>
          <w:tcPr>
            <w:tcW w:w="3042" w:type="dxa"/>
            <w:tcBorders>
              <w:bottom w:val="single" w:sz="4" w:space="0" w:color="000000"/>
            </w:tcBorders>
            <w:hideMark/>
          </w:tcPr>
          <w:p w14:paraId="4421E288" w14:textId="77777777" w:rsidR="00D23BBB" w:rsidRPr="000C156A" w:rsidRDefault="00D23BBB" w:rsidP="00D23BBB">
            <w:pPr>
              <w:pStyle w:val="Tabletext"/>
              <w:spacing w:before="20" w:after="20"/>
              <w:rPr>
                <w:bCs/>
                <w:szCs w:val="22"/>
                <w:lang w:val="en-US"/>
              </w:rPr>
            </w:pPr>
            <w:r w:rsidRPr="000C156A">
              <w:rPr>
                <w:rFonts w:hint="eastAsia"/>
                <w:bCs/>
                <w:szCs w:val="22"/>
                <w:lang w:val="en-US"/>
              </w:rPr>
              <w:lastRenderedPageBreak/>
              <w:t>重新估值</w:t>
            </w:r>
          </w:p>
        </w:tc>
        <w:tc>
          <w:tcPr>
            <w:tcW w:w="1520" w:type="dxa"/>
            <w:tcBorders>
              <w:bottom w:val="single" w:sz="4" w:space="0" w:color="000000"/>
            </w:tcBorders>
            <w:shd w:val="clear" w:color="auto" w:fill="auto"/>
            <w:noWrap/>
            <w:vAlign w:val="bottom"/>
            <w:hideMark/>
          </w:tcPr>
          <w:p w14:paraId="62FC64AE" w14:textId="7777777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p>
        </w:tc>
        <w:tc>
          <w:tcPr>
            <w:tcW w:w="1383" w:type="dxa"/>
            <w:tcBorders>
              <w:bottom w:val="single" w:sz="4" w:space="0" w:color="000000"/>
            </w:tcBorders>
            <w:shd w:val="clear" w:color="auto" w:fill="auto"/>
            <w:noWrap/>
            <w:vAlign w:val="bottom"/>
            <w:hideMark/>
          </w:tcPr>
          <w:p w14:paraId="07AF48EC" w14:textId="41FB97E2"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w:t>
            </w:r>
          </w:p>
        </w:tc>
        <w:tc>
          <w:tcPr>
            <w:tcW w:w="1243" w:type="dxa"/>
            <w:tcBorders>
              <w:bottom w:val="single" w:sz="4" w:space="0" w:color="000000"/>
            </w:tcBorders>
            <w:shd w:val="clear" w:color="auto" w:fill="auto"/>
            <w:noWrap/>
            <w:vAlign w:val="center"/>
            <w:hideMark/>
          </w:tcPr>
          <w:p w14:paraId="6A8D33D0" w14:textId="7D07A41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xml:space="preserve">- </w:t>
            </w:r>
          </w:p>
        </w:tc>
      </w:tr>
      <w:tr w:rsidR="00D23BBB" w:rsidRPr="000C156A" w14:paraId="75518A66" w14:textId="77777777" w:rsidTr="003A64C9">
        <w:trPr>
          <w:trHeight w:val="120"/>
          <w:jc w:val="center"/>
        </w:trPr>
        <w:tc>
          <w:tcPr>
            <w:tcW w:w="3042" w:type="dxa"/>
            <w:tcBorders>
              <w:top w:val="single" w:sz="4" w:space="0" w:color="000000"/>
              <w:bottom w:val="single" w:sz="4" w:space="0" w:color="000000"/>
            </w:tcBorders>
            <w:shd w:val="clear" w:color="auto" w:fill="auto"/>
            <w:vAlign w:val="center"/>
            <w:hideMark/>
          </w:tcPr>
          <w:p w14:paraId="7B6F8E24" w14:textId="77777777" w:rsidR="00D23BBB" w:rsidRPr="000C156A" w:rsidRDefault="00D23BBB" w:rsidP="00D23BBB">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12</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31</w:t>
            </w:r>
            <w:r w:rsidRPr="000C156A">
              <w:rPr>
                <w:rFonts w:cs="Arial" w:hint="eastAsia"/>
                <w:b/>
                <w:bCs/>
                <w:color w:val="000000"/>
                <w:sz w:val="22"/>
                <w:szCs w:val="22"/>
                <w:lang w:val="en-US" w:eastAsia="zh-CN"/>
              </w:rPr>
              <w:t>日时的成本</w:t>
            </w:r>
          </w:p>
        </w:tc>
        <w:tc>
          <w:tcPr>
            <w:tcW w:w="1520" w:type="dxa"/>
            <w:tcBorders>
              <w:top w:val="single" w:sz="4" w:space="0" w:color="000000"/>
              <w:bottom w:val="single" w:sz="4" w:space="0" w:color="000000"/>
            </w:tcBorders>
            <w:shd w:val="clear" w:color="auto" w:fill="auto"/>
            <w:vAlign w:val="center"/>
            <w:hideMark/>
          </w:tcPr>
          <w:p w14:paraId="01ACFB0F" w14:textId="562BBEF4"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13</w:t>
            </w:r>
            <w:r>
              <w:rPr>
                <w:rFonts w:asciiTheme="minorHAnsi" w:hAnsiTheme="minorHAnsi" w:cstheme="minorHAnsi"/>
                <w:b/>
                <w:bCs/>
                <w:color w:val="000000"/>
                <w:sz w:val="22"/>
                <w:szCs w:val="22"/>
                <w:lang w:eastAsia="en-GB"/>
              </w:rPr>
              <w:t> </w:t>
            </w:r>
            <w:r w:rsidRPr="00D23BBB">
              <w:rPr>
                <w:rFonts w:asciiTheme="minorHAnsi" w:hAnsiTheme="minorHAnsi" w:cstheme="minorHAnsi"/>
                <w:b/>
                <w:bCs/>
                <w:color w:val="000000"/>
                <w:sz w:val="22"/>
                <w:szCs w:val="22"/>
                <w:lang w:eastAsia="en-GB"/>
              </w:rPr>
              <w:t xml:space="preserve">362 </w:t>
            </w:r>
          </w:p>
        </w:tc>
        <w:tc>
          <w:tcPr>
            <w:tcW w:w="1383" w:type="dxa"/>
            <w:tcBorders>
              <w:top w:val="single" w:sz="4" w:space="0" w:color="000000"/>
              <w:bottom w:val="single" w:sz="4" w:space="0" w:color="000000"/>
            </w:tcBorders>
            <w:shd w:val="clear" w:color="auto" w:fill="auto"/>
            <w:vAlign w:val="center"/>
            <w:hideMark/>
          </w:tcPr>
          <w:p w14:paraId="64282B37" w14:textId="5265F757"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 xml:space="preserve">370 </w:t>
            </w:r>
          </w:p>
        </w:tc>
        <w:tc>
          <w:tcPr>
            <w:tcW w:w="1243" w:type="dxa"/>
            <w:tcBorders>
              <w:top w:val="single" w:sz="4" w:space="0" w:color="000000"/>
              <w:bottom w:val="single" w:sz="4" w:space="0" w:color="000000"/>
            </w:tcBorders>
            <w:shd w:val="clear" w:color="auto" w:fill="auto"/>
            <w:vAlign w:val="center"/>
            <w:hideMark/>
          </w:tcPr>
          <w:p w14:paraId="740EC2BC" w14:textId="09D6F48E"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13</w:t>
            </w:r>
            <w:r>
              <w:rPr>
                <w:rFonts w:asciiTheme="minorHAnsi" w:hAnsiTheme="minorHAnsi" w:cstheme="minorHAnsi"/>
                <w:b/>
                <w:bCs/>
                <w:color w:val="000000"/>
                <w:sz w:val="22"/>
                <w:szCs w:val="22"/>
                <w:lang w:eastAsia="en-GB"/>
              </w:rPr>
              <w:t> </w:t>
            </w:r>
            <w:r w:rsidRPr="00D23BBB">
              <w:rPr>
                <w:rFonts w:asciiTheme="minorHAnsi" w:hAnsiTheme="minorHAnsi" w:cstheme="minorHAnsi"/>
                <w:b/>
                <w:bCs/>
                <w:color w:val="000000"/>
                <w:sz w:val="22"/>
                <w:szCs w:val="22"/>
                <w:lang w:eastAsia="en-GB"/>
              </w:rPr>
              <w:t xml:space="preserve">732 </w:t>
            </w:r>
          </w:p>
        </w:tc>
      </w:tr>
      <w:tr w:rsidR="00D23BBB" w:rsidRPr="000C156A" w14:paraId="10BF2789" w14:textId="77777777" w:rsidTr="003A64C9">
        <w:trPr>
          <w:trHeight w:val="226"/>
          <w:jc w:val="center"/>
        </w:trPr>
        <w:tc>
          <w:tcPr>
            <w:tcW w:w="3042" w:type="dxa"/>
            <w:tcBorders>
              <w:top w:val="single" w:sz="4" w:space="0" w:color="000000"/>
              <w:bottom w:val="single" w:sz="4" w:space="0" w:color="000000"/>
            </w:tcBorders>
            <w:shd w:val="clear" w:color="auto" w:fill="auto"/>
            <w:vAlign w:val="center"/>
            <w:hideMark/>
          </w:tcPr>
          <w:p w14:paraId="54375EAB" w14:textId="77777777" w:rsidR="00D23BBB" w:rsidRPr="000C156A" w:rsidRDefault="00D23BBB" w:rsidP="00D23BBB">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日时的折旧</w:t>
            </w:r>
          </w:p>
        </w:tc>
        <w:tc>
          <w:tcPr>
            <w:tcW w:w="1520" w:type="dxa"/>
            <w:tcBorders>
              <w:top w:val="single" w:sz="4" w:space="0" w:color="000000"/>
              <w:bottom w:val="single" w:sz="4" w:space="0" w:color="000000"/>
            </w:tcBorders>
            <w:shd w:val="clear" w:color="auto" w:fill="auto"/>
            <w:noWrap/>
            <w:vAlign w:val="center"/>
            <w:hideMark/>
          </w:tcPr>
          <w:p w14:paraId="6B37AA73" w14:textId="46D30395"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 </w:t>
            </w:r>
          </w:p>
        </w:tc>
        <w:tc>
          <w:tcPr>
            <w:tcW w:w="1383" w:type="dxa"/>
            <w:tcBorders>
              <w:top w:val="single" w:sz="4" w:space="0" w:color="000000"/>
              <w:bottom w:val="single" w:sz="4" w:space="0" w:color="000000"/>
            </w:tcBorders>
            <w:shd w:val="clear" w:color="auto" w:fill="auto"/>
            <w:noWrap/>
            <w:vAlign w:val="center"/>
            <w:hideMark/>
          </w:tcPr>
          <w:p w14:paraId="5192DFEF" w14:textId="5CB822AF"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color w:val="000000"/>
                <w:sz w:val="22"/>
                <w:szCs w:val="22"/>
                <w:lang w:eastAsia="en-GB"/>
              </w:rPr>
              <w:t xml:space="preserve">- </w:t>
            </w:r>
          </w:p>
        </w:tc>
        <w:tc>
          <w:tcPr>
            <w:tcW w:w="1243" w:type="dxa"/>
            <w:tcBorders>
              <w:top w:val="single" w:sz="4" w:space="0" w:color="000000"/>
              <w:bottom w:val="single" w:sz="4" w:space="0" w:color="000000"/>
            </w:tcBorders>
            <w:shd w:val="clear" w:color="auto" w:fill="auto"/>
            <w:vAlign w:val="center"/>
            <w:hideMark/>
          </w:tcPr>
          <w:p w14:paraId="0AA5ABDE" w14:textId="0710DD14"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 xml:space="preserve">- </w:t>
            </w:r>
          </w:p>
        </w:tc>
      </w:tr>
      <w:tr w:rsidR="00D23BBB" w:rsidRPr="000C156A" w14:paraId="7A7B1A23" w14:textId="77777777" w:rsidTr="003A64C9">
        <w:trPr>
          <w:trHeight w:val="120"/>
          <w:jc w:val="center"/>
        </w:trPr>
        <w:tc>
          <w:tcPr>
            <w:tcW w:w="3042" w:type="dxa"/>
            <w:tcBorders>
              <w:top w:val="single" w:sz="4" w:space="0" w:color="000000"/>
            </w:tcBorders>
            <w:shd w:val="clear" w:color="auto" w:fill="auto"/>
            <w:hideMark/>
          </w:tcPr>
          <w:p w14:paraId="105C7BFA" w14:textId="77777777" w:rsidR="00D23BBB" w:rsidRPr="000C156A" w:rsidRDefault="00D23BBB" w:rsidP="00D23BBB">
            <w:pPr>
              <w:overflowPunct/>
              <w:adjustRightInd/>
              <w:spacing w:before="0"/>
              <w:textAlignment w:val="auto"/>
              <w:rPr>
                <w:rFonts w:cs="Arial"/>
                <w:color w:val="000000"/>
                <w:sz w:val="22"/>
                <w:szCs w:val="22"/>
                <w:lang w:val="en-US" w:eastAsia="zh-CN"/>
              </w:rPr>
            </w:pPr>
            <w:r w:rsidRPr="000C156A">
              <w:rPr>
                <w:rFonts w:cs="Arial" w:hint="eastAsia"/>
                <w:color w:val="000000"/>
                <w:sz w:val="22"/>
                <w:szCs w:val="22"/>
                <w:lang w:val="en-US" w:eastAsia="zh-CN"/>
              </w:rPr>
              <w:t>年度期间得到确认</w:t>
            </w:r>
          </w:p>
        </w:tc>
        <w:tc>
          <w:tcPr>
            <w:tcW w:w="1520" w:type="dxa"/>
            <w:tcBorders>
              <w:top w:val="single" w:sz="4" w:space="0" w:color="000000"/>
            </w:tcBorders>
            <w:shd w:val="clear" w:color="auto" w:fill="auto"/>
            <w:noWrap/>
            <w:vAlign w:val="center"/>
            <w:hideMark/>
          </w:tcPr>
          <w:p w14:paraId="470CEB0E" w14:textId="7777777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p>
        </w:tc>
        <w:tc>
          <w:tcPr>
            <w:tcW w:w="1383" w:type="dxa"/>
            <w:tcBorders>
              <w:top w:val="single" w:sz="4" w:space="0" w:color="000000"/>
            </w:tcBorders>
            <w:shd w:val="clear" w:color="auto" w:fill="auto"/>
            <w:noWrap/>
            <w:vAlign w:val="bottom"/>
            <w:hideMark/>
          </w:tcPr>
          <w:p w14:paraId="55A24BA1" w14:textId="0FFBEB4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w:t>
            </w:r>
          </w:p>
        </w:tc>
        <w:tc>
          <w:tcPr>
            <w:tcW w:w="1243" w:type="dxa"/>
            <w:tcBorders>
              <w:top w:val="single" w:sz="4" w:space="0" w:color="000000"/>
            </w:tcBorders>
            <w:shd w:val="clear" w:color="auto" w:fill="auto"/>
            <w:noWrap/>
            <w:vAlign w:val="center"/>
            <w:hideMark/>
          </w:tcPr>
          <w:p w14:paraId="4E3C4DA2" w14:textId="6CBDBFE1"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xml:space="preserve">- </w:t>
            </w:r>
          </w:p>
        </w:tc>
      </w:tr>
      <w:tr w:rsidR="00D23BBB" w:rsidRPr="000C156A" w14:paraId="41E44B62" w14:textId="77777777" w:rsidTr="003A64C9">
        <w:trPr>
          <w:trHeight w:val="120"/>
          <w:jc w:val="center"/>
        </w:trPr>
        <w:tc>
          <w:tcPr>
            <w:tcW w:w="3042" w:type="dxa"/>
            <w:hideMark/>
          </w:tcPr>
          <w:p w14:paraId="5FA6AC32" w14:textId="77777777" w:rsidR="00D23BBB" w:rsidRPr="000C156A" w:rsidRDefault="00D23BBB" w:rsidP="00D23BBB">
            <w:pPr>
              <w:pStyle w:val="Tabletext"/>
              <w:spacing w:before="20" w:after="20"/>
              <w:rPr>
                <w:bCs/>
                <w:szCs w:val="22"/>
                <w:lang w:val="en-US"/>
              </w:rPr>
            </w:pPr>
            <w:r w:rsidRPr="000C156A">
              <w:rPr>
                <w:rFonts w:hint="eastAsia"/>
                <w:bCs/>
                <w:szCs w:val="22"/>
                <w:lang w:val="en-US"/>
              </w:rPr>
              <w:t>处置</w:t>
            </w:r>
          </w:p>
        </w:tc>
        <w:tc>
          <w:tcPr>
            <w:tcW w:w="1520" w:type="dxa"/>
            <w:shd w:val="clear" w:color="auto" w:fill="auto"/>
            <w:noWrap/>
            <w:vAlign w:val="bottom"/>
            <w:hideMark/>
          </w:tcPr>
          <w:p w14:paraId="1828E131" w14:textId="7777777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7353E545" w14:textId="00FB384E"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w:t>
            </w:r>
          </w:p>
        </w:tc>
        <w:tc>
          <w:tcPr>
            <w:tcW w:w="1243" w:type="dxa"/>
            <w:shd w:val="clear" w:color="auto" w:fill="auto"/>
            <w:noWrap/>
            <w:vAlign w:val="center"/>
            <w:hideMark/>
          </w:tcPr>
          <w:p w14:paraId="748F8B6A" w14:textId="62AA7D5D"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xml:space="preserve">- </w:t>
            </w:r>
          </w:p>
        </w:tc>
      </w:tr>
      <w:tr w:rsidR="00D23BBB" w:rsidRPr="000C156A" w14:paraId="74D707BE" w14:textId="77777777" w:rsidTr="003A64C9">
        <w:trPr>
          <w:trHeight w:val="120"/>
          <w:jc w:val="center"/>
        </w:trPr>
        <w:tc>
          <w:tcPr>
            <w:tcW w:w="3042" w:type="dxa"/>
            <w:hideMark/>
          </w:tcPr>
          <w:p w14:paraId="6E2CBB67" w14:textId="77777777" w:rsidR="00D23BBB" w:rsidRPr="000C156A" w:rsidRDefault="00D23BBB" w:rsidP="00D23BBB">
            <w:pPr>
              <w:pStyle w:val="Tabletext"/>
              <w:spacing w:before="20" w:after="20"/>
              <w:rPr>
                <w:szCs w:val="22"/>
                <w:lang w:val="en-US" w:eastAsia="zh-CN"/>
              </w:rPr>
            </w:pPr>
            <w:r w:rsidRPr="000C156A">
              <w:rPr>
                <w:rFonts w:hint="eastAsia"/>
                <w:szCs w:val="22"/>
                <w:lang w:val="en-US" w:eastAsia="zh-CN"/>
              </w:rPr>
              <w:t>减值损失</w:t>
            </w:r>
          </w:p>
        </w:tc>
        <w:tc>
          <w:tcPr>
            <w:tcW w:w="1520" w:type="dxa"/>
            <w:shd w:val="clear" w:color="auto" w:fill="auto"/>
            <w:noWrap/>
            <w:vAlign w:val="bottom"/>
            <w:hideMark/>
          </w:tcPr>
          <w:p w14:paraId="451E3F3A" w14:textId="7777777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346C619F" w14:textId="47E298DA"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w:t>
            </w:r>
          </w:p>
        </w:tc>
        <w:tc>
          <w:tcPr>
            <w:tcW w:w="1243" w:type="dxa"/>
            <w:shd w:val="clear" w:color="auto" w:fill="auto"/>
            <w:noWrap/>
            <w:vAlign w:val="center"/>
            <w:hideMark/>
          </w:tcPr>
          <w:p w14:paraId="3CE9EA87" w14:textId="06FA9461"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xml:space="preserve">- </w:t>
            </w:r>
          </w:p>
        </w:tc>
      </w:tr>
      <w:tr w:rsidR="00D23BBB" w:rsidRPr="000C156A" w14:paraId="3A7BBB06" w14:textId="77777777" w:rsidTr="003A64C9">
        <w:trPr>
          <w:trHeight w:val="120"/>
          <w:jc w:val="center"/>
        </w:trPr>
        <w:tc>
          <w:tcPr>
            <w:tcW w:w="3042" w:type="dxa"/>
            <w:hideMark/>
          </w:tcPr>
          <w:p w14:paraId="785107E5" w14:textId="77777777" w:rsidR="00D23BBB" w:rsidRPr="000C156A" w:rsidRDefault="00D23BBB" w:rsidP="00D23BBB">
            <w:pPr>
              <w:pStyle w:val="Tabletext"/>
              <w:spacing w:before="20" w:after="20"/>
              <w:rPr>
                <w:szCs w:val="22"/>
                <w:lang w:val="en-US" w:eastAsia="zh-CN"/>
              </w:rPr>
            </w:pPr>
            <w:r w:rsidRPr="000C156A">
              <w:rPr>
                <w:rFonts w:hint="eastAsia"/>
                <w:bCs/>
                <w:szCs w:val="22"/>
                <w:lang w:val="en-US"/>
              </w:rPr>
              <w:t>重新分类与校正</w:t>
            </w:r>
          </w:p>
        </w:tc>
        <w:tc>
          <w:tcPr>
            <w:tcW w:w="1520" w:type="dxa"/>
            <w:shd w:val="clear" w:color="auto" w:fill="auto"/>
            <w:noWrap/>
            <w:vAlign w:val="bottom"/>
            <w:hideMark/>
          </w:tcPr>
          <w:p w14:paraId="57A8D067" w14:textId="7777777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p>
        </w:tc>
        <w:tc>
          <w:tcPr>
            <w:tcW w:w="1383" w:type="dxa"/>
            <w:shd w:val="clear" w:color="auto" w:fill="auto"/>
            <w:noWrap/>
            <w:vAlign w:val="bottom"/>
            <w:hideMark/>
          </w:tcPr>
          <w:p w14:paraId="024FF522" w14:textId="144BE99C"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w:t>
            </w:r>
          </w:p>
        </w:tc>
        <w:tc>
          <w:tcPr>
            <w:tcW w:w="1243" w:type="dxa"/>
            <w:shd w:val="clear" w:color="auto" w:fill="auto"/>
            <w:noWrap/>
            <w:vAlign w:val="center"/>
            <w:hideMark/>
          </w:tcPr>
          <w:p w14:paraId="507BDA8A" w14:textId="03325702"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xml:space="preserve">- </w:t>
            </w:r>
          </w:p>
        </w:tc>
      </w:tr>
      <w:tr w:rsidR="00D23BBB" w:rsidRPr="000C156A" w14:paraId="6731EB7E" w14:textId="77777777" w:rsidTr="003A64C9">
        <w:trPr>
          <w:trHeight w:val="120"/>
          <w:jc w:val="center"/>
        </w:trPr>
        <w:tc>
          <w:tcPr>
            <w:tcW w:w="3042" w:type="dxa"/>
            <w:tcBorders>
              <w:bottom w:val="single" w:sz="4" w:space="0" w:color="000000"/>
            </w:tcBorders>
            <w:hideMark/>
          </w:tcPr>
          <w:p w14:paraId="37C2AC52" w14:textId="77777777" w:rsidR="00D23BBB" w:rsidRPr="000C156A" w:rsidRDefault="00D23BBB" w:rsidP="00D23BBB">
            <w:pPr>
              <w:pStyle w:val="Tabletext"/>
              <w:spacing w:before="20" w:after="20"/>
              <w:rPr>
                <w:bCs/>
                <w:szCs w:val="22"/>
                <w:lang w:val="en-US"/>
              </w:rPr>
            </w:pPr>
            <w:r w:rsidRPr="000C156A">
              <w:rPr>
                <w:rFonts w:hint="eastAsia"/>
                <w:bCs/>
                <w:szCs w:val="22"/>
                <w:lang w:val="en-US"/>
              </w:rPr>
              <w:t>重新估值</w:t>
            </w:r>
          </w:p>
        </w:tc>
        <w:tc>
          <w:tcPr>
            <w:tcW w:w="1520" w:type="dxa"/>
            <w:tcBorders>
              <w:bottom w:val="single" w:sz="4" w:space="0" w:color="000000"/>
            </w:tcBorders>
            <w:shd w:val="clear" w:color="auto" w:fill="auto"/>
            <w:noWrap/>
            <w:vAlign w:val="bottom"/>
            <w:hideMark/>
          </w:tcPr>
          <w:p w14:paraId="4259A925" w14:textId="77777777"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p>
        </w:tc>
        <w:tc>
          <w:tcPr>
            <w:tcW w:w="1383" w:type="dxa"/>
            <w:tcBorders>
              <w:bottom w:val="single" w:sz="4" w:space="0" w:color="000000"/>
            </w:tcBorders>
            <w:shd w:val="clear" w:color="auto" w:fill="auto"/>
            <w:noWrap/>
            <w:vAlign w:val="bottom"/>
            <w:hideMark/>
          </w:tcPr>
          <w:p w14:paraId="04BAC4BD" w14:textId="6802E708"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w:t>
            </w:r>
          </w:p>
        </w:tc>
        <w:tc>
          <w:tcPr>
            <w:tcW w:w="1243" w:type="dxa"/>
            <w:tcBorders>
              <w:bottom w:val="single" w:sz="4" w:space="0" w:color="000000"/>
            </w:tcBorders>
            <w:shd w:val="clear" w:color="auto" w:fill="auto"/>
            <w:noWrap/>
            <w:vAlign w:val="center"/>
            <w:hideMark/>
          </w:tcPr>
          <w:p w14:paraId="0C1A4767" w14:textId="72D3E875" w:rsidR="00D23BBB" w:rsidRPr="00D23BBB" w:rsidRDefault="00D23BBB" w:rsidP="00D23BBB">
            <w:pPr>
              <w:overflowPunct/>
              <w:autoSpaceDE/>
              <w:autoSpaceDN/>
              <w:adjustRightInd/>
              <w:spacing w:before="0"/>
              <w:jc w:val="right"/>
              <w:textAlignment w:val="auto"/>
              <w:rPr>
                <w:rFonts w:cstheme="minorHAnsi"/>
                <w:color w:val="000000"/>
                <w:sz w:val="22"/>
                <w:szCs w:val="22"/>
                <w:lang w:eastAsia="en-GB"/>
              </w:rPr>
            </w:pPr>
            <w:r w:rsidRPr="00D23BBB">
              <w:rPr>
                <w:rFonts w:asciiTheme="minorHAnsi" w:hAnsiTheme="minorHAnsi" w:cstheme="minorHAnsi"/>
                <w:color w:val="000000"/>
                <w:sz w:val="22"/>
                <w:szCs w:val="22"/>
                <w:lang w:eastAsia="en-GB"/>
              </w:rPr>
              <w:t xml:space="preserve">- </w:t>
            </w:r>
          </w:p>
        </w:tc>
      </w:tr>
      <w:tr w:rsidR="00D23BBB" w:rsidRPr="000C156A" w14:paraId="5CDECD37" w14:textId="77777777" w:rsidTr="003A64C9">
        <w:trPr>
          <w:trHeight w:val="226"/>
          <w:jc w:val="center"/>
        </w:trPr>
        <w:tc>
          <w:tcPr>
            <w:tcW w:w="3042" w:type="dxa"/>
            <w:tcBorders>
              <w:top w:val="single" w:sz="4" w:space="0" w:color="000000"/>
              <w:bottom w:val="single" w:sz="4" w:space="0" w:color="000000"/>
            </w:tcBorders>
            <w:shd w:val="clear" w:color="auto" w:fill="auto"/>
            <w:vAlign w:val="center"/>
            <w:hideMark/>
          </w:tcPr>
          <w:p w14:paraId="01244001" w14:textId="77777777" w:rsidR="00D23BBB" w:rsidRPr="000C156A" w:rsidRDefault="00D23BBB" w:rsidP="00D23BBB">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12</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31</w:t>
            </w:r>
            <w:r w:rsidRPr="000C156A">
              <w:rPr>
                <w:rFonts w:cs="Arial" w:hint="eastAsia"/>
                <w:b/>
                <w:bCs/>
                <w:color w:val="000000"/>
                <w:sz w:val="22"/>
                <w:szCs w:val="22"/>
                <w:lang w:val="en-US" w:eastAsia="zh-CN"/>
              </w:rPr>
              <w:t>日时的折旧</w:t>
            </w:r>
          </w:p>
        </w:tc>
        <w:tc>
          <w:tcPr>
            <w:tcW w:w="1520" w:type="dxa"/>
            <w:tcBorders>
              <w:top w:val="single" w:sz="4" w:space="0" w:color="000000"/>
              <w:bottom w:val="single" w:sz="4" w:space="0" w:color="000000"/>
            </w:tcBorders>
            <w:shd w:val="clear" w:color="auto" w:fill="auto"/>
            <w:vAlign w:val="center"/>
            <w:hideMark/>
          </w:tcPr>
          <w:p w14:paraId="66B82A2C" w14:textId="1A3C671B"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 xml:space="preserve">- </w:t>
            </w:r>
          </w:p>
        </w:tc>
        <w:tc>
          <w:tcPr>
            <w:tcW w:w="1383" w:type="dxa"/>
            <w:tcBorders>
              <w:top w:val="single" w:sz="4" w:space="0" w:color="000000"/>
              <w:bottom w:val="single" w:sz="4" w:space="0" w:color="000000"/>
            </w:tcBorders>
            <w:shd w:val="clear" w:color="auto" w:fill="auto"/>
            <w:noWrap/>
            <w:vAlign w:val="center"/>
            <w:hideMark/>
          </w:tcPr>
          <w:p w14:paraId="4236C296" w14:textId="797487DE"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 xml:space="preserve">- </w:t>
            </w:r>
          </w:p>
        </w:tc>
        <w:tc>
          <w:tcPr>
            <w:tcW w:w="1243" w:type="dxa"/>
            <w:tcBorders>
              <w:top w:val="single" w:sz="4" w:space="0" w:color="000000"/>
              <w:bottom w:val="single" w:sz="4" w:space="0" w:color="000000"/>
            </w:tcBorders>
            <w:shd w:val="clear" w:color="auto" w:fill="auto"/>
            <w:vAlign w:val="center"/>
            <w:hideMark/>
          </w:tcPr>
          <w:p w14:paraId="49D3C950" w14:textId="7326B36E"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 xml:space="preserve">- </w:t>
            </w:r>
          </w:p>
        </w:tc>
      </w:tr>
      <w:tr w:rsidR="00D23BBB" w:rsidRPr="000C156A" w14:paraId="30E1F433" w14:textId="77777777" w:rsidTr="003A64C9">
        <w:trPr>
          <w:trHeight w:val="240"/>
          <w:jc w:val="center"/>
        </w:trPr>
        <w:tc>
          <w:tcPr>
            <w:tcW w:w="3042" w:type="dxa"/>
            <w:tcBorders>
              <w:top w:val="single" w:sz="4" w:space="0" w:color="000000"/>
              <w:bottom w:val="single" w:sz="4" w:space="0" w:color="000000"/>
            </w:tcBorders>
            <w:shd w:val="clear" w:color="auto" w:fill="auto"/>
            <w:vAlign w:val="center"/>
            <w:hideMark/>
          </w:tcPr>
          <w:p w14:paraId="6A7397EF" w14:textId="77777777" w:rsidR="00D23BBB" w:rsidRPr="000C156A" w:rsidRDefault="00D23BBB" w:rsidP="00D23BBB">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1</w:t>
            </w:r>
            <w:r w:rsidRPr="000C156A">
              <w:rPr>
                <w:rFonts w:cs="Arial" w:hint="eastAsia"/>
                <w:b/>
                <w:bCs/>
                <w:color w:val="000000"/>
                <w:sz w:val="22"/>
                <w:szCs w:val="22"/>
                <w:lang w:val="en-US" w:eastAsia="zh-CN"/>
              </w:rPr>
              <w:t>日时的净账面金额</w:t>
            </w:r>
          </w:p>
        </w:tc>
        <w:tc>
          <w:tcPr>
            <w:tcW w:w="1520" w:type="dxa"/>
            <w:tcBorders>
              <w:top w:val="single" w:sz="4" w:space="0" w:color="000000"/>
              <w:bottom w:val="single" w:sz="4" w:space="0" w:color="000000"/>
            </w:tcBorders>
            <w:shd w:val="clear" w:color="auto" w:fill="auto"/>
            <w:vAlign w:val="center"/>
            <w:hideMark/>
          </w:tcPr>
          <w:p w14:paraId="6F98ADAC" w14:textId="78F4E198"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8</w:t>
            </w:r>
            <w:r>
              <w:rPr>
                <w:rFonts w:asciiTheme="minorHAnsi" w:hAnsiTheme="minorHAnsi" w:cstheme="minorHAnsi"/>
                <w:b/>
                <w:bCs/>
                <w:color w:val="000000"/>
                <w:sz w:val="22"/>
                <w:szCs w:val="22"/>
                <w:lang w:eastAsia="en-GB"/>
              </w:rPr>
              <w:t> </w:t>
            </w:r>
            <w:r w:rsidRPr="00D23BBB">
              <w:rPr>
                <w:rFonts w:asciiTheme="minorHAnsi" w:hAnsiTheme="minorHAnsi" w:cstheme="minorHAnsi"/>
                <w:b/>
                <w:bCs/>
                <w:color w:val="000000"/>
                <w:sz w:val="22"/>
                <w:szCs w:val="22"/>
                <w:lang w:eastAsia="en-GB"/>
              </w:rPr>
              <w:t xml:space="preserve">176 </w:t>
            </w:r>
          </w:p>
        </w:tc>
        <w:tc>
          <w:tcPr>
            <w:tcW w:w="1383" w:type="dxa"/>
            <w:tcBorders>
              <w:top w:val="single" w:sz="4" w:space="0" w:color="000000"/>
              <w:bottom w:val="single" w:sz="4" w:space="0" w:color="000000"/>
            </w:tcBorders>
            <w:shd w:val="clear" w:color="auto" w:fill="auto"/>
            <w:vAlign w:val="center"/>
            <w:hideMark/>
          </w:tcPr>
          <w:p w14:paraId="4F4B975E" w14:textId="676F9BE9"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1</w:t>
            </w:r>
            <w:r>
              <w:rPr>
                <w:rFonts w:asciiTheme="minorHAnsi" w:hAnsiTheme="minorHAnsi" w:cstheme="minorHAnsi"/>
                <w:b/>
                <w:bCs/>
                <w:color w:val="000000"/>
                <w:sz w:val="22"/>
                <w:szCs w:val="22"/>
                <w:lang w:eastAsia="en-GB"/>
              </w:rPr>
              <w:t> </w:t>
            </w:r>
            <w:r w:rsidRPr="00D23BBB">
              <w:rPr>
                <w:rFonts w:asciiTheme="minorHAnsi" w:hAnsiTheme="minorHAnsi" w:cstheme="minorHAnsi"/>
                <w:b/>
                <w:bCs/>
                <w:color w:val="000000"/>
                <w:sz w:val="22"/>
                <w:szCs w:val="22"/>
                <w:lang w:eastAsia="en-GB"/>
              </w:rPr>
              <w:t xml:space="preserve">267 </w:t>
            </w:r>
          </w:p>
        </w:tc>
        <w:tc>
          <w:tcPr>
            <w:tcW w:w="1243" w:type="dxa"/>
            <w:tcBorders>
              <w:top w:val="single" w:sz="4" w:space="0" w:color="000000"/>
              <w:bottom w:val="single" w:sz="4" w:space="0" w:color="000000"/>
            </w:tcBorders>
            <w:shd w:val="clear" w:color="auto" w:fill="auto"/>
            <w:vAlign w:val="center"/>
            <w:hideMark/>
          </w:tcPr>
          <w:p w14:paraId="21FAE2F7" w14:textId="53E36ABE"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9</w:t>
            </w:r>
            <w:r>
              <w:rPr>
                <w:rFonts w:asciiTheme="minorHAnsi" w:hAnsiTheme="minorHAnsi" w:cstheme="minorHAnsi"/>
                <w:b/>
                <w:bCs/>
                <w:color w:val="000000"/>
                <w:sz w:val="22"/>
                <w:szCs w:val="22"/>
                <w:lang w:eastAsia="en-GB"/>
              </w:rPr>
              <w:t> </w:t>
            </w:r>
            <w:r w:rsidRPr="00D23BBB">
              <w:rPr>
                <w:rFonts w:asciiTheme="minorHAnsi" w:hAnsiTheme="minorHAnsi" w:cstheme="minorHAnsi"/>
                <w:b/>
                <w:bCs/>
                <w:color w:val="000000"/>
                <w:sz w:val="22"/>
                <w:szCs w:val="22"/>
                <w:lang w:eastAsia="en-GB"/>
              </w:rPr>
              <w:t xml:space="preserve">443 </w:t>
            </w:r>
          </w:p>
        </w:tc>
      </w:tr>
      <w:tr w:rsidR="00D23BBB" w:rsidRPr="000C156A" w14:paraId="2D9F9C61" w14:textId="77777777" w:rsidTr="003A64C9">
        <w:trPr>
          <w:trHeight w:val="233"/>
          <w:jc w:val="center"/>
        </w:trPr>
        <w:tc>
          <w:tcPr>
            <w:tcW w:w="3042" w:type="dxa"/>
            <w:tcBorders>
              <w:top w:val="single" w:sz="4" w:space="0" w:color="000000"/>
            </w:tcBorders>
            <w:shd w:val="clear" w:color="auto" w:fill="auto"/>
            <w:vAlign w:val="center"/>
            <w:hideMark/>
          </w:tcPr>
          <w:p w14:paraId="67621387" w14:textId="77777777" w:rsidR="00D23BBB" w:rsidRPr="000C156A" w:rsidRDefault="00D23BBB" w:rsidP="00D23BBB">
            <w:pPr>
              <w:overflowPunct/>
              <w:adjustRightInd/>
              <w:spacing w:before="0"/>
              <w:textAlignment w:val="auto"/>
              <w:rPr>
                <w:rFonts w:cs="Arial"/>
                <w:b/>
                <w:bCs/>
                <w:color w:val="000000"/>
                <w:sz w:val="22"/>
                <w:szCs w:val="22"/>
                <w:lang w:val="en-US" w:eastAsia="zh-CN"/>
              </w:rPr>
            </w:pPr>
            <w:r w:rsidRPr="000C156A">
              <w:rPr>
                <w:rFonts w:cs="Arial" w:hint="eastAsia"/>
                <w:b/>
                <w:bCs/>
                <w:color w:val="000000"/>
                <w:sz w:val="22"/>
                <w:szCs w:val="22"/>
                <w:lang w:val="en-US" w:eastAsia="zh-CN"/>
              </w:rPr>
              <w:t>12</w:t>
            </w:r>
            <w:r w:rsidRPr="000C156A">
              <w:rPr>
                <w:rFonts w:cs="Arial" w:hint="eastAsia"/>
                <w:b/>
                <w:bCs/>
                <w:color w:val="000000"/>
                <w:sz w:val="22"/>
                <w:szCs w:val="22"/>
                <w:lang w:val="en-US" w:eastAsia="zh-CN"/>
              </w:rPr>
              <w:t>月</w:t>
            </w:r>
            <w:r w:rsidRPr="000C156A">
              <w:rPr>
                <w:rFonts w:cs="Arial" w:hint="eastAsia"/>
                <w:b/>
                <w:bCs/>
                <w:color w:val="000000"/>
                <w:sz w:val="22"/>
                <w:szCs w:val="22"/>
                <w:lang w:val="en-US" w:eastAsia="zh-CN"/>
              </w:rPr>
              <w:t>31</w:t>
            </w:r>
            <w:r w:rsidRPr="000C156A">
              <w:rPr>
                <w:rFonts w:cs="Arial" w:hint="eastAsia"/>
                <w:b/>
                <w:bCs/>
                <w:color w:val="000000"/>
                <w:sz w:val="22"/>
                <w:szCs w:val="22"/>
                <w:lang w:val="en-US" w:eastAsia="zh-CN"/>
              </w:rPr>
              <w:t>时的净账面金额</w:t>
            </w:r>
          </w:p>
        </w:tc>
        <w:tc>
          <w:tcPr>
            <w:tcW w:w="1520" w:type="dxa"/>
            <w:tcBorders>
              <w:top w:val="single" w:sz="4" w:space="0" w:color="000000"/>
            </w:tcBorders>
            <w:shd w:val="clear" w:color="auto" w:fill="auto"/>
            <w:vAlign w:val="center"/>
            <w:hideMark/>
          </w:tcPr>
          <w:p w14:paraId="38941B6D" w14:textId="7726B1AF"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13</w:t>
            </w:r>
            <w:r>
              <w:rPr>
                <w:rFonts w:asciiTheme="minorHAnsi" w:hAnsiTheme="minorHAnsi" w:cstheme="minorHAnsi"/>
                <w:b/>
                <w:bCs/>
                <w:color w:val="000000"/>
                <w:sz w:val="22"/>
                <w:szCs w:val="22"/>
                <w:lang w:eastAsia="en-GB"/>
              </w:rPr>
              <w:t> </w:t>
            </w:r>
            <w:r w:rsidRPr="00D23BBB">
              <w:rPr>
                <w:rFonts w:asciiTheme="minorHAnsi" w:hAnsiTheme="minorHAnsi" w:cstheme="minorHAnsi"/>
                <w:b/>
                <w:bCs/>
                <w:color w:val="000000"/>
                <w:sz w:val="22"/>
                <w:szCs w:val="22"/>
                <w:lang w:eastAsia="en-GB"/>
              </w:rPr>
              <w:t xml:space="preserve">362 </w:t>
            </w:r>
          </w:p>
        </w:tc>
        <w:tc>
          <w:tcPr>
            <w:tcW w:w="1383" w:type="dxa"/>
            <w:tcBorders>
              <w:top w:val="single" w:sz="4" w:space="0" w:color="000000"/>
            </w:tcBorders>
            <w:shd w:val="clear" w:color="auto" w:fill="auto"/>
            <w:vAlign w:val="center"/>
            <w:hideMark/>
          </w:tcPr>
          <w:p w14:paraId="24ED0854" w14:textId="6F384868"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 xml:space="preserve">370  </w:t>
            </w:r>
          </w:p>
        </w:tc>
        <w:tc>
          <w:tcPr>
            <w:tcW w:w="1243" w:type="dxa"/>
            <w:tcBorders>
              <w:top w:val="single" w:sz="4" w:space="0" w:color="000000"/>
            </w:tcBorders>
            <w:shd w:val="clear" w:color="auto" w:fill="auto"/>
            <w:vAlign w:val="center"/>
            <w:hideMark/>
          </w:tcPr>
          <w:p w14:paraId="34654F4A" w14:textId="752E11CC" w:rsidR="00D23BBB" w:rsidRPr="00D23BBB" w:rsidRDefault="00D23BBB" w:rsidP="00D23BBB">
            <w:pPr>
              <w:overflowPunct/>
              <w:autoSpaceDE/>
              <w:autoSpaceDN/>
              <w:adjustRightInd/>
              <w:spacing w:before="0"/>
              <w:jc w:val="right"/>
              <w:textAlignment w:val="auto"/>
              <w:rPr>
                <w:rFonts w:cstheme="minorHAnsi"/>
                <w:b/>
                <w:bCs/>
                <w:color w:val="000000"/>
                <w:sz w:val="22"/>
                <w:szCs w:val="22"/>
                <w:lang w:eastAsia="en-GB"/>
              </w:rPr>
            </w:pPr>
            <w:r w:rsidRPr="00D23BBB">
              <w:rPr>
                <w:rFonts w:asciiTheme="minorHAnsi" w:hAnsiTheme="minorHAnsi" w:cstheme="minorHAnsi"/>
                <w:b/>
                <w:bCs/>
                <w:color w:val="000000"/>
                <w:sz w:val="22"/>
                <w:szCs w:val="22"/>
                <w:lang w:eastAsia="en-GB"/>
              </w:rPr>
              <w:t>13</w:t>
            </w:r>
            <w:r>
              <w:rPr>
                <w:rFonts w:asciiTheme="minorHAnsi" w:hAnsiTheme="minorHAnsi" w:cstheme="minorHAnsi"/>
                <w:b/>
                <w:bCs/>
                <w:color w:val="000000"/>
                <w:sz w:val="22"/>
                <w:szCs w:val="22"/>
                <w:lang w:eastAsia="en-GB"/>
              </w:rPr>
              <w:t> </w:t>
            </w:r>
            <w:r w:rsidRPr="00D23BBB">
              <w:rPr>
                <w:rFonts w:asciiTheme="minorHAnsi" w:hAnsiTheme="minorHAnsi" w:cstheme="minorHAnsi"/>
                <w:b/>
                <w:bCs/>
                <w:color w:val="000000"/>
                <w:sz w:val="22"/>
                <w:szCs w:val="22"/>
                <w:lang w:eastAsia="en-GB"/>
              </w:rPr>
              <w:t xml:space="preserve">732 </w:t>
            </w:r>
          </w:p>
        </w:tc>
      </w:tr>
    </w:tbl>
    <w:p w14:paraId="5F3F0E8D" w14:textId="77777777" w:rsidR="0085433F" w:rsidRPr="000C156A" w:rsidRDefault="0085433F" w:rsidP="0085433F">
      <w:pPr>
        <w:spacing w:before="240"/>
        <w:ind w:firstLineChars="200" w:firstLine="480"/>
        <w:rPr>
          <w:lang w:val="en-US" w:eastAsia="zh-CN"/>
        </w:rPr>
      </w:pPr>
      <w:bookmarkStart w:id="742" w:name="_Toc41905875"/>
      <w:r w:rsidRPr="000C156A">
        <w:rPr>
          <w:rFonts w:hint="eastAsia"/>
          <w:lang w:val="en-US" w:eastAsia="zh-CN"/>
        </w:rPr>
        <w:t>现已做出决定，另行披露建设中的资产，以便对新楼项目做出预期，从而在施工阶段对项目进行透明的跟进。</w:t>
      </w:r>
      <w:bookmarkEnd w:id="742"/>
    </w:p>
    <w:p w14:paraId="111E24D9" w14:textId="77777777" w:rsidR="0085433F" w:rsidRPr="000C156A" w:rsidRDefault="0085433F" w:rsidP="0085433F">
      <w:pPr>
        <w:pStyle w:val="Heading1"/>
        <w:spacing w:after="120"/>
        <w:rPr>
          <w:rFonts w:cs="Microsoft YaHei"/>
          <w:sz w:val="24"/>
          <w:szCs w:val="24"/>
          <w:lang w:val="en-US" w:eastAsia="zh-CN"/>
        </w:rPr>
      </w:pPr>
      <w:bookmarkStart w:id="743" w:name="_Toc511813756"/>
      <w:bookmarkStart w:id="744" w:name="_Toc511817839"/>
      <w:bookmarkStart w:id="745" w:name="_Toc520280739"/>
      <w:bookmarkStart w:id="746" w:name="_Toc10536834"/>
      <w:bookmarkStart w:id="747" w:name="_Toc41905876"/>
      <w:bookmarkStart w:id="748" w:name="_Toc41906904"/>
      <w:bookmarkStart w:id="749" w:name="_Toc41907985"/>
      <w:bookmarkStart w:id="750" w:name="_Toc41908053"/>
      <w:bookmarkStart w:id="751" w:name="_Toc73518691"/>
      <w:bookmarkStart w:id="752" w:name="_Toc73518838"/>
      <w:bookmarkStart w:id="753" w:name="_Toc73519238"/>
      <w:bookmarkStart w:id="754" w:name="_Toc110264001"/>
      <w:bookmarkStart w:id="755" w:name="_Toc110264080"/>
      <w:bookmarkStart w:id="756" w:name="_Toc110265719"/>
      <w:bookmarkStart w:id="757" w:name="_Toc110330089"/>
      <w:bookmarkStart w:id="758" w:name="_Toc110330254"/>
      <w:r w:rsidRPr="000C156A">
        <w:rPr>
          <w:rFonts w:cs="Microsoft YaHei" w:hint="eastAsia"/>
          <w:sz w:val="24"/>
          <w:szCs w:val="24"/>
          <w:lang w:val="fr-FR" w:eastAsia="zh-CN"/>
        </w:rPr>
        <w:t>说明</w:t>
      </w:r>
      <w:r w:rsidRPr="000C156A">
        <w:rPr>
          <w:rFonts w:cs="Microsoft YaHei"/>
          <w:sz w:val="24"/>
          <w:szCs w:val="24"/>
          <w:lang w:val="en-US" w:eastAsia="zh-CN"/>
        </w:rPr>
        <w:t>14</w:t>
      </w:r>
      <w:r w:rsidRPr="000C156A">
        <w:rPr>
          <w:rFonts w:cs="Microsoft YaHei"/>
          <w:sz w:val="24"/>
          <w:szCs w:val="24"/>
          <w:lang w:val="en-US" w:eastAsia="zh-CN"/>
        </w:rPr>
        <w:tab/>
      </w:r>
      <w:r w:rsidRPr="000C156A">
        <w:rPr>
          <w:rFonts w:cs="Microsoft YaHei" w:hint="eastAsia"/>
          <w:sz w:val="24"/>
          <w:szCs w:val="24"/>
          <w:lang w:val="fr-FR" w:eastAsia="zh-CN"/>
        </w:rPr>
        <w:t>供货商和其它债权方</w:t>
      </w:r>
      <w:bookmarkEnd w:id="738"/>
      <w:bookmarkEnd w:id="739"/>
      <w:bookmarkEnd w:id="740"/>
      <w:bookmarkEnd w:id="741"/>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83"/>
        <w:gridCol w:w="2523"/>
        <w:gridCol w:w="2523"/>
      </w:tblGrid>
      <w:tr w:rsidR="0085433F" w:rsidRPr="000C156A" w14:paraId="329BC62D" w14:textId="77777777" w:rsidTr="003A64C9">
        <w:trPr>
          <w:trHeight w:val="499"/>
        </w:trPr>
        <w:tc>
          <w:tcPr>
            <w:tcW w:w="2380" w:type="pct"/>
            <w:tcBorders>
              <w:bottom w:val="single" w:sz="4" w:space="0" w:color="000000"/>
            </w:tcBorders>
            <w:noWrap/>
            <w:vAlign w:val="center"/>
            <w:hideMark/>
          </w:tcPr>
          <w:p w14:paraId="4C784258" w14:textId="77777777" w:rsidR="0085433F" w:rsidRPr="000C156A" w:rsidRDefault="0085433F" w:rsidP="003A64C9">
            <w:pPr>
              <w:overflowPunct/>
              <w:autoSpaceDE/>
              <w:autoSpaceDN/>
              <w:adjustRightInd/>
              <w:spacing w:before="0"/>
              <w:textAlignment w:val="auto"/>
              <w:rPr>
                <w:rFonts w:cs="Arial"/>
                <w:b/>
                <w:bCs/>
                <w:color w:val="000000"/>
                <w:sz w:val="22"/>
                <w:szCs w:val="22"/>
                <w:lang w:val="en-US" w:eastAsia="zh-CN"/>
              </w:rPr>
            </w:pPr>
            <w:bookmarkStart w:id="759" w:name="_Toc305764088"/>
            <w:r w:rsidRPr="000C156A">
              <w:rPr>
                <w:rFonts w:cs="Microsoft YaHei" w:hint="eastAsia"/>
                <w:b/>
                <w:sz w:val="22"/>
                <w:szCs w:val="22"/>
                <w:lang w:val="en-US" w:eastAsia="zh-CN"/>
              </w:rPr>
              <w:t>单位</w:t>
            </w:r>
            <w:r w:rsidRPr="000C156A">
              <w:rPr>
                <w:rFonts w:cs="Microsoft YaHei" w:hint="eastAsia"/>
                <w:b/>
                <w:sz w:val="22"/>
                <w:szCs w:val="22"/>
                <w:lang w:val="en-US"/>
              </w:rPr>
              <w:t>：千瑞郎</w:t>
            </w:r>
          </w:p>
        </w:tc>
        <w:tc>
          <w:tcPr>
            <w:tcW w:w="1310" w:type="pct"/>
            <w:tcBorders>
              <w:bottom w:val="single" w:sz="4" w:space="0" w:color="000000"/>
            </w:tcBorders>
            <w:noWrap/>
            <w:vAlign w:val="center"/>
            <w:hideMark/>
          </w:tcPr>
          <w:p w14:paraId="3C95F592" w14:textId="62053170" w:rsidR="0085433F" w:rsidRPr="000C156A" w:rsidRDefault="0085433F" w:rsidP="003A64C9">
            <w:pPr>
              <w:pStyle w:val="Tablehead"/>
              <w:spacing w:before="0" w:after="0"/>
              <w:jc w:val="right"/>
              <w:rPr>
                <w:rFonts w:cs="Arial"/>
                <w:b w:val="0"/>
                <w:bCs/>
                <w:color w:val="000000"/>
                <w:szCs w:val="22"/>
                <w:lang w:val="en-US" w:eastAsia="zh-CN"/>
              </w:rPr>
            </w:pPr>
            <w:r w:rsidRPr="000C156A">
              <w:rPr>
                <w:szCs w:val="22"/>
                <w:lang w:val="en-US"/>
              </w:rPr>
              <w:t>20</w:t>
            </w:r>
            <w:r w:rsidRPr="000C156A">
              <w:rPr>
                <w:rFonts w:hint="eastAsia"/>
                <w:szCs w:val="22"/>
                <w:lang w:val="en-US"/>
              </w:rPr>
              <w:t>2</w:t>
            </w:r>
            <w:r w:rsidR="000B577B">
              <w:rPr>
                <w:szCs w:val="22"/>
                <w:lang w:val="en-US"/>
              </w:rPr>
              <w:t>1</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c>
          <w:tcPr>
            <w:tcW w:w="1310" w:type="pct"/>
            <w:tcBorders>
              <w:bottom w:val="single" w:sz="4" w:space="0" w:color="000000"/>
            </w:tcBorders>
            <w:noWrap/>
            <w:vAlign w:val="center"/>
            <w:hideMark/>
          </w:tcPr>
          <w:p w14:paraId="5FFAC671" w14:textId="588484F6" w:rsidR="0085433F" w:rsidRPr="000C156A" w:rsidRDefault="0085433F" w:rsidP="003A64C9">
            <w:pPr>
              <w:pStyle w:val="Tablehead"/>
              <w:spacing w:before="0" w:after="0"/>
              <w:jc w:val="right"/>
              <w:rPr>
                <w:szCs w:val="22"/>
                <w:lang w:val="en-US"/>
              </w:rPr>
            </w:pPr>
            <w:r w:rsidRPr="000C156A">
              <w:rPr>
                <w:szCs w:val="22"/>
                <w:lang w:val="en-US"/>
              </w:rPr>
              <w:t>20</w:t>
            </w:r>
            <w:r w:rsidR="000B577B">
              <w:rPr>
                <w:szCs w:val="22"/>
                <w:lang w:val="en-US"/>
              </w:rPr>
              <w:t>20</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r>
      <w:tr w:rsidR="0085433F" w:rsidRPr="000C156A" w14:paraId="0EB5FA1E" w14:textId="77777777" w:rsidTr="003A64C9">
        <w:trPr>
          <w:trHeight w:val="300"/>
        </w:trPr>
        <w:tc>
          <w:tcPr>
            <w:tcW w:w="2380" w:type="pct"/>
            <w:tcBorders>
              <w:top w:val="single" w:sz="4" w:space="0" w:color="000000"/>
            </w:tcBorders>
            <w:noWrap/>
            <w:vAlign w:val="center"/>
            <w:hideMark/>
          </w:tcPr>
          <w:p w14:paraId="1D0E801F" w14:textId="77777777" w:rsidR="0085433F" w:rsidRPr="000C156A" w:rsidRDefault="0085433F" w:rsidP="003A64C9">
            <w:pPr>
              <w:overflowPunct/>
              <w:autoSpaceDE/>
              <w:autoSpaceDN/>
              <w:adjustRightInd/>
              <w:spacing w:before="0"/>
              <w:textAlignment w:val="auto"/>
              <w:rPr>
                <w:rFonts w:cs="Arial"/>
                <w:color w:val="000000"/>
                <w:sz w:val="22"/>
                <w:szCs w:val="22"/>
                <w:lang w:val="en-US" w:eastAsia="zh-CN"/>
              </w:rPr>
            </w:pPr>
          </w:p>
        </w:tc>
        <w:tc>
          <w:tcPr>
            <w:tcW w:w="1310" w:type="pct"/>
            <w:tcBorders>
              <w:top w:val="single" w:sz="4" w:space="0" w:color="000000"/>
            </w:tcBorders>
            <w:shd w:val="clear" w:color="auto" w:fill="auto"/>
            <w:noWrap/>
            <w:vAlign w:val="bottom"/>
            <w:hideMark/>
          </w:tcPr>
          <w:p w14:paraId="5055DB96" w14:textId="77777777" w:rsidR="0085433F" w:rsidRPr="000C156A" w:rsidRDefault="0085433F" w:rsidP="003A64C9">
            <w:pPr>
              <w:overflowPunct/>
              <w:autoSpaceDE/>
              <w:autoSpaceDN/>
              <w:adjustRightInd/>
              <w:spacing w:before="0"/>
              <w:jc w:val="right"/>
              <w:textAlignment w:val="auto"/>
              <w:rPr>
                <w:rFonts w:cs="Arial"/>
                <w:color w:val="000000"/>
                <w:sz w:val="22"/>
                <w:szCs w:val="22"/>
                <w:lang w:val="en-US" w:eastAsia="zh-CN"/>
              </w:rPr>
            </w:pPr>
          </w:p>
        </w:tc>
        <w:tc>
          <w:tcPr>
            <w:tcW w:w="1310" w:type="pct"/>
            <w:tcBorders>
              <w:top w:val="single" w:sz="4" w:space="0" w:color="000000"/>
            </w:tcBorders>
            <w:shd w:val="clear" w:color="auto" w:fill="auto"/>
            <w:noWrap/>
            <w:vAlign w:val="bottom"/>
            <w:hideMark/>
          </w:tcPr>
          <w:p w14:paraId="08D5D76C" w14:textId="77777777" w:rsidR="0085433F" w:rsidRPr="000C156A" w:rsidRDefault="0085433F" w:rsidP="003A64C9">
            <w:pPr>
              <w:overflowPunct/>
              <w:autoSpaceDE/>
              <w:autoSpaceDN/>
              <w:adjustRightInd/>
              <w:spacing w:before="0"/>
              <w:jc w:val="right"/>
              <w:textAlignment w:val="auto"/>
              <w:rPr>
                <w:rFonts w:cs="Arial"/>
                <w:color w:val="000000"/>
                <w:sz w:val="22"/>
                <w:szCs w:val="22"/>
                <w:lang w:val="en-US" w:eastAsia="zh-CN"/>
              </w:rPr>
            </w:pPr>
          </w:p>
        </w:tc>
      </w:tr>
      <w:tr w:rsidR="000B577B" w:rsidRPr="000C156A" w14:paraId="3F972871" w14:textId="77777777" w:rsidTr="000B577B">
        <w:trPr>
          <w:trHeight w:val="300"/>
        </w:trPr>
        <w:tc>
          <w:tcPr>
            <w:tcW w:w="2380" w:type="pct"/>
            <w:noWrap/>
            <w:vAlign w:val="bottom"/>
            <w:hideMark/>
          </w:tcPr>
          <w:p w14:paraId="764906FE" w14:textId="77777777" w:rsidR="000B577B" w:rsidRPr="000C156A" w:rsidRDefault="000B577B" w:rsidP="000B577B">
            <w:pPr>
              <w:overflowPunct/>
              <w:autoSpaceDE/>
              <w:autoSpaceDN/>
              <w:adjustRightInd/>
              <w:spacing w:before="0"/>
              <w:textAlignment w:val="auto"/>
              <w:rPr>
                <w:rFonts w:cs="Arial"/>
                <w:color w:val="000000"/>
                <w:sz w:val="22"/>
                <w:szCs w:val="22"/>
                <w:lang w:val="en-US" w:eastAsia="zh-CN"/>
              </w:rPr>
            </w:pPr>
            <w:r w:rsidRPr="000C156A">
              <w:rPr>
                <w:rFonts w:cs="Microsoft YaHei" w:hint="eastAsia"/>
                <w:color w:val="000000"/>
                <w:sz w:val="22"/>
                <w:szCs w:val="22"/>
                <w:lang w:val="en-US" w:eastAsia="zh-CN"/>
              </w:rPr>
              <w:t>供货商</w:t>
            </w:r>
          </w:p>
        </w:tc>
        <w:tc>
          <w:tcPr>
            <w:tcW w:w="1310" w:type="pct"/>
            <w:shd w:val="clear" w:color="auto" w:fill="auto"/>
            <w:noWrap/>
            <w:vAlign w:val="bottom"/>
          </w:tcPr>
          <w:p w14:paraId="6A9E4405" w14:textId="0DE5845D"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1 396 </w:t>
            </w:r>
          </w:p>
        </w:tc>
        <w:tc>
          <w:tcPr>
            <w:tcW w:w="1310" w:type="pct"/>
            <w:shd w:val="clear" w:color="auto" w:fill="auto"/>
            <w:noWrap/>
            <w:vAlign w:val="bottom"/>
            <w:hideMark/>
          </w:tcPr>
          <w:p w14:paraId="54A4567F" w14:textId="62A25D56"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2 768</w:t>
            </w:r>
          </w:p>
        </w:tc>
      </w:tr>
      <w:tr w:rsidR="000B577B" w:rsidRPr="000C156A" w14:paraId="31D2107F" w14:textId="77777777" w:rsidTr="000B577B">
        <w:trPr>
          <w:trHeight w:val="300"/>
        </w:trPr>
        <w:tc>
          <w:tcPr>
            <w:tcW w:w="2380" w:type="pct"/>
            <w:noWrap/>
            <w:vAlign w:val="bottom"/>
            <w:hideMark/>
          </w:tcPr>
          <w:p w14:paraId="24F75CE1" w14:textId="77777777" w:rsidR="000B577B" w:rsidRPr="000C156A" w:rsidRDefault="000B577B" w:rsidP="000B577B">
            <w:pPr>
              <w:overflowPunct/>
              <w:autoSpaceDE/>
              <w:autoSpaceDN/>
              <w:adjustRightInd/>
              <w:spacing w:before="0"/>
              <w:textAlignment w:val="auto"/>
              <w:rPr>
                <w:rFonts w:cs="Arial"/>
                <w:color w:val="000000"/>
                <w:sz w:val="22"/>
                <w:szCs w:val="22"/>
                <w:lang w:val="en-US" w:eastAsia="zh-CN"/>
              </w:rPr>
            </w:pPr>
            <w:r w:rsidRPr="000C156A">
              <w:rPr>
                <w:rFonts w:cs="Microsoft YaHei" w:hint="eastAsia"/>
                <w:color w:val="000000"/>
                <w:sz w:val="22"/>
                <w:szCs w:val="22"/>
                <w:lang w:val="en-US" w:eastAsia="zh-CN"/>
              </w:rPr>
              <w:t>已收定金</w:t>
            </w:r>
          </w:p>
        </w:tc>
        <w:tc>
          <w:tcPr>
            <w:tcW w:w="1310" w:type="pct"/>
            <w:shd w:val="clear" w:color="auto" w:fill="auto"/>
            <w:noWrap/>
            <w:vAlign w:val="bottom"/>
          </w:tcPr>
          <w:p w14:paraId="40B2F7CF" w14:textId="3F5F79DB"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2 497 </w:t>
            </w:r>
          </w:p>
        </w:tc>
        <w:tc>
          <w:tcPr>
            <w:tcW w:w="1310" w:type="pct"/>
            <w:shd w:val="clear" w:color="auto" w:fill="auto"/>
            <w:noWrap/>
            <w:vAlign w:val="bottom"/>
            <w:hideMark/>
          </w:tcPr>
          <w:p w14:paraId="2CD99266" w14:textId="78CC8319"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2 745</w:t>
            </w:r>
          </w:p>
        </w:tc>
      </w:tr>
      <w:tr w:rsidR="000B577B" w:rsidRPr="000C156A" w14:paraId="13FC3FCF" w14:textId="77777777" w:rsidTr="000B577B">
        <w:trPr>
          <w:trHeight w:val="300"/>
        </w:trPr>
        <w:tc>
          <w:tcPr>
            <w:tcW w:w="2380" w:type="pct"/>
            <w:noWrap/>
            <w:vAlign w:val="bottom"/>
            <w:hideMark/>
          </w:tcPr>
          <w:p w14:paraId="62CFAFE0" w14:textId="77777777" w:rsidR="000B577B" w:rsidRPr="000C156A" w:rsidRDefault="000B577B" w:rsidP="000B577B">
            <w:pPr>
              <w:overflowPunct/>
              <w:autoSpaceDE/>
              <w:autoSpaceDN/>
              <w:adjustRightInd/>
              <w:spacing w:before="0"/>
              <w:textAlignment w:val="auto"/>
              <w:rPr>
                <w:rFonts w:cs="Arial"/>
                <w:color w:val="000000"/>
                <w:sz w:val="22"/>
                <w:szCs w:val="22"/>
                <w:lang w:val="en-US" w:eastAsia="zh-CN"/>
              </w:rPr>
            </w:pPr>
            <w:r w:rsidRPr="000C156A">
              <w:rPr>
                <w:rFonts w:cs="Microsoft YaHei" w:hint="eastAsia"/>
                <w:color w:val="000000"/>
                <w:sz w:val="22"/>
                <w:szCs w:val="22"/>
                <w:lang w:val="en-US" w:eastAsia="zh-CN"/>
              </w:rPr>
              <w:t>已收预付款</w:t>
            </w:r>
          </w:p>
        </w:tc>
        <w:tc>
          <w:tcPr>
            <w:tcW w:w="1310" w:type="pct"/>
            <w:shd w:val="clear" w:color="auto" w:fill="auto"/>
            <w:noWrap/>
            <w:vAlign w:val="bottom"/>
          </w:tcPr>
          <w:p w14:paraId="549B191D" w14:textId="4965A373"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2 903 </w:t>
            </w:r>
          </w:p>
        </w:tc>
        <w:tc>
          <w:tcPr>
            <w:tcW w:w="1310" w:type="pct"/>
            <w:shd w:val="clear" w:color="auto" w:fill="auto"/>
            <w:noWrap/>
            <w:vAlign w:val="bottom"/>
            <w:hideMark/>
          </w:tcPr>
          <w:p w14:paraId="5D1F4739" w14:textId="7FBF959B"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502</w:t>
            </w:r>
          </w:p>
        </w:tc>
      </w:tr>
      <w:tr w:rsidR="000B577B" w:rsidRPr="000C156A" w14:paraId="5E2F0311" w14:textId="77777777" w:rsidTr="000B577B">
        <w:trPr>
          <w:trHeight w:val="300"/>
        </w:trPr>
        <w:tc>
          <w:tcPr>
            <w:tcW w:w="2380" w:type="pct"/>
            <w:tcBorders>
              <w:bottom w:val="single" w:sz="4" w:space="0" w:color="000000"/>
            </w:tcBorders>
            <w:noWrap/>
            <w:vAlign w:val="bottom"/>
            <w:hideMark/>
          </w:tcPr>
          <w:p w14:paraId="4F28A378" w14:textId="77777777" w:rsidR="000B577B" w:rsidRPr="000C156A" w:rsidRDefault="000B577B" w:rsidP="000B577B">
            <w:pPr>
              <w:overflowPunct/>
              <w:autoSpaceDE/>
              <w:autoSpaceDN/>
              <w:adjustRightInd/>
              <w:spacing w:before="0"/>
              <w:textAlignment w:val="auto"/>
              <w:rPr>
                <w:rFonts w:cs="Arial"/>
                <w:color w:val="000000"/>
                <w:sz w:val="22"/>
                <w:szCs w:val="22"/>
                <w:lang w:val="en-US" w:eastAsia="zh-CN"/>
              </w:rPr>
            </w:pPr>
          </w:p>
        </w:tc>
        <w:tc>
          <w:tcPr>
            <w:tcW w:w="1310" w:type="pct"/>
            <w:tcBorders>
              <w:bottom w:val="single" w:sz="4" w:space="0" w:color="000000"/>
            </w:tcBorders>
            <w:shd w:val="clear" w:color="auto" w:fill="auto"/>
            <w:noWrap/>
            <w:vAlign w:val="bottom"/>
          </w:tcPr>
          <w:p w14:paraId="65140011" w14:textId="6CA95A88"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F168E3">
              <w:rPr>
                <w:rFonts w:cs="Arial"/>
                <w:color w:val="000000"/>
                <w:sz w:val="22"/>
                <w:szCs w:val="22"/>
                <w:lang w:val="en-US" w:eastAsia="zh-CN"/>
              </w:rPr>
              <w:t> </w:t>
            </w:r>
          </w:p>
        </w:tc>
        <w:tc>
          <w:tcPr>
            <w:tcW w:w="1310" w:type="pct"/>
            <w:tcBorders>
              <w:bottom w:val="single" w:sz="4" w:space="0" w:color="000000"/>
            </w:tcBorders>
            <w:shd w:val="clear" w:color="auto" w:fill="auto"/>
            <w:noWrap/>
            <w:vAlign w:val="bottom"/>
            <w:hideMark/>
          </w:tcPr>
          <w:p w14:paraId="4B538556" w14:textId="77777777"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p>
        </w:tc>
      </w:tr>
      <w:tr w:rsidR="000B577B" w:rsidRPr="000C156A" w14:paraId="6A2D9599" w14:textId="77777777" w:rsidTr="000B577B">
        <w:trPr>
          <w:trHeight w:val="499"/>
        </w:trPr>
        <w:tc>
          <w:tcPr>
            <w:tcW w:w="2380" w:type="pct"/>
            <w:tcBorders>
              <w:top w:val="single" w:sz="4" w:space="0" w:color="000000"/>
            </w:tcBorders>
            <w:noWrap/>
            <w:vAlign w:val="center"/>
            <w:hideMark/>
          </w:tcPr>
          <w:p w14:paraId="4C958050" w14:textId="77777777" w:rsidR="000B577B" w:rsidRPr="000C156A" w:rsidRDefault="000B577B" w:rsidP="000B577B">
            <w:pPr>
              <w:overflowPunct/>
              <w:autoSpaceDE/>
              <w:autoSpaceDN/>
              <w:adjustRightInd/>
              <w:spacing w:before="0"/>
              <w:textAlignment w:val="auto"/>
              <w:rPr>
                <w:rFonts w:cs="Arial"/>
                <w:b/>
                <w:bCs/>
                <w:color w:val="000000"/>
                <w:sz w:val="22"/>
                <w:szCs w:val="22"/>
                <w:lang w:val="en-US" w:eastAsia="zh-CN"/>
              </w:rPr>
            </w:pPr>
            <w:r w:rsidRPr="000C156A">
              <w:rPr>
                <w:rFonts w:cs="Microsoft YaHei" w:hint="eastAsia"/>
                <w:b/>
                <w:bCs/>
                <w:color w:val="000000"/>
                <w:sz w:val="22"/>
                <w:szCs w:val="22"/>
                <w:lang w:val="en-US" w:eastAsia="zh-CN"/>
              </w:rPr>
              <w:t>供货商和其它债权方</w:t>
            </w:r>
          </w:p>
        </w:tc>
        <w:tc>
          <w:tcPr>
            <w:tcW w:w="1310" w:type="pct"/>
            <w:tcBorders>
              <w:top w:val="single" w:sz="4" w:space="0" w:color="000000"/>
            </w:tcBorders>
            <w:shd w:val="clear" w:color="auto" w:fill="auto"/>
            <w:noWrap/>
            <w:vAlign w:val="center"/>
          </w:tcPr>
          <w:p w14:paraId="1E684E70" w14:textId="31547217" w:rsidR="000B577B" w:rsidRPr="000C156A" w:rsidRDefault="000B577B" w:rsidP="000B577B">
            <w:pPr>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6 796</w:t>
            </w:r>
            <w:r w:rsidRPr="00F168E3">
              <w:rPr>
                <w:rFonts w:cs="Arial"/>
                <w:b/>
                <w:bCs/>
                <w:color w:val="000000"/>
                <w:sz w:val="22"/>
                <w:szCs w:val="22"/>
                <w:lang w:val="en-US" w:eastAsia="zh-CN"/>
              </w:rPr>
              <w:t xml:space="preserve"> </w:t>
            </w:r>
          </w:p>
        </w:tc>
        <w:tc>
          <w:tcPr>
            <w:tcW w:w="1310" w:type="pct"/>
            <w:tcBorders>
              <w:top w:val="single" w:sz="4" w:space="0" w:color="000000"/>
            </w:tcBorders>
            <w:shd w:val="clear" w:color="auto" w:fill="auto"/>
            <w:noWrap/>
            <w:vAlign w:val="center"/>
            <w:hideMark/>
          </w:tcPr>
          <w:p w14:paraId="2295DC35" w14:textId="3E13C7CA" w:rsidR="000B577B" w:rsidRPr="000C156A" w:rsidRDefault="000B577B" w:rsidP="000B577B">
            <w:pPr>
              <w:overflowPunct/>
              <w:autoSpaceDE/>
              <w:autoSpaceDN/>
              <w:adjustRightInd/>
              <w:spacing w:before="0"/>
              <w:jc w:val="right"/>
              <w:textAlignment w:val="auto"/>
              <w:rPr>
                <w:rFonts w:cs="Arial"/>
                <w:b/>
                <w:bCs/>
                <w:color w:val="000000"/>
                <w:sz w:val="22"/>
                <w:szCs w:val="22"/>
                <w:lang w:val="en-US" w:eastAsia="zh-CN"/>
              </w:rPr>
            </w:pPr>
            <w:r w:rsidRPr="000C156A">
              <w:rPr>
                <w:rFonts w:cs="Arial"/>
                <w:b/>
                <w:bCs/>
                <w:color w:val="000000"/>
                <w:sz w:val="22"/>
                <w:szCs w:val="22"/>
                <w:lang w:val="en-US" w:eastAsia="zh-CN"/>
              </w:rPr>
              <w:t>6 015</w:t>
            </w:r>
          </w:p>
        </w:tc>
      </w:tr>
    </w:tbl>
    <w:p w14:paraId="71D0FF32" w14:textId="77777777" w:rsidR="0085433F" w:rsidRPr="000C156A" w:rsidRDefault="0085433F" w:rsidP="0085433F">
      <w:pPr>
        <w:spacing w:before="240"/>
        <w:ind w:firstLineChars="200" w:firstLine="480"/>
        <w:rPr>
          <w:lang w:eastAsia="zh-CN"/>
        </w:rPr>
      </w:pPr>
      <w:r w:rsidRPr="000C156A">
        <w:rPr>
          <w:rFonts w:hint="eastAsia"/>
          <w:lang w:eastAsia="zh-CN"/>
        </w:rPr>
        <w:t>与供货商相关的金额主要涉及尚未支付的发票、人员账目以及有待与</w:t>
      </w:r>
      <w:r w:rsidRPr="000C156A">
        <w:rPr>
          <w:lang w:eastAsia="zh-CN"/>
        </w:rPr>
        <w:t>UNDP</w:t>
      </w:r>
      <w:r w:rsidRPr="000C156A">
        <w:rPr>
          <w:rFonts w:hint="eastAsia"/>
          <w:lang w:eastAsia="zh-CN"/>
        </w:rPr>
        <w:t>结算的</w:t>
      </w:r>
      <w:r w:rsidRPr="000C156A">
        <w:rPr>
          <w:lang w:eastAsia="zh-CN"/>
        </w:rPr>
        <w:t>IOV</w:t>
      </w:r>
      <w:r w:rsidRPr="000C156A">
        <w:rPr>
          <w:rFonts w:hint="eastAsia"/>
          <w:lang w:eastAsia="zh-CN"/>
        </w:rPr>
        <w:t>发票。</w:t>
      </w:r>
    </w:p>
    <w:p w14:paraId="79DB2197" w14:textId="77777777" w:rsidR="0085433F" w:rsidRPr="000C156A" w:rsidRDefault="0085433F" w:rsidP="0085433F">
      <w:pPr>
        <w:ind w:firstLineChars="200" w:firstLine="480"/>
        <w:rPr>
          <w:lang w:eastAsia="zh-CN"/>
        </w:rPr>
      </w:pPr>
      <w:r w:rsidRPr="000C156A">
        <w:rPr>
          <w:rFonts w:hint="eastAsia"/>
          <w:lang w:eastAsia="zh-CN"/>
        </w:rPr>
        <w:t>收到的定金用于卫星网络申报和未来购买出版物或发票。这些款项将退还受益方或用于结付未来用于结付卫星网络申报和出版物的发票。</w:t>
      </w:r>
    </w:p>
    <w:p w14:paraId="66A48495" w14:textId="77777777" w:rsidR="0085433F" w:rsidRPr="000C156A" w:rsidRDefault="0085433F" w:rsidP="0085433F">
      <w:pPr>
        <w:ind w:firstLineChars="200" w:firstLine="480"/>
        <w:rPr>
          <w:lang w:eastAsia="zh-CN"/>
        </w:rPr>
      </w:pPr>
      <w:r w:rsidRPr="000C156A">
        <w:rPr>
          <w:rFonts w:hint="eastAsia"/>
          <w:lang w:eastAsia="zh-CN"/>
        </w:rPr>
        <w:t>首期付款是为了举办世界大会等活动，由东道国预先向国际电联账户做出的预付款。</w:t>
      </w:r>
      <w:bookmarkStart w:id="760" w:name="_Toc328992862"/>
      <w:r w:rsidRPr="000C156A">
        <w:rPr>
          <w:rFonts w:hint="eastAsia"/>
          <w:lang w:eastAsia="zh-CN"/>
        </w:rPr>
        <w:t>相关</w:t>
      </w:r>
      <w:r w:rsidRPr="000C156A">
        <w:rPr>
          <w:lang w:eastAsia="zh-CN"/>
        </w:rPr>
        <w:t>活动结束后，余额将按照签署的协议</w:t>
      </w:r>
      <w:r w:rsidRPr="000C156A">
        <w:rPr>
          <w:rFonts w:hint="eastAsia"/>
          <w:lang w:eastAsia="zh-CN"/>
        </w:rPr>
        <w:t>返还</w:t>
      </w:r>
      <w:r w:rsidRPr="000C156A">
        <w:rPr>
          <w:lang w:eastAsia="zh-CN"/>
        </w:rPr>
        <w:t>东道国。</w:t>
      </w:r>
      <w:bookmarkEnd w:id="760"/>
    </w:p>
    <w:p w14:paraId="507F232B" w14:textId="77777777" w:rsidR="0085433F" w:rsidRPr="000C156A" w:rsidRDefault="0085433F" w:rsidP="0085433F">
      <w:pPr>
        <w:pStyle w:val="Heading1"/>
        <w:spacing w:after="120"/>
        <w:rPr>
          <w:rFonts w:cs="Microsoft YaHei"/>
          <w:sz w:val="24"/>
          <w:szCs w:val="24"/>
          <w:lang w:val="fr-FR"/>
        </w:rPr>
      </w:pPr>
      <w:bookmarkStart w:id="761" w:name="_Toc482892573"/>
      <w:bookmarkStart w:id="762" w:name="_Toc482870838"/>
      <w:bookmarkStart w:id="763" w:name="_Toc329165789"/>
      <w:bookmarkStart w:id="764" w:name="_Toc305594748"/>
      <w:bookmarkStart w:id="765" w:name="_Toc511813757"/>
      <w:bookmarkStart w:id="766" w:name="_Toc511817840"/>
      <w:bookmarkStart w:id="767" w:name="_Toc520280740"/>
      <w:bookmarkStart w:id="768" w:name="_Toc10536835"/>
      <w:bookmarkStart w:id="769" w:name="_Toc41905877"/>
      <w:bookmarkStart w:id="770" w:name="_Toc41906905"/>
      <w:bookmarkStart w:id="771" w:name="_Toc41907986"/>
      <w:bookmarkStart w:id="772" w:name="_Toc41908054"/>
      <w:bookmarkStart w:id="773" w:name="_Toc73518692"/>
      <w:bookmarkStart w:id="774" w:name="_Toc73518839"/>
      <w:bookmarkStart w:id="775" w:name="_Toc73519239"/>
      <w:bookmarkStart w:id="776" w:name="_Toc110264002"/>
      <w:bookmarkStart w:id="777" w:name="_Toc110264081"/>
      <w:bookmarkStart w:id="778" w:name="_Toc110265720"/>
      <w:bookmarkStart w:id="779" w:name="_Toc110330090"/>
      <w:bookmarkStart w:id="780" w:name="_Toc110330255"/>
      <w:bookmarkEnd w:id="759"/>
      <w:r w:rsidRPr="000C156A">
        <w:rPr>
          <w:rFonts w:cs="Microsoft YaHei" w:hint="eastAsia"/>
          <w:sz w:val="24"/>
          <w:szCs w:val="24"/>
          <w:lang w:val="fr-FR"/>
        </w:rPr>
        <w:t>说明</w:t>
      </w:r>
      <w:r w:rsidRPr="000C156A">
        <w:rPr>
          <w:rFonts w:cs="Microsoft YaHei"/>
          <w:sz w:val="24"/>
          <w:szCs w:val="24"/>
          <w:lang w:val="fr-FR"/>
        </w:rPr>
        <w:t>15</w:t>
      </w:r>
      <w:r w:rsidRPr="000C156A">
        <w:rPr>
          <w:rFonts w:cs="Microsoft YaHei"/>
          <w:sz w:val="24"/>
          <w:szCs w:val="24"/>
          <w:lang w:val="fr-FR"/>
        </w:rPr>
        <w:tab/>
      </w:r>
      <w:r w:rsidRPr="000C156A">
        <w:rPr>
          <w:rFonts w:cs="Microsoft YaHei" w:hint="eastAsia"/>
          <w:sz w:val="24"/>
          <w:szCs w:val="24"/>
          <w:lang w:val="fr-FR"/>
        </w:rPr>
        <w:t>递延收入</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tbl>
      <w:tblPr>
        <w:tblW w:w="97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8"/>
        <w:gridCol w:w="2410"/>
        <w:gridCol w:w="2457"/>
      </w:tblGrid>
      <w:tr w:rsidR="0085433F" w:rsidRPr="000C156A" w14:paraId="63D74812" w14:textId="77777777" w:rsidTr="003A64C9">
        <w:trPr>
          <w:trHeight w:val="499"/>
          <w:jc w:val="center"/>
        </w:trPr>
        <w:tc>
          <w:tcPr>
            <w:tcW w:w="4868" w:type="dxa"/>
            <w:tcBorders>
              <w:bottom w:val="single" w:sz="4" w:space="0" w:color="000000"/>
            </w:tcBorders>
            <w:noWrap/>
            <w:vAlign w:val="center"/>
            <w:hideMark/>
          </w:tcPr>
          <w:p w14:paraId="3874F6B2" w14:textId="77777777" w:rsidR="0085433F" w:rsidRPr="000C156A" w:rsidRDefault="0085433F" w:rsidP="003A64C9">
            <w:pPr>
              <w:pStyle w:val="Tablehead"/>
              <w:spacing w:before="0" w:after="0"/>
              <w:jc w:val="left"/>
              <w:rPr>
                <w:szCs w:val="22"/>
                <w:lang w:val="en-US"/>
              </w:rPr>
            </w:pPr>
            <w:r w:rsidRPr="000C156A">
              <w:rPr>
                <w:rFonts w:hint="eastAsia"/>
                <w:szCs w:val="22"/>
                <w:lang w:val="en-US"/>
              </w:rPr>
              <w:t>单位：千瑞郎</w:t>
            </w:r>
          </w:p>
        </w:tc>
        <w:tc>
          <w:tcPr>
            <w:tcW w:w="2410" w:type="dxa"/>
            <w:tcBorders>
              <w:bottom w:val="single" w:sz="4" w:space="0" w:color="000000"/>
            </w:tcBorders>
            <w:noWrap/>
            <w:vAlign w:val="center"/>
            <w:hideMark/>
          </w:tcPr>
          <w:p w14:paraId="7A28EED7" w14:textId="169291AF" w:rsidR="0085433F" w:rsidRPr="000C156A" w:rsidRDefault="0085433F" w:rsidP="003A64C9">
            <w:pPr>
              <w:pStyle w:val="Tablehead"/>
              <w:spacing w:before="0" w:after="0"/>
              <w:jc w:val="right"/>
              <w:rPr>
                <w:szCs w:val="22"/>
                <w:lang w:val="en-US"/>
              </w:rPr>
            </w:pPr>
            <w:r w:rsidRPr="000C156A">
              <w:rPr>
                <w:szCs w:val="22"/>
                <w:lang w:val="en-US"/>
              </w:rPr>
              <w:t>20</w:t>
            </w:r>
            <w:r w:rsidRPr="000C156A">
              <w:rPr>
                <w:rFonts w:hint="eastAsia"/>
                <w:szCs w:val="22"/>
                <w:lang w:val="en-US" w:eastAsia="zh-CN"/>
              </w:rPr>
              <w:t>2</w:t>
            </w:r>
            <w:r w:rsidR="000B577B">
              <w:rPr>
                <w:szCs w:val="22"/>
                <w:lang w:val="en-US" w:eastAsia="zh-CN"/>
              </w:rPr>
              <w:t>1</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c>
          <w:tcPr>
            <w:tcW w:w="2457" w:type="dxa"/>
            <w:tcBorders>
              <w:bottom w:val="single" w:sz="4" w:space="0" w:color="000000"/>
            </w:tcBorders>
            <w:vAlign w:val="center"/>
            <w:hideMark/>
          </w:tcPr>
          <w:p w14:paraId="0F5FA8B1" w14:textId="7B5A6FA8" w:rsidR="0085433F" w:rsidRPr="000C156A" w:rsidRDefault="0085433F" w:rsidP="003A64C9">
            <w:pPr>
              <w:pStyle w:val="Tablehead"/>
              <w:spacing w:before="0" w:after="0"/>
              <w:jc w:val="right"/>
              <w:rPr>
                <w:szCs w:val="22"/>
                <w:lang w:val="en-US"/>
              </w:rPr>
            </w:pPr>
            <w:r w:rsidRPr="000C156A">
              <w:rPr>
                <w:szCs w:val="22"/>
                <w:lang w:val="en-US"/>
              </w:rPr>
              <w:t>20</w:t>
            </w:r>
            <w:r w:rsidR="000B577B">
              <w:rPr>
                <w:szCs w:val="22"/>
                <w:lang w:val="en-US"/>
              </w:rPr>
              <w:t>20</w:t>
            </w:r>
            <w:r w:rsidRPr="000C156A">
              <w:rPr>
                <w:rFonts w:hint="eastAsia"/>
                <w:szCs w:val="22"/>
                <w:lang w:val="en-US"/>
              </w:rPr>
              <w:t>年</w:t>
            </w:r>
            <w:r w:rsidRPr="000C156A">
              <w:rPr>
                <w:szCs w:val="22"/>
                <w:lang w:val="en-US"/>
              </w:rPr>
              <w:t>12</w:t>
            </w:r>
            <w:r w:rsidRPr="000C156A">
              <w:rPr>
                <w:rFonts w:hint="eastAsia"/>
                <w:szCs w:val="22"/>
                <w:lang w:val="en-US"/>
              </w:rPr>
              <w:t>月</w:t>
            </w:r>
            <w:r w:rsidRPr="000C156A">
              <w:rPr>
                <w:szCs w:val="22"/>
                <w:lang w:val="en-US"/>
              </w:rPr>
              <w:t>31</w:t>
            </w:r>
            <w:r w:rsidRPr="000C156A">
              <w:rPr>
                <w:rFonts w:hint="eastAsia"/>
                <w:szCs w:val="22"/>
                <w:lang w:val="en-US"/>
              </w:rPr>
              <w:t>日</w:t>
            </w:r>
          </w:p>
        </w:tc>
      </w:tr>
      <w:tr w:rsidR="0085433F" w:rsidRPr="000C156A" w14:paraId="2FAEBE29" w14:textId="77777777" w:rsidTr="003A64C9">
        <w:trPr>
          <w:trHeight w:val="255"/>
          <w:jc w:val="center"/>
        </w:trPr>
        <w:tc>
          <w:tcPr>
            <w:tcW w:w="4868" w:type="dxa"/>
            <w:tcBorders>
              <w:top w:val="single" w:sz="4" w:space="0" w:color="000000"/>
            </w:tcBorders>
            <w:noWrap/>
            <w:vAlign w:val="bottom"/>
          </w:tcPr>
          <w:p w14:paraId="54F4B61A" w14:textId="77777777" w:rsidR="0085433F" w:rsidRPr="000C156A" w:rsidRDefault="0085433F" w:rsidP="003A64C9">
            <w:pPr>
              <w:pStyle w:val="Tabletext"/>
              <w:spacing w:before="20" w:after="20"/>
              <w:rPr>
                <w:bCs/>
                <w:szCs w:val="22"/>
                <w:lang w:val="en-US" w:eastAsia="zh-CN"/>
              </w:rPr>
            </w:pPr>
          </w:p>
        </w:tc>
        <w:tc>
          <w:tcPr>
            <w:tcW w:w="2410" w:type="dxa"/>
            <w:tcBorders>
              <w:top w:val="single" w:sz="4" w:space="0" w:color="000000"/>
            </w:tcBorders>
            <w:shd w:val="clear" w:color="auto" w:fill="auto"/>
            <w:noWrap/>
            <w:vAlign w:val="bottom"/>
            <w:hideMark/>
          </w:tcPr>
          <w:p w14:paraId="4AFADBEF" w14:textId="77777777" w:rsidR="0085433F" w:rsidRPr="000C156A" w:rsidRDefault="0085433F" w:rsidP="003A64C9">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 </w:t>
            </w:r>
          </w:p>
        </w:tc>
        <w:tc>
          <w:tcPr>
            <w:tcW w:w="2457" w:type="dxa"/>
            <w:tcBorders>
              <w:top w:val="single" w:sz="4" w:space="0" w:color="000000"/>
            </w:tcBorders>
            <w:shd w:val="clear" w:color="auto" w:fill="auto"/>
            <w:noWrap/>
            <w:vAlign w:val="bottom"/>
            <w:hideMark/>
          </w:tcPr>
          <w:p w14:paraId="14D44D86" w14:textId="77777777" w:rsidR="0085433F" w:rsidRPr="000C156A" w:rsidRDefault="0085433F" w:rsidP="003A64C9">
            <w:pPr>
              <w:overflowPunct/>
              <w:autoSpaceDE/>
              <w:autoSpaceDN/>
              <w:adjustRightInd/>
              <w:spacing w:before="0"/>
              <w:jc w:val="right"/>
              <w:textAlignment w:val="auto"/>
              <w:rPr>
                <w:rFonts w:cs="Arial"/>
                <w:color w:val="000000"/>
                <w:sz w:val="22"/>
                <w:szCs w:val="22"/>
                <w:lang w:val="en-US" w:eastAsia="zh-CN"/>
              </w:rPr>
            </w:pPr>
          </w:p>
        </w:tc>
      </w:tr>
      <w:tr w:rsidR="000B577B" w:rsidRPr="000C156A" w14:paraId="4D957198" w14:textId="77777777" w:rsidTr="000B577B">
        <w:trPr>
          <w:trHeight w:val="20"/>
          <w:jc w:val="center"/>
        </w:trPr>
        <w:tc>
          <w:tcPr>
            <w:tcW w:w="4868" w:type="dxa"/>
            <w:noWrap/>
            <w:vAlign w:val="bottom"/>
            <w:hideMark/>
          </w:tcPr>
          <w:p w14:paraId="5DC1F260" w14:textId="77777777" w:rsidR="000B577B" w:rsidRPr="000C156A" w:rsidRDefault="000B577B" w:rsidP="000B577B">
            <w:pPr>
              <w:pStyle w:val="Tabletext"/>
              <w:spacing w:before="20" w:after="20"/>
              <w:rPr>
                <w:bCs/>
                <w:szCs w:val="22"/>
                <w:lang w:val="en-US" w:eastAsia="zh-CN"/>
              </w:rPr>
            </w:pPr>
            <w:r w:rsidRPr="000C156A">
              <w:rPr>
                <w:rFonts w:cs="Arial" w:hint="eastAsia"/>
                <w:szCs w:val="22"/>
                <w:lang w:val="en-US"/>
              </w:rPr>
              <w:t>会费</w:t>
            </w:r>
            <w:r w:rsidRPr="000C156A">
              <w:rPr>
                <w:rFonts w:cs="Arial"/>
                <w:szCs w:val="22"/>
                <w:lang w:val="en-US"/>
              </w:rPr>
              <w:t xml:space="preserve"> – </w:t>
            </w:r>
            <w:r w:rsidRPr="000C156A">
              <w:rPr>
                <w:rFonts w:cs="Arial" w:hint="eastAsia"/>
                <w:szCs w:val="22"/>
                <w:lang w:val="en-US" w:eastAsia="zh-CN"/>
              </w:rPr>
              <w:t>成员国</w:t>
            </w:r>
          </w:p>
        </w:tc>
        <w:tc>
          <w:tcPr>
            <w:tcW w:w="2410" w:type="dxa"/>
            <w:shd w:val="clear" w:color="auto" w:fill="auto"/>
            <w:noWrap/>
            <w:vAlign w:val="bottom"/>
          </w:tcPr>
          <w:p w14:paraId="747C31A7" w14:textId="0419AD37"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109 293</w:t>
            </w:r>
          </w:p>
        </w:tc>
        <w:tc>
          <w:tcPr>
            <w:tcW w:w="2457" w:type="dxa"/>
            <w:shd w:val="clear" w:color="auto" w:fill="auto"/>
            <w:noWrap/>
            <w:vAlign w:val="bottom"/>
            <w:hideMark/>
          </w:tcPr>
          <w:p w14:paraId="5B89B945" w14:textId="39EEC720"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109 293</w:t>
            </w:r>
          </w:p>
        </w:tc>
      </w:tr>
      <w:tr w:rsidR="000B577B" w:rsidRPr="000C156A" w14:paraId="0E52F68B" w14:textId="77777777" w:rsidTr="003A64C9">
        <w:trPr>
          <w:trHeight w:val="20"/>
          <w:jc w:val="center"/>
        </w:trPr>
        <w:tc>
          <w:tcPr>
            <w:tcW w:w="4868" w:type="dxa"/>
            <w:noWrap/>
            <w:vAlign w:val="center"/>
          </w:tcPr>
          <w:p w14:paraId="7933B2C6" w14:textId="77777777" w:rsidR="000B577B" w:rsidRPr="000C156A" w:rsidRDefault="000B577B" w:rsidP="000B577B">
            <w:pPr>
              <w:pStyle w:val="Tabletext"/>
              <w:spacing w:before="20" w:after="20"/>
              <w:rPr>
                <w:bCs/>
                <w:szCs w:val="22"/>
                <w:lang w:val="en-US" w:eastAsia="zh-CN"/>
              </w:rPr>
            </w:pPr>
            <w:r w:rsidRPr="000C156A">
              <w:rPr>
                <w:rFonts w:cs="Arial" w:hint="eastAsia"/>
                <w:szCs w:val="22"/>
                <w:lang w:val="en-US"/>
              </w:rPr>
              <w:t>会费</w:t>
            </w:r>
            <w:r w:rsidRPr="000C156A">
              <w:rPr>
                <w:rFonts w:cs="Arial"/>
                <w:szCs w:val="22"/>
                <w:lang w:val="en-US"/>
              </w:rPr>
              <w:t xml:space="preserve"> – </w:t>
            </w:r>
            <w:r w:rsidRPr="000C156A">
              <w:rPr>
                <w:rFonts w:cs="Arial" w:hint="eastAsia"/>
                <w:szCs w:val="22"/>
                <w:lang w:val="en-US" w:eastAsia="zh-CN"/>
              </w:rPr>
              <w:t>部门成员</w:t>
            </w:r>
          </w:p>
        </w:tc>
        <w:tc>
          <w:tcPr>
            <w:tcW w:w="2410" w:type="dxa"/>
            <w:shd w:val="clear" w:color="auto" w:fill="auto"/>
            <w:noWrap/>
            <w:vAlign w:val="bottom"/>
          </w:tcPr>
          <w:p w14:paraId="4F5E5EF9" w14:textId="56FE22EF"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 xml:space="preserve">13 </w:t>
            </w:r>
            <w:r>
              <w:rPr>
                <w:rFonts w:cs="Arial"/>
                <w:color w:val="000000"/>
                <w:sz w:val="22"/>
                <w:szCs w:val="22"/>
                <w:lang w:val="en-US" w:eastAsia="zh-CN"/>
              </w:rPr>
              <w:t>931</w:t>
            </w:r>
          </w:p>
        </w:tc>
        <w:tc>
          <w:tcPr>
            <w:tcW w:w="2457" w:type="dxa"/>
            <w:shd w:val="clear" w:color="auto" w:fill="auto"/>
            <w:noWrap/>
            <w:vAlign w:val="bottom"/>
          </w:tcPr>
          <w:p w14:paraId="726E58D6" w14:textId="4C962079"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13 829</w:t>
            </w:r>
          </w:p>
        </w:tc>
      </w:tr>
      <w:tr w:rsidR="000B577B" w:rsidRPr="000C156A" w14:paraId="6DA5E6C5" w14:textId="77777777" w:rsidTr="000B577B">
        <w:trPr>
          <w:trHeight w:val="20"/>
          <w:jc w:val="center"/>
        </w:trPr>
        <w:tc>
          <w:tcPr>
            <w:tcW w:w="4868" w:type="dxa"/>
            <w:noWrap/>
            <w:vAlign w:val="center"/>
            <w:hideMark/>
          </w:tcPr>
          <w:p w14:paraId="1FC8DC15" w14:textId="77777777" w:rsidR="000B577B" w:rsidRPr="000C156A" w:rsidRDefault="000B577B" w:rsidP="000B577B">
            <w:pPr>
              <w:pStyle w:val="Tabletext"/>
              <w:spacing w:before="20" w:after="20"/>
              <w:rPr>
                <w:bCs/>
                <w:szCs w:val="22"/>
                <w:lang w:val="en-US"/>
              </w:rPr>
            </w:pPr>
            <w:r w:rsidRPr="000C156A">
              <w:rPr>
                <w:rFonts w:cs="Arial" w:hint="eastAsia"/>
                <w:szCs w:val="22"/>
                <w:lang w:val="en-US"/>
              </w:rPr>
              <w:t>会费</w:t>
            </w:r>
            <w:r w:rsidRPr="000C156A">
              <w:rPr>
                <w:rFonts w:cs="Arial"/>
                <w:szCs w:val="22"/>
                <w:lang w:val="en-US"/>
              </w:rPr>
              <w:t xml:space="preserve"> –</w:t>
            </w:r>
            <w:r w:rsidRPr="000C156A">
              <w:rPr>
                <w:rFonts w:cs="Arial"/>
                <w:szCs w:val="22"/>
                <w:lang w:val="en-US" w:eastAsia="zh-CN"/>
              </w:rPr>
              <w:t xml:space="preserve"> </w:t>
            </w:r>
            <w:r w:rsidRPr="000C156A">
              <w:rPr>
                <w:rFonts w:cs="Arial" w:hint="eastAsia"/>
                <w:szCs w:val="22"/>
                <w:lang w:val="en-US"/>
              </w:rPr>
              <w:t>部门</w:t>
            </w:r>
            <w:r w:rsidRPr="000C156A">
              <w:rPr>
                <w:rFonts w:cs="Arial" w:hint="eastAsia"/>
                <w:szCs w:val="22"/>
                <w:lang w:val="en-US" w:eastAsia="zh-CN"/>
              </w:rPr>
              <w:t>准</w:t>
            </w:r>
            <w:r w:rsidRPr="000C156A">
              <w:rPr>
                <w:rFonts w:cs="Arial" w:hint="eastAsia"/>
                <w:szCs w:val="22"/>
                <w:lang w:val="en-US"/>
              </w:rPr>
              <w:t>成员</w:t>
            </w:r>
          </w:p>
        </w:tc>
        <w:tc>
          <w:tcPr>
            <w:tcW w:w="2410" w:type="dxa"/>
            <w:shd w:val="clear" w:color="auto" w:fill="auto"/>
            <w:noWrap/>
            <w:vAlign w:val="bottom"/>
          </w:tcPr>
          <w:p w14:paraId="77AFE432" w14:textId="267428EB"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2 1</w:t>
            </w:r>
            <w:r>
              <w:rPr>
                <w:rFonts w:cs="Arial"/>
                <w:color w:val="000000"/>
                <w:sz w:val="22"/>
                <w:szCs w:val="22"/>
                <w:lang w:val="en-US" w:eastAsia="zh-CN"/>
              </w:rPr>
              <w:t>61</w:t>
            </w:r>
          </w:p>
        </w:tc>
        <w:tc>
          <w:tcPr>
            <w:tcW w:w="2457" w:type="dxa"/>
            <w:shd w:val="clear" w:color="auto" w:fill="auto"/>
            <w:noWrap/>
            <w:vAlign w:val="bottom"/>
            <w:hideMark/>
          </w:tcPr>
          <w:p w14:paraId="31D258D0" w14:textId="65D1B6EB"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2 184</w:t>
            </w:r>
          </w:p>
        </w:tc>
      </w:tr>
      <w:tr w:rsidR="000B577B" w:rsidRPr="000C156A" w14:paraId="246E8F81" w14:textId="77777777" w:rsidTr="000B577B">
        <w:trPr>
          <w:trHeight w:val="20"/>
          <w:jc w:val="center"/>
        </w:trPr>
        <w:tc>
          <w:tcPr>
            <w:tcW w:w="4868" w:type="dxa"/>
            <w:noWrap/>
            <w:vAlign w:val="center"/>
            <w:hideMark/>
          </w:tcPr>
          <w:p w14:paraId="10931126" w14:textId="77777777" w:rsidR="000B577B" w:rsidRPr="000C156A" w:rsidRDefault="000B577B" w:rsidP="000B577B">
            <w:pPr>
              <w:pStyle w:val="Tabletext"/>
              <w:spacing w:before="20" w:after="20"/>
              <w:rPr>
                <w:rFonts w:cs="Arial"/>
                <w:szCs w:val="22"/>
                <w:lang w:val="en-US" w:eastAsia="zh-CN"/>
              </w:rPr>
            </w:pPr>
            <w:r w:rsidRPr="000C156A">
              <w:rPr>
                <w:rFonts w:cs="Arial" w:hint="eastAsia"/>
                <w:szCs w:val="22"/>
                <w:lang w:val="en-US"/>
              </w:rPr>
              <w:t>会费</w:t>
            </w:r>
            <w:r w:rsidRPr="000C156A">
              <w:rPr>
                <w:rFonts w:cs="Arial"/>
                <w:szCs w:val="22"/>
                <w:lang w:val="en-US"/>
              </w:rPr>
              <w:t xml:space="preserve"> – </w:t>
            </w:r>
            <w:r w:rsidRPr="000C156A">
              <w:rPr>
                <w:rFonts w:cs="Arial" w:hint="eastAsia"/>
                <w:szCs w:val="22"/>
                <w:lang w:val="en-US" w:eastAsia="zh-CN"/>
              </w:rPr>
              <w:t>学术成员</w:t>
            </w:r>
          </w:p>
        </w:tc>
        <w:tc>
          <w:tcPr>
            <w:tcW w:w="2410" w:type="dxa"/>
            <w:shd w:val="clear" w:color="auto" w:fill="auto"/>
            <w:noWrap/>
            <w:vAlign w:val="bottom"/>
          </w:tcPr>
          <w:p w14:paraId="7505A2C3" w14:textId="155308C1"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406</w:t>
            </w:r>
          </w:p>
        </w:tc>
        <w:tc>
          <w:tcPr>
            <w:tcW w:w="2457" w:type="dxa"/>
            <w:shd w:val="clear" w:color="auto" w:fill="auto"/>
            <w:noWrap/>
            <w:vAlign w:val="bottom"/>
            <w:hideMark/>
          </w:tcPr>
          <w:p w14:paraId="74420960" w14:textId="2F89A019"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399</w:t>
            </w:r>
          </w:p>
        </w:tc>
      </w:tr>
      <w:tr w:rsidR="000B577B" w:rsidRPr="000C156A" w14:paraId="5603F232" w14:textId="77777777" w:rsidTr="000B577B">
        <w:trPr>
          <w:trHeight w:val="20"/>
          <w:jc w:val="center"/>
        </w:trPr>
        <w:tc>
          <w:tcPr>
            <w:tcW w:w="4868" w:type="dxa"/>
            <w:noWrap/>
            <w:vAlign w:val="center"/>
            <w:hideMark/>
          </w:tcPr>
          <w:p w14:paraId="4084036E" w14:textId="77777777" w:rsidR="000B577B" w:rsidRPr="000C156A" w:rsidRDefault="000B577B" w:rsidP="000B577B">
            <w:pPr>
              <w:pStyle w:val="Tabletext"/>
              <w:spacing w:before="20" w:after="20"/>
              <w:rPr>
                <w:bCs/>
                <w:szCs w:val="22"/>
                <w:lang w:val="en-US" w:eastAsia="zh-CN"/>
              </w:rPr>
            </w:pPr>
            <w:r w:rsidRPr="000C156A">
              <w:rPr>
                <w:rFonts w:cs="Arial" w:hint="eastAsia"/>
                <w:szCs w:val="22"/>
                <w:lang w:val="en-US" w:eastAsia="zh-CN"/>
              </w:rPr>
              <w:t>其他递延收入</w:t>
            </w:r>
          </w:p>
        </w:tc>
        <w:tc>
          <w:tcPr>
            <w:tcW w:w="2410" w:type="dxa"/>
            <w:shd w:val="clear" w:color="auto" w:fill="auto"/>
            <w:noWrap/>
            <w:vAlign w:val="bottom"/>
          </w:tcPr>
          <w:p w14:paraId="23847C50" w14:textId="14B0BB1B"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 xml:space="preserve">- </w:t>
            </w:r>
          </w:p>
        </w:tc>
        <w:tc>
          <w:tcPr>
            <w:tcW w:w="2457" w:type="dxa"/>
            <w:shd w:val="clear" w:color="auto" w:fill="auto"/>
            <w:noWrap/>
            <w:vAlign w:val="bottom"/>
            <w:hideMark/>
          </w:tcPr>
          <w:p w14:paraId="2CA1CB60" w14:textId="327DA3DC"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6 404</w:t>
            </w:r>
          </w:p>
        </w:tc>
      </w:tr>
      <w:tr w:rsidR="000B577B" w:rsidRPr="000C156A" w14:paraId="2476580E" w14:textId="77777777" w:rsidTr="003A64C9">
        <w:trPr>
          <w:trHeight w:val="20"/>
          <w:jc w:val="center"/>
        </w:trPr>
        <w:tc>
          <w:tcPr>
            <w:tcW w:w="4868" w:type="dxa"/>
            <w:tcBorders>
              <w:bottom w:val="single" w:sz="4" w:space="0" w:color="000000"/>
            </w:tcBorders>
            <w:noWrap/>
            <w:vAlign w:val="center"/>
          </w:tcPr>
          <w:p w14:paraId="706F5D93" w14:textId="77777777" w:rsidR="000B577B" w:rsidRPr="000C156A" w:rsidRDefault="000B577B" w:rsidP="000B577B">
            <w:pPr>
              <w:pStyle w:val="Tabletext"/>
              <w:spacing w:before="20" w:after="20"/>
              <w:rPr>
                <w:rFonts w:cs="Arial"/>
                <w:szCs w:val="22"/>
                <w:lang w:val="en-US" w:eastAsia="zh-CN"/>
              </w:rPr>
            </w:pPr>
            <w:r w:rsidRPr="000C156A">
              <w:rPr>
                <w:rFonts w:ascii="Arial" w:hAnsi="Arial" w:cs="Arial" w:hint="eastAsia"/>
                <w:color w:val="000000"/>
                <w:szCs w:val="22"/>
                <w:lang w:val="en-US" w:eastAsia="zh-CN"/>
              </w:rPr>
              <w:lastRenderedPageBreak/>
              <w:t>捐款</w:t>
            </w:r>
            <w:r w:rsidRPr="000C156A">
              <w:rPr>
                <w:rFonts w:ascii="Arial" w:hAnsi="Arial" w:cs="Arial"/>
                <w:color w:val="000000"/>
                <w:szCs w:val="22"/>
                <w:lang w:val="en-US" w:eastAsia="zh-CN"/>
              </w:rPr>
              <w:t xml:space="preserve"> – </w:t>
            </w:r>
            <w:r w:rsidRPr="000C156A">
              <w:rPr>
                <w:rFonts w:ascii="Arial" w:hAnsi="Arial" w:cs="Arial" w:hint="eastAsia"/>
                <w:color w:val="000000"/>
                <w:szCs w:val="22"/>
                <w:lang w:val="en-US" w:eastAsia="zh-CN"/>
              </w:rPr>
              <w:t>预算外</w:t>
            </w:r>
          </w:p>
        </w:tc>
        <w:tc>
          <w:tcPr>
            <w:tcW w:w="2410" w:type="dxa"/>
            <w:tcBorders>
              <w:bottom w:val="single" w:sz="4" w:space="0" w:color="000000"/>
            </w:tcBorders>
            <w:shd w:val="clear" w:color="auto" w:fill="auto"/>
            <w:noWrap/>
            <w:vAlign w:val="bottom"/>
          </w:tcPr>
          <w:p w14:paraId="7B65C271" w14:textId="498C47CA"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5 703</w:t>
            </w:r>
          </w:p>
        </w:tc>
        <w:tc>
          <w:tcPr>
            <w:tcW w:w="2457" w:type="dxa"/>
            <w:tcBorders>
              <w:bottom w:val="single" w:sz="4" w:space="0" w:color="000000"/>
            </w:tcBorders>
            <w:shd w:val="clear" w:color="auto" w:fill="auto"/>
            <w:noWrap/>
            <w:vAlign w:val="bottom"/>
          </w:tcPr>
          <w:p w14:paraId="09E15494" w14:textId="48A34B9A" w:rsidR="000B577B" w:rsidRPr="000C156A" w:rsidRDefault="000B577B" w:rsidP="000B577B">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458</w:t>
            </w:r>
          </w:p>
        </w:tc>
      </w:tr>
      <w:tr w:rsidR="000B577B" w:rsidRPr="000C156A" w14:paraId="0FE7B73F" w14:textId="77777777" w:rsidTr="000B577B">
        <w:trPr>
          <w:trHeight w:val="20"/>
          <w:jc w:val="center"/>
        </w:trPr>
        <w:tc>
          <w:tcPr>
            <w:tcW w:w="4868" w:type="dxa"/>
            <w:tcBorders>
              <w:top w:val="single" w:sz="4" w:space="0" w:color="000000"/>
            </w:tcBorders>
            <w:noWrap/>
            <w:vAlign w:val="center"/>
            <w:hideMark/>
          </w:tcPr>
          <w:p w14:paraId="6B1CE3F4" w14:textId="77777777" w:rsidR="000B577B" w:rsidRPr="000C156A" w:rsidRDefault="000B577B" w:rsidP="000B577B">
            <w:pPr>
              <w:pStyle w:val="Tabletext"/>
              <w:spacing w:before="20" w:after="20"/>
              <w:rPr>
                <w:b/>
                <w:szCs w:val="22"/>
                <w:lang w:val="en-US" w:eastAsia="zh-CN"/>
              </w:rPr>
            </w:pPr>
            <w:r w:rsidRPr="000C156A">
              <w:rPr>
                <w:rFonts w:cs="Arial" w:hint="eastAsia"/>
                <w:b/>
                <w:szCs w:val="22"/>
                <w:lang w:val="en-US" w:eastAsia="zh-CN"/>
              </w:rPr>
              <w:t>递延收入</w:t>
            </w:r>
          </w:p>
        </w:tc>
        <w:tc>
          <w:tcPr>
            <w:tcW w:w="2410" w:type="dxa"/>
            <w:tcBorders>
              <w:top w:val="single" w:sz="4" w:space="0" w:color="000000"/>
            </w:tcBorders>
            <w:shd w:val="clear" w:color="auto" w:fill="auto"/>
            <w:noWrap/>
            <w:vAlign w:val="center"/>
          </w:tcPr>
          <w:p w14:paraId="4E6203CC" w14:textId="312CE236" w:rsidR="000B577B" w:rsidRPr="000C156A" w:rsidRDefault="000B577B" w:rsidP="000B577B">
            <w:pPr>
              <w:overflowPunct/>
              <w:autoSpaceDE/>
              <w:autoSpaceDN/>
              <w:adjustRightInd/>
              <w:spacing w:before="0"/>
              <w:jc w:val="right"/>
              <w:textAlignment w:val="auto"/>
              <w:rPr>
                <w:rFonts w:cs="Arial"/>
                <w:b/>
                <w:bCs/>
                <w:sz w:val="22"/>
                <w:szCs w:val="22"/>
                <w:lang w:val="en-US" w:eastAsia="zh-CN"/>
              </w:rPr>
            </w:pPr>
            <w:r w:rsidRPr="000C156A">
              <w:rPr>
                <w:rFonts w:cs="Arial"/>
                <w:b/>
                <w:bCs/>
                <w:sz w:val="22"/>
                <w:szCs w:val="22"/>
                <w:lang w:val="en-US" w:eastAsia="zh-CN"/>
              </w:rPr>
              <w:t xml:space="preserve">132 </w:t>
            </w:r>
            <w:r>
              <w:rPr>
                <w:rFonts w:cs="Arial"/>
                <w:b/>
                <w:bCs/>
                <w:sz w:val="22"/>
                <w:szCs w:val="22"/>
                <w:lang w:val="en-US" w:eastAsia="zh-CN"/>
              </w:rPr>
              <w:t>416</w:t>
            </w:r>
          </w:p>
        </w:tc>
        <w:tc>
          <w:tcPr>
            <w:tcW w:w="2457" w:type="dxa"/>
            <w:tcBorders>
              <w:top w:val="single" w:sz="4" w:space="0" w:color="000000"/>
            </w:tcBorders>
            <w:shd w:val="clear" w:color="auto" w:fill="auto"/>
            <w:noWrap/>
            <w:vAlign w:val="center"/>
            <w:hideMark/>
          </w:tcPr>
          <w:p w14:paraId="21388234" w14:textId="56FDF812" w:rsidR="000B577B" w:rsidRPr="000C156A" w:rsidRDefault="000B577B" w:rsidP="000B577B">
            <w:pPr>
              <w:overflowPunct/>
              <w:autoSpaceDE/>
              <w:autoSpaceDN/>
              <w:adjustRightInd/>
              <w:spacing w:before="0"/>
              <w:jc w:val="right"/>
              <w:textAlignment w:val="auto"/>
              <w:rPr>
                <w:rFonts w:cs="Arial"/>
                <w:b/>
                <w:bCs/>
                <w:sz w:val="22"/>
                <w:szCs w:val="22"/>
                <w:lang w:val="en-US" w:eastAsia="zh-CN"/>
              </w:rPr>
            </w:pPr>
            <w:r w:rsidRPr="000C156A">
              <w:rPr>
                <w:rFonts w:cs="Arial"/>
                <w:b/>
                <w:bCs/>
                <w:sz w:val="22"/>
                <w:szCs w:val="22"/>
                <w:lang w:val="en-US" w:eastAsia="zh-CN"/>
              </w:rPr>
              <w:t>132 566</w:t>
            </w:r>
          </w:p>
        </w:tc>
      </w:tr>
    </w:tbl>
    <w:p w14:paraId="476DA1C3" w14:textId="090685E6" w:rsidR="0085433F" w:rsidRPr="000C156A" w:rsidRDefault="0085433F" w:rsidP="0085433F">
      <w:pPr>
        <w:spacing w:before="240"/>
        <w:ind w:firstLineChars="200" w:firstLine="480"/>
        <w:rPr>
          <w:lang w:eastAsia="zh-CN"/>
        </w:rPr>
      </w:pPr>
      <w:bookmarkStart w:id="781" w:name="_Toc305594749"/>
      <w:r w:rsidRPr="000C156A">
        <w:rPr>
          <w:rFonts w:hint="eastAsia"/>
          <w:lang w:eastAsia="zh-CN"/>
        </w:rPr>
        <w:t>202</w:t>
      </w:r>
      <w:r w:rsidR="000B577B">
        <w:rPr>
          <w:lang w:eastAsia="zh-CN"/>
        </w:rPr>
        <w:t>1</w:t>
      </w:r>
      <w:r w:rsidRPr="000C156A">
        <w:rPr>
          <w:rFonts w:hint="eastAsia"/>
          <w:lang w:eastAsia="zh-CN"/>
        </w:rPr>
        <w:t>年的会费递延收入是指与</w:t>
      </w:r>
      <w:r w:rsidRPr="000C156A">
        <w:rPr>
          <w:rFonts w:hint="eastAsia"/>
          <w:lang w:eastAsia="zh-CN"/>
        </w:rPr>
        <w:t>202</w:t>
      </w:r>
      <w:r w:rsidR="00DE55DC">
        <w:rPr>
          <w:lang w:eastAsia="zh-CN"/>
        </w:rPr>
        <w:t>2</w:t>
      </w:r>
      <w:r w:rsidRPr="000C156A">
        <w:rPr>
          <w:rFonts w:hint="eastAsia"/>
          <w:lang w:eastAsia="zh-CN"/>
        </w:rPr>
        <w:t>年会费相关的收入。</w:t>
      </w:r>
      <w:bookmarkEnd w:id="781"/>
      <w:r w:rsidRPr="000C156A">
        <w:rPr>
          <w:rFonts w:hint="eastAsia"/>
          <w:lang w:val="en-US" w:eastAsia="zh-CN"/>
        </w:rPr>
        <w:t>另一项递延收入重新组合了与</w:t>
      </w:r>
      <w:r w:rsidRPr="000C156A">
        <w:rPr>
          <w:rFonts w:hint="eastAsia"/>
          <w:lang w:val="en-US" w:eastAsia="zh-CN"/>
        </w:rPr>
        <w:t>202</w:t>
      </w:r>
      <w:r w:rsidR="000B577B">
        <w:rPr>
          <w:lang w:val="en-US" w:eastAsia="zh-CN"/>
        </w:rPr>
        <w:t>1</w:t>
      </w:r>
      <w:r w:rsidRPr="000C156A">
        <w:rPr>
          <w:rFonts w:hint="eastAsia"/>
          <w:lang w:val="en-US" w:eastAsia="zh-CN"/>
        </w:rPr>
        <w:t>年底编制并于</w:t>
      </w:r>
      <w:r w:rsidRPr="000C156A">
        <w:rPr>
          <w:rFonts w:hint="eastAsia"/>
          <w:lang w:val="en-US" w:eastAsia="zh-CN"/>
        </w:rPr>
        <w:t>202</w:t>
      </w:r>
      <w:r w:rsidR="000B577B">
        <w:rPr>
          <w:lang w:val="en-US" w:eastAsia="zh-CN"/>
        </w:rPr>
        <w:t>2</w:t>
      </w:r>
      <w:r w:rsidRPr="000C156A">
        <w:rPr>
          <w:rFonts w:hint="eastAsia"/>
          <w:lang w:val="en-US" w:eastAsia="zh-CN"/>
        </w:rPr>
        <w:t>年公布的请求有关的卫星网络申报，以及为新办公楼开具发票但尚未付款的赞助协议。</w:t>
      </w:r>
    </w:p>
    <w:p w14:paraId="53E38051" w14:textId="77777777" w:rsidR="0085433F" w:rsidRPr="000C156A" w:rsidRDefault="0085433F" w:rsidP="0085433F">
      <w:pPr>
        <w:pStyle w:val="Heading1"/>
        <w:spacing w:before="360" w:after="240"/>
        <w:rPr>
          <w:rFonts w:cs="Microsoft YaHei"/>
          <w:sz w:val="24"/>
          <w:szCs w:val="24"/>
          <w:lang w:eastAsia="zh-CN"/>
        </w:rPr>
      </w:pPr>
      <w:bookmarkStart w:id="782" w:name="_Toc73518693"/>
      <w:bookmarkStart w:id="783" w:name="_Toc73518840"/>
      <w:bookmarkStart w:id="784" w:name="_Toc73519240"/>
      <w:bookmarkStart w:id="785" w:name="_Toc110264003"/>
      <w:bookmarkStart w:id="786" w:name="_Toc110264082"/>
      <w:bookmarkStart w:id="787" w:name="_Toc110265721"/>
      <w:bookmarkStart w:id="788" w:name="_Toc110330091"/>
      <w:bookmarkStart w:id="789" w:name="_Toc110330256"/>
      <w:r w:rsidRPr="000C156A">
        <w:rPr>
          <w:rFonts w:cs="Microsoft YaHei" w:hint="eastAsia"/>
          <w:sz w:val="24"/>
          <w:szCs w:val="24"/>
          <w:lang w:val="fr-FR" w:eastAsia="zh-CN"/>
        </w:rPr>
        <w:t>说明</w:t>
      </w:r>
      <w:r w:rsidRPr="000C156A">
        <w:rPr>
          <w:rFonts w:cs="Microsoft YaHei"/>
          <w:sz w:val="24"/>
          <w:szCs w:val="24"/>
          <w:lang w:eastAsia="zh-CN"/>
        </w:rPr>
        <w:t>16</w:t>
      </w:r>
      <w:r w:rsidRPr="000C156A">
        <w:rPr>
          <w:rFonts w:cs="Microsoft YaHei"/>
          <w:sz w:val="24"/>
          <w:szCs w:val="24"/>
          <w:lang w:eastAsia="zh-CN"/>
        </w:rPr>
        <w:tab/>
      </w:r>
      <w:r w:rsidRPr="000C156A">
        <w:rPr>
          <w:rFonts w:cs="Microsoft YaHei" w:hint="eastAsia"/>
          <w:sz w:val="24"/>
          <w:szCs w:val="24"/>
          <w:lang w:val="fr-FR" w:eastAsia="zh-CN"/>
        </w:rPr>
        <w:t>借款及其它</w:t>
      </w:r>
      <w:bookmarkEnd w:id="283"/>
      <w:bookmarkEnd w:id="284"/>
      <w:r w:rsidRPr="000C156A">
        <w:rPr>
          <w:rFonts w:cs="Microsoft YaHei" w:hint="eastAsia"/>
          <w:sz w:val="24"/>
          <w:szCs w:val="24"/>
          <w:lang w:val="fr-FR" w:eastAsia="zh-CN"/>
        </w:rPr>
        <w:t>财务负债</w:t>
      </w:r>
      <w:bookmarkEnd w:id="285"/>
      <w:bookmarkEnd w:id="286"/>
      <w:bookmarkEnd w:id="287"/>
      <w:bookmarkEnd w:id="288"/>
      <w:bookmarkEnd w:id="289"/>
      <w:bookmarkEnd w:id="290"/>
      <w:bookmarkEnd w:id="291"/>
      <w:bookmarkEnd w:id="292"/>
      <w:bookmarkEnd w:id="293"/>
      <w:bookmarkEnd w:id="294"/>
      <w:bookmarkEnd w:id="782"/>
      <w:bookmarkEnd w:id="783"/>
      <w:bookmarkEnd w:id="784"/>
      <w:bookmarkEnd w:id="785"/>
      <w:bookmarkEnd w:id="786"/>
      <w:bookmarkEnd w:id="787"/>
      <w:bookmarkEnd w:id="788"/>
      <w:bookmarkEnd w:id="789"/>
    </w:p>
    <w:tbl>
      <w:tblPr>
        <w:tblW w:w="8794" w:type="dxa"/>
        <w:jc w:val="center"/>
        <w:tblLook w:val="04A0" w:firstRow="1" w:lastRow="0" w:firstColumn="1" w:lastColumn="0" w:noHBand="0" w:noVBand="1"/>
      </w:tblPr>
      <w:tblGrid>
        <w:gridCol w:w="3861"/>
        <w:gridCol w:w="1276"/>
        <w:gridCol w:w="1843"/>
        <w:gridCol w:w="1814"/>
      </w:tblGrid>
      <w:tr w:rsidR="0085433F" w:rsidRPr="000C156A" w14:paraId="00EF0D25" w14:textId="77777777" w:rsidTr="003A64C9">
        <w:trPr>
          <w:trHeight w:val="447"/>
          <w:jc w:val="center"/>
        </w:trPr>
        <w:tc>
          <w:tcPr>
            <w:tcW w:w="3861" w:type="dxa"/>
            <w:tcBorders>
              <w:top w:val="single" w:sz="4" w:space="0" w:color="auto"/>
              <w:left w:val="single" w:sz="4" w:space="0" w:color="auto"/>
              <w:bottom w:val="single" w:sz="4" w:space="0" w:color="auto"/>
              <w:right w:val="single" w:sz="4" w:space="0" w:color="auto"/>
            </w:tcBorders>
            <w:noWrap/>
            <w:vAlign w:val="center"/>
            <w:hideMark/>
          </w:tcPr>
          <w:p w14:paraId="59BE9265" w14:textId="77777777" w:rsidR="0085433F" w:rsidRPr="000C156A" w:rsidRDefault="0085433F" w:rsidP="000B577B">
            <w:pPr>
              <w:keepNext/>
              <w:keepLines/>
              <w:widowControl w:val="0"/>
              <w:kinsoku w:val="0"/>
              <w:spacing w:before="40" w:after="40"/>
              <w:rPr>
                <w:b/>
                <w:color w:val="000000"/>
                <w:sz w:val="22"/>
                <w:szCs w:val="22"/>
                <w:lang w:val="en-US" w:eastAsia="zh-CN"/>
              </w:rPr>
            </w:pPr>
            <w:r w:rsidRPr="000C156A">
              <w:rPr>
                <w:rFonts w:hint="eastAsia"/>
                <w:b/>
                <w:color w:val="000000"/>
                <w:sz w:val="22"/>
                <w:szCs w:val="22"/>
                <w:lang w:val="en-US"/>
              </w:rPr>
              <w:t>单位：千瑞郎</w:t>
            </w:r>
          </w:p>
        </w:tc>
        <w:tc>
          <w:tcPr>
            <w:tcW w:w="1276" w:type="dxa"/>
            <w:tcBorders>
              <w:top w:val="single" w:sz="4" w:space="0" w:color="auto"/>
              <w:left w:val="nil"/>
              <w:bottom w:val="single" w:sz="4" w:space="0" w:color="auto"/>
              <w:right w:val="single" w:sz="4" w:space="0" w:color="auto"/>
            </w:tcBorders>
            <w:noWrap/>
            <w:vAlign w:val="center"/>
            <w:hideMark/>
          </w:tcPr>
          <w:p w14:paraId="7F0306E7" w14:textId="77777777" w:rsidR="0085433F" w:rsidRPr="000C156A" w:rsidRDefault="0085433F" w:rsidP="000B577B">
            <w:pPr>
              <w:keepNext/>
              <w:keepLines/>
              <w:widowControl w:val="0"/>
              <w:kinsoku w:val="0"/>
              <w:spacing w:before="40" w:after="40"/>
              <w:jc w:val="center"/>
              <w:rPr>
                <w:b/>
                <w:sz w:val="22"/>
                <w:szCs w:val="22"/>
                <w:lang w:val="en-US" w:eastAsia="zh-CN"/>
              </w:rPr>
            </w:pPr>
            <w:r w:rsidRPr="000C156A">
              <w:rPr>
                <w:rFonts w:hint="eastAsia"/>
                <w:b/>
                <w:color w:val="000000"/>
                <w:sz w:val="22"/>
                <w:szCs w:val="22"/>
                <w:lang w:val="en-US" w:eastAsia="zh-CN"/>
              </w:rPr>
              <w:t>到期日</w:t>
            </w:r>
          </w:p>
        </w:tc>
        <w:tc>
          <w:tcPr>
            <w:tcW w:w="1843" w:type="dxa"/>
            <w:tcBorders>
              <w:top w:val="single" w:sz="4" w:space="0" w:color="auto"/>
              <w:left w:val="nil"/>
              <w:bottom w:val="single" w:sz="4" w:space="0" w:color="auto"/>
              <w:right w:val="single" w:sz="4" w:space="0" w:color="auto"/>
            </w:tcBorders>
            <w:noWrap/>
            <w:vAlign w:val="center"/>
            <w:hideMark/>
          </w:tcPr>
          <w:p w14:paraId="322CC06F" w14:textId="5749EED1" w:rsidR="0085433F" w:rsidRPr="000C156A" w:rsidRDefault="0085433F" w:rsidP="000B577B">
            <w:pPr>
              <w:keepNext/>
              <w:keepLines/>
              <w:widowControl w:val="0"/>
              <w:kinsoku w:val="0"/>
              <w:spacing w:before="40" w:after="40"/>
              <w:jc w:val="center"/>
              <w:rPr>
                <w:b/>
                <w:sz w:val="22"/>
                <w:szCs w:val="22"/>
                <w:lang w:val="en-US" w:eastAsia="zh-CN"/>
              </w:rPr>
            </w:pPr>
            <w:r w:rsidRPr="000C156A">
              <w:rPr>
                <w:b/>
                <w:color w:val="000000"/>
                <w:sz w:val="22"/>
                <w:szCs w:val="22"/>
                <w:lang w:val="en-US" w:eastAsia="zh-CN"/>
              </w:rPr>
              <w:t>202</w:t>
            </w:r>
            <w:r w:rsidR="00F252AF">
              <w:rPr>
                <w:b/>
                <w:color w:val="000000"/>
                <w:sz w:val="22"/>
                <w:szCs w:val="22"/>
                <w:lang w:val="en-US" w:eastAsia="zh-CN"/>
              </w:rPr>
              <w:t>1</w:t>
            </w:r>
            <w:r w:rsidRPr="000C156A">
              <w:rPr>
                <w:rFonts w:hint="eastAsia"/>
                <w:b/>
                <w:color w:val="000000"/>
                <w:sz w:val="22"/>
                <w:szCs w:val="22"/>
                <w:lang w:val="en-US" w:eastAsia="zh-CN"/>
              </w:rPr>
              <w:t>年</w:t>
            </w:r>
            <w:r w:rsidRPr="000C156A">
              <w:rPr>
                <w:b/>
                <w:color w:val="000000"/>
                <w:sz w:val="22"/>
                <w:szCs w:val="22"/>
                <w:lang w:val="en-US" w:eastAsia="zh-CN"/>
              </w:rPr>
              <w:t>12</w:t>
            </w:r>
            <w:r w:rsidRPr="000C156A">
              <w:rPr>
                <w:rFonts w:hint="eastAsia"/>
                <w:b/>
                <w:color w:val="000000"/>
                <w:sz w:val="22"/>
                <w:szCs w:val="22"/>
                <w:lang w:val="en-US" w:eastAsia="zh-CN"/>
              </w:rPr>
              <w:t>月</w:t>
            </w:r>
            <w:r w:rsidRPr="000C156A">
              <w:rPr>
                <w:b/>
                <w:color w:val="000000"/>
                <w:sz w:val="22"/>
                <w:szCs w:val="22"/>
                <w:lang w:val="en-US" w:eastAsia="zh-CN"/>
              </w:rPr>
              <w:t>31</w:t>
            </w:r>
            <w:r w:rsidRPr="000C156A">
              <w:rPr>
                <w:rFonts w:hint="eastAsia"/>
                <w:b/>
                <w:color w:val="000000"/>
                <w:sz w:val="22"/>
                <w:szCs w:val="22"/>
                <w:lang w:val="en-US" w:eastAsia="zh-CN"/>
              </w:rPr>
              <w:t>日</w:t>
            </w:r>
          </w:p>
        </w:tc>
        <w:tc>
          <w:tcPr>
            <w:tcW w:w="1814" w:type="dxa"/>
            <w:tcBorders>
              <w:top w:val="single" w:sz="4" w:space="0" w:color="auto"/>
              <w:left w:val="nil"/>
              <w:bottom w:val="single" w:sz="4" w:space="0" w:color="auto"/>
              <w:right w:val="single" w:sz="4" w:space="0" w:color="auto"/>
            </w:tcBorders>
            <w:noWrap/>
            <w:vAlign w:val="center"/>
            <w:hideMark/>
          </w:tcPr>
          <w:p w14:paraId="79DF272E" w14:textId="56BC9A62" w:rsidR="0085433F" w:rsidRPr="000C156A" w:rsidRDefault="0085433F" w:rsidP="000B577B">
            <w:pPr>
              <w:keepNext/>
              <w:keepLines/>
              <w:widowControl w:val="0"/>
              <w:kinsoku w:val="0"/>
              <w:spacing w:before="40" w:after="40"/>
              <w:jc w:val="center"/>
              <w:rPr>
                <w:b/>
                <w:color w:val="000000"/>
                <w:sz w:val="22"/>
                <w:szCs w:val="22"/>
                <w:lang w:val="en-US" w:eastAsia="zh-CN"/>
              </w:rPr>
            </w:pPr>
            <w:r w:rsidRPr="000C156A">
              <w:rPr>
                <w:b/>
                <w:color w:val="000000"/>
                <w:sz w:val="22"/>
                <w:szCs w:val="22"/>
                <w:lang w:val="en-US" w:eastAsia="zh-CN"/>
              </w:rPr>
              <w:t>20</w:t>
            </w:r>
            <w:r w:rsidR="00F252AF">
              <w:rPr>
                <w:b/>
                <w:color w:val="000000"/>
                <w:sz w:val="22"/>
                <w:szCs w:val="22"/>
                <w:lang w:val="en-US" w:eastAsia="zh-CN"/>
              </w:rPr>
              <w:t>20</w:t>
            </w:r>
            <w:r w:rsidRPr="000C156A">
              <w:rPr>
                <w:rFonts w:hint="eastAsia"/>
                <w:b/>
                <w:color w:val="000000"/>
                <w:sz w:val="22"/>
                <w:szCs w:val="22"/>
                <w:lang w:val="en-US" w:eastAsia="zh-CN"/>
              </w:rPr>
              <w:t>年</w:t>
            </w:r>
            <w:r w:rsidRPr="000C156A">
              <w:rPr>
                <w:b/>
                <w:color w:val="000000"/>
                <w:sz w:val="22"/>
                <w:szCs w:val="22"/>
                <w:lang w:val="en-US" w:eastAsia="zh-CN"/>
              </w:rPr>
              <w:t>12</w:t>
            </w:r>
            <w:r w:rsidRPr="000C156A">
              <w:rPr>
                <w:rFonts w:hint="eastAsia"/>
                <w:b/>
                <w:color w:val="000000"/>
                <w:sz w:val="22"/>
                <w:szCs w:val="22"/>
                <w:lang w:val="en-US" w:eastAsia="zh-CN"/>
              </w:rPr>
              <w:t>月</w:t>
            </w:r>
            <w:r w:rsidRPr="000C156A">
              <w:rPr>
                <w:b/>
                <w:color w:val="000000"/>
                <w:sz w:val="22"/>
                <w:szCs w:val="22"/>
                <w:lang w:val="en-US" w:eastAsia="zh-CN"/>
              </w:rPr>
              <w:t>31</w:t>
            </w:r>
            <w:r w:rsidRPr="000C156A">
              <w:rPr>
                <w:rFonts w:hint="eastAsia"/>
                <w:b/>
                <w:color w:val="000000"/>
                <w:sz w:val="22"/>
                <w:szCs w:val="22"/>
                <w:lang w:val="en-US" w:eastAsia="zh-CN"/>
              </w:rPr>
              <w:t>日</w:t>
            </w:r>
          </w:p>
        </w:tc>
      </w:tr>
      <w:tr w:rsidR="0085433F" w:rsidRPr="000C156A" w14:paraId="723F3EFF" w14:textId="77777777" w:rsidTr="003A64C9">
        <w:trPr>
          <w:trHeight w:val="255"/>
          <w:jc w:val="center"/>
        </w:trPr>
        <w:tc>
          <w:tcPr>
            <w:tcW w:w="3861" w:type="dxa"/>
            <w:tcBorders>
              <w:top w:val="nil"/>
              <w:left w:val="single" w:sz="4" w:space="0" w:color="auto"/>
              <w:bottom w:val="nil"/>
              <w:right w:val="single" w:sz="4" w:space="0" w:color="auto"/>
            </w:tcBorders>
            <w:noWrap/>
            <w:vAlign w:val="bottom"/>
            <w:hideMark/>
          </w:tcPr>
          <w:p w14:paraId="6DD7FA9D" w14:textId="77777777" w:rsidR="0085433F" w:rsidRPr="000C156A" w:rsidRDefault="0085433F" w:rsidP="000B577B">
            <w:pPr>
              <w:keepNext/>
              <w:keepLines/>
              <w:widowControl w:val="0"/>
              <w:kinsoku w:val="0"/>
              <w:spacing w:before="20" w:after="20"/>
              <w:rPr>
                <w:b/>
                <w:color w:val="000000"/>
                <w:sz w:val="22"/>
                <w:szCs w:val="22"/>
                <w:u w:val="single"/>
                <w:lang w:val="en-US" w:eastAsia="zh-CN"/>
              </w:rPr>
            </w:pPr>
            <w:r w:rsidRPr="000C156A">
              <w:rPr>
                <w:rFonts w:hint="eastAsia"/>
                <w:color w:val="000000"/>
                <w:sz w:val="22"/>
                <w:szCs w:val="22"/>
                <w:u w:val="single"/>
                <w:lang w:val="en-US" w:eastAsia="zh-CN"/>
              </w:rPr>
              <w:t>从</w:t>
            </w:r>
            <w:r w:rsidRPr="000C156A">
              <w:rPr>
                <w:color w:val="000000"/>
                <w:sz w:val="22"/>
                <w:szCs w:val="22"/>
                <w:u w:val="single"/>
                <w:lang w:val="en-US" w:eastAsia="zh-CN"/>
              </w:rPr>
              <w:t>FIPOI</w:t>
            </w:r>
            <w:r w:rsidRPr="000C156A">
              <w:rPr>
                <w:rFonts w:hint="eastAsia"/>
                <w:color w:val="000000"/>
                <w:sz w:val="22"/>
                <w:szCs w:val="22"/>
                <w:u w:val="single"/>
                <w:lang w:val="en-US" w:eastAsia="zh-CN"/>
              </w:rPr>
              <w:t>获得的初始借款数额</w:t>
            </w:r>
          </w:p>
        </w:tc>
        <w:tc>
          <w:tcPr>
            <w:tcW w:w="1276" w:type="dxa"/>
            <w:tcBorders>
              <w:top w:val="nil"/>
              <w:left w:val="nil"/>
              <w:bottom w:val="nil"/>
              <w:right w:val="single" w:sz="4" w:space="0" w:color="auto"/>
            </w:tcBorders>
            <w:shd w:val="clear" w:color="auto" w:fill="auto"/>
            <w:noWrap/>
            <w:vAlign w:val="bottom"/>
            <w:hideMark/>
          </w:tcPr>
          <w:p w14:paraId="11B63F64" w14:textId="77777777" w:rsidR="0085433F" w:rsidRPr="000C156A" w:rsidRDefault="0085433F" w:rsidP="000B577B">
            <w:pPr>
              <w:keepNext/>
              <w:keepLines/>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hideMark/>
          </w:tcPr>
          <w:p w14:paraId="17AAA2FE" w14:textId="77777777" w:rsidR="0085433F" w:rsidRPr="000C156A" w:rsidRDefault="0085433F" w:rsidP="000B577B">
            <w:pPr>
              <w:keepNext/>
              <w:keepLines/>
              <w:overflowPunct/>
              <w:autoSpaceDE/>
              <w:autoSpaceDN/>
              <w:adjustRightInd/>
              <w:spacing w:before="0"/>
              <w:jc w:val="right"/>
              <w:textAlignment w:val="auto"/>
              <w:rPr>
                <w:rFonts w:cs="Arial"/>
                <w:color w:val="000000"/>
                <w:sz w:val="22"/>
                <w:szCs w:val="22"/>
                <w:lang w:val="en-US" w:eastAsia="zh-CN"/>
              </w:rPr>
            </w:pPr>
          </w:p>
        </w:tc>
        <w:tc>
          <w:tcPr>
            <w:tcW w:w="1814" w:type="dxa"/>
            <w:tcBorders>
              <w:top w:val="nil"/>
              <w:left w:val="nil"/>
              <w:bottom w:val="nil"/>
              <w:right w:val="single" w:sz="4" w:space="0" w:color="auto"/>
            </w:tcBorders>
            <w:shd w:val="clear" w:color="auto" w:fill="auto"/>
            <w:noWrap/>
            <w:vAlign w:val="bottom"/>
            <w:hideMark/>
          </w:tcPr>
          <w:p w14:paraId="083B9E94" w14:textId="77777777" w:rsidR="0085433F" w:rsidRPr="000C156A" w:rsidRDefault="0085433F" w:rsidP="000B577B">
            <w:pPr>
              <w:keepNext/>
              <w:keepLines/>
              <w:overflowPunct/>
              <w:autoSpaceDE/>
              <w:autoSpaceDN/>
              <w:adjustRightInd/>
              <w:spacing w:before="0"/>
              <w:jc w:val="right"/>
              <w:textAlignment w:val="auto"/>
              <w:rPr>
                <w:rFonts w:cs="Arial"/>
                <w:color w:val="000000"/>
                <w:sz w:val="22"/>
                <w:szCs w:val="22"/>
                <w:lang w:val="en-US" w:eastAsia="zh-CN"/>
              </w:rPr>
            </w:pPr>
          </w:p>
        </w:tc>
      </w:tr>
      <w:tr w:rsidR="0085433F" w:rsidRPr="000C156A" w14:paraId="16BC1B97" w14:textId="77777777" w:rsidTr="003A64C9">
        <w:trPr>
          <w:trHeight w:val="255"/>
          <w:jc w:val="center"/>
        </w:trPr>
        <w:tc>
          <w:tcPr>
            <w:tcW w:w="3861" w:type="dxa"/>
            <w:tcBorders>
              <w:top w:val="nil"/>
              <w:left w:val="single" w:sz="4" w:space="0" w:color="auto"/>
              <w:bottom w:val="nil"/>
              <w:right w:val="single" w:sz="4" w:space="0" w:color="auto"/>
            </w:tcBorders>
            <w:noWrap/>
            <w:vAlign w:val="bottom"/>
          </w:tcPr>
          <w:p w14:paraId="7F60B56B" w14:textId="77777777" w:rsidR="0085433F" w:rsidRPr="000C156A" w:rsidRDefault="0085433F" w:rsidP="000B577B">
            <w:pPr>
              <w:keepNext/>
              <w:keepLines/>
              <w:widowControl w:val="0"/>
              <w:kinsoku w:val="0"/>
              <w:spacing w:before="20" w:after="20"/>
              <w:rPr>
                <w:color w:val="000000"/>
                <w:sz w:val="22"/>
                <w:szCs w:val="22"/>
                <w:u w:val="single"/>
                <w:lang w:val="en-US" w:eastAsia="zh-CN"/>
              </w:rPr>
            </w:pPr>
          </w:p>
        </w:tc>
        <w:tc>
          <w:tcPr>
            <w:tcW w:w="1276" w:type="dxa"/>
            <w:tcBorders>
              <w:top w:val="nil"/>
              <w:left w:val="nil"/>
              <w:bottom w:val="nil"/>
              <w:right w:val="single" w:sz="4" w:space="0" w:color="auto"/>
            </w:tcBorders>
            <w:shd w:val="clear" w:color="auto" w:fill="auto"/>
            <w:noWrap/>
            <w:vAlign w:val="bottom"/>
          </w:tcPr>
          <w:p w14:paraId="3C1CC295" w14:textId="77777777" w:rsidR="0085433F" w:rsidRPr="000C156A" w:rsidRDefault="0085433F" w:rsidP="000B577B">
            <w:pPr>
              <w:keepNext/>
              <w:keepLines/>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tcPr>
          <w:p w14:paraId="36619995" w14:textId="77777777" w:rsidR="0085433F" w:rsidRPr="000C156A" w:rsidRDefault="0085433F" w:rsidP="000B577B">
            <w:pPr>
              <w:keepNext/>
              <w:keepLines/>
              <w:overflowPunct/>
              <w:autoSpaceDE/>
              <w:autoSpaceDN/>
              <w:adjustRightInd/>
              <w:spacing w:before="0"/>
              <w:jc w:val="right"/>
              <w:textAlignment w:val="auto"/>
              <w:rPr>
                <w:rFonts w:cs="Arial"/>
                <w:color w:val="000000"/>
                <w:sz w:val="22"/>
                <w:szCs w:val="22"/>
                <w:lang w:val="en-US" w:eastAsia="zh-CN"/>
              </w:rPr>
            </w:pPr>
          </w:p>
        </w:tc>
        <w:tc>
          <w:tcPr>
            <w:tcW w:w="1814" w:type="dxa"/>
            <w:tcBorders>
              <w:top w:val="nil"/>
              <w:left w:val="nil"/>
              <w:bottom w:val="nil"/>
              <w:right w:val="single" w:sz="4" w:space="0" w:color="auto"/>
            </w:tcBorders>
            <w:shd w:val="clear" w:color="auto" w:fill="auto"/>
            <w:noWrap/>
            <w:vAlign w:val="bottom"/>
          </w:tcPr>
          <w:p w14:paraId="594DBF98" w14:textId="77777777" w:rsidR="0085433F" w:rsidRPr="000C156A" w:rsidRDefault="0085433F" w:rsidP="000B577B">
            <w:pPr>
              <w:keepNext/>
              <w:keepLines/>
              <w:overflowPunct/>
              <w:autoSpaceDE/>
              <w:autoSpaceDN/>
              <w:adjustRightInd/>
              <w:spacing w:before="0"/>
              <w:jc w:val="right"/>
              <w:textAlignment w:val="auto"/>
              <w:rPr>
                <w:rFonts w:cs="Arial"/>
                <w:color w:val="000000"/>
                <w:sz w:val="22"/>
                <w:szCs w:val="22"/>
                <w:lang w:val="en-US" w:eastAsia="zh-CN"/>
              </w:rPr>
            </w:pPr>
          </w:p>
        </w:tc>
      </w:tr>
      <w:tr w:rsidR="00F252AF" w:rsidRPr="000C156A" w14:paraId="5E7E5DEA" w14:textId="77777777" w:rsidTr="003A64C9">
        <w:trPr>
          <w:trHeight w:val="255"/>
          <w:jc w:val="center"/>
        </w:trPr>
        <w:tc>
          <w:tcPr>
            <w:tcW w:w="3861" w:type="dxa"/>
            <w:tcBorders>
              <w:top w:val="nil"/>
              <w:left w:val="single" w:sz="4" w:space="0" w:color="auto"/>
              <w:bottom w:val="nil"/>
              <w:right w:val="single" w:sz="4" w:space="0" w:color="auto"/>
            </w:tcBorders>
            <w:noWrap/>
            <w:vAlign w:val="bottom"/>
            <w:hideMark/>
          </w:tcPr>
          <w:p w14:paraId="2EBA4E36" w14:textId="77777777" w:rsidR="00F252AF" w:rsidRPr="000C156A" w:rsidRDefault="00F252AF" w:rsidP="00F252AF">
            <w:pPr>
              <w:keepNext/>
              <w:keepLines/>
              <w:widowControl w:val="0"/>
              <w:kinsoku w:val="0"/>
              <w:spacing w:before="20" w:after="20"/>
              <w:rPr>
                <w:b/>
                <w:color w:val="000000"/>
                <w:sz w:val="22"/>
                <w:szCs w:val="22"/>
                <w:lang w:val="fr-CH" w:eastAsia="zh-CN"/>
              </w:rPr>
            </w:pPr>
            <w:r w:rsidRPr="000C156A">
              <w:rPr>
                <w:color w:val="000000"/>
                <w:sz w:val="22"/>
                <w:szCs w:val="22"/>
                <w:lang w:val="fr-CH" w:eastAsia="zh-CN"/>
              </w:rPr>
              <w:t>19 627 590</w:t>
            </w:r>
            <w:r w:rsidRPr="000C156A">
              <w:rPr>
                <w:rFonts w:hint="eastAsia"/>
                <w:color w:val="000000"/>
                <w:sz w:val="22"/>
                <w:szCs w:val="22"/>
                <w:lang w:val="en-US" w:eastAsia="zh-CN"/>
              </w:rPr>
              <w:t>瑞郎</w:t>
            </w:r>
            <w:r w:rsidRPr="000C156A">
              <w:rPr>
                <w:rFonts w:hint="eastAsia"/>
                <w:color w:val="000000"/>
                <w:sz w:val="22"/>
                <w:szCs w:val="22"/>
                <w:lang w:val="fr-CH" w:eastAsia="zh-CN"/>
              </w:rPr>
              <w:t xml:space="preserve"> </w:t>
            </w:r>
            <w:r w:rsidRPr="000C156A">
              <w:rPr>
                <w:color w:val="000000"/>
                <w:sz w:val="22"/>
                <w:szCs w:val="22"/>
                <w:lang w:val="fr-CH" w:eastAsia="zh-CN"/>
              </w:rPr>
              <w:t xml:space="preserve">– </w:t>
            </w:r>
            <w:r w:rsidRPr="000C156A">
              <w:rPr>
                <w:rFonts w:ascii="Arial" w:hAnsi="Arial" w:cs="Arial" w:hint="eastAsia"/>
                <w:color w:val="000000"/>
                <w:sz w:val="22"/>
                <w:szCs w:val="22"/>
                <w:lang w:val="fr-CH" w:eastAsia="zh-CN"/>
              </w:rPr>
              <w:t>从</w:t>
            </w:r>
            <w:r w:rsidRPr="000C156A">
              <w:rPr>
                <w:color w:val="000000"/>
                <w:sz w:val="22"/>
                <w:szCs w:val="22"/>
                <w:lang w:val="fr-CH"/>
              </w:rPr>
              <w:t>1990</w:t>
            </w:r>
            <w:r w:rsidRPr="000C156A">
              <w:rPr>
                <w:rFonts w:hint="eastAsia"/>
                <w:color w:val="000000"/>
                <w:sz w:val="22"/>
                <w:szCs w:val="22"/>
                <w:lang w:val="fr-CH" w:eastAsia="zh-CN"/>
              </w:rPr>
              <w:t>年起</w:t>
            </w:r>
          </w:p>
        </w:tc>
        <w:tc>
          <w:tcPr>
            <w:tcW w:w="1276" w:type="dxa"/>
            <w:tcBorders>
              <w:top w:val="nil"/>
              <w:left w:val="nil"/>
              <w:bottom w:val="nil"/>
              <w:right w:val="single" w:sz="4" w:space="0" w:color="auto"/>
            </w:tcBorders>
            <w:shd w:val="clear" w:color="auto" w:fill="auto"/>
            <w:noWrap/>
            <w:vAlign w:val="bottom"/>
            <w:hideMark/>
          </w:tcPr>
          <w:p w14:paraId="3C573D7E" w14:textId="77777777"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2039</w:t>
            </w:r>
          </w:p>
        </w:tc>
        <w:tc>
          <w:tcPr>
            <w:tcW w:w="1843" w:type="dxa"/>
            <w:tcBorders>
              <w:top w:val="nil"/>
              <w:left w:val="nil"/>
              <w:bottom w:val="nil"/>
              <w:right w:val="single" w:sz="4" w:space="0" w:color="auto"/>
            </w:tcBorders>
            <w:shd w:val="clear" w:color="auto" w:fill="auto"/>
            <w:noWrap/>
            <w:vAlign w:val="bottom"/>
            <w:hideMark/>
          </w:tcPr>
          <w:p w14:paraId="79DED65F" w14:textId="003234FB"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7 971 </w:t>
            </w:r>
          </w:p>
        </w:tc>
        <w:tc>
          <w:tcPr>
            <w:tcW w:w="1814" w:type="dxa"/>
            <w:tcBorders>
              <w:top w:val="nil"/>
              <w:left w:val="nil"/>
              <w:bottom w:val="nil"/>
              <w:right w:val="single" w:sz="4" w:space="0" w:color="auto"/>
            </w:tcBorders>
            <w:shd w:val="clear" w:color="auto" w:fill="auto"/>
            <w:noWrap/>
            <w:vAlign w:val="bottom"/>
            <w:hideMark/>
          </w:tcPr>
          <w:p w14:paraId="74D30547" w14:textId="7641BE67"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sidRPr="000D745E">
              <w:rPr>
                <w:rFonts w:asciiTheme="minorHAnsi" w:hAnsiTheme="minorHAnsi" w:cstheme="minorHAnsi"/>
                <w:color w:val="000000"/>
                <w:sz w:val="22"/>
                <w:szCs w:val="22"/>
                <w:lang w:val="en-US" w:eastAsia="zh-CN"/>
              </w:rPr>
              <w:t>8</w:t>
            </w:r>
            <w:r>
              <w:rPr>
                <w:rFonts w:asciiTheme="minorHAnsi" w:hAnsiTheme="minorHAnsi" w:cstheme="minorHAnsi"/>
                <w:color w:val="000000"/>
                <w:sz w:val="22"/>
                <w:szCs w:val="22"/>
                <w:lang w:val="en-US" w:eastAsia="zh-CN"/>
              </w:rPr>
              <w:t> 413</w:t>
            </w:r>
            <w:r w:rsidRPr="000D745E">
              <w:rPr>
                <w:rFonts w:asciiTheme="minorHAnsi" w:hAnsiTheme="minorHAnsi" w:cstheme="minorHAnsi"/>
                <w:color w:val="000000"/>
                <w:sz w:val="22"/>
                <w:szCs w:val="22"/>
                <w:lang w:val="en-US" w:eastAsia="zh-CN"/>
              </w:rPr>
              <w:t xml:space="preserve"> </w:t>
            </w:r>
          </w:p>
        </w:tc>
      </w:tr>
      <w:tr w:rsidR="00F252AF" w:rsidRPr="000C156A" w14:paraId="6646C122" w14:textId="77777777" w:rsidTr="003A64C9">
        <w:trPr>
          <w:trHeight w:val="255"/>
          <w:jc w:val="center"/>
        </w:trPr>
        <w:tc>
          <w:tcPr>
            <w:tcW w:w="3861" w:type="dxa"/>
            <w:tcBorders>
              <w:top w:val="nil"/>
              <w:left w:val="single" w:sz="4" w:space="0" w:color="auto"/>
              <w:bottom w:val="nil"/>
              <w:right w:val="single" w:sz="4" w:space="0" w:color="auto"/>
            </w:tcBorders>
            <w:noWrap/>
            <w:vAlign w:val="bottom"/>
            <w:hideMark/>
          </w:tcPr>
          <w:p w14:paraId="30E5D438" w14:textId="77777777" w:rsidR="00F252AF" w:rsidRPr="000C156A" w:rsidRDefault="00F252AF" w:rsidP="00F252AF">
            <w:pPr>
              <w:keepNext/>
              <w:keepLines/>
              <w:widowControl w:val="0"/>
              <w:kinsoku w:val="0"/>
              <w:spacing w:before="20" w:after="20"/>
              <w:rPr>
                <w:b/>
                <w:color w:val="000000"/>
                <w:sz w:val="22"/>
                <w:szCs w:val="22"/>
                <w:lang w:val="fr-CH" w:eastAsia="zh-CN"/>
              </w:rPr>
            </w:pPr>
            <w:r w:rsidRPr="000C156A">
              <w:rPr>
                <w:color w:val="000000"/>
                <w:sz w:val="22"/>
                <w:szCs w:val="22"/>
                <w:lang w:val="fr-CH" w:eastAsia="zh-CN"/>
              </w:rPr>
              <w:t>45 427 250</w:t>
            </w:r>
            <w:r w:rsidRPr="000C156A">
              <w:rPr>
                <w:rFonts w:hint="eastAsia"/>
                <w:color w:val="000000"/>
                <w:sz w:val="22"/>
                <w:szCs w:val="22"/>
                <w:lang w:val="en-US" w:eastAsia="zh-CN"/>
              </w:rPr>
              <w:t>瑞郎</w:t>
            </w:r>
            <w:r w:rsidRPr="000C156A">
              <w:rPr>
                <w:rFonts w:hint="eastAsia"/>
                <w:color w:val="000000"/>
                <w:sz w:val="22"/>
                <w:szCs w:val="22"/>
                <w:lang w:val="fr-CH" w:eastAsia="zh-CN"/>
              </w:rPr>
              <w:t xml:space="preserve"> </w:t>
            </w:r>
            <w:r w:rsidRPr="000C156A">
              <w:rPr>
                <w:color w:val="000000"/>
                <w:sz w:val="22"/>
                <w:szCs w:val="22"/>
                <w:lang w:val="fr-CH" w:eastAsia="zh-CN"/>
              </w:rPr>
              <w:t xml:space="preserve">– </w:t>
            </w:r>
            <w:r w:rsidRPr="000C156A">
              <w:rPr>
                <w:rFonts w:ascii="Arial" w:hAnsi="Arial" w:cs="Arial" w:hint="eastAsia"/>
                <w:color w:val="000000"/>
                <w:sz w:val="22"/>
                <w:szCs w:val="22"/>
                <w:lang w:val="fr-CH" w:eastAsia="zh-CN"/>
              </w:rPr>
              <w:t>从</w:t>
            </w:r>
            <w:r w:rsidRPr="000C156A">
              <w:rPr>
                <w:color w:val="000000"/>
                <w:sz w:val="22"/>
                <w:szCs w:val="22"/>
                <w:lang w:val="fr-CH"/>
              </w:rPr>
              <w:t>2002</w:t>
            </w:r>
            <w:r w:rsidRPr="000C156A">
              <w:rPr>
                <w:rFonts w:hint="eastAsia"/>
                <w:color w:val="000000"/>
                <w:sz w:val="22"/>
                <w:szCs w:val="22"/>
                <w:lang w:val="fr-CH" w:eastAsia="zh-CN"/>
              </w:rPr>
              <w:t>年起</w:t>
            </w:r>
          </w:p>
        </w:tc>
        <w:tc>
          <w:tcPr>
            <w:tcW w:w="1276" w:type="dxa"/>
            <w:tcBorders>
              <w:top w:val="nil"/>
              <w:left w:val="nil"/>
              <w:bottom w:val="nil"/>
              <w:right w:val="single" w:sz="4" w:space="0" w:color="auto"/>
            </w:tcBorders>
            <w:shd w:val="clear" w:color="auto" w:fill="auto"/>
            <w:noWrap/>
            <w:vAlign w:val="bottom"/>
            <w:hideMark/>
          </w:tcPr>
          <w:p w14:paraId="7C0B25A2" w14:textId="77777777"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2051</w:t>
            </w:r>
          </w:p>
        </w:tc>
        <w:tc>
          <w:tcPr>
            <w:tcW w:w="1843" w:type="dxa"/>
            <w:tcBorders>
              <w:top w:val="nil"/>
              <w:left w:val="nil"/>
              <w:bottom w:val="nil"/>
              <w:right w:val="single" w:sz="4" w:space="0" w:color="auto"/>
            </w:tcBorders>
            <w:shd w:val="clear" w:color="auto" w:fill="auto"/>
            <w:noWrap/>
            <w:vAlign w:val="bottom"/>
            <w:hideMark/>
          </w:tcPr>
          <w:p w14:paraId="52AFA805" w14:textId="5258809D"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27 257 </w:t>
            </w:r>
          </w:p>
        </w:tc>
        <w:tc>
          <w:tcPr>
            <w:tcW w:w="1814" w:type="dxa"/>
            <w:tcBorders>
              <w:top w:val="nil"/>
              <w:left w:val="nil"/>
              <w:bottom w:val="nil"/>
              <w:right w:val="single" w:sz="4" w:space="0" w:color="auto"/>
            </w:tcBorders>
            <w:shd w:val="clear" w:color="auto" w:fill="auto"/>
            <w:noWrap/>
            <w:vAlign w:val="bottom"/>
            <w:hideMark/>
          </w:tcPr>
          <w:p w14:paraId="37CD9E82" w14:textId="5C84D8D4"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sidRPr="000D745E">
              <w:rPr>
                <w:rFonts w:asciiTheme="minorHAnsi" w:hAnsiTheme="minorHAnsi" w:cstheme="minorHAnsi"/>
                <w:color w:val="000000"/>
                <w:sz w:val="22"/>
                <w:szCs w:val="22"/>
                <w:lang w:val="en-US" w:eastAsia="zh-CN"/>
              </w:rPr>
              <w:t>2</w:t>
            </w:r>
            <w:r>
              <w:rPr>
                <w:rFonts w:asciiTheme="minorHAnsi" w:hAnsiTheme="minorHAnsi" w:cstheme="minorHAnsi"/>
                <w:color w:val="000000"/>
                <w:sz w:val="22"/>
                <w:szCs w:val="22"/>
                <w:lang w:val="en-US" w:eastAsia="zh-CN"/>
              </w:rPr>
              <w:t>8 166</w:t>
            </w:r>
            <w:r w:rsidRPr="000D745E">
              <w:rPr>
                <w:rFonts w:asciiTheme="minorHAnsi" w:hAnsiTheme="minorHAnsi" w:cstheme="minorHAnsi"/>
                <w:color w:val="000000"/>
                <w:sz w:val="22"/>
                <w:szCs w:val="22"/>
                <w:lang w:val="en-US" w:eastAsia="zh-CN"/>
              </w:rPr>
              <w:t xml:space="preserve"> </w:t>
            </w:r>
          </w:p>
        </w:tc>
      </w:tr>
      <w:tr w:rsidR="00F252AF" w:rsidRPr="000C156A" w14:paraId="5D20CB2A" w14:textId="77777777" w:rsidTr="003A64C9">
        <w:trPr>
          <w:trHeight w:val="255"/>
          <w:jc w:val="center"/>
        </w:trPr>
        <w:tc>
          <w:tcPr>
            <w:tcW w:w="3861" w:type="dxa"/>
            <w:tcBorders>
              <w:top w:val="nil"/>
              <w:left w:val="single" w:sz="4" w:space="0" w:color="auto"/>
              <w:bottom w:val="nil"/>
              <w:right w:val="single" w:sz="4" w:space="0" w:color="auto"/>
            </w:tcBorders>
            <w:noWrap/>
            <w:vAlign w:val="bottom"/>
            <w:hideMark/>
          </w:tcPr>
          <w:p w14:paraId="436C225F" w14:textId="77777777" w:rsidR="00F252AF" w:rsidRPr="000C156A" w:rsidRDefault="00F252AF" w:rsidP="00F252AF">
            <w:pPr>
              <w:keepNext/>
              <w:keepLines/>
              <w:widowControl w:val="0"/>
              <w:kinsoku w:val="0"/>
              <w:spacing w:before="20" w:after="20"/>
              <w:rPr>
                <w:b/>
                <w:color w:val="000000"/>
                <w:sz w:val="22"/>
                <w:szCs w:val="22"/>
                <w:lang w:val="fr-CH" w:eastAsia="zh-CN"/>
              </w:rPr>
            </w:pPr>
            <w:r w:rsidRPr="000C156A">
              <w:rPr>
                <w:color w:val="000000"/>
                <w:sz w:val="22"/>
                <w:szCs w:val="22"/>
                <w:lang w:val="fr-CH"/>
              </w:rPr>
              <w:t>2 000 000</w:t>
            </w:r>
            <w:r w:rsidRPr="000C156A">
              <w:rPr>
                <w:rFonts w:hint="eastAsia"/>
                <w:color w:val="000000"/>
                <w:sz w:val="22"/>
                <w:szCs w:val="22"/>
                <w:lang w:val="en-US" w:eastAsia="zh-CN"/>
              </w:rPr>
              <w:t>瑞郎</w:t>
            </w:r>
            <w:r w:rsidRPr="000C156A">
              <w:rPr>
                <w:rFonts w:hint="eastAsia"/>
                <w:color w:val="000000"/>
                <w:sz w:val="22"/>
                <w:szCs w:val="22"/>
                <w:lang w:val="fr-CH" w:eastAsia="zh-CN"/>
              </w:rPr>
              <w:t xml:space="preserve"> </w:t>
            </w:r>
            <w:r w:rsidRPr="000C156A">
              <w:rPr>
                <w:color w:val="000000"/>
                <w:sz w:val="22"/>
                <w:szCs w:val="22"/>
                <w:lang w:val="fr-CH"/>
              </w:rPr>
              <w:t xml:space="preserve">– </w:t>
            </w:r>
            <w:r w:rsidRPr="000C156A">
              <w:rPr>
                <w:rFonts w:ascii="Arial" w:hAnsi="Arial" w:cs="Arial" w:hint="eastAsia"/>
                <w:color w:val="000000"/>
                <w:sz w:val="22"/>
                <w:szCs w:val="22"/>
                <w:lang w:val="fr-CH" w:eastAsia="zh-CN"/>
              </w:rPr>
              <w:t>从</w:t>
            </w:r>
            <w:r w:rsidRPr="000C156A">
              <w:rPr>
                <w:color w:val="000000"/>
                <w:sz w:val="22"/>
                <w:szCs w:val="22"/>
                <w:lang w:val="fr-CH"/>
              </w:rPr>
              <w:t>2002</w:t>
            </w:r>
            <w:r w:rsidRPr="000C156A">
              <w:rPr>
                <w:rFonts w:hint="eastAsia"/>
                <w:color w:val="000000"/>
                <w:sz w:val="22"/>
                <w:szCs w:val="22"/>
                <w:lang w:val="fr-CH" w:eastAsia="zh-CN"/>
              </w:rPr>
              <w:t>年起</w:t>
            </w:r>
          </w:p>
        </w:tc>
        <w:tc>
          <w:tcPr>
            <w:tcW w:w="1276" w:type="dxa"/>
            <w:tcBorders>
              <w:top w:val="nil"/>
              <w:left w:val="nil"/>
              <w:bottom w:val="nil"/>
              <w:right w:val="single" w:sz="4" w:space="0" w:color="auto"/>
            </w:tcBorders>
            <w:shd w:val="clear" w:color="auto" w:fill="auto"/>
            <w:noWrap/>
            <w:vAlign w:val="bottom"/>
            <w:hideMark/>
          </w:tcPr>
          <w:p w14:paraId="266F7B5E" w14:textId="77777777"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lang w:val="en-US" w:eastAsia="zh-CN"/>
              </w:rPr>
              <w:t>2051</w:t>
            </w:r>
          </w:p>
        </w:tc>
        <w:tc>
          <w:tcPr>
            <w:tcW w:w="1843" w:type="dxa"/>
            <w:tcBorders>
              <w:top w:val="nil"/>
              <w:left w:val="nil"/>
              <w:bottom w:val="nil"/>
              <w:right w:val="single" w:sz="4" w:space="0" w:color="auto"/>
            </w:tcBorders>
            <w:shd w:val="clear" w:color="auto" w:fill="auto"/>
            <w:noWrap/>
            <w:vAlign w:val="bottom"/>
            <w:hideMark/>
          </w:tcPr>
          <w:p w14:paraId="1DDC8B5C" w14:textId="7C7F5FFE"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1 200 </w:t>
            </w:r>
          </w:p>
        </w:tc>
        <w:tc>
          <w:tcPr>
            <w:tcW w:w="1814" w:type="dxa"/>
            <w:tcBorders>
              <w:top w:val="nil"/>
              <w:left w:val="nil"/>
              <w:bottom w:val="nil"/>
              <w:right w:val="single" w:sz="4" w:space="0" w:color="auto"/>
            </w:tcBorders>
            <w:shd w:val="clear" w:color="auto" w:fill="auto"/>
            <w:noWrap/>
            <w:vAlign w:val="bottom"/>
            <w:hideMark/>
          </w:tcPr>
          <w:p w14:paraId="30DB0377" w14:textId="37A429EF"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sidRPr="000D745E">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 </w:t>
            </w:r>
            <w:r w:rsidRPr="000D745E">
              <w:rPr>
                <w:rFonts w:asciiTheme="minorHAnsi" w:hAnsiTheme="minorHAnsi" w:cstheme="minorHAnsi"/>
                <w:color w:val="000000"/>
                <w:sz w:val="22"/>
                <w:szCs w:val="22"/>
                <w:lang w:val="en-US" w:eastAsia="zh-CN"/>
              </w:rPr>
              <w:t>2</w:t>
            </w:r>
            <w:r>
              <w:rPr>
                <w:rFonts w:asciiTheme="minorHAnsi" w:hAnsiTheme="minorHAnsi" w:cstheme="minorHAnsi"/>
                <w:color w:val="000000"/>
                <w:sz w:val="22"/>
                <w:szCs w:val="22"/>
                <w:lang w:val="en-US" w:eastAsia="zh-CN"/>
              </w:rPr>
              <w:t>40</w:t>
            </w:r>
            <w:r w:rsidRPr="000D745E">
              <w:rPr>
                <w:rFonts w:asciiTheme="minorHAnsi" w:hAnsiTheme="minorHAnsi" w:cstheme="minorHAnsi"/>
                <w:color w:val="000000"/>
                <w:sz w:val="22"/>
                <w:szCs w:val="22"/>
                <w:lang w:val="en-US" w:eastAsia="zh-CN"/>
              </w:rPr>
              <w:t xml:space="preserve"> </w:t>
            </w:r>
          </w:p>
        </w:tc>
      </w:tr>
      <w:tr w:rsidR="00F252AF" w:rsidRPr="000C156A" w14:paraId="138E514F" w14:textId="77777777" w:rsidTr="003A64C9">
        <w:trPr>
          <w:trHeight w:val="255"/>
          <w:jc w:val="center"/>
        </w:trPr>
        <w:tc>
          <w:tcPr>
            <w:tcW w:w="3861" w:type="dxa"/>
            <w:tcBorders>
              <w:top w:val="nil"/>
              <w:left w:val="single" w:sz="4" w:space="0" w:color="auto"/>
              <w:bottom w:val="nil"/>
              <w:right w:val="single" w:sz="4" w:space="0" w:color="auto"/>
            </w:tcBorders>
            <w:noWrap/>
            <w:vAlign w:val="bottom"/>
          </w:tcPr>
          <w:p w14:paraId="4E1EE96B" w14:textId="77777777" w:rsidR="00F252AF" w:rsidRPr="000C156A" w:rsidRDefault="00F252AF" w:rsidP="00F252AF">
            <w:pPr>
              <w:keepNext/>
              <w:keepLines/>
              <w:overflowPunct/>
              <w:adjustRightInd/>
              <w:spacing w:before="0"/>
              <w:textAlignment w:val="auto"/>
              <w:rPr>
                <w:rFonts w:ascii="Arial" w:hAnsi="Arial" w:cs="Arial"/>
                <w:color w:val="000000"/>
                <w:sz w:val="22"/>
                <w:szCs w:val="22"/>
                <w:lang w:val="en-US" w:eastAsia="zh-CN"/>
              </w:rPr>
            </w:pPr>
            <w:r w:rsidRPr="000C156A">
              <w:rPr>
                <w:rFonts w:ascii="Arial" w:hAnsi="Arial" w:cs="Arial" w:hint="eastAsia"/>
                <w:color w:val="000000"/>
                <w:sz w:val="22"/>
                <w:szCs w:val="22"/>
                <w:lang w:val="en-US" w:eastAsia="zh-CN"/>
              </w:rPr>
              <w:t>新办公楼项目</w:t>
            </w:r>
          </w:p>
        </w:tc>
        <w:tc>
          <w:tcPr>
            <w:tcW w:w="1276" w:type="dxa"/>
            <w:tcBorders>
              <w:top w:val="nil"/>
              <w:left w:val="nil"/>
              <w:bottom w:val="nil"/>
              <w:right w:val="single" w:sz="4" w:space="0" w:color="auto"/>
            </w:tcBorders>
            <w:shd w:val="clear" w:color="auto" w:fill="auto"/>
            <w:noWrap/>
            <w:vAlign w:val="bottom"/>
          </w:tcPr>
          <w:p w14:paraId="12ED7B93" w14:textId="77777777"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tcPr>
          <w:p w14:paraId="3BAA77BE" w14:textId="2EE2D6CD"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16 954 </w:t>
            </w:r>
          </w:p>
        </w:tc>
        <w:tc>
          <w:tcPr>
            <w:tcW w:w="1814" w:type="dxa"/>
            <w:tcBorders>
              <w:top w:val="nil"/>
              <w:left w:val="nil"/>
              <w:bottom w:val="nil"/>
              <w:right w:val="single" w:sz="4" w:space="0" w:color="auto"/>
            </w:tcBorders>
            <w:shd w:val="clear" w:color="auto" w:fill="auto"/>
            <w:noWrap/>
            <w:vAlign w:val="bottom"/>
          </w:tcPr>
          <w:p w14:paraId="15C0767D" w14:textId="61AE55E2"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Pr>
                <w:rFonts w:asciiTheme="minorHAnsi" w:hAnsiTheme="minorHAnsi" w:cstheme="minorHAnsi"/>
                <w:color w:val="000000"/>
                <w:sz w:val="22"/>
                <w:szCs w:val="22"/>
                <w:lang w:val="en-US" w:eastAsia="zh-CN"/>
              </w:rPr>
              <w:t>9 291</w:t>
            </w:r>
            <w:r w:rsidRPr="000D745E">
              <w:rPr>
                <w:rFonts w:asciiTheme="minorHAnsi" w:hAnsiTheme="minorHAnsi" w:cstheme="minorHAnsi"/>
                <w:color w:val="000000"/>
                <w:sz w:val="22"/>
                <w:szCs w:val="22"/>
                <w:lang w:val="en-US" w:eastAsia="zh-CN"/>
              </w:rPr>
              <w:t xml:space="preserve"> </w:t>
            </w:r>
          </w:p>
        </w:tc>
      </w:tr>
      <w:tr w:rsidR="00F252AF" w:rsidRPr="000C156A" w14:paraId="0D6E2283" w14:textId="77777777" w:rsidTr="003A64C9">
        <w:trPr>
          <w:trHeight w:val="499"/>
          <w:jc w:val="center"/>
        </w:trPr>
        <w:tc>
          <w:tcPr>
            <w:tcW w:w="3861" w:type="dxa"/>
            <w:tcBorders>
              <w:top w:val="single" w:sz="4" w:space="0" w:color="auto"/>
              <w:left w:val="single" w:sz="4" w:space="0" w:color="auto"/>
              <w:bottom w:val="single" w:sz="4" w:space="0" w:color="auto"/>
              <w:right w:val="single" w:sz="4" w:space="0" w:color="auto"/>
            </w:tcBorders>
            <w:noWrap/>
            <w:vAlign w:val="center"/>
            <w:hideMark/>
          </w:tcPr>
          <w:p w14:paraId="55D20A81" w14:textId="77777777" w:rsidR="00F252AF" w:rsidRPr="000C156A" w:rsidRDefault="00F252AF" w:rsidP="00F252AF">
            <w:pPr>
              <w:keepNext/>
              <w:keepLines/>
              <w:widowControl w:val="0"/>
              <w:kinsoku w:val="0"/>
              <w:spacing w:before="20" w:after="20"/>
              <w:rPr>
                <w:b/>
                <w:color w:val="000000"/>
                <w:sz w:val="22"/>
                <w:szCs w:val="22"/>
                <w:lang w:val="en-US" w:eastAsia="zh-CN"/>
              </w:rPr>
            </w:pPr>
            <w:r w:rsidRPr="000C156A">
              <w:rPr>
                <w:rFonts w:hint="eastAsia"/>
                <w:b/>
                <w:color w:val="000000"/>
                <w:sz w:val="22"/>
                <w:szCs w:val="22"/>
                <w:lang w:val="en-US" w:eastAsia="zh-CN"/>
              </w:rPr>
              <w:t>借款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E9E9A7" w14:textId="77777777"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9B59000" w14:textId="3D3438DE"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r>
              <w:rPr>
                <w:rFonts w:asciiTheme="minorHAnsi" w:hAnsiTheme="minorHAnsi" w:cstheme="minorHAnsi"/>
                <w:b/>
                <w:bCs/>
                <w:color w:val="000000"/>
                <w:sz w:val="22"/>
                <w:szCs w:val="22"/>
                <w:lang w:val="en-US" w:eastAsia="zh-CN"/>
              </w:rPr>
              <w:t>53 382</w:t>
            </w:r>
            <w:r w:rsidRPr="000D745E">
              <w:rPr>
                <w:rFonts w:asciiTheme="minorHAnsi" w:hAnsiTheme="minorHAnsi" w:cstheme="minorHAnsi"/>
                <w:b/>
                <w:bCs/>
                <w:color w:val="000000"/>
                <w:sz w:val="22"/>
                <w:szCs w:val="22"/>
                <w:lang w:val="en-US" w:eastAsia="zh-CN"/>
              </w:rPr>
              <w:t xml:space="preserve"> </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35620BDE" w14:textId="370E26B0"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r w:rsidRPr="000D745E">
              <w:rPr>
                <w:rFonts w:asciiTheme="minorHAnsi" w:hAnsiTheme="minorHAnsi" w:cstheme="minorHAnsi"/>
                <w:b/>
                <w:bCs/>
                <w:color w:val="000000"/>
                <w:sz w:val="22"/>
                <w:szCs w:val="22"/>
                <w:lang w:val="en-US" w:eastAsia="zh-CN"/>
              </w:rPr>
              <w:t>44</w:t>
            </w:r>
            <w:r>
              <w:rPr>
                <w:rFonts w:asciiTheme="minorHAnsi" w:hAnsiTheme="minorHAnsi" w:cstheme="minorHAnsi"/>
                <w:b/>
                <w:bCs/>
                <w:color w:val="000000"/>
                <w:sz w:val="22"/>
                <w:szCs w:val="22"/>
                <w:lang w:val="en-US" w:eastAsia="zh-CN"/>
              </w:rPr>
              <w:t> </w:t>
            </w:r>
            <w:r w:rsidRPr="000D745E">
              <w:rPr>
                <w:rFonts w:asciiTheme="minorHAnsi" w:hAnsiTheme="minorHAnsi" w:cstheme="minorHAnsi"/>
                <w:b/>
                <w:bCs/>
                <w:color w:val="000000"/>
                <w:sz w:val="22"/>
                <w:szCs w:val="22"/>
                <w:lang w:val="en-US" w:eastAsia="zh-CN"/>
              </w:rPr>
              <w:t xml:space="preserve">949 </w:t>
            </w:r>
          </w:p>
        </w:tc>
      </w:tr>
      <w:tr w:rsidR="00F252AF" w:rsidRPr="000C156A" w14:paraId="64B17054" w14:textId="77777777" w:rsidTr="003A64C9">
        <w:trPr>
          <w:trHeight w:val="255"/>
          <w:jc w:val="center"/>
        </w:trPr>
        <w:tc>
          <w:tcPr>
            <w:tcW w:w="3861" w:type="dxa"/>
            <w:tcBorders>
              <w:left w:val="single" w:sz="4" w:space="0" w:color="auto"/>
              <w:bottom w:val="nil"/>
              <w:right w:val="single" w:sz="4" w:space="0" w:color="auto"/>
            </w:tcBorders>
            <w:noWrap/>
            <w:vAlign w:val="bottom"/>
            <w:hideMark/>
          </w:tcPr>
          <w:p w14:paraId="552EAD6B" w14:textId="77777777" w:rsidR="00F252AF" w:rsidRPr="000C156A" w:rsidRDefault="00F252AF" w:rsidP="00F252AF">
            <w:pPr>
              <w:keepNext/>
              <w:keepLines/>
              <w:widowControl w:val="0"/>
              <w:kinsoku w:val="0"/>
              <w:spacing w:before="20" w:after="20"/>
              <w:rPr>
                <w:b/>
                <w:color w:val="000000"/>
                <w:sz w:val="22"/>
                <w:szCs w:val="22"/>
                <w:lang w:val="en-US"/>
              </w:rPr>
            </w:pPr>
            <w:r w:rsidRPr="000C156A">
              <w:rPr>
                <w:rFonts w:hint="eastAsia"/>
                <w:color w:val="000000"/>
                <w:sz w:val="22"/>
                <w:szCs w:val="22"/>
                <w:lang w:val="en-US"/>
              </w:rPr>
              <w:t>短期借款</w:t>
            </w:r>
          </w:p>
        </w:tc>
        <w:tc>
          <w:tcPr>
            <w:tcW w:w="1276" w:type="dxa"/>
            <w:tcBorders>
              <w:top w:val="nil"/>
              <w:left w:val="nil"/>
              <w:bottom w:val="nil"/>
              <w:right w:val="single" w:sz="4" w:space="0" w:color="auto"/>
            </w:tcBorders>
            <w:shd w:val="clear" w:color="auto" w:fill="auto"/>
            <w:noWrap/>
            <w:vAlign w:val="bottom"/>
            <w:hideMark/>
          </w:tcPr>
          <w:p w14:paraId="7ABFB3B1" w14:textId="77777777"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hideMark/>
          </w:tcPr>
          <w:p w14:paraId="275D74A1" w14:textId="4D38DAEF"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1 391 </w:t>
            </w:r>
          </w:p>
        </w:tc>
        <w:tc>
          <w:tcPr>
            <w:tcW w:w="1814" w:type="dxa"/>
            <w:tcBorders>
              <w:top w:val="nil"/>
              <w:left w:val="nil"/>
              <w:bottom w:val="nil"/>
              <w:right w:val="single" w:sz="4" w:space="0" w:color="auto"/>
            </w:tcBorders>
            <w:shd w:val="clear" w:color="auto" w:fill="auto"/>
            <w:noWrap/>
            <w:vAlign w:val="bottom"/>
            <w:hideMark/>
          </w:tcPr>
          <w:p w14:paraId="47500A8C" w14:textId="7896558B"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sidRPr="000D745E">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 391</w:t>
            </w:r>
            <w:r w:rsidRPr="000D745E">
              <w:rPr>
                <w:rFonts w:asciiTheme="minorHAnsi" w:hAnsiTheme="minorHAnsi" w:cstheme="minorHAnsi"/>
                <w:color w:val="000000"/>
                <w:sz w:val="22"/>
                <w:szCs w:val="22"/>
                <w:lang w:val="en-US" w:eastAsia="zh-CN"/>
              </w:rPr>
              <w:t xml:space="preserve"> </w:t>
            </w:r>
          </w:p>
        </w:tc>
      </w:tr>
      <w:tr w:rsidR="00F252AF" w:rsidRPr="000C156A" w14:paraId="7F8815AB" w14:textId="77777777" w:rsidTr="003A64C9">
        <w:trPr>
          <w:trHeight w:val="255"/>
          <w:jc w:val="center"/>
        </w:trPr>
        <w:tc>
          <w:tcPr>
            <w:tcW w:w="3861" w:type="dxa"/>
            <w:tcBorders>
              <w:top w:val="nil"/>
              <w:left w:val="single" w:sz="4" w:space="0" w:color="auto"/>
              <w:bottom w:val="nil"/>
              <w:right w:val="single" w:sz="4" w:space="0" w:color="auto"/>
            </w:tcBorders>
            <w:noWrap/>
            <w:vAlign w:val="bottom"/>
            <w:hideMark/>
          </w:tcPr>
          <w:p w14:paraId="062F2DB2" w14:textId="77777777" w:rsidR="00F252AF" w:rsidRPr="000C156A" w:rsidRDefault="00F252AF" w:rsidP="00F252AF">
            <w:pPr>
              <w:keepNext/>
              <w:keepLines/>
              <w:widowControl w:val="0"/>
              <w:kinsoku w:val="0"/>
              <w:spacing w:before="20" w:after="20"/>
              <w:rPr>
                <w:b/>
                <w:color w:val="000000"/>
                <w:sz w:val="22"/>
                <w:szCs w:val="22"/>
                <w:lang w:val="en-US"/>
              </w:rPr>
            </w:pPr>
            <w:r w:rsidRPr="000C156A">
              <w:rPr>
                <w:rFonts w:hint="eastAsia"/>
                <w:color w:val="000000"/>
                <w:sz w:val="22"/>
                <w:szCs w:val="22"/>
                <w:lang w:val="en-US"/>
              </w:rPr>
              <w:t>长期借款</w:t>
            </w:r>
          </w:p>
        </w:tc>
        <w:tc>
          <w:tcPr>
            <w:tcW w:w="1276" w:type="dxa"/>
            <w:tcBorders>
              <w:top w:val="nil"/>
              <w:left w:val="nil"/>
              <w:bottom w:val="nil"/>
              <w:right w:val="single" w:sz="4" w:space="0" w:color="auto"/>
            </w:tcBorders>
            <w:shd w:val="clear" w:color="auto" w:fill="auto"/>
            <w:noWrap/>
            <w:vAlign w:val="bottom"/>
            <w:hideMark/>
          </w:tcPr>
          <w:p w14:paraId="5AF8BDB6" w14:textId="77777777"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hideMark/>
          </w:tcPr>
          <w:p w14:paraId="1392C3DD" w14:textId="10CD7020"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51 991 </w:t>
            </w:r>
          </w:p>
        </w:tc>
        <w:tc>
          <w:tcPr>
            <w:tcW w:w="1814" w:type="dxa"/>
            <w:tcBorders>
              <w:top w:val="nil"/>
              <w:left w:val="nil"/>
              <w:bottom w:val="nil"/>
              <w:right w:val="single" w:sz="4" w:space="0" w:color="auto"/>
            </w:tcBorders>
            <w:shd w:val="clear" w:color="auto" w:fill="auto"/>
            <w:noWrap/>
            <w:vAlign w:val="bottom"/>
            <w:hideMark/>
          </w:tcPr>
          <w:p w14:paraId="0070B979" w14:textId="74E6F9C3"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sidRPr="000D745E">
              <w:rPr>
                <w:rFonts w:asciiTheme="minorHAnsi" w:hAnsiTheme="minorHAnsi" w:cstheme="minorHAnsi"/>
                <w:color w:val="000000"/>
                <w:sz w:val="22"/>
                <w:szCs w:val="22"/>
                <w:lang w:val="en-US" w:eastAsia="zh-CN"/>
              </w:rPr>
              <w:t>4</w:t>
            </w:r>
            <w:r>
              <w:rPr>
                <w:rFonts w:asciiTheme="minorHAnsi" w:hAnsiTheme="minorHAnsi" w:cstheme="minorHAnsi"/>
                <w:color w:val="000000"/>
                <w:sz w:val="22"/>
                <w:szCs w:val="22"/>
                <w:lang w:val="en-US" w:eastAsia="zh-CN"/>
              </w:rPr>
              <w:t>5 718</w:t>
            </w:r>
            <w:r w:rsidRPr="000D745E">
              <w:rPr>
                <w:rFonts w:asciiTheme="minorHAnsi" w:hAnsiTheme="minorHAnsi" w:cstheme="minorHAnsi"/>
                <w:color w:val="000000"/>
                <w:sz w:val="22"/>
                <w:szCs w:val="22"/>
                <w:lang w:val="en-US" w:eastAsia="zh-CN"/>
              </w:rPr>
              <w:t xml:space="preserve"> </w:t>
            </w:r>
          </w:p>
        </w:tc>
      </w:tr>
      <w:tr w:rsidR="00F252AF" w:rsidRPr="000C156A" w14:paraId="043C94F6" w14:textId="77777777" w:rsidTr="003A64C9">
        <w:trPr>
          <w:trHeight w:val="499"/>
          <w:jc w:val="center"/>
        </w:trPr>
        <w:tc>
          <w:tcPr>
            <w:tcW w:w="3861" w:type="dxa"/>
            <w:tcBorders>
              <w:top w:val="single" w:sz="4" w:space="0" w:color="auto"/>
              <w:left w:val="single" w:sz="4" w:space="0" w:color="auto"/>
              <w:bottom w:val="single" w:sz="4" w:space="0" w:color="auto"/>
              <w:right w:val="single" w:sz="4" w:space="0" w:color="auto"/>
            </w:tcBorders>
            <w:noWrap/>
            <w:vAlign w:val="center"/>
            <w:hideMark/>
          </w:tcPr>
          <w:p w14:paraId="22B4429A" w14:textId="77777777" w:rsidR="00F252AF" w:rsidRPr="000C156A" w:rsidRDefault="00F252AF" w:rsidP="00F252AF">
            <w:pPr>
              <w:keepNext/>
              <w:keepLines/>
              <w:overflowPunct/>
              <w:adjustRightInd/>
              <w:spacing w:before="0"/>
              <w:rPr>
                <w:rFonts w:asciiTheme="minorHAnsi" w:hAnsiTheme="minorHAnsi" w:cs="Arial"/>
                <w:b/>
                <w:bCs/>
                <w:color w:val="000000"/>
                <w:sz w:val="22"/>
                <w:szCs w:val="22"/>
                <w:lang w:val="en-US" w:eastAsia="zh-CN"/>
              </w:rPr>
            </w:pPr>
            <w:r w:rsidRPr="000C156A">
              <w:rPr>
                <w:rFonts w:hint="eastAsia"/>
                <w:b/>
                <w:color w:val="000000"/>
                <w:sz w:val="22"/>
                <w:szCs w:val="22"/>
                <w:lang w:val="en-US" w:eastAsia="zh-CN"/>
              </w:rPr>
              <w:t>借款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6BC829" w14:textId="77777777"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9EAD244" w14:textId="53F58E93"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r>
              <w:rPr>
                <w:rFonts w:asciiTheme="minorHAnsi" w:hAnsiTheme="minorHAnsi" w:cstheme="minorHAnsi"/>
                <w:b/>
                <w:bCs/>
                <w:color w:val="000000"/>
                <w:sz w:val="22"/>
                <w:szCs w:val="22"/>
                <w:lang w:val="en-US" w:eastAsia="zh-CN"/>
              </w:rPr>
              <w:t>53 382</w:t>
            </w:r>
            <w:r w:rsidRPr="000D745E">
              <w:rPr>
                <w:rFonts w:asciiTheme="minorHAnsi" w:hAnsiTheme="minorHAnsi" w:cstheme="minorHAnsi"/>
                <w:b/>
                <w:bCs/>
                <w:color w:val="000000"/>
                <w:sz w:val="22"/>
                <w:szCs w:val="22"/>
                <w:lang w:val="en-US" w:eastAsia="zh-CN"/>
              </w:rPr>
              <w:t xml:space="preserve"> </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209160D5" w14:textId="4A4C0865"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r w:rsidRPr="000D745E">
              <w:rPr>
                <w:rFonts w:asciiTheme="minorHAnsi" w:hAnsiTheme="minorHAnsi" w:cstheme="minorHAnsi"/>
                <w:b/>
                <w:bCs/>
                <w:color w:val="000000"/>
                <w:sz w:val="22"/>
                <w:szCs w:val="22"/>
                <w:lang w:val="en-US" w:eastAsia="zh-CN"/>
              </w:rPr>
              <w:t>4</w:t>
            </w:r>
            <w:r>
              <w:rPr>
                <w:rFonts w:asciiTheme="minorHAnsi" w:hAnsiTheme="minorHAnsi" w:cstheme="minorHAnsi"/>
                <w:b/>
                <w:bCs/>
                <w:color w:val="000000"/>
                <w:sz w:val="22"/>
                <w:szCs w:val="22"/>
                <w:lang w:val="en-US" w:eastAsia="zh-CN"/>
              </w:rPr>
              <w:t>7 110</w:t>
            </w:r>
            <w:r w:rsidRPr="000D745E">
              <w:rPr>
                <w:rFonts w:asciiTheme="minorHAnsi" w:hAnsiTheme="minorHAnsi" w:cstheme="minorHAnsi"/>
                <w:b/>
                <w:bCs/>
                <w:color w:val="000000"/>
                <w:sz w:val="22"/>
                <w:szCs w:val="22"/>
                <w:lang w:val="en-US" w:eastAsia="zh-CN"/>
              </w:rPr>
              <w:t xml:space="preserve"> </w:t>
            </w:r>
          </w:p>
        </w:tc>
      </w:tr>
      <w:tr w:rsidR="00F252AF" w:rsidRPr="000C156A" w14:paraId="78375326" w14:textId="77777777" w:rsidTr="003A64C9">
        <w:trPr>
          <w:trHeight w:val="255"/>
          <w:jc w:val="center"/>
        </w:trPr>
        <w:tc>
          <w:tcPr>
            <w:tcW w:w="3861" w:type="dxa"/>
            <w:tcBorders>
              <w:left w:val="single" w:sz="4" w:space="0" w:color="auto"/>
              <w:bottom w:val="nil"/>
              <w:right w:val="single" w:sz="4" w:space="0" w:color="auto"/>
            </w:tcBorders>
            <w:noWrap/>
            <w:vAlign w:val="bottom"/>
            <w:hideMark/>
          </w:tcPr>
          <w:p w14:paraId="232B6315" w14:textId="77777777" w:rsidR="00F252AF" w:rsidRPr="000C156A" w:rsidRDefault="00F252AF" w:rsidP="00F252AF">
            <w:pPr>
              <w:keepNext/>
              <w:keepLines/>
              <w:overflowPunct/>
              <w:adjustRightInd/>
              <w:spacing w:before="0"/>
              <w:rPr>
                <w:rFonts w:asciiTheme="minorHAnsi" w:hAnsiTheme="minorHAnsi" w:cs="Arial"/>
                <w:color w:val="000000"/>
                <w:sz w:val="22"/>
                <w:szCs w:val="22"/>
                <w:lang w:val="en-US" w:eastAsia="zh-CN"/>
              </w:rPr>
            </w:pPr>
            <w:r w:rsidRPr="000C156A">
              <w:rPr>
                <w:rFonts w:asciiTheme="minorHAnsi" w:hAnsiTheme="minorHAnsi" w:cs="Arial" w:hint="eastAsia"/>
                <w:color w:val="000000"/>
                <w:sz w:val="22"/>
                <w:szCs w:val="22"/>
                <w:lang w:val="en-US" w:eastAsia="zh-CN"/>
              </w:rPr>
              <w:t>借款</w:t>
            </w:r>
            <w:r w:rsidRPr="000C156A">
              <w:rPr>
                <w:rFonts w:asciiTheme="minorHAnsi" w:hAnsiTheme="minorHAnsi" w:cs="Arial" w:hint="eastAsia"/>
                <w:color w:val="000000"/>
                <w:sz w:val="22"/>
                <w:szCs w:val="22"/>
                <w:lang w:val="en-US" w:eastAsia="zh-CN"/>
              </w:rPr>
              <w:t xml:space="preserve"> </w:t>
            </w:r>
            <w:r w:rsidRPr="000C156A">
              <w:rPr>
                <w:rFonts w:asciiTheme="minorHAnsi" w:hAnsiTheme="minorHAnsi" w:cs="Arial"/>
                <w:color w:val="000000"/>
                <w:sz w:val="22"/>
                <w:szCs w:val="22"/>
                <w:lang w:val="en-US" w:eastAsia="zh-CN"/>
              </w:rPr>
              <w:t xml:space="preserve">– </w:t>
            </w:r>
            <w:r w:rsidRPr="000C156A">
              <w:rPr>
                <w:rFonts w:asciiTheme="minorHAnsi" w:hAnsiTheme="minorHAnsi" w:cs="Arial" w:hint="eastAsia"/>
                <w:color w:val="000000"/>
                <w:sz w:val="22"/>
                <w:szCs w:val="22"/>
                <w:lang w:val="en-US" w:eastAsia="zh-CN"/>
              </w:rPr>
              <w:t>短期</w:t>
            </w:r>
          </w:p>
        </w:tc>
        <w:tc>
          <w:tcPr>
            <w:tcW w:w="1276" w:type="dxa"/>
            <w:tcBorders>
              <w:top w:val="nil"/>
              <w:left w:val="nil"/>
              <w:bottom w:val="nil"/>
              <w:right w:val="single" w:sz="4" w:space="0" w:color="auto"/>
            </w:tcBorders>
            <w:shd w:val="clear" w:color="auto" w:fill="auto"/>
            <w:noWrap/>
            <w:vAlign w:val="bottom"/>
            <w:hideMark/>
          </w:tcPr>
          <w:p w14:paraId="5284DB91" w14:textId="77777777"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hideMark/>
          </w:tcPr>
          <w:p w14:paraId="4DE839B1" w14:textId="0CE354D9"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sidRPr="000D745E">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 391</w:t>
            </w:r>
          </w:p>
        </w:tc>
        <w:tc>
          <w:tcPr>
            <w:tcW w:w="1814" w:type="dxa"/>
            <w:tcBorders>
              <w:top w:val="nil"/>
              <w:left w:val="nil"/>
              <w:bottom w:val="nil"/>
              <w:right w:val="single" w:sz="4" w:space="0" w:color="auto"/>
            </w:tcBorders>
            <w:shd w:val="clear" w:color="auto" w:fill="auto"/>
            <w:noWrap/>
            <w:vAlign w:val="bottom"/>
            <w:hideMark/>
          </w:tcPr>
          <w:p w14:paraId="60FA2A58" w14:textId="4F6E1ED9"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sidRPr="000D745E">
              <w:rPr>
                <w:rFonts w:asciiTheme="minorHAnsi" w:hAnsiTheme="minorHAnsi" w:cstheme="minorHAnsi"/>
                <w:color w:val="000000"/>
                <w:sz w:val="22"/>
                <w:szCs w:val="22"/>
                <w:lang w:val="en-US" w:eastAsia="zh-CN"/>
              </w:rPr>
              <w:t>1</w:t>
            </w:r>
            <w:r>
              <w:rPr>
                <w:rFonts w:asciiTheme="minorHAnsi" w:hAnsiTheme="minorHAnsi" w:cstheme="minorHAnsi"/>
                <w:color w:val="000000"/>
                <w:sz w:val="22"/>
                <w:szCs w:val="22"/>
                <w:lang w:val="en-US" w:eastAsia="zh-CN"/>
              </w:rPr>
              <w:t> 391</w:t>
            </w:r>
          </w:p>
        </w:tc>
      </w:tr>
      <w:tr w:rsidR="00F252AF" w:rsidRPr="000C156A" w14:paraId="7F572E5C" w14:textId="77777777" w:rsidTr="003A64C9">
        <w:trPr>
          <w:trHeight w:val="255"/>
          <w:jc w:val="center"/>
        </w:trPr>
        <w:tc>
          <w:tcPr>
            <w:tcW w:w="38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7DC932" w14:textId="77777777" w:rsidR="00F252AF" w:rsidRPr="000C156A" w:rsidRDefault="00F252AF" w:rsidP="00F252AF">
            <w:pPr>
              <w:keepNext/>
              <w:keepLines/>
              <w:overflowPunct/>
              <w:adjustRightInd/>
              <w:spacing w:before="0"/>
              <w:rPr>
                <w:rFonts w:asciiTheme="minorHAnsi" w:hAnsiTheme="minorHAnsi" w:cs="Arial"/>
                <w:b/>
                <w:bCs/>
                <w:color w:val="000000"/>
                <w:sz w:val="22"/>
                <w:szCs w:val="22"/>
                <w:lang w:val="en-US" w:eastAsia="zh-CN"/>
              </w:rPr>
            </w:pPr>
            <w:r w:rsidRPr="000C156A">
              <w:rPr>
                <w:rFonts w:hint="eastAsia"/>
                <w:b/>
                <w:color w:val="000000"/>
                <w:sz w:val="22"/>
                <w:szCs w:val="22"/>
                <w:lang w:val="en-US" w:eastAsia="zh-CN"/>
              </w:rPr>
              <w:t>借款</w:t>
            </w:r>
            <w:r w:rsidRPr="000C156A">
              <w:rPr>
                <w:rFonts w:hint="eastAsia"/>
                <w:b/>
                <w:color w:val="000000"/>
                <w:sz w:val="22"/>
                <w:szCs w:val="22"/>
                <w:lang w:val="en-US" w:eastAsia="zh-CN"/>
              </w:rPr>
              <w:t xml:space="preserve"> </w:t>
            </w:r>
            <w:r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hint="eastAsia"/>
                <w:b/>
                <w:bCs/>
                <w:color w:val="000000"/>
                <w:sz w:val="22"/>
                <w:szCs w:val="22"/>
                <w:lang w:val="en-US" w:eastAsia="zh-CN"/>
              </w:rPr>
              <w:t>流动</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9C6EAF" w14:textId="77777777"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54F2297" w14:textId="406840B8"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r w:rsidRPr="000D745E">
              <w:rPr>
                <w:rFonts w:asciiTheme="minorHAnsi" w:hAnsiTheme="minorHAnsi" w:cstheme="minorHAnsi"/>
                <w:b/>
                <w:bCs/>
                <w:color w:val="000000"/>
                <w:sz w:val="22"/>
                <w:szCs w:val="22"/>
                <w:lang w:val="en-US" w:eastAsia="zh-CN"/>
              </w:rPr>
              <w:t>1</w:t>
            </w:r>
            <w:r>
              <w:rPr>
                <w:rFonts w:asciiTheme="minorHAnsi" w:hAnsiTheme="minorHAnsi" w:cstheme="minorHAnsi"/>
                <w:b/>
                <w:bCs/>
                <w:color w:val="000000"/>
                <w:sz w:val="22"/>
                <w:szCs w:val="22"/>
                <w:lang w:val="en-US" w:eastAsia="zh-CN"/>
              </w:rPr>
              <w:t> 3</w:t>
            </w:r>
            <w:r w:rsidRPr="000D745E">
              <w:rPr>
                <w:rFonts w:asciiTheme="minorHAnsi" w:hAnsiTheme="minorHAnsi" w:cstheme="minorHAnsi"/>
                <w:b/>
                <w:bCs/>
                <w:color w:val="000000"/>
                <w:sz w:val="22"/>
                <w:szCs w:val="22"/>
                <w:lang w:val="en-US" w:eastAsia="zh-CN"/>
              </w:rPr>
              <w:t xml:space="preserve">93 </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57EECDBA" w14:textId="425D22B8"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r w:rsidRPr="000D745E">
              <w:rPr>
                <w:rFonts w:asciiTheme="minorHAnsi" w:hAnsiTheme="minorHAnsi" w:cstheme="minorHAnsi"/>
                <w:b/>
                <w:bCs/>
                <w:color w:val="000000"/>
                <w:sz w:val="22"/>
                <w:szCs w:val="22"/>
                <w:lang w:val="en-US" w:eastAsia="zh-CN"/>
              </w:rPr>
              <w:t>1</w:t>
            </w:r>
            <w:r>
              <w:rPr>
                <w:rFonts w:asciiTheme="minorHAnsi" w:hAnsiTheme="minorHAnsi" w:cstheme="minorHAnsi"/>
                <w:b/>
                <w:bCs/>
                <w:color w:val="000000"/>
                <w:sz w:val="22"/>
                <w:szCs w:val="22"/>
                <w:lang w:val="en-US" w:eastAsia="zh-CN"/>
              </w:rPr>
              <w:t> 391</w:t>
            </w:r>
            <w:r w:rsidRPr="000D745E">
              <w:rPr>
                <w:rFonts w:asciiTheme="minorHAnsi" w:hAnsiTheme="minorHAnsi" w:cstheme="minorHAnsi"/>
                <w:b/>
                <w:bCs/>
                <w:color w:val="000000"/>
                <w:sz w:val="22"/>
                <w:szCs w:val="22"/>
                <w:lang w:val="en-US" w:eastAsia="zh-CN"/>
              </w:rPr>
              <w:t xml:space="preserve"> </w:t>
            </w:r>
          </w:p>
        </w:tc>
      </w:tr>
      <w:tr w:rsidR="00F252AF" w:rsidRPr="000C156A" w14:paraId="70E69F43" w14:textId="77777777" w:rsidTr="003A64C9">
        <w:trPr>
          <w:trHeight w:val="255"/>
          <w:jc w:val="center"/>
        </w:trPr>
        <w:tc>
          <w:tcPr>
            <w:tcW w:w="3861" w:type="dxa"/>
            <w:tcBorders>
              <w:top w:val="nil"/>
              <w:left w:val="single" w:sz="4" w:space="0" w:color="auto"/>
              <w:bottom w:val="nil"/>
              <w:right w:val="single" w:sz="4" w:space="0" w:color="auto"/>
            </w:tcBorders>
            <w:shd w:val="clear" w:color="auto" w:fill="FFFFFF"/>
            <w:noWrap/>
            <w:vAlign w:val="bottom"/>
          </w:tcPr>
          <w:p w14:paraId="4E9A7ECD" w14:textId="77777777" w:rsidR="00F252AF" w:rsidRPr="000C156A" w:rsidRDefault="00F252AF" w:rsidP="00F252AF">
            <w:pPr>
              <w:keepNext/>
              <w:keepLines/>
              <w:overflowPunct/>
              <w:adjustRightInd/>
              <w:spacing w:before="0"/>
              <w:rPr>
                <w:rFonts w:asciiTheme="minorHAnsi" w:hAnsiTheme="minorHAnsi" w:cs="Arial"/>
                <w:color w:val="000000"/>
                <w:sz w:val="22"/>
                <w:szCs w:val="22"/>
                <w:lang w:val="en-US" w:eastAsia="zh-CN"/>
              </w:rPr>
            </w:pPr>
            <w:r w:rsidRPr="000C156A">
              <w:rPr>
                <w:rFonts w:asciiTheme="minorHAnsi" w:hAnsiTheme="minorHAnsi" w:cs="Arial" w:hint="eastAsia"/>
                <w:color w:val="000000"/>
                <w:sz w:val="22"/>
                <w:szCs w:val="22"/>
                <w:lang w:val="en-US" w:eastAsia="zh-CN"/>
              </w:rPr>
              <w:t>借款</w:t>
            </w:r>
            <w:r w:rsidRPr="000C156A">
              <w:rPr>
                <w:rFonts w:asciiTheme="minorHAnsi" w:hAnsiTheme="minorHAnsi" w:cs="Arial" w:hint="eastAsia"/>
                <w:color w:val="000000"/>
                <w:sz w:val="22"/>
                <w:szCs w:val="22"/>
                <w:lang w:val="en-US" w:eastAsia="zh-CN"/>
              </w:rPr>
              <w:t xml:space="preserve"> </w:t>
            </w:r>
            <w:r w:rsidRPr="000C156A">
              <w:rPr>
                <w:rFonts w:asciiTheme="minorHAnsi" w:hAnsiTheme="minorHAnsi" w:cs="Arial"/>
                <w:color w:val="000000"/>
                <w:sz w:val="22"/>
                <w:szCs w:val="22"/>
                <w:lang w:val="en-US" w:eastAsia="zh-CN"/>
              </w:rPr>
              <w:t xml:space="preserve">– </w:t>
            </w:r>
            <w:r w:rsidRPr="000C156A">
              <w:rPr>
                <w:rFonts w:asciiTheme="minorHAnsi" w:hAnsiTheme="minorHAnsi" w:cs="Arial" w:hint="eastAsia"/>
                <w:color w:val="000000"/>
                <w:sz w:val="22"/>
                <w:szCs w:val="22"/>
                <w:lang w:val="en-US" w:eastAsia="zh-CN"/>
              </w:rPr>
              <w:t>长期</w:t>
            </w:r>
          </w:p>
        </w:tc>
        <w:tc>
          <w:tcPr>
            <w:tcW w:w="1276" w:type="dxa"/>
            <w:tcBorders>
              <w:top w:val="nil"/>
              <w:left w:val="nil"/>
              <w:bottom w:val="nil"/>
              <w:right w:val="single" w:sz="4" w:space="0" w:color="auto"/>
            </w:tcBorders>
            <w:shd w:val="clear" w:color="auto" w:fill="auto"/>
            <w:noWrap/>
            <w:vAlign w:val="bottom"/>
          </w:tcPr>
          <w:p w14:paraId="17FF5039" w14:textId="77777777"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p>
        </w:tc>
        <w:tc>
          <w:tcPr>
            <w:tcW w:w="1843" w:type="dxa"/>
            <w:tcBorders>
              <w:top w:val="nil"/>
              <w:left w:val="nil"/>
              <w:bottom w:val="nil"/>
              <w:right w:val="single" w:sz="4" w:space="0" w:color="auto"/>
            </w:tcBorders>
            <w:shd w:val="clear" w:color="auto" w:fill="auto"/>
            <w:noWrap/>
            <w:vAlign w:val="bottom"/>
          </w:tcPr>
          <w:p w14:paraId="38B554B4" w14:textId="356B29FD"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Pr>
                <w:rFonts w:asciiTheme="minorHAnsi" w:hAnsiTheme="minorHAnsi" w:cstheme="minorHAnsi"/>
                <w:color w:val="000000"/>
                <w:sz w:val="22"/>
                <w:szCs w:val="22"/>
                <w:lang w:val="en-US" w:eastAsia="zh-CN"/>
              </w:rPr>
              <w:t>51 991</w:t>
            </w:r>
          </w:p>
        </w:tc>
        <w:tc>
          <w:tcPr>
            <w:tcW w:w="1814" w:type="dxa"/>
            <w:tcBorders>
              <w:top w:val="nil"/>
              <w:left w:val="nil"/>
              <w:bottom w:val="nil"/>
              <w:right w:val="single" w:sz="4" w:space="0" w:color="auto"/>
            </w:tcBorders>
            <w:shd w:val="clear" w:color="auto" w:fill="auto"/>
            <w:noWrap/>
            <w:vAlign w:val="bottom"/>
          </w:tcPr>
          <w:p w14:paraId="1F7F477F" w14:textId="2700CCF2" w:rsidR="00F252AF" w:rsidRPr="000C156A" w:rsidRDefault="00F252AF" w:rsidP="00F252AF">
            <w:pPr>
              <w:keepNext/>
              <w:keepLines/>
              <w:overflowPunct/>
              <w:autoSpaceDE/>
              <w:autoSpaceDN/>
              <w:adjustRightInd/>
              <w:spacing w:before="0"/>
              <w:jc w:val="right"/>
              <w:textAlignment w:val="auto"/>
              <w:rPr>
                <w:rFonts w:cs="Arial"/>
                <w:color w:val="000000"/>
                <w:sz w:val="22"/>
                <w:szCs w:val="22"/>
                <w:lang w:val="en-US" w:eastAsia="zh-CN"/>
              </w:rPr>
            </w:pPr>
            <w:r w:rsidRPr="000D745E">
              <w:rPr>
                <w:rFonts w:asciiTheme="minorHAnsi" w:hAnsiTheme="minorHAnsi" w:cstheme="minorHAnsi"/>
                <w:color w:val="000000"/>
                <w:sz w:val="22"/>
                <w:szCs w:val="22"/>
                <w:lang w:val="en-US" w:eastAsia="zh-CN"/>
              </w:rPr>
              <w:t>4</w:t>
            </w:r>
            <w:r>
              <w:rPr>
                <w:rFonts w:asciiTheme="minorHAnsi" w:hAnsiTheme="minorHAnsi" w:cstheme="minorHAnsi"/>
                <w:color w:val="000000"/>
                <w:sz w:val="22"/>
                <w:szCs w:val="22"/>
                <w:lang w:val="en-US" w:eastAsia="zh-CN"/>
              </w:rPr>
              <w:t>5 718</w:t>
            </w:r>
          </w:p>
        </w:tc>
      </w:tr>
      <w:tr w:rsidR="00F252AF" w:rsidRPr="000C156A" w14:paraId="18102CC7" w14:textId="77777777" w:rsidTr="003A64C9">
        <w:trPr>
          <w:trHeight w:val="255"/>
          <w:jc w:val="center"/>
        </w:trPr>
        <w:tc>
          <w:tcPr>
            <w:tcW w:w="38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78BC28" w14:textId="77777777" w:rsidR="00F252AF" w:rsidRPr="000C156A" w:rsidRDefault="00F252AF" w:rsidP="00F252AF">
            <w:pPr>
              <w:keepNext/>
              <w:keepLines/>
              <w:overflowPunct/>
              <w:adjustRightInd/>
              <w:spacing w:before="0"/>
              <w:rPr>
                <w:rFonts w:asciiTheme="minorHAnsi" w:hAnsiTheme="minorHAnsi" w:cs="Arial"/>
                <w:b/>
                <w:bCs/>
                <w:color w:val="000000"/>
                <w:sz w:val="22"/>
                <w:szCs w:val="22"/>
                <w:lang w:val="en-US" w:eastAsia="zh-CN"/>
              </w:rPr>
            </w:pPr>
            <w:r w:rsidRPr="000C156A">
              <w:rPr>
                <w:rFonts w:hint="eastAsia"/>
                <w:b/>
                <w:color w:val="000000"/>
                <w:sz w:val="22"/>
                <w:szCs w:val="22"/>
                <w:lang w:val="en-US" w:eastAsia="zh-CN"/>
              </w:rPr>
              <w:t>借款</w:t>
            </w:r>
            <w:r w:rsidRPr="000C156A">
              <w:rPr>
                <w:rFonts w:asciiTheme="minorHAnsi" w:hAnsiTheme="minorHAnsi" w:cs="Arial" w:hint="eastAsia"/>
                <w:b/>
                <w:bCs/>
                <w:color w:val="000000"/>
                <w:sz w:val="22"/>
                <w:szCs w:val="22"/>
                <w:lang w:val="en-US" w:eastAsia="zh-CN"/>
              </w:rPr>
              <w:t xml:space="preserve"> </w:t>
            </w:r>
            <w:r w:rsidRPr="000C156A">
              <w:rPr>
                <w:rFonts w:asciiTheme="minorHAnsi" w:hAnsiTheme="minorHAnsi" w:cs="Arial"/>
                <w:b/>
                <w:bCs/>
                <w:color w:val="000000"/>
                <w:sz w:val="22"/>
                <w:szCs w:val="22"/>
                <w:lang w:val="en-US" w:eastAsia="zh-CN"/>
              </w:rPr>
              <w:t xml:space="preserve">– </w:t>
            </w:r>
            <w:r w:rsidRPr="000C156A">
              <w:rPr>
                <w:rFonts w:asciiTheme="minorHAnsi" w:hAnsiTheme="minorHAnsi" w:cs="Arial" w:hint="eastAsia"/>
                <w:b/>
                <w:bCs/>
                <w:color w:val="000000"/>
                <w:sz w:val="22"/>
                <w:szCs w:val="22"/>
                <w:lang w:val="en-US" w:eastAsia="zh-CN"/>
              </w:rPr>
              <w:t>非流动</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D73D3F" w14:textId="77777777"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0557740" w14:textId="2F6BFFB8"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r>
              <w:rPr>
                <w:rFonts w:asciiTheme="minorHAnsi" w:hAnsiTheme="minorHAnsi" w:cstheme="minorHAnsi"/>
                <w:b/>
                <w:bCs/>
                <w:color w:val="000000"/>
                <w:sz w:val="22"/>
                <w:szCs w:val="22"/>
                <w:lang w:val="en-US" w:eastAsia="zh-CN"/>
              </w:rPr>
              <w:t>51 991</w:t>
            </w:r>
            <w:r w:rsidRPr="000D745E">
              <w:rPr>
                <w:rFonts w:asciiTheme="minorHAnsi" w:hAnsiTheme="minorHAnsi" w:cstheme="minorHAnsi"/>
                <w:b/>
                <w:bCs/>
                <w:color w:val="000000"/>
                <w:sz w:val="22"/>
                <w:szCs w:val="22"/>
                <w:lang w:val="en-US" w:eastAsia="zh-CN"/>
              </w:rPr>
              <w:t xml:space="preserve"> </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59CC922A" w14:textId="2F5FD018" w:rsidR="00F252AF" w:rsidRPr="000C156A" w:rsidRDefault="00F252AF" w:rsidP="00F252AF">
            <w:pPr>
              <w:keepNext/>
              <w:keepLines/>
              <w:overflowPunct/>
              <w:autoSpaceDE/>
              <w:autoSpaceDN/>
              <w:adjustRightInd/>
              <w:spacing w:before="0"/>
              <w:jc w:val="right"/>
              <w:textAlignment w:val="auto"/>
              <w:rPr>
                <w:rFonts w:cs="Arial"/>
                <w:b/>
                <w:bCs/>
                <w:color w:val="000000"/>
                <w:sz w:val="22"/>
                <w:szCs w:val="22"/>
                <w:lang w:val="en-US" w:eastAsia="zh-CN"/>
              </w:rPr>
            </w:pPr>
            <w:r w:rsidRPr="000D745E">
              <w:rPr>
                <w:rFonts w:asciiTheme="minorHAnsi" w:hAnsiTheme="minorHAnsi" w:cstheme="minorHAnsi"/>
                <w:b/>
                <w:bCs/>
                <w:color w:val="000000"/>
                <w:sz w:val="22"/>
                <w:szCs w:val="22"/>
                <w:lang w:val="en-US" w:eastAsia="zh-CN"/>
              </w:rPr>
              <w:t>4</w:t>
            </w:r>
            <w:r>
              <w:rPr>
                <w:rFonts w:asciiTheme="minorHAnsi" w:hAnsiTheme="minorHAnsi" w:cstheme="minorHAnsi"/>
                <w:b/>
                <w:bCs/>
                <w:color w:val="000000"/>
                <w:sz w:val="22"/>
                <w:szCs w:val="22"/>
                <w:lang w:val="en-US" w:eastAsia="zh-CN"/>
              </w:rPr>
              <w:t>5 718</w:t>
            </w:r>
            <w:r w:rsidRPr="000D745E">
              <w:rPr>
                <w:rFonts w:asciiTheme="minorHAnsi" w:hAnsiTheme="minorHAnsi" w:cstheme="minorHAnsi"/>
                <w:b/>
                <w:bCs/>
                <w:color w:val="000000"/>
                <w:sz w:val="22"/>
                <w:szCs w:val="22"/>
                <w:lang w:val="en-US" w:eastAsia="zh-CN"/>
              </w:rPr>
              <w:t xml:space="preserve"> </w:t>
            </w:r>
          </w:p>
        </w:tc>
      </w:tr>
    </w:tbl>
    <w:p w14:paraId="3F9287C3" w14:textId="77777777" w:rsidR="0085433F" w:rsidRPr="000C156A" w:rsidRDefault="0085433F" w:rsidP="0085433F">
      <w:pPr>
        <w:spacing w:before="240"/>
        <w:ind w:firstLineChars="200" w:firstLine="480"/>
        <w:jc w:val="both"/>
        <w:rPr>
          <w:lang w:val="en-US" w:eastAsia="zh-CN"/>
        </w:rPr>
      </w:pPr>
      <w:bookmarkStart w:id="790" w:name="_Toc329011641"/>
      <w:bookmarkStart w:id="791" w:name="_Toc305764090"/>
      <w:r w:rsidRPr="000C156A">
        <w:rPr>
          <w:rFonts w:hint="eastAsia"/>
          <w:lang w:val="en-US" w:eastAsia="zh-CN"/>
        </w:rPr>
        <w:t>新办公楼最早要到</w:t>
      </w:r>
      <w:r w:rsidRPr="000C156A">
        <w:rPr>
          <w:rFonts w:hint="eastAsia"/>
          <w:lang w:val="en-US" w:eastAsia="zh-CN"/>
        </w:rPr>
        <w:t>2026</w:t>
      </w:r>
      <w:r w:rsidRPr="000C156A">
        <w:rPr>
          <w:rFonts w:hint="eastAsia"/>
          <w:lang w:val="en-US" w:eastAsia="zh-CN"/>
        </w:rPr>
        <w:t>年初才能交付。顺利交付后，国际电联开始偿还新楼贷款。</w:t>
      </w:r>
    </w:p>
    <w:p w14:paraId="736F29E4" w14:textId="57CE6389" w:rsidR="0085433F" w:rsidRPr="000C156A" w:rsidRDefault="0085433F" w:rsidP="0085433F">
      <w:pPr>
        <w:spacing w:before="240"/>
        <w:ind w:firstLineChars="200" w:firstLine="480"/>
        <w:rPr>
          <w:lang w:eastAsia="zh-CN"/>
        </w:rPr>
      </w:pPr>
      <w:r w:rsidRPr="000C156A">
        <w:rPr>
          <w:rFonts w:hint="eastAsia"/>
          <w:lang w:eastAsia="zh-CN"/>
        </w:rPr>
        <w:t>截至</w:t>
      </w:r>
      <w:r w:rsidRPr="000C156A">
        <w:rPr>
          <w:lang w:eastAsia="zh-CN"/>
        </w:rPr>
        <w:t>202</w:t>
      </w:r>
      <w:r w:rsidR="00845BB8">
        <w:rPr>
          <w:lang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日的借款现值为</w:t>
      </w:r>
      <w:r w:rsidRPr="000C156A">
        <w:rPr>
          <w:lang w:eastAsia="zh-CN"/>
        </w:rPr>
        <w:t>2</w:t>
      </w:r>
      <w:r w:rsidRPr="000C156A">
        <w:rPr>
          <w:lang w:val="en-US" w:eastAsia="zh-CN"/>
        </w:rPr>
        <w:t> </w:t>
      </w:r>
      <w:r w:rsidR="00845BB8">
        <w:rPr>
          <w:lang w:eastAsia="zh-CN"/>
        </w:rPr>
        <w:t>390</w:t>
      </w:r>
      <w:r w:rsidRPr="000C156A">
        <w:rPr>
          <w:rFonts w:hint="eastAsia"/>
          <w:lang w:eastAsia="zh-CN"/>
        </w:rPr>
        <w:t>万瑞郎，</w:t>
      </w:r>
      <w:r w:rsidRPr="000C156A">
        <w:rPr>
          <w:lang w:eastAsia="zh-CN"/>
        </w:rPr>
        <w:t>20</w:t>
      </w:r>
      <w:r w:rsidR="00845BB8">
        <w:rPr>
          <w:lang w:eastAsia="zh-CN"/>
        </w:rPr>
        <w:t>20</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日为</w:t>
      </w:r>
      <w:r w:rsidRPr="000C156A">
        <w:rPr>
          <w:lang w:eastAsia="zh-CN"/>
        </w:rPr>
        <w:t>2</w:t>
      </w:r>
      <w:r w:rsidRPr="000C156A">
        <w:rPr>
          <w:lang w:val="en-US" w:eastAsia="zh-CN"/>
        </w:rPr>
        <w:t> </w:t>
      </w:r>
      <w:r w:rsidR="00845BB8">
        <w:rPr>
          <w:lang w:eastAsia="zh-CN"/>
        </w:rPr>
        <w:t>45</w:t>
      </w:r>
      <w:r w:rsidRPr="000C156A">
        <w:rPr>
          <w:lang w:eastAsia="zh-CN"/>
        </w:rPr>
        <w:t>0</w:t>
      </w:r>
      <w:r w:rsidRPr="000C156A">
        <w:rPr>
          <w:rFonts w:hint="eastAsia"/>
          <w:lang w:eastAsia="zh-CN"/>
        </w:rPr>
        <w:t>万瑞郎，该值与毛额（</w:t>
      </w:r>
      <w:r w:rsidRPr="000C156A">
        <w:rPr>
          <w:lang w:eastAsia="zh-CN"/>
        </w:rPr>
        <w:t>gross amount</w:t>
      </w:r>
      <w:r w:rsidRPr="000C156A">
        <w:rPr>
          <w:rFonts w:hint="eastAsia"/>
          <w:lang w:eastAsia="zh-CN"/>
        </w:rPr>
        <w:t>）之间的差额为借款期结束之前的总未付利息现值。</w:t>
      </w:r>
    </w:p>
    <w:p w14:paraId="0AA6F8CE" w14:textId="77777777" w:rsidR="0085433F" w:rsidRPr="000C156A" w:rsidRDefault="0085433F" w:rsidP="0085433F">
      <w:pPr>
        <w:pStyle w:val="Heading1"/>
        <w:spacing w:before="360"/>
        <w:rPr>
          <w:rFonts w:cs="Microsoft YaHei"/>
          <w:sz w:val="24"/>
          <w:szCs w:val="24"/>
          <w:lang w:eastAsia="zh-CN"/>
        </w:rPr>
      </w:pPr>
      <w:bookmarkStart w:id="792" w:name="_Toc482892575"/>
      <w:bookmarkStart w:id="793" w:name="_Toc482870840"/>
      <w:bookmarkStart w:id="794" w:name="_Toc329165791"/>
      <w:bookmarkStart w:id="795" w:name="_Toc305594751"/>
      <w:bookmarkStart w:id="796" w:name="_Toc511813759"/>
      <w:bookmarkStart w:id="797" w:name="_Toc511817842"/>
      <w:bookmarkStart w:id="798" w:name="_Toc520280742"/>
      <w:bookmarkStart w:id="799" w:name="_Toc10536837"/>
      <w:bookmarkStart w:id="800" w:name="_Toc41905879"/>
      <w:bookmarkStart w:id="801" w:name="_Toc41906907"/>
      <w:bookmarkStart w:id="802" w:name="_Toc41907988"/>
      <w:bookmarkStart w:id="803" w:name="_Toc41908056"/>
      <w:bookmarkStart w:id="804" w:name="_Toc73518694"/>
      <w:bookmarkStart w:id="805" w:name="_Toc73518841"/>
      <w:bookmarkStart w:id="806" w:name="_Toc73519241"/>
      <w:bookmarkStart w:id="807" w:name="_Toc110264004"/>
      <w:bookmarkStart w:id="808" w:name="_Toc110264083"/>
      <w:bookmarkStart w:id="809" w:name="_Toc110265722"/>
      <w:bookmarkStart w:id="810" w:name="_Toc110330092"/>
      <w:bookmarkStart w:id="811" w:name="_Toc110330257"/>
      <w:bookmarkEnd w:id="790"/>
      <w:bookmarkEnd w:id="791"/>
      <w:r w:rsidRPr="000C156A">
        <w:rPr>
          <w:rFonts w:cs="Microsoft YaHei" w:hint="eastAsia"/>
          <w:sz w:val="24"/>
          <w:szCs w:val="24"/>
          <w:lang w:val="fr-FR" w:eastAsia="zh-CN"/>
        </w:rPr>
        <w:t>说明</w:t>
      </w:r>
      <w:r w:rsidRPr="000C156A">
        <w:rPr>
          <w:rFonts w:cs="Microsoft YaHei"/>
          <w:sz w:val="24"/>
          <w:szCs w:val="24"/>
          <w:lang w:eastAsia="zh-CN"/>
        </w:rPr>
        <w:t>17</w:t>
      </w:r>
      <w:r w:rsidRPr="000C156A">
        <w:rPr>
          <w:rFonts w:cs="Microsoft YaHei"/>
          <w:sz w:val="24"/>
          <w:szCs w:val="24"/>
          <w:lang w:eastAsia="zh-CN"/>
        </w:rPr>
        <w:tab/>
      </w:r>
      <w:r w:rsidRPr="000C156A">
        <w:rPr>
          <w:rFonts w:cs="Microsoft YaHei" w:hint="eastAsia"/>
          <w:sz w:val="24"/>
          <w:szCs w:val="24"/>
          <w:lang w:val="fr-FR" w:eastAsia="zh-CN"/>
        </w:rPr>
        <w:t>职员福利</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42A3BCBF" w14:textId="77777777" w:rsidR="0085433F" w:rsidRPr="000C156A" w:rsidRDefault="0085433F" w:rsidP="0085433F">
      <w:pPr>
        <w:keepNext/>
        <w:keepLines/>
        <w:ind w:firstLineChars="200" w:firstLine="480"/>
        <w:rPr>
          <w:szCs w:val="24"/>
          <w:lang w:val="en-US" w:eastAsia="zh-CN"/>
        </w:rPr>
      </w:pPr>
      <w:r w:rsidRPr="000C156A">
        <w:rPr>
          <w:rFonts w:hint="eastAsia"/>
          <w:lang w:eastAsia="zh-CN"/>
        </w:rPr>
        <w:t>职员福利系指国际电联为职员所提供服务而回报的各种形式的补偿，</w:t>
      </w:r>
      <w:bookmarkStart w:id="812" w:name="_Toc329011642"/>
      <w:bookmarkStart w:id="813" w:name="_Toc305764091"/>
      <w:r w:rsidRPr="000C156A">
        <w:rPr>
          <w:rFonts w:hint="eastAsia"/>
          <w:lang w:eastAsia="zh-CN"/>
        </w:rPr>
        <w:t>雇员获得这些补偿即表示他们的工作得到认可。</w:t>
      </w:r>
    </w:p>
    <w:p w14:paraId="1E8CB0EC" w14:textId="77777777" w:rsidR="0085433F" w:rsidRPr="0076544D" w:rsidRDefault="0085433F" w:rsidP="00F66E52">
      <w:pPr>
        <w:pStyle w:val="Heading1"/>
        <w:spacing w:before="360"/>
        <w:rPr>
          <w:rFonts w:cs="Microsoft YaHei"/>
          <w:sz w:val="24"/>
          <w:szCs w:val="24"/>
          <w:lang w:val="en-US" w:eastAsia="zh-CN"/>
        </w:rPr>
      </w:pPr>
      <w:bookmarkStart w:id="814" w:name="_Toc482870841"/>
      <w:bookmarkStart w:id="815" w:name="_Toc482892576"/>
      <w:bookmarkStart w:id="816" w:name="_Toc511813760"/>
      <w:bookmarkStart w:id="817" w:name="_Toc511817843"/>
      <w:bookmarkStart w:id="818" w:name="_Toc520280743"/>
      <w:bookmarkStart w:id="819" w:name="_Toc10536838"/>
      <w:bookmarkStart w:id="820" w:name="_Toc41905880"/>
      <w:bookmarkStart w:id="821" w:name="_Toc41906908"/>
      <w:bookmarkStart w:id="822" w:name="_Toc41907989"/>
      <w:bookmarkStart w:id="823" w:name="_Toc41908057"/>
      <w:bookmarkStart w:id="824" w:name="_Toc73518695"/>
      <w:bookmarkStart w:id="825" w:name="_Toc73518842"/>
      <w:bookmarkStart w:id="826" w:name="_Toc73519242"/>
      <w:bookmarkStart w:id="827" w:name="_Toc73636281"/>
      <w:bookmarkStart w:id="828" w:name="_Toc110264005"/>
      <w:bookmarkStart w:id="829" w:name="_Toc110264084"/>
      <w:bookmarkStart w:id="830" w:name="_Toc110265723"/>
      <w:bookmarkStart w:id="831" w:name="_Toc110330093"/>
      <w:bookmarkStart w:id="832" w:name="_Toc110330258"/>
      <w:r w:rsidRPr="0076544D">
        <w:rPr>
          <w:rFonts w:cs="Microsoft YaHei"/>
          <w:sz w:val="24"/>
          <w:szCs w:val="24"/>
          <w:lang w:val="en-US" w:eastAsia="zh-CN"/>
        </w:rPr>
        <w:t>17.1</w:t>
      </w:r>
      <w:r w:rsidRPr="0076544D">
        <w:rPr>
          <w:rFonts w:cs="Microsoft YaHei"/>
          <w:sz w:val="24"/>
          <w:szCs w:val="24"/>
          <w:lang w:val="en-US" w:eastAsia="zh-CN"/>
        </w:rPr>
        <w:tab/>
      </w:r>
      <w:bookmarkStart w:id="833" w:name="_Toc329165792"/>
      <w:bookmarkEnd w:id="812"/>
      <w:bookmarkEnd w:id="813"/>
      <w:r w:rsidRPr="00F66E52">
        <w:rPr>
          <w:rFonts w:cs="Microsoft YaHei" w:hint="eastAsia"/>
          <w:sz w:val="24"/>
          <w:szCs w:val="24"/>
          <w:lang w:val="fr-FR" w:eastAsia="zh-CN"/>
        </w:rPr>
        <w:t>短期职员福利</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166C16CB" w14:textId="1A510D61" w:rsidR="0085433F" w:rsidRPr="000C156A" w:rsidRDefault="0085433F" w:rsidP="0085433F">
      <w:pPr>
        <w:pStyle w:val="Headingb"/>
        <w:spacing w:before="120" w:after="240"/>
        <w:rPr>
          <w:lang w:val="en-US" w:eastAsia="zh-CN"/>
        </w:rPr>
      </w:pPr>
      <w:bookmarkStart w:id="834" w:name="_Toc41905881"/>
      <w:bookmarkStart w:id="835" w:name="_Toc73518696"/>
      <w:bookmarkStart w:id="836" w:name="_Toc73518843"/>
      <w:bookmarkStart w:id="837" w:name="_Toc73519243"/>
      <w:bookmarkStart w:id="838" w:name="_Toc73636282"/>
      <w:r w:rsidRPr="000C156A">
        <w:rPr>
          <w:lang w:val="en-US" w:eastAsia="zh-CN"/>
        </w:rPr>
        <w:t>202</w:t>
      </w:r>
      <w:r w:rsidR="00845BB8">
        <w:rPr>
          <w:lang w:val="en-US" w:eastAsia="zh-CN"/>
        </w:rPr>
        <w:t>1</w:t>
      </w:r>
      <w:r w:rsidRPr="000C156A">
        <w:rPr>
          <w:rFonts w:cs="Microsoft YaHei" w:hint="eastAsia"/>
          <w:lang w:val="fr-FR" w:eastAsia="zh-CN"/>
        </w:rPr>
        <w:t>年</w:t>
      </w:r>
      <w:r w:rsidRPr="000C156A">
        <w:rPr>
          <w:lang w:val="en-US" w:eastAsia="zh-CN"/>
        </w:rPr>
        <w:t>12</w:t>
      </w:r>
      <w:r w:rsidRPr="000C156A">
        <w:rPr>
          <w:rFonts w:cs="Microsoft YaHei" w:hint="eastAsia"/>
          <w:lang w:val="fr-FR" w:eastAsia="zh-CN"/>
        </w:rPr>
        <w:t>月</w:t>
      </w:r>
      <w:r w:rsidRPr="000C156A">
        <w:rPr>
          <w:lang w:val="en-US" w:eastAsia="zh-CN"/>
        </w:rPr>
        <w:t>31</w:t>
      </w:r>
      <w:r w:rsidRPr="000C156A">
        <w:rPr>
          <w:rFonts w:cs="Microsoft YaHei" w:hint="eastAsia"/>
          <w:lang w:val="fr-FR" w:eastAsia="zh-CN"/>
        </w:rPr>
        <w:t>日的数字</w:t>
      </w:r>
      <w:bookmarkEnd w:id="834"/>
      <w:bookmarkEnd w:id="835"/>
      <w:bookmarkEnd w:id="836"/>
      <w:bookmarkEnd w:id="837"/>
      <w:bookmarkEnd w:id="8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985"/>
        <w:gridCol w:w="2404"/>
      </w:tblGrid>
      <w:tr w:rsidR="0085433F" w:rsidRPr="000C156A" w14:paraId="6497AC0D" w14:textId="77777777" w:rsidTr="003A64C9">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4BB3210B" w14:textId="77777777" w:rsidR="0085433F" w:rsidRPr="000C156A" w:rsidRDefault="0085433F" w:rsidP="003A64C9">
            <w:pPr>
              <w:pStyle w:val="Tablehead"/>
              <w:jc w:val="left"/>
              <w:rPr>
                <w:szCs w:val="22"/>
                <w:lang w:val="en-US" w:eastAsia="zh-CN"/>
              </w:rPr>
            </w:pPr>
          </w:p>
        </w:tc>
        <w:tc>
          <w:tcPr>
            <w:tcW w:w="6515" w:type="dxa"/>
            <w:gridSpan w:val="3"/>
            <w:tcBorders>
              <w:top w:val="single" w:sz="4" w:space="0" w:color="auto"/>
              <w:left w:val="single" w:sz="4" w:space="0" w:color="auto"/>
              <w:bottom w:val="single" w:sz="4" w:space="0" w:color="auto"/>
              <w:right w:val="single" w:sz="4" w:space="0" w:color="auto"/>
            </w:tcBorders>
            <w:hideMark/>
          </w:tcPr>
          <w:p w14:paraId="32077EC9" w14:textId="77777777" w:rsidR="0085433F" w:rsidRPr="000C156A" w:rsidRDefault="0085433F" w:rsidP="003A64C9">
            <w:pPr>
              <w:pStyle w:val="Tablehead"/>
              <w:rPr>
                <w:szCs w:val="22"/>
                <w:lang w:val="en-US"/>
              </w:rPr>
            </w:pPr>
            <w:r w:rsidRPr="000C156A">
              <w:rPr>
                <w:rFonts w:hint="eastAsia"/>
                <w:szCs w:val="22"/>
                <w:lang w:val="en-US"/>
              </w:rPr>
              <w:t>职员福利</w:t>
            </w:r>
            <w:r w:rsidRPr="000C156A">
              <w:rPr>
                <w:szCs w:val="22"/>
                <w:lang w:val="en-US"/>
              </w:rPr>
              <w:t xml:space="preserve"> – </w:t>
            </w:r>
            <w:r w:rsidRPr="000C156A">
              <w:rPr>
                <w:rFonts w:hint="eastAsia"/>
                <w:szCs w:val="22"/>
                <w:lang w:val="en-US"/>
              </w:rPr>
              <w:t>短期</w:t>
            </w:r>
          </w:p>
        </w:tc>
      </w:tr>
      <w:tr w:rsidR="0085433F" w:rsidRPr="000C156A" w14:paraId="07487D09" w14:textId="77777777" w:rsidTr="003A64C9">
        <w:trPr>
          <w:jc w:val="center"/>
        </w:trPr>
        <w:tc>
          <w:tcPr>
            <w:tcW w:w="3114" w:type="dxa"/>
            <w:tcBorders>
              <w:top w:val="single" w:sz="4" w:space="0" w:color="auto"/>
              <w:left w:val="single" w:sz="4" w:space="0" w:color="000000"/>
              <w:bottom w:val="single" w:sz="4" w:space="0" w:color="000000"/>
              <w:right w:val="single" w:sz="4" w:space="0" w:color="auto"/>
            </w:tcBorders>
            <w:hideMark/>
          </w:tcPr>
          <w:p w14:paraId="29B0500E" w14:textId="77777777" w:rsidR="0085433F" w:rsidRPr="000C156A" w:rsidRDefault="0085433F" w:rsidP="003A64C9">
            <w:pPr>
              <w:pStyle w:val="Tablehead"/>
              <w:jc w:val="left"/>
              <w:rPr>
                <w:szCs w:val="22"/>
                <w:lang w:val="en-US"/>
              </w:rPr>
            </w:pPr>
            <w:r w:rsidRPr="000C156A">
              <w:rPr>
                <w:rFonts w:hint="eastAsia"/>
                <w:szCs w:val="22"/>
                <w:lang w:val="en-US" w:eastAsia="zh-CN"/>
              </w:rPr>
              <w:t>单位：</w:t>
            </w:r>
            <w:r w:rsidRPr="000C156A">
              <w:rPr>
                <w:rFonts w:hint="eastAsia"/>
                <w:szCs w:val="22"/>
                <w:lang w:val="en-US"/>
              </w:rPr>
              <w:t>千瑞郎</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FC010D" w14:textId="77777777" w:rsidR="0085433F" w:rsidRPr="000C156A" w:rsidRDefault="0085433F" w:rsidP="003A64C9">
            <w:pPr>
              <w:pStyle w:val="Tablehead"/>
              <w:snapToGrid w:val="0"/>
              <w:spacing w:before="0" w:after="0"/>
              <w:rPr>
                <w:szCs w:val="22"/>
                <w:lang w:val="en-US" w:eastAsia="zh-CN"/>
              </w:rPr>
            </w:pPr>
            <w:r w:rsidRPr="000C156A">
              <w:rPr>
                <w:rFonts w:hint="eastAsia"/>
                <w:szCs w:val="22"/>
                <w:lang w:val="en-US" w:eastAsia="zh-CN"/>
              </w:rPr>
              <w:t>加班</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C13301" w14:textId="77777777" w:rsidR="0085433F" w:rsidRPr="000C156A" w:rsidRDefault="0085433F" w:rsidP="003A64C9">
            <w:pPr>
              <w:pStyle w:val="Tablehead"/>
              <w:snapToGrid w:val="0"/>
              <w:spacing w:before="0" w:after="0"/>
              <w:rPr>
                <w:szCs w:val="22"/>
                <w:lang w:val="en-US" w:eastAsia="zh-CN"/>
              </w:rPr>
            </w:pPr>
            <w:r w:rsidRPr="000C156A">
              <w:rPr>
                <w:rFonts w:hint="eastAsia"/>
                <w:szCs w:val="22"/>
                <w:lang w:val="en-US" w:eastAsia="zh-CN"/>
              </w:rPr>
              <w:t>应计休假</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7CE7AC4" w14:textId="77777777" w:rsidR="0085433F" w:rsidRPr="000C156A" w:rsidRDefault="0085433F" w:rsidP="003A64C9">
            <w:pPr>
              <w:pStyle w:val="Tablehead"/>
              <w:snapToGrid w:val="0"/>
              <w:spacing w:before="0" w:after="0"/>
              <w:rPr>
                <w:szCs w:val="22"/>
                <w:lang w:val="en-US" w:eastAsia="zh-CN"/>
              </w:rPr>
            </w:pPr>
            <w:r w:rsidRPr="000C156A">
              <w:rPr>
                <w:rFonts w:hint="eastAsia"/>
                <w:szCs w:val="22"/>
                <w:lang w:val="en-US"/>
              </w:rPr>
              <w:t>职员福利</w:t>
            </w:r>
            <w:r w:rsidRPr="000C156A">
              <w:rPr>
                <w:szCs w:val="22"/>
                <w:lang w:val="en-US"/>
              </w:rPr>
              <w:t xml:space="preserve"> – </w:t>
            </w:r>
            <w:r w:rsidRPr="000C156A">
              <w:rPr>
                <w:rFonts w:hint="eastAsia"/>
                <w:szCs w:val="22"/>
                <w:lang w:val="en-US"/>
              </w:rPr>
              <w:t>短期</w:t>
            </w:r>
            <w:r w:rsidRPr="000C156A">
              <w:rPr>
                <w:rFonts w:hint="eastAsia"/>
                <w:szCs w:val="22"/>
                <w:lang w:val="en-US" w:eastAsia="zh-CN"/>
              </w:rPr>
              <w:t>合计</w:t>
            </w:r>
          </w:p>
        </w:tc>
      </w:tr>
      <w:tr w:rsidR="00845BB8" w:rsidRPr="000C156A" w14:paraId="4EDA2CF9" w14:textId="77777777" w:rsidTr="003A64C9">
        <w:trPr>
          <w:jc w:val="center"/>
        </w:trPr>
        <w:tc>
          <w:tcPr>
            <w:tcW w:w="3114" w:type="dxa"/>
            <w:tcBorders>
              <w:top w:val="single" w:sz="4" w:space="0" w:color="000000"/>
              <w:left w:val="single" w:sz="4" w:space="0" w:color="000000"/>
              <w:bottom w:val="single" w:sz="4" w:space="0" w:color="000000"/>
              <w:right w:val="single" w:sz="4" w:space="0" w:color="auto"/>
            </w:tcBorders>
            <w:hideMark/>
          </w:tcPr>
          <w:p w14:paraId="02F16EDB" w14:textId="77777777" w:rsidR="00845BB8" w:rsidRPr="000C156A" w:rsidRDefault="00845BB8" w:rsidP="00845BB8">
            <w:pPr>
              <w:pStyle w:val="Tabletext"/>
              <w:ind w:right="208"/>
              <w:rPr>
                <w:szCs w:val="22"/>
                <w:lang w:val="en-US" w:eastAsia="zh-CN"/>
              </w:rPr>
            </w:pPr>
            <w:r w:rsidRPr="000C156A">
              <w:rPr>
                <w:rFonts w:hint="eastAsia"/>
                <w:b/>
                <w:bCs/>
                <w:szCs w:val="22"/>
                <w:lang w:val="en-US" w:eastAsia="zh-CN"/>
              </w:rPr>
              <w:t>期初余额</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67DF6" w14:textId="619FAD19" w:rsidR="00845BB8" w:rsidRPr="000C156A" w:rsidRDefault="00845BB8" w:rsidP="00845BB8">
            <w:pPr>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10</w:t>
            </w:r>
            <w:r w:rsidRPr="00754E3B">
              <w:rPr>
                <w:rFonts w:cs="Arial"/>
                <w:b/>
                <w:bCs/>
                <w:color w:val="000000"/>
                <w:sz w:val="22"/>
                <w:szCs w:val="22"/>
                <w:lang w:val="en-US" w:eastAsia="zh-CN"/>
              </w:rPr>
              <w:t xml:space="preserve"> </w:t>
            </w:r>
          </w:p>
        </w:tc>
        <w:tc>
          <w:tcPr>
            <w:tcW w:w="1985" w:type="dxa"/>
            <w:tcBorders>
              <w:top w:val="nil"/>
              <w:left w:val="nil"/>
              <w:bottom w:val="single" w:sz="4" w:space="0" w:color="auto"/>
              <w:right w:val="single" w:sz="4" w:space="0" w:color="auto"/>
            </w:tcBorders>
            <w:shd w:val="clear" w:color="auto" w:fill="auto"/>
            <w:vAlign w:val="bottom"/>
            <w:hideMark/>
          </w:tcPr>
          <w:p w14:paraId="5C8AF4E6" w14:textId="4DB6502B" w:rsidR="00845BB8" w:rsidRPr="00845BB8" w:rsidRDefault="00845BB8" w:rsidP="00845BB8">
            <w:pPr>
              <w:overflowPunct/>
              <w:autoSpaceDE/>
              <w:autoSpaceDN/>
              <w:adjustRightInd/>
              <w:spacing w:before="0"/>
              <w:jc w:val="right"/>
              <w:textAlignment w:val="auto"/>
              <w:rPr>
                <w:rFonts w:cs="Arial"/>
                <w:b/>
                <w:bCs/>
                <w:color w:val="000000"/>
                <w:sz w:val="22"/>
                <w:szCs w:val="22"/>
                <w:lang w:val="en-US" w:eastAsia="zh-CN"/>
              </w:rPr>
            </w:pPr>
            <w:r w:rsidRPr="00845BB8">
              <w:rPr>
                <w:rFonts w:cs="Arial"/>
                <w:b/>
                <w:bCs/>
                <w:color w:val="000000"/>
                <w:sz w:val="22"/>
                <w:szCs w:val="22"/>
                <w:lang w:val="en-US" w:eastAsia="zh-CN"/>
              </w:rPr>
              <w:t>- </w:t>
            </w:r>
          </w:p>
        </w:tc>
        <w:tc>
          <w:tcPr>
            <w:tcW w:w="2404" w:type="dxa"/>
            <w:tcBorders>
              <w:top w:val="nil"/>
              <w:left w:val="nil"/>
              <w:bottom w:val="single" w:sz="4" w:space="0" w:color="auto"/>
              <w:right w:val="single" w:sz="4" w:space="0" w:color="auto"/>
            </w:tcBorders>
            <w:shd w:val="clear" w:color="auto" w:fill="auto"/>
            <w:vAlign w:val="center"/>
            <w:hideMark/>
          </w:tcPr>
          <w:p w14:paraId="59E204AC" w14:textId="5BEB3886" w:rsidR="00845BB8" w:rsidRPr="000C156A" w:rsidRDefault="00845BB8" w:rsidP="00845BB8">
            <w:pPr>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10</w:t>
            </w:r>
            <w:r w:rsidRPr="00754E3B">
              <w:rPr>
                <w:rFonts w:cs="Arial"/>
                <w:b/>
                <w:bCs/>
                <w:color w:val="000000"/>
                <w:sz w:val="22"/>
                <w:szCs w:val="22"/>
                <w:lang w:val="en-US" w:eastAsia="zh-CN"/>
              </w:rPr>
              <w:t xml:space="preserve"> </w:t>
            </w:r>
          </w:p>
        </w:tc>
      </w:tr>
      <w:tr w:rsidR="00845BB8" w:rsidRPr="000C156A" w14:paraId="7303B610" w14:textId="77777777" w:rsidTr="003A64C9">
        <w:trPr>
          <w:jc w:val="center"/>
        </w:trPr>
        <w:tc>
          <w:tcPr>
            <w:tcW w:w="3114" w:type="dxa"/>
            <w:tcBorders>
              <w:top w:val="single" w:sz="4" w:space="0" w:color="000000"/>
              <w:left w:val="single" w:sz="4" w:space="0" w:color="000000"/>
              <w:bottom w:val="nil"/>
              <w:right w:val="single" w:sz="4" w:space="0" w:color="auto"/>
            </w:tcBorders>
            <w:hideMark/>
          </w:tcPr>
          <w:p w14:paraId="22FC3B47" w14:textId="77777777" w:rsidR="00845BB8" w:rsidRPr="000C156A" w:rsidRDefault="00845BB8" w:rsidP="00845BB8">
            <w:pPr>
              <w:tabs>
                <w:tab w:val="left" w:pos="720"/>
              </w:tabs>
              <w:overflowPunct/>
              <w:adjustRightInd/>
              <w:spacing w:before="0"/>
              <w:rPr>
                <w:sz w:val="22"/>
                <w:szCs w:val="22"/>
                <w:lang w:val="en-US"/>
              </w:rPr>
            </w:pPr>
            <w:r w:rsidRPr="000C156A">
              <w:rPr>
                <w:rFonts w:hint="eastAsia"/>
                <w:sz w:val="22"/>
                <w:szCs w:val="22"/>
                <w:lang w:val="en-US"/>
              </w:rPr>
              <w:t>增长</w:t>
            </w:r>
          </w:p>
        </w:tc>
        <w:tc>
          <w:tcPr>
            <w:tcW w:w="2126" w:type="dxa"/>
            <w:tcBorders>
              <w:top w:val="nil"/>
              <w:left w:val="single" w:sz="4" w:space="0" w:color="auto"/>
              <w:bottom w:val="nil"/>
              <w:right w:val="single" w:sz="4" w:space="0" w:color="auto"/>
            </w:tcBorders>
            <w:shd w:val="clear" w:color="auto" w:fill="auto"/>
            <w:vAlign w:val="bottom"/>
            <w:hideMark/>
          </w:tcPr>
          <w:p w14:paraId="417ADF12" w14:textId="7A1708D3" w:rsidR="00845BB8" w:rsidRPr="000C156A" w:rsidRDefault="00845BB8" w:rsidP="00845BB8">
            <w:pPr>
              <w:overflowPunct/>
              <w:autoSpaceDE/>
              <w:autoSpaceDN/>
              <w:adjustRightInd/>
              <w:spacing w:before="0"/>
              <w:jc w:val="right"/>
              <w:textAlignment w:val="auto"/>
              <w:rPr>
                <w:rFonts w:cs="Arial"/>
                <w:sz w:val="22"/>
                <w:szCs w:val="22"/>
                <w:lang w:val="en-US" w:eastAsia="zh-CN"/>
              </w:rPr>
            </w:pPr>
            <w:r>
              <w:rPr>
                <w:rFonts w:cs="Arial"/>
                <w:sz w:val="22"/>
                <w:szCs w:val="22"/>
                <w:lang w:val="en-US" w:eastAsia="zh-CN"/>
              </w:rPr>
              <w:t>34</w:t>
            </w:r>
          </w:p>
        </w:tc>
        <w:tc>
          <w:tcPr>
            <w:tcW w:w="1985" w:type="dxa"/>
            <w:tcBorders>
              <w:top w:val="nil"/>
              <w:left w:val="nil"/>
              <w:bottom w:val="nil"/>
              <w:right w:val="single" w:sz="4" w:space="0" w:color="auto"/>
            </w:tcBorders>
            <w:shd w:val="clear" w:color="auto" w:fill="auto"/>
            <w:vAlign w:val="bottom"/>
            <w:hideMark/>
          </w:tcPr>
          <w:p w14:paraId="21CC8BEF" w14:textId="6CC648E5"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390</w:t>
            </w:r>
          </w:p>
        </w:tc>
        <w:tc>
          <w:tcPr>
            <w:tcW w:w="2404" w:type="dxa"/>
            <w:tcBorders>
              <w:top w:val="nil"/>
              <w:left w:val="nil"/>
              <w:bottom w:val="nil"/>
              <w:right w:val="single" w:sz="4" w:space="0" w:color="auto"/>
            </w:tcBorders>
            <w:shd w:val="clear" w:color="auto" w:fill="auto"/>
            <w:vAlign w:val="bottom"/>
            <w:hideMark/>
          </w:tcPr>
          <w:p w14:paraId="3F2113DC" w14:textId="0FC0DE7C"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424</w:t>
            </w:r>
            <w:r w:rsidRPr="00754E3B">
              <w:rPr>
                <w:rFonts w:cs="Arial"/>
                <w:color w:val="000000"/>
                <w:sz w:val="22"/>
                <w:szCs w:val="22"/>
                <w:lang w:val="en-US" w:eastAsia="zh-CN"/>
              </w:rPr>
              <w:t xml:space="preserve"> </w:t>
            </w:r>
          </w:p>
        </w:tc>
      </w:tr>
      <w:tr w:rsidR="00845BB8" w:rsidRPr="000C156A" w14:paraId="7184D758" w14:textId="77777777" w:rsidTr="003A64C9">
        <w:trPr>
          <w:jc w:val="center"/>
        </w:trPr>
        <w:tc>
          <w:tcPr>
            <w:tcW w:w="3114" w:type="dxa"/>
            <w:tcBorders>
              <w:top w:val="nil"/>
              <w:left w:val="single" w:sz="4" w:space="0" w:color="000000"/>
              <w:bottom w:val="nil"/>
              <w:right w:val="single" w:sz="4" w:space="0" w:color="auto"/>
            </w:tcBorders>
            <w:hideMark/>
          </w:tcPr>
          <w:p w14:paraId="706C672A" w14:textId="77777777" w:rsidR="00845BB8" w:rsidRPr="000C156A" w:rsidRDefault="00845BB8" w:rsidP="00845BB8">
            <w:pPr>
              <w:tabs>
                <w:tab w:val="left" w:pos="720"/>
              </w:tabs>
              <w:overflowPunct/>
              <w:adjustRightInd/>
              <w:spacing w:before="0"/>
              <w:rPr>
                <w:sz w:val="22"/>
                <w:szCs w:val="22"/>
                <w:lang w:val="en-US" w:eastAsia="zh-CN"/>
              </w:rPr>
            </w:pPr>
            <w:r w:rsidRPr="000C156A">
              <w:rPr>
                <w:rFonts w:hint="eastAsia"/>
                <w:sz w:val="22"/>
                <w:szCs w:val="22"/>
                <w:lang w:val="en-US" w:eastAsia="zh-CN"/>
              </w:rPr>
              <w:lastRenderedPageBreak/>
              <w:t>年内使用</w:t>
            </w:r>
          </w:p>
        </w:tc>
        <w:tc>
          <w:tcPr>
            <w:tcW w:w="2126" w:type="dxa"/>
            <w:tcBorders>
              <w:top w:val="nil"/>
              <w:left w:val="single" w:sz="4" w:space="0" w:color="auto"/>
              <w:bottom w:val="nil"/>
              <w:right w:val="single" w:sz="4" w:space="0" w:color="auto"/>
            </w:tcBorders>
            <w:shd w:val="clear" w:color="auto" w:fill="auto"/>
            <w:vAlign w:val="bottom"/>
            <w:hideMark/>
          </w:tcPr>
          <w:p w14:paraId="09BEB112" w14:textId="4460A1A8"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w:t>
            </w:r>
            <w:r>
              <w:rPr>
                <w:rFonts w:cs="Arial"/>
                <w:color w:val="000000"/>
                <w:sz w:val="22"/>
                <w:szCs w:val="22"/>
                <w:lang w:val="en-US" w:eastAsia="zh-CN"/>
              </w:rPr>
              <w:t>10</w:t>
            </w:r>
          </w:p>
        </w:tc>
        <w:tc>
          <w:tcPr>
            <w:tcW w:w="1985" w:type="dxa"/>
            <w:tcBorders>
              <w:top w:val="nil"/>
              <w:left w:val="nil"/>
              <w:bottom w:val="nil"/>
              <w:right w:val="single" w:sz="4" w:space="0" w:color="auto"/>
            </w:tcBorders>
            <w:shd w:val="clear" w:color="auto" w:fill="auto"/>
            <w:vAlign w:val="bottom"/>
            <w:hideMark/>
          </w:tcPr>
          <w:p w14:paraId="739BA7EC" w14:textId="7CF05556"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754E3B">
              <w:rPr>
                <w:rFonts w:cs="Arial"/>
                <w:color w:val="000000"/>
                <w:sz w:val="22"/>
                <w:szCs w:val="22"/>
                <w:lang w:val="en-US" w:eastAsia="zh-CN"/>
              </w:rPr>
              <w:t> </w:t>
            </w:r>
          </w:p>
        </w:tc>
        <w:tc>
          <w:tcPr>
            <w:tcW w:w="2404" w:type="dxa"/>
            <w:tcBorders>
              <w:top w:val="nil"/>
              <w:left w:val="nil"/>
              <w:bottom w:val="nil"/>
              <w:right w:val="single" w:sz="4" w:space="0" w:color="auto"/>
            </w:tcBorders>
            <w:shd w:val="clear" w:color="auto" w:fill="auto"/>
            <w:vAlign w:val="bottom"/>
            <w:hideMark/>
          </w:tcPr>
          <w:p w14:paraId="35860544" w14:textId="546CB341"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sidRPr="00754E3B">
              <w:rPr>
                <w:rFonts w:cs="Arial"/>
                <w:color w:val="000000"/>
                <w:sz w:val="22"/>
                <w:szCs w:val="22"/>
                <w:lang w:val="en-US" w:eastAsia="zh-CN"/>
              </w:rPr>
              <w:t>-</w:t>
            </w:r>
            <w:r>
              <w:rPr>
                <w:rFonts w:cs="Arial"/>
                <w:color w:val="000000"/>
                <w:sz w:val="22"/>
                <w:szCs w:val="22"/>
                <w:lang w:val="en-US" w:eastAsia="zh-CN"/>
              </w:rPr>
              <w:t>10</w:t>
            </w:r>
            <w:r w:rsidRPr="00754E3B">
              <w:rPr>
                <w:rFonts w:cs="Arial"/>
                <w:color w:val="000000"/>
                <w:sz w:val="22"/>
                <w:szCs w:val="22"/>
                <w:lang w:val="en-US" w:eastAsia="zh-CN"/>
              </w:rPr>
              <w:t xml:space="preserve"> </w:t>
            </w:r>
          </w:p>
        </w:tc>
      </w:tr>
      <w:tr w:rsidR="00845BB8" w:rsidRPr="000C156A" w14:paraId="3A4F0613" w14:textId="77777777" w:rsidTr="003A64C9">
        <w:trPr>
          <w:jc w:val="center"/>
        </w:trPr>
        <w:tc>
          <w:tcPr>
            <w:tcW w:w="3114" w:type="dxa"/>
            <w:tcBorders>
              <w:top w:val="nil"/>
              <w:left w:val="single" w:sz="4" w:space="0" w:color="000000"/>
              <w:bottom w:val="nil"/>
              <w:right w:val="single" w:sz="4" w:space="0" w:color="auto"/>
            </w:tcBorders>
            <w:hideMark/>
          </w:tcPr>
          <w:p w14:paraId="10463C6A" w14:textId="77777777" w:rsidR="00845BB8" w:rsidRPr="000C156A" w:rsidRDefault="00845BB8" w:rsidP="00845BB8">
            <w:pPr>
              <w:tabs>
                <w:tab w:val="left" w:pos="720"/>
              </w:tabs>
              <w:overflowPunct/>
              <w:adjustRightInd/>
              <w:spacing w:before="0"/>
              <w:rPr>
                <w:sz w:val="22"/>
                <w:szCs w:val="22"/>
                <w:lang w:val="en-US"/>
              </w:rPr>
            </w:pPr>
            <w:r w:rsidRPr="000C156A">
              <w:rPr>
                <w:rFonts w:hint="eastAsia"/>
                <w:sz w:val="22"/>
                <w:szCs w:val="22"/>
                <w:lang w:val="en-US" w:eastAsia="zh-CN"/>
              </w:rPr>
              <w:t>免除</w:t>
            </w:r>
          </w:p>
        </w:tc>
        <w:tc>
          <w:tcPr>
            <w:tcW w:w="2126" w:type="dxa"/>
            <w:tcBorders>
              <w:top w:val="nil"/>
              <w:left w:val="single" w:sz="4" w:space="0" w:color="auto"/>
              <w:bottom w:val="nil"/>
              <w:right w:val="single" w:sz="4" w:space="0" w:color="auto"/>
            </w:tcBorders>
            <w:shd w:val="clear" w:color="auto" w:fill="auto"/>
            <w:vAlign w:val="bottom"/>
            <w:hideMark/>
          </w:tcPr>
          <w:p w14:paraId="71886248" w14:textId="514408D1"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754E3B">
              <w:rPr>
                <w:rFonts w:cs="Arial"/>
                <w:color w:val="000000"/>
                <w:sz w:val="22"/>
                <w:szCs w:val="22"/>
                <w:lang w:val="en-US" w:eastAsia="zh-CN"/>
              </w:rPr>
              <w:t> </w:t>
            </w:r>
          </w:p>
        </w:tc>
        <w:tc>
          <w:tcPr>
            <w:tcW w:w="1985" w:type="dxa"/>
            <w:tcBorders>
              <w:top w:val="nil"/>
              <w:left w:val="nil"/>
              <w:bottom w:val="nil"/>
              <w:right w:val="single" w:sz="4" w:space="0" w:color="auto"/>
            </w:tcBorders>
            <w:shd w:val="clear" w:color="auto" w:fill="auto"/>
            <w:vAlign w:val="bottom"/>
            <w:hideMark/>
          </w:tcPr>
          <w:p w14:paraId="182F51B4" w14:textId="3C74A921"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754E3B">
              <w:rPr>
                <w:rFonts w:cs="Arial"/>
                <w:color w:val="000000"/>
                <w:sz w:val="22"/>
                <w:szCs w:val="22"/>
                <w:lang w:val="en-US" w:eastAsia="zh-CN"/>
              </w:rPr>
              <w:t> </w:t>
            </w:r>
          </w:p>
        </w:tc>
        <w:tc>
          <w:tcPr>
            <w:tcW w:w="2404" w:type="dxa"/>
            <w:tcBorders>
              <w:top w:val="nil"/>
              <w:left w:val="nil"/>
              <w:bottom w:val="nil"/>
              <w:right w:val="single" w:sz="4" w:space="0" w:color="auto"/>
            </w:tcBorders>
            <w:shd w:val="clear" w:color="auto" w:fill="auto"/>
            <w:vAlign w:val="bottom"/>
            <w:hideMark/>
          </w:tcPr>
          <w:p w14:paraId="6A5E2F72" w14:textId="48C09891"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754E3B">
              <w:rPr>
                <w:rFonts w:cs="Arial"/>
                <w:color w:val="000000"/>
                <w:sz w:val="22"/>
                <w:szCs w:val="22"/>
                <w:lang w:val="en-US" w:eastAsia="zh-CN"/>
              </w:rPr>
              <w:t> </w:t>
            </w:r>
          </w:p>
        </w:tc>
      </w:tr>
      <w:tr w:rsidR="00845BB8" w:rsidRPr="000C156A" w14:paraId="53B61B68" w14:textId="77777777" w:rsidTr="003A64C9">
        <w:trPr>
          <w:jc w:val="center"/>
        </w:trPr>
        <w:tc>
          <w:tcPr>
            <w:tcW w:w="3114" w:type="dxa"/>
            <w:tcBorders>
              <w:top w:val="nil"/>
              <w:left w:val="single" w:sz="4" w:space="0" w:color="000000"/>
              <w:bottom w:val="nil"/>
              <w:right w:val="single" w:sz="4" w:space="0" w:color="auto"/>
            </w:tcBorders>
            <w:hideMark/>
          </w:tcPr>
          <w:p w14:paraId="04A8E2B2" w14:textId="77777777" w:rsidR="00845BB8" w:rsidRPr="000C156A" w:rsidRDefault="00845BB8" w:rsidP="00845BB8">
            <w:pPr>
              <w:tabs>
                <w:tab w:val="left" w:pos="720"/>
              </w:tabs>
              <w:overflowPunct/>
              <w:adjustRightInd/>
              <w:spacing w:before="0"/>
              <w:rPr>
                <w:sz w:val="22"/>
                <w:szCs w:val="22"/>
                <w:lang w:val="en-US" w:eastAsia="zh-CN"/>
              </w:rPr>
            </w:pPr>
            <w:r w:rsidRPr="000C156A">
              <w:rPr>
                <w:rFonts w:hint="eastAsia"/>
                <w:sz w:val="22"/>
                <w:szCs w:val="22"/>
                <w:lang w:val="en-US" w:eastAsia="zh-CN"/>
              </w:rPr>
              <w:t>转账</w:t>
            </w:r>
          </w:p>
        </w:tc>
        <w:tc>
          <w:tcPr>
            <w:tcW w:w="2126" w:type="dxa"/>
            <w:tcBorders>
              <w:top w:val="nil"/>
              <w:left w:val="single" w:sz="4" w:space="0" w:color="auto"/>
              <w:bottom w:val="nil"/>
              <w:right w:val="single" w:sz="4" w:space="0" w:color="auto"/>
            </w:tcBorders>
            <w:shd w:val="clear" w:color="auto" w:fill="auto"/>
            <w:vAlign w:val="bottom"/>
            <w:hideMark/>
          </w:tcPr>
          <w:p w14:paraId="5E0D6755" w14:textId="0AD0A5D4"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754E3B">
              <w:rPr>
                <w:rFonts w:cs="Arial"/>
                <w:color w:val="000000"/>
                <w:sz w:val="22"/>
                <w:szCs w:val="22"/>
                <w:lang w:val="en-US" w:eastAsia="zh-CN"/>
              </w:rPr>
              <w:t> </w:t>
            </w:r>
          </w:p>
        </w:tc>
        <w:tc>
          <w:tcPr>
            <w:tcW w:w="1985" w:type="dxa"/>
            <w:tcBorders>
              <w:top w:val="nil"/>
              <w:left w:val="nil"/>
              <w:bottom w:val="nil"/>
              <w:right w:val="single" w:sz="4" w:space="0" w:color="auto"/>
            </w:tcBorders>
            <w:shd w:val="clear" w:color="auto" w:fill="auto"/>
            <w:vAlign w:val="bottom"/>
            <w:hideMark/>
          </w:tcPr>
          <w:p w14:paraId="43420936" w14:textId="42D2B5D2"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754E3B">
              <w:rPr>
                <w:rFonts w:cs="Arial"/>
                <w:color w:val="000000"/>
                <w:sz w:val="22"/>
                <w:szCs w:val="22"/>
                <w:lang w:val="en-US" w:eastAsia="zh-CN"/>
              </w:rPr>
              <w:t> </w:t>
            </w:r>
          </w:p>
        </w:tc>
        <w:tc>
          <w:tcPr>
            <w:tcW w:w="2404" w:type="dxa"/>
            <w:tcBorders>
              <w:top w:val="nil"/>
              <w:left w:val="nil"/>
              <w:bottom w:val="nil"/>
              <w:right w:val="single" w:sz="4" w:space="0" w:color="auto"/>
            </w:tcBorders>
            <w:shd w:val="clear" w:color="auto" w:fill="auto"/>
            <w:vAlign w:val="bottom"/>
            <w:hideMark/>
          </w:tcPr>
          <w:p w14:paraId="57683495" w14:textId="5305F3DF"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754E3B">
              <w:rPr>
                <w:rFonts w:cs="Arial"/>
                <w:color w:val="000000"/>
                <w:sz w:val="22"/>
                <w:szCs w:val="22"/>
                <w:lang w:val="en-US" w:eastAsia="zh-CN"/>
              </w:rPr>
              <w:t> </w:t>
            </w:r>
          </w:p>
        </w:tc>
      </w:tr>
      <w:tr w:rsidR="00845BB8" w:rsidRPr="000C156A" w14:paraId="6301BCD0" w14:textId="77777777" w:rsidTr="003A64C9">
        <w:trPr>
          <w:jc w:val="center"/>
        </w:trPr>
        <w:tc>
          <w:tcPr>
            <w:tcW w:w="3114" w:type="dxa"/>
            <w:tcBorders>
              <w:top w:val="nil"/>
              <w:left w:val="single" w:sz="4" w:space="0" w:color="000000"/>
              <w:bottom w:val="single" w:sz="4" w:space="0" w:color="000000"/>
              <w:right w:val="single" w:sz="4" w:space="0" w:color="auto"/>
            </w:tcBorders>
          </w:tcPr>
          <w:p w14:paraId="0C465879" w14:textId="77777777" w:rsidR="00845BB8" w:rsidRPr="000C156A" w:rsidRDefault="00845BB8" w:rsidP="00845BB8">
            <w:pPr>
              <w:tabs>
                <w:tab w:val="left" w:pos="720"/>
              </w:tabs>
              <w:overflowPunct/>
              <w:adjustRightInd/>
              <w:spacing w:before="0"/>
              <w:rPr>
                <w:sz w:val="22"/>
                <w:szCs w:val="22"/>
                <w:lang w:val="en-US" w:eastAsia="zh-CN"/>
              </w:rPr>
            </w:pPr>
            <w:r w:rsidRPr="000C156A">
              <w:rPr>
                <w:rFonts w:hint="eastAsia"/>
                <w:sz w:val="22"/>
                <w:szCs w:val="22"/>
                <w:lang w:val="en-US" w:eastAsia="zh-CN"/>
              </w:rPr>
              <w:t>未实现的外汇收益</w:t>
            </w:r>
          </w:p>
        </w:tc>
        <w:tc>
          <w:tcPr>
            <w:tcW w:w="2126" w:type="dxa"/>
            <w:tcBorders>
              <w:top w:val="nil"/>
              <w:left w:val="single" w:sz="4" w:space="0" w:color="auto"/>
              <w:bottom w:val="single" w:sz="4" w:space="0" w:color="auto"/>
              <w:right w:val="single" w:sz="4" w:space="0" w:color="auto"/>
            </w:tcBorders>
            <w:shd w:val="clear" w:color="auto" w:fill="auto"/>
            <w:vAlign w:val="bottom"/>
          </w:tcPr>
          <w:p w14:paraId="01BCDED2" w14:textId="3F96D6BA"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754E3B">
              <w:rPr>
                <w:rFonts w:cs="Arial"/>
                <w:color w:val="000000"/>
                <w:sz w:val="22"/>
                <w:szCs w:val="22"/>
                <w:lang w:val="en-US" w:eastAsia="zh-CN"/>
              </w:rPr>
              <w:t> </w:t>
            </w:r>
          </w:p>
        </w:tc>
        <w:tc>
          <w:tcPr>
            <w:tcW w:w="1985" w:type="dxa"/>
            <w:tcBorders>
              <w:top w:val="nil"/>
              <w:left w:val="nil"/>
              <w:bottom w:val="nil"/>
              <w:right w:val="single" w:sz="4" w:space="0" w:color="auto"/>
            </w:tcBorders>
            <w:shd w:val="clear" w:color="auto" w:fill="auto"/>
            <w:vAlign w:val="bottom"/>
          </w:tcPr>
          <w:p w14:paraId="45BCCEFE" w14:textId="1DDC2805"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754E3B">
              <w:rPr>
                <w:rFonts w:cs="Arial"/>
                <w:color w:val="000000"/>
                <w:sz w:val="22"/>
                <w:szCs w:val="22"/>
                <w:lang w:val="en-US" w:eastAsia="zh-CN"/>
              </w:rPr>
              <w:t> </w:t>
            </w:r>
          </w:p>
        </w:tc>
        <w:tc>
          <w:tcPr>
            <w:tcW w:w="2404" w:type="dxa"/>
            <w:tcBorders>
              <w:top w:val="nil"/>
              <w:left w:val="nil"/>
              <w:bottom w:val="nil"/>
              <w:right w:val="single" w:sz="4" w:space="0" w:color="auto"/>
            </w:tcBorders>
            <w:shd w:val="clear" w:color="auto" w:fill="auto"/>
            <w:vAlign w:val="bottom"/>
          </w:tcPr>
          <w:p w14:paraId="775DC2A9" w14:textId="39DF1F1A" w:rsidR="00845BB8" w:rsidRPr="000C156A" w:rsidRDefault="00845BB8" w:rsidP="00845BB8">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754E3B">
              <w:rPr>
                <w:rFonts w:cs="Arial"/>
                <w:color w:val="000000"/>
                <w:sz w:val="22"/>
                <w:szCs w:val="22"/>
                <w:lang w:val="en-US" w:eastAsia="zh-CN"/>
              </w:rPr>
              <w:t> </w:t>
            </w:r>
          </w:p>
        </w:tc>
      </w:tr>
      <w:tr w:rsidR="00845BB8" w:rsidRPr="000C156A" w14:paraId="1D27F3FA" w14:textId="77777777" w:rsidTr="003A64C9">
        <w:trPr>
          <w:jc w:val="center"/>
        </w:trPr>
        <w:tc>
          <w:tcPr>
            <w:tcW w:w="3114" w:type="dxa"/>
            <w:tcBorders>
              <w:top w:val="single" w:sz="4" w:space="0" w:color="000000"/>
              <w:left w:val="single" w:sz="4" w:space="0" w:color="auto"/>
              <w:bottom w:val="single" w:sz="4" w:space="0" w:color="auto"/>
              <w:right w:val="single" w:sz="4" w:space="0" w:color="auto"/>
            </w:tcBorders>
            <w:hideMark/>
          </w:tcPr>
          <w:p w14:paraId="54B5554C" w14:textId="77777777" w:rsidR="00845BB8" w:rsidRPr="000C156A" w:rsidRDefault="00845BB8" w:rsidP="00845BB8">
            <w:pPr>
              <w:pStyle w:val="Tabletext"/>
              <w:ind w:right="208"/>
              <w:rPr>
                <w:szCs w:val="22"/>
                <w:lang w:val="en-US"/>
              </w:rPr>
            </w:pPr>
            <w:r w:rsidRPr="000C156A">
              <w:rPr>
                <w:rFonts w:ascii="SimSun" w:hAnsi="SimSun" w:cs="SimSun" w:hint="eastAsia"/>
                <w:b/>
                <w:bCs/>
                <w:szCs w:val="22"/>
                <w:lang w:val="en-US"/>
              </w:rPr>
              <w:t>期</w:t>
            </w:r>
            <w:r w:rsidRPr="000C156A">
              <w:rPr>
                <w:rFonts w:ascii="SimSun" w:hAnsi="SimSun" w:cs="SimSun" w:hint="eastAsia"/>
                <w:b/>
                <w:bCs/>
                <w:szCs w:val="22"/>
                <w:lang w:val="en-US" w:eastAsia="zh-CN"/>
              </w:rPr>
              <w:t>终</w:t>
            </w:r>
            <w:r w:rsidRPr="000C156A">
              <w:rPr>
                <w:rFonts w:ascii="SimSun" w:hAnsi="SimSun" w:cs="SimSun" w:hint="eastAsia"/>
                <w:b/>
                <w:bCs/>
                <w:szCs w:val="22"/>
                <w:lang w:val="en-US"/>
              </w:rPr>
              <w:t>余额</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96275D" w14:textId="7A16C71D" w:rsidR="00845BB8" w:rsidRPr="000C156A" w:rsidRDefault="00845BB8" w:rsidP="00845BB8">
            <w:pPr>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34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71040F" w14:textId="5F635F44" w:rsidR="00845BB8" w:rsidRPr="000C156A" w:rsidRDefault="00845BB8" w:rsidP="00845BB8">
            <w:pPr>
              <w:overflowPunct/>
              <w:autoSpaceDE/>
              <w:autoSpaceDN/>
              <w:adjustRightInd/>
              <w:spacing w:before="0"/>
              <w:jc w:val="right"/>
              <w:textAlignment w:val="auto"/>
              <w:rPr>
                <w:rFonts w:cs="Arial"/>
                <w:b/>
                <w:bCs/>
                <w:color w:val="000000"/>
                <w:sz w:val="22"/>
                <w:szCs w:val="22"/>
                <w:lang w:val="en-US" w:eastAsia="zh-CN"/>
              </w:rPr>
            </w:pPr>
            <w:r w:rsidRPr="00212A2A">
              <w:rPr>
                <w:rFonts w:cs="Arial"/>
                <w:b/>
                <w:bCs/>
                <w:color w:val="000000"/>
                <w:sz w:val="22"/>
                <w:szCs w:val="22"/>
                <w:lang w:val="en-US" w:eastAsia="zh-CN"/>
              </w:rPr>
              <w:t>390</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14:paraId="3CB59528" w14:textId="03EC5F62" w:rsidR="00845BB8" w:rsidRPr="000C156A" w:rsidRDefault="00845BB8" w:rsidP="00845BB8">
            <w:pPr>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424</w:t>
            </w:r>
            <w:r w:rsidRPr="00754E3B">
              <w:rPr>
                <w:rFonts w:cs="Arial"/>
                <w:b/>
                <w:bCs/>
                <w:color w:val="000000"/>
                <w:sz w:val="22"/>
                <w:szCs w:val="22"/>
                <w:lang w:val="en-US" w:eastAsia="zh-CN"/>
              </w:rPr>
              <w:t xml:space="preserve"> </w:t>
            </w:r>
          </w:p>
        </w:tc>
      </w:tr>
    </w:tbl>
    <w:p w14:paraId="20C78C7F" w14:textId="77777777" w:rsidR="0085433F" w:rsidRPr="000C156A" w:rsidRDefault="0085433F" w:rsidP="0085433F">
      <w:pPr>
        <w:spacing w:before="240"/>
        <w:ind w:firstLineChars="200" w:firstLine="480"/>
        <w:rPr>
          <w:lang w:eastAsia="zh-CN"/>
        </w:rPr>
      </w:pPr>
      <w:r w:rsidRPr="000C156A">
        <w:rPr>
          <w:rFonts w:hint="eastAsia"/>
          <w:lang w:eastAsia="zh-CN"/>
        </w:rPr>
        <w:t>加班是按照《人事规则和人事细则》，以联合国共同制度内当地组织拥有的当地条件和做法为基础计算的。</w:t>
      </w:r>
    </w:p>
    <w:p w14:paraId="2265B357" w14:textId="77777777" w:rsidR="0085433F" w:rsidRPr="0076544D" w:rsidRDefault="0085433F" w:rsidP="00F66E52">
      <w:pPr>
        <w:pStyle w:val="Heading1"/>
        <w:spacing w:before="360"/>
        <w:rPr>
          <w:rFonts w:cs="Microsoft YaHei"/>
          <w:sz w:val="24"/>
          <w:szCs w:val="24"/>
          <w:lang w:eastAsia="zh-CN"/>
        </w:rPr>
      </w:pPr>
      <w:bookmarkStart w:id="839" w:name="_Toc329011643"/>
      <w:bookmarkStart w:id="840" w:name="_Toc305764092"/>
      <w:bookmarkStart w:id="841" w:name="_Toc482892577"/>
      <w:bookmarkStart w:id="842" w:name="_Toc482870842"/>
      <w:bookmarkStart w:id="843" w:name="_Toc511813761"/>
      <w:bookmarkStart w:id="844" w:name="_Toc511817844"/>
      <w:bookmarkStart w:id="845" w:name="_Toc520280744"/>
      <w:bookmarkStart w:id="846" w:name="_Toc10536839"/>
      <w:bookmarkStart w:id="847" w:name="_Toc41905882"/>
      <w:bookmarkStart w:id="848" w:name="_Toc41906909"/>
      <w:bookmarkStart w:id="849" w:name="_Toc41907990"/>
      <w:bookmarkStart w:id="850" w:name="_Toc41908058"/>
      <w:bookmarkStart w:id="851" w:name="_Toc73518697"/>
      <w:bookmarkStart w:id="852" w:name="_Toc73518844"/>
      <w:bookmarkStart w:id="853" w:name="_Toc73519244"/>
      <w:bookmarkStart w:id="854" w:name="_Toc73636283"/>
      <w:bookmarkStart w:id="855" w:name="_Toc110264006"/>
      <w:bookmarkStart w:id="856" w:name="_Toc110264085"/>
      <w:bookmarkStart w:id="857" w:name="_Toc110265724"/>
      <w:bookmarkStart w:id="858" w:name="_Toc110330094"/>
      <w:bookmarkStart w:id="859" w:name="_Toc110330259"/>
      <w:r w:rsidRPr="0076544D">
        <w:rPr>
          <w:rFonts w:cs="Microsoft YaHei"/>
          <w:sz w:val="24"/>
          <w:szCs w:val="24"/>
          <w:lang w:eastAsia="zh-CN"/>
        </w:rPr>
        <w:t>17.2</w:t>
      </w:r>
      <w:r w:rsidRPr="0076544D">
        <w:rPr>
          <w:rFonts w:cs="Microsoft YaHei"/>
          <w:sz w:val="24"/>
          <w:szCs w:val="24"/>
          <w:lang w:eastAsia="zh-CN"/>
        </w:rPr>
        <w:tab/>
      </w:r>
      <w:bookmarkEnd w:id="839"/>
      <w:bookmarkEnd w:id="840"/>
      <w:r w:rsidRPr="00F66E52">
        <w:rPr>
          <w:rFonts w:cs="Microsoft YaHei" w:hint="eastAsia"/>
          <w:sz w:val="24"/>
          <w:szCs w:val="24"/>
          <w:lang w:val="fr-FR" w:eastAsia="zh-CN"/>
        </w:rPr>
        <w:t>长期职员福利</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329DC3DC" w14:textId="7A177C26" w:rsidR="0085433F" w:rsidRPr="000C156A" w:rsidRDefault="0085433F" w:rsidP="0085433F">
      <w:pPr>
        <w:pStyle w:val="Headingb"/>
        <w:spacing w:before="120" w:after="240"/>
        <w:rPr>
          <w:lang w:val="en-US" w:eastAsia="zh-CN"/>
        </w:rPr>
      </w:pPr>
      <w:bookmarkStart w:id="860" w:name="_Toc41905883"/>
      <w:bookmarkStart w:id="861" w:name="_Toc41906910"/>
      <w:bookmarkStart w:id="862" w:name="_Toc41907991"/>
      <w:bookmarkStart w:id="863" w:name="_Toc41908059"/>
      <w:bookmarkStart w:id="864" w:name="_Toc73518698"/>
      <w:bookmarkStart w:id="865" w:name="_Toc73518845"/>
      <w:bookmarkStart w:id="866" w:name="_Toc73519245"/>
      <w:bookmarkStart w:id="867" w:name="_Toc73636284"/>
      <w:r w:rsidRPr="000C156A">
        <w:rPr>
          <w:lang w:val="en-US" w:eastAsia="zh-CN"/>
        </w:rPr>
        <w:t>202</w:t>
      </w:r>
      <w:r w:rsidR="00C35543">
        <w:rPr>
          <w:lang w:val="en-US" w:eastAsia="zh-CN"/>
        </w:rPr>
        <w:t>1</w:t>
      </w:r>
      <w:r w:rsidRPr="000C156A">
        <w:rPr>
          <w:rFonts w:cs="Microsoft YaHei" w:hint="eastAsia"/>
          <w:lang w:val="fr-FR" w:eastAsia="zh-CN"/>
        </w:rPr>
        <w:t>年</w:t>
      </w:r>
      <w:r w:rsidRPr="000C156A">
        <w:rPr>
          <w:lang w:val="en-US" w:eastAsia="zh-CN"/>
        </w:rPr>
        <w:t>12</w:t>
      </w:r>
      <w:r w:rsidRPr="000C156A">
        <w:rPr>
          <w:rFonts w:cs="Microsoft YaHei" w:hint="eastAsia"/>
          <w:lang w:val="fr-FR" w:eastAsia="zh-CN"/>
        </w:rPr>
        <w:t>月</w:t>
      </w:r>
      <w:r w:rsidRPr="000C156A">
        <w:rPr>
          <w:lang w:val="en-US" w:eastAsia="zh-CN"/>
        </w:rPr>
        <w:t>31</w:t>
      </w:r>
      <w:r w:rsidRPr="000C156A">
        <w:rPr>
          <w:rFonts w:cs="Microsoft YaHei" w:hint="eastAsia"/>
          <w:lang w:val="fr-FR" w:eastAsia="zh-CN"/>
        </w:rPr>
        <w:t>日的数字</w:t>
      </w:r>
      <w:bookmarkEnd w:id="860"/>
      <w:bookmarkEnd w:id="861"/>
      <w:bookmarkEnd w:id="862"/>
      <w:bookmarkEnd w:id="863"/>
      <w:bookmarkEnd w:id="864"/>
      <w:bookmarkEnd w:id="865"/>
      <w:bookmarkEnd w:id="866"/>
      <w:bookmarkEnd w:id="867"/>
    </w:p>
    <w:tbl>
      <w:tblPr>
        <w:tblW w:w="9517" w:type="dxa"/>
        <w:tblLook w:val="04A0" w:firstRow="1" w:lastRow="0" w:firstColumn="1" w:lastColumn="0" w:noHBand="0" w:noVBand="1"/>
      </w:tblPr>
      <w:tblGrid>
        <w:gridCol w:w="2503"/>
        <w:gridCol w:w="1126"/>
        <w:gridCol w:w="1186"/>
        <w:gridCol w:w="1328"/>
        <w:gridCol w:w="1600"/>
        <w:gridCol w:w="1774"/>
      </w:tblGrid>
      <w:tr w:rsidR="0085433F" w:rsidRPr="000C156A" w14:paraId="23DC8767" w14:textId="77777777" w:rsidTr="003A64C9">
        <w:trPr>
          <w:trHeight w:val="505"/>
        </w:trPr>
        <w:tc>
          <w:tcPr>
            <w:tcW w:w="2503" w:type="dxa"/>
            <w:noWrap/>
            <w:vAlign w:val="bottom"/>
            <w:hideMark/>
          </w:tcPr>
          <w:p w14:paraId="696F8BB0" w14:textId="77777777" w:rsidR="0085433F" w:rsidRPr="000C156A" w:rsidRDefault="0085433F" w:rsidP="003A64C9">
            <w:pPr>
              <w:rPr>
                <w:b/>
                <w:bCs/>
                <w:lang w:val="en-US" w:eastAsia="zh-CN"/>
              </w:rPr>
            </w:pPr>
          </w:p>
        </w:tc>
        <w:tc>
          <w:tcPr>
            <w:tcW w:w="7014" w:type="dxa"/>
            <w:gridSpan w:val="5"/>
            <w:tcBorders>
              <w:top w:val="single" w:sz="4" w:space="0" w:color="auto"/>
              <w:left w:val="single" w:sz="4" w:space="0" w:color="auto"/>
              <w:bottom w:val="single" w:sz="4" w:space="0" w:color="auto"/>
              <w:right w:val="single" w:sz="4" w:space="0" w:color="000000"/>
            </w:tcBorders>
            <w:vAlign w:val="center"/>
            <w:hideMark/>
          </w:tcPr>
          <w:p w14:paraId="774EC4B0" w14:textId="77777777" w:rsidR="0085433F" w:rsidRPr="000C156A" w:rsidRDefault="0085433F" w:rsidP="003A64C9">
            <w:pPr>
              <w:overflowPunct/>
              <w:adjustRightInd/>
              <w:spacing w:before="0"/>
              <w:jc w:val="center"/>
              <w:rPr>
                <w:rFonts w:ascii="Arial" w:hAnsi="Arial" w:cs="Arial"/>
                <w:b/>
                <w:bCs/>
                <w:color w:val="000000"/>
                <w:sz w:val="20"/>
                <w:lang w:val="en-US" w:eastAsia="zh-CN"/>
              </w:rPr>
            </w:pPr>
            <w:r w:rsidRPr="000C156A">
              <w:rPr>
                <w:rFonts w:hint="eastAsia"/>
                <w:b/>
                <w:bCs/>
                <w:lang w:eastAsia="zh-CN"/>
              </w:rPr>
              <w:t>职员福利</w:t>
            </w:r>
            <w:r w:rsidRPr="000C156A">
              <w:rPr>
                <w:rFonts w:hint="eastAsia"/>
                <w:b/>
                <w:bCs/>
                <w:lang w:val="en-US" w:eastAsia="zh-CN"/>
              </w:rPr>
              <w:t xml:space="preserve"> </w:t>
            </w:r>
            <w:r w:rsidRPr="000C156A">
              <w:rPr>
                <w:b/>
                <w:bCs/>
                <w:lang w:val="en-US" w:eastAsia="zh-CN"/>
              </w:rPr>
              <w:t xml:space="preserve">– </w:t>
            </w:r>
            <w:r w:rsidRPr="000C156A">
              <w:rPr>
                <w:rFonts w:hint="eastAsia"/>
                <w:b/>
                <w:bCs/>
                <w:lang w:eastAsia="zh-CN"/>
              </w:rPr>
              <w:t>长期</w:t>
            </w:r>
          </w:p>
        </w:tc>
      </w:tr>
      <w:tr w:rsidR="0085433F" w:rsidRPr="000C156A" w14:paraId="556B5B96" w14:textId="77777777" w:rsidTr="003A64C9">
        <w:trPr>
          <w:trHeight w:val="413"/>
        </w:trPr>
        <w:tc>
          <w:tcPr>
            <w:tcW w:w="2503" w:type="dxa"/>
            <w:tcBorders>
              <w:top w:val="single" w:sz="4" w:space="0" w:color="auto"/>
              <w:left w:val="single" w:sz="4" w:space="0" w:color="auto"/>
              <w:bottom w:val="single" w:sz="4" w:space="0" w:color="auto"/>
              <w:right w:val="nil"/>
            </w:tcBorders>
            <w:noWrap/>
            <w:vAlign w:val="center"/>
            <w:hideMark/>
          </w:tcPr>
          <w:p w14:paraId="5E4350CF" w14:textId="77777777" w:rsidR="0085433F" w:rsidRPr="000C156A" w:rsidRDefault="0085433F" w:rsidP="003A64C9">
            <w:pPr>
              <w:pStyle w:val="Tablehead"/>
              <w:jc w:val="left"/>
              <w:rPr>
                <w:lang w:val="en-US" w:eastAsia="zh-CN"/>
              </w:rPr>
            </w:pPr>
            <w:r w:rsidRPr="000C156A">
              <w:rPr>
                <w:rFonts w:hint="eastAsia"/>
                <w:lang w:val="en-US" w:eastAsia="zh-CN"/>
              </w:rPr>
              <w:t>单位：千瑞郎</w:t>
            </w:r>
          </w:p>
        </w:tc>
        <w:tc>
          <w:tcPr>
            <w:tcW w:w="1126" w:type="dxa"/>
            <w:tcBorders>
              <w:top w:val="nil"/>
              <w:left w:val="single" w:sz="4" w:space="0" w:color="auto"/>
              <w:bottom w:val="single" w:sz="4" w:space="0" w:color="auto"/>
              <w:right w:val="single" w:sz="4" w:space="0" w:color="auto"/>
            </w:tcBorders>
            <w:vAlign w:val="center"/>
            <w:hideMark/>
          </w:tcPr>
          <w:p w14:paraId="577FFF99" w14:textId="77777777" w:rsidR="0085433F" w:rsidRPr="000C156A" w:rsidRDefault="0085433F" w:rsidP="003A64C9">
            <w:pPr>
              <w:pStyle w:val="Tablehead"/>
              <w:snapToGrid w:val="0"/>
              <w:spacing w:before="0" w:after="0"/>
              <w:rPr>
                <w:lang w:val="en-US" w:eastAsia="zh-CN"/>
              </w:rPr>
            </w:pPr>
            <w:r w:rsidRPr="000C156A">
              <w:rPr>
                <w:rFonts w:hint="eastAsia"/>
                <w:lang w:val="en-US" w:eastAsia="zh-CN"/>
              </w:rPr>
              <w:t>离职后</w:t>
            </w:r>
            <w:r w:rsidRPr="000C156A">
              <w:rPr>
                <w:lang w:val="en-US" w:eastAsia="zh-CN"/>
              </w:rPr>
              <w:br/>
            </w:r>
            <w:r w:rsidRPr="000C156A">
              <w:rPr>
                <w:rFonts w:hint="eastAsia"/>
                <w:lang w:val="en-US" w:eastAsia="zh-CN"/>
              </w:rPr>
              <w:t>健康保险</w:t>
            </w:r>
          </w:p>
        </w:tc>
        <w:tc>
          <w:tcPr>
            <w:tcW w:w="1186" w:type="dxa"/>
            <w:tcBorders>
              <w:top w:val="nil"/>
              <w:left w:val="nil"/>
              <w:bottom w:val="single" w:sz="4" w:space="0" w:color="auto"/>
              <w:right w:val="single" w:sz="4" w:space="0" w:color="auto"/>
            </w:tcBorders>
            <w:vAlign w:val="center"/>
            <w:hideMark/>
          </w:tcPr>
          <w:p w14:paraId="647D67B9" w14:textId="77777777" w:rsidR="0085433F" w:rsidRPr="000C156A" w:rsidRDefault="0085433F" w:rsidP="003A64C9">
            <w:pPr>
              <w:pStyle w:val="Tablehead"/>
              <w:snapToGrid w:val="0"/>
              <w:spacing w:before="0" w:after="0"/>
              <w:rPr>
                <w:lang w:val="en-US" w:eastAsia="zh-CN"/>
              </w:rPr>
            </w:pPr>
            <w:r w:rsidRPr="000C156A">
              <w:rPr>
                <w:rFonts w:hint="eastAsia"/>
                <w:lang w:val="en-US" w:eastAsia="zh-CN"/>
              </w:rPr>
              <w:t>养恤金</w:t>
            </w:r>
          </w:p>
        </w:tc>
        <w:tc>
          <w:tcPr>
            <w:tcW w:w="1328" w:type="dxa"/>
            <w:tcBorders>
              <w:top w:val="nil"/>
              <w:left w:val="nil"/>
              <w:bottom w:val="single" w:sz="4" w:space="0" w:color="auto"/>
              <w:right w:val="single" w:sz="4" w:space="0" w:color="auto"/>
            </w:tcBorders>
            <w:vAlign w:val="center"/>
            <w:hideMark/>
          </w:tcPr>
          <w:p w14:paraId="3A010790" w14:textId="77777777" w:rsidR="0085433F" w:rsidRPr="000C156A" w:rsidRDefault="0085433F" w:rsidP="003A64C9">
            <w:pPr>
              <w:pStyle w:val="Tablehead"/>
              <w:snapToGrid w:val="0"/>
              <w:spacing w:before="0" w:after="0"/>
              <w:rPr>
                <w:lang w:val="en-US" w:eastAsia="zh-CN"/>
              </w:rPr>
            </w:pPr>
            <w:r w:rsidRPr="000C156A">
              <w:rPr>
                <w:rFonts w:hint="eastAsia"/>
                <w:lang w:val="en-US" w:eastAsia="zh-CN"/>
              </w:rPr>
              <w:t>安置</w:t>
            </w:r>
            <w:r w:rsidRPr="000C156A">
              <w:rPr>
                <w:lang w:val="en-US"/>
              </w:rPr>
              <w:t>/</w:t>
            </w:r>
            <w:r w:rsidRPr="000C156A">
              <w:rPr>
                <w:rFonts w:hint="eastAsia"/>
                <w:lang w:val="en-US"/>
              </w:rPr>
              <w:t>归国</w:t>
            </w:r>
          </w:p>
        </w:tc>
        <w:tc>
          <w:tcPr>
            <w:tcW w:w="1600" w:type="dxa"/>
            <w:tcBorders>
              <w:top w:val="nil"/>
              <w:left w:val="nil"/>
              <w:bottom w:val="single" w:sz="4" w:space="0" w:color="auto"/>
              <w:right w:val="single" w:sz="4" w:space="0" w:color="auto"/>
            </w:tcBorders>
            <w:vAlign w:val="center"/>
            <w:hideMark/>
          </w:tcPr>
          <w:p w14:paraId="548BF39B" w14:textId="77777777" w:rsidR="0085433F" w:rsidRPr="000C156A" w:rsidRDefault="0085433F" w:rsidP="003A64C9">
            <w:pPr>
              <w:pStyle w:val="Tablehead"/>
              <w:snapToGrid w:val="0"/>
              <w:spacing w:before="0" w:after="0"/>
              <w:rPr>
                <w:szCs w:val="24"/>
                <w:lang w:val="en-US" w:eastAsia="zh-CN"/>
              </w:rPr>
            </w:pPr>
            <w:r w:rsidRPr="000C156A">
              <w:rPr>
                <w:rFonts w:hint="eastAsia"/>
                <w:szCs w:val="24"/>
                <w:lang w:val="en-US" w:eastAsia="zh-CN"/>
              </w:rPr>
              <w:t>累积休假</w:t>
            </w:r>
          </w:p>
        </w:tc>
        <w:tc>
          <w:tcPr>
            <w:tcW w:w="1774" w:type="dxa"/>
            <w:tcBorders>
              <w:top w:val="nil"/>
              <w:left w:val="nil"/>
              <w:bottom w:val="single" w:sz="4" w:space="0" w:color="auto"/>
              <w:right w:val="single" w:sz="4" w:space="0" w:color="auto"/>
            </w:tcBorders>
            <w:vAlign w:val="center"/>
            <w:hideMark/>
          </w:tcPr>
          <w:p w14:paraId="180D686A" w14:textId="77777777" w:rsidR="0085433F" w:rsidRPr="000C156A" w:rsidRDefault="0085433F" w:rsidP="003A64C9">
            <w:pPr>
              <w:pStyle w:val="Tablehead"/>
              <w:snapToGrid w:val="0"/>
              <w:spacing w:before="40"/>
              <w:rPr>
                <w:lang w:val="en-US" w:eastAsia="zh-CN"/>
              </w:rPr>
            </w:pPr>
            <w:r w:rsidRPr="000C156A">
              <w:rPr>
                <w:rFonts w:hint="eastAsia"/>
                <w:szCs w:val="24"/>
                <w:lang w:val="en-US" w:eastAsia="zh-CN"/>
              </w:rPr>
              <w:t>职员福利</w:t>
            </w:r>
            <w:r w:rsidRPr="000C156A">
              <w:rPr>
                <w:rFonts w:hint="eastAsia"/>
                <w:szCs w:val="24"/>
                <w:lang w:val="en-US" w:eastAsia="zh-CN"/>
              </w:rPr>
              <w:t xml:space="preserve"> </w:t>
            </w:r>
            <w:r w:rsidRPr="000C156A">
              <w:rPr>
                <w:szCs w:val="24"/>
                <w:lang w:val="en-US" w:eastAsia="zh-CN"/>
              </w:rPr>
              <w:t xml:space="preserve">– </w:t>
            </w:r>
            <w:r w:rsidRPr="000C156A">
              <w:rPr>
                <w:szCs w:val="24"/>
                <w:lang w:val="en-US" w:eastAsia="zh-CN"/>
              </w:rPr>
              <w:br/>
            </w:r>
            <w:r w:rsidRPr="000C156A">
              <w:rPr>
                <w:rFonts w:hint="eastAsia"/>
                <w:szCs w:val="24"/>
                <w:lang w:val="en-US" w:eastAsia="zh-CN"/>
              </w:rPr>
              <w:t>长期合计</w:t>
            </w:r>
          </w:p>
        </w:tc>
      </w:tr>
      <w:tr w:rsidR="00C35543" w:rsidRPr="000C156A" w14:paraId="75CA0989" w14:textId="77777777" w:rsidTr="003A64C9">
        <w:trPr>
          <w:trHeight w:val="361"/>
        </w:trPr>
        <w:tc>
          <w:tcPr>
            <w:tcW w:w="2503" w:type="dxa"/>
            <w:tcBorders>
              <w:top w:val="nil"/>
              <w:left w:val="single" w:sz="4" w:space="0" w:color="auto"/>
              <w:bottom w:val="single" w:sz="4" w:space="0" w:color="auto"/>
              <w:right w:val="nil"/>
            </w:tcBorders>
            <w:noWrap/>
            <w:hideMark/>
          </w:tcPr>
          <w:p w14:paraId="12A5625C" w14:textId="77777777" w:rsidR="00C35543" w:rsidRPr="000C156A" w:rsidRDefault="00C35543" w:rsidP="00C35543">
            <w:pPr>
              <w:pStyle w:val="Tabletext"/>
              <w:ind w:right="208"/>
              <w:rPr>
                <w:lang w:val="en-US" w:eastAsia="zh-CN"/>
              </w:rPr>
            </w:pPr>
            <w:r w:rsidRPr="000C156A">
              <w:rPr>
                <w:rFonts w:hint="eastAsia"/>
                <w:b/>
                <w:bCs/>
                <w:szCs w:val="18"/>
                <w:lang w:val="en-US" w:eastAsia="zh-CN"/>
              </w:rPr>
              <w:t>期初余额</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6DBB273B" w14:textId="70913776" w:rsidR="00C35543" w:rsidRPr="000C156A" w:rsidRDefault="00C35543" w:rsidP="00C35543">
            <w:pPr>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 xml:space="preserve">631 870 </w:t>
            </w:r>
          </w:p>
        </w:tc>
        <w:tc>
          <w:tcPr>
            <w:tcW w:w="1186" w:type="dxa"/>
            <w:tcBorders>
              <w:top w:val="nil"/>
              <w:left w:val="nil"/>
              <w:bottom w:val="single" w:sz="4" w:space="0" w:color="auto"/>
              <w:right w:val="single" w:sz="4" w:space="0" w:color="auto"/>
            </w:tcBorders>
            <w:shd w:val="clear" w:color="auto" w:fill="auto"/>
            <w:noWrap/>
            <w:vAlign w:val="center"/>
            <w:hideMark/>
          </w:tcPr>
          <w:p w14:paraId="3FDCEB09" w14:textId="1845420B" w:rsidR="00C35543" w:rsidRPr="000C156A" w:rsidRDefault="00C35543" w:rsidP="00C35543">
            <w:pPr>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 xml:space="preserve">54 </w:t>
            </w:r>
          </w:p>
        </w:tc>
        <w:tc>
          <w:tcPr>
            <w:tcW w:w="1328" w:type="dxa"/>
            <w:tcBorders>
              <w:top w:val="nil"/>
              <w:left w:val="nil"/>
              <w:bottom w:val="single" w:sz="4" w:space="0" w:color="auto"/>
              <w:right w:val="single" w:sz="4" w:space="0" w:color="auto"/>
            </w:tcBorders>
            <w:shd w:val="clear" w:color="auto" w:fill="auto"/>
            <w:noWrap/>
            <w:vAlign w:val="center"/>
            <w:hideMark/>
          </w:tcPr>
          <w:p w14:paraId="193181A1" w14:textId="22BA52B4" w:rsidR="00C35543" w:rsidRPr="000C156A" w:rsidRDefault="00C35543" w:rsidP="00C35543">
            <w:pPr>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 xml:space="preserve">12 717 </w:t>
            </w:r>
          </w:p>
        </w:tc>
        <w:tc>
          <w:tcPr>
            <w:tcW w:w="1600" w:type="dxa"/>
            <w:tcBorders>
              <w:top w:val="nil"/>
              <w:left w:val="nil"/>
              <w:bottom w:val="single" w:sz="4" w:space="0" w:color="auto"/>
              <w:right w:val="single" w:sz="4" w:space="0" w:color="auto"/>
            </w:tcBorders>
            <w:shd w:val="clear" w:color="auto" w:fill="auto"/>
            <w:noWrap/>
            <w:vAlign w:val="center"/>
            <w:hideMark/>
          </w:tcPr>
          <w:p w14:paraId="1B46AA4C" w14:textId="5FB9F460" w:rsidR="00C35543" w:rsidRPr="000C156A" w:rsidRDefault="00C35543" w:rsidP="00C35543">
            <w:pPr>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 xml:space="preserve">11 380 </w:t>
            </w:r>
          </w:p>
        </w:tc>
        <w:tc>
          <w:tcPr>
            <w:tcW w:w="1774" w:type="dxa"/>
            <w:tcBorders>
              <w:top w:val="nil"/>
              <w:left w:val="nil"/>
              <w:bottom w:val="single" w:sz="4" w:space="0" w:color="auto"/>
              <w:right w:val="single" w:sz="4" w:space="0" w:color="auto"/>
            </w:tcBorders>
            <w:shd w:val="clear" w:color="auto" w:fill="auto"/>
            <w:noWrap/>
            <w:vAlign w:val="center"/>
            <w:hideMark/>
          </w:tcPr>
          <w:p w14:paraId="00FFF0EB" w14:textId="7FB76004" w:rsidR="00C35543" w:rsidRPr="000C156A" w:rsidRDefault="00C35543" w:rsidP="00C35543">
            <w:pPr>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 xml:space="preserve">656 021 </w:t>
            </w:r>
          </w:p>
        </w:tc>
      </w:tr>
      <w:tr w:rsidR="00C35543" w:rsidRPr="000C156A" w14:paraId="2A12D178" w14:textId="77777777" w:rsidTr="003A64C9">
        <w:trPr>
          <w:trHeight w:val="361"/>
        </w:trPr>
        <w:tc>
          <w:tcPr>
            <w:tcW w:w="2503" w:type="dxa"/>
            <w:tcBorders>
              <w:top w:val="nil"/>
              <w:left w:val="single" w:sz="4" w:space="0" w:color="auto"/>
              <w:bottom w:val="nil"/>
              <w:right w:val="single" w:sz="4" w:space="0" w:color="auto"/>
            </w:tcBorders>
            <w:noWrap/>
            <w:hideMark/>
          </w:tcPr>
          <w:p w14:paraId="62DCC661" w14:textId="77777777" w:rsidR="00C35543" w:rsidRPr="000C156A" w:rsidRDefault="00C35543" w:rsidP="00C35543">
            <w:pPr>
              <w:tabs>
                <w:tab w:val="left" w:pos="720"/>
              </w:tabs>
              <w:overflowPunct/>
              <w:adjustRightInd/>
              <w:spacing w:before="0"/>
              <w:rPr>
                <w:sz w:val="22"/>
                <w:szCs w:val="22"/>
                <w:lang w:val="en-US"/>
              </w:rPr>
            </w:pPr>
            <w:r w:rsidRPr="000C156A">
              <w:rPr>
                <w:rFonts w:hint="eastAsia"/>
                <w:sz w:val="22"/>
                <w:szCs w:val="22"/>
                <w:lang w:val="en-US"/>
              </w:rPr>
              <w:t>增长</w:t>
            </w:r>
          </w:p>
        </w:tc>
        <w:tc>
          <w:tcPr>
            <w:tcW w:w="1126" w:type="dxa"/>
            <w:tcBorders>
              <w:top w:val="nil"/>
              <w:left w:val="nil"/>
              <w:bottom w:val="nil"/>
              <w:right w:val="single" w:sz="4" w:space="0" w:color="auto"/>
            </w:tcBorders>
            <w:shd w:val="clear" w:color="auto" w:fill="auto"/>
            <w:noWrap/>
            <w:vAlign w:val="bottom"/>
            <w:hideMark/>
          </w:tcPr>
          <w:p w14:paraId="4AB35520" w14:textId="2E36DE4A"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p>
        </w:tc>
        <w:tc>
          <w:tcPr>
            <w:tcW w:w="1186" w:type="dxa"/>
            <w:tcBorders>
              <w:top w:val="nil"/>
              <w:left w:val="nil"/>
              <w:bottom w:val="nil"/>
              <w:right w:val="single" w:sz="4" w:space="0" w:color="auto"/>
            </w:tcBorders>
            <w:shd w:val="clear" w:color="auto" w:fill="auto"/>
            <w:noWrap/>
            <w:vAlign w:val="bottom"/>
            <w:hideMark/>
          </w:tcPr>
          <w:p w14:paraId="5CD576F4" w14:textId="68D1DE4A"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672A3E">
              <w:rPr>
                <w:rFonts w:cs="Arial"/>
                <w:color w:val="000000"/>
                <w:sz w:val="22"/>
                <w:szCs w:val="22"/>
                <w:lang w:val="en-US" w:eastAsia="zh-CN"/>
              </w:rPr>
              <w:t> </w:t>
            </w:r>
          </w:p>
        </w:tc>
        <w:tc>
          <w:tcPr>
            <w:tcW w:w="1328" w:type="dxa"/>
            <w:tcBorders>
              <w:top w:val="nil"/>
              <w:left w:val="nil"/>
              <w:bottom w:val="nil"/>
              <w:right w:val="single" w:sz="4" w:space="0" w:color="auto"/>
            </w:tcBorders>
            <w:shd w:val="clear" w:color="auto" w:fill="auto"/>
            <w:noWrap/>
            <w:vAlign w:val="bottom"/>
            <w:hideMark/>
          </w:tcPr>
          <w:p w14:paraId="04414FAD" w14:textId="3C6D765D"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1 017 </w:t>
            </w:r>
          </w:p>
        </w:tc>
        <w:tc>
          <w:tcPr>
            <w:tcW w:w="1600" w:type="dxa"/>
            <w:tcBorders>
              <w:top w:val="nil"/>
              <w:left w:val="nil"/>
              <w:bottom w:val="nil"/>
              <w:right w:val="single" w:sz="4" w:space="0" w:color="auto"/>
            </w:tcBorders>
            <w:shd w:val="clear" w:color="auto" w:fill="auto"/>
            <w:noWrap/>
            <w:vAlign w:val="bottom"/>
            <w:hideMark/>
          </w:tcPr>
          <w:p w14:paraId="589A5BF0" w14:textId="6060658E"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637</w:t>
            </w:r>
            <w:r w:rsidRPr="00672A3E">
              <w:rPr>
                <w:rFonts w:cs="Arial"/>
                <w:color w:val="000000"/>
                <w:sz w:val="22"/>
                <w:szCs w:val="22"/>
                <w:lang w:val="en-US" w:eastAsia="zh-CN"/>
              </w:rPr>
              <w:t xml:space="preserve"> </w:t>
            </w:r>
          </w:p>
        </w:tc>
        <w:tc>
          <w:tcPr>
            <w:tcW w:w="1774" w:type="dxa"/>
            <w:tcBorders>
              <w:top w:val="nil"/>
              <w:left w:val="nil"/>
              <w:bottom w:val="nil"/>
              <w:right w:val="single" w:sz="4" w:space="0" w:color="auto"/>
            </w:tcBorders>
            <w:shd w:val="clear" w:color="auto" w:fill="auto"/>
            <w:noWrap/>
            <w:vAlign w:val="bottom"/>
            <w:hideMark/>
          </w:tcPr>
          <w:p w14:paraId="34C5F9F4" w14:textId="3B9A01B8"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1 653</w:t>
            </w:r>
            <w:r w:rsidRPr="00672A3E">
              <w:rPr>
                <w:rFonts w:cs="Arial"/>
                <w:color w:val="000000"/>
                <w:sz w:val="22"/>
                <w:szCs w:val="22"/>
                <w:lang w:val="en-US" w:eastAsia="zh-CN"/>
              </w:rPr>
              <w:t> </w:t>
            </w:r>
          </w:p>
        </w:tc>
      </w:tr>
      <w:tr w:rsidR="00C35543" w:rsidRPr="000C156A" w14:paraId="3C8306D2" w14:textId="77777777" w:rsidTr="003A64C9">
        <w:trPr>
          <w:trHeight w:val="361"/>
        </w:trPr>
        <w:tc>
          <w:tcPr>
            <w:tcW w:w="2503" w:type="dxa"/>
            <w:tcBorders>
              <w:top w:val="nil"/>
              <w:left w:val="single" w:sz="4" w:space="0" w:color="auto"/>
              <w:bottom w:val="nil"/>
              <w:right w:val="single" w:sz="4" w:space="0" w:color="auto"/>
            </w:tcBorders>
            <w:noWrap/>
            <w:hideMark/>
          </w:tcPr>
          <w:p w14:paraId="2EFABB8A" w14:textId="77777777" w:rsidR="00C35543" w:rsidRPr="000C156A" w:rsidRDefault="00C35543" w:rsidP="00C35543">
            <w:pPr>
              <w:tabs>
                <w:tab w:val="left" w:pos="720"/>
              </w:tabs>
              <w:overflowPunct/>
              <w:adjustRightInd/>
              <w:spacing w:before="0"/>
              <w:rPr>
                <w:sz w:val="22"/>
                <w:szCs w:val="22"/>
                <w:lang w:val="en-US"/>
              </w:rPr>
            </w:pPr>
            <w:r w:rsidRPr="000C156A">
              <w:rPr>
                <w:rFonts w:hint="eastAsia"/>
                <w:sz w:val="22"/>
                <w:szCs w:val="22"/>
                <w:lang w:val="en-US"/>
              </w:rPr>
              <w:t>年内使用</w:t>
            </w:r>
          </w:p>
        </w:tc>
        <w:tc>
          <w:tcPr>
            <w:tcW w:w="1126" w:type="dxa"/>
            <w:tcBorders>
              <w:top w:val="nil"/>
              <w:left w:val="nil"/>
              <w:bottom w:val="nil"/>
              <w:right w:val="single" w:sz="4" w:space="0" w:color="auto"/>
            </w:tcBorders>
            <w:shd w:val="clear" w:color="auto" w:fill="auto"/>
            <w:noWrap/>
            <w:vAlign w:val="bottom"/>
            <w:hideMark/>
          </w:tcPr>
          <w:p w14:paraId="63F979E4" w14:textId="365E34DE"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672A3E">
              <w:rPr>
                <w:rFonts w:cs="Arial"/>
                <w:color w:val="000000"/>
                <w:sz w:val="22"/>
                <w:szCs w:val="22"/>
                <w:lang w:val="en-US" w:eastAsia="zh-CN"/>
              </w:rPr>
              <w:t xml:space="preserve"> </w:t>
            </w:r>
          </w:p>
        </w:tc>
        <w:tc>
          <w:tcPr>
            <w:tcW w:w="1186" w:type="dxa"/>
            <w:tcBorders>
              <w:top w:val="nil"/>
              <w:left w:val="nil"/>
              <w:bottom w:val="nil"/>
              <w:right w:val="single" w:sz="4" w:space="0" w:color="auto"/>
            </w:tcBorders>
            <w:shd w:val="clear" w:color="auto" w:fill="auto"/>
            <w:noWrap/>
            <w:vAlign w:val="bottom"/>
            <w:hideMark/>
          </w:tcPr>
          <w:p w14:paraId="74C61B15" w14:textId="5A0B99F6"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672A3E">
              <w:rPr>
                <w:rFonts w:cs="Arial"/>
                <w:color w:val="000000"/>
                <w:sz w:val="22"/>
                <w:szCs w:val="22"/>
                <w:lang w:val="en-US" w:eastAsia="zh-CN"/>
              </w:rPr>
              <w:t> </w:t>
            </w:r>
          </w:p>
        </w:tc>
        <w:tc>
          <w:tcPr>
            <w:tcW w:w="1328" w:type="dxa"/>
            <w:tcBorders>
              <w:top w:val="nil"/>
              <w:left w:val="nil"/>
              <w:bottom w:val="nil"/>
              <w:right w:val="single" w:sz="4" w:space="0" w:color="auto"/>
            </w:tcBorders>
            <w:shd w:val="clear" w:color="auto" w:fill="auto"/>
            <w:noWrap/>
            <w:vAlign w:val="bottom"/>
            <w:hideMark/>
          </w:tcPr>
          <w:p w14:paraId="6F09ED1C" w14:textId="14A05FE5"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 xml:space="preserve">-404 </w:t>
            </w:r>
          </w:p>
        </w:tc>
        <w:tc>
          <w:tcPr>
            <w:tcW w:w="1600" w:type="dxa"/>
            <w:tcBorders>
              <w:top w:val="nil"/>
              <w:left w:val="nil"/>
              <w:bottom w:val="nil"/>
              <w:right w:val="single" w:sz="4" w:space="0" w:color="auto"/>
            </w:tcBorders>
            <w:shd w:val="clear" w:color="auto" w:fill="auto"/>
            <w:noWrap/>
            <w:vAlign w:val="bottom"/>
            <w:hideMark/>
          </w:tcPr>
          <w:p w14:paraId="6ADA4E5E" w14:textId="3F12DC55"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w:t>
            </w:r>
            <w:r>
              <w:rPr>
                <w:rFonts w:cs="Arial"/>
                <w:color w:val="000000"/>
                <w:sz w:val="22"/>
                <w:szCs w:val="22"/>
                <w:lang w:val="en-US" w:eastAsia="zh-CN"/>
              </w:rPr>
              <w:t>536</w:t>
            </w:r>
            <w:r w:rsidRPr="00672A3E">
              <w:rPr>
                <w:rFonts w:cs="Arial"/>
                <w:color w:val="000000"/>
                <w:sz w:val="22"/>
                <w:szCs w:val="22"/>
                <w:lang w:val="en-US" w:eastAsia="zh-CN"/>
              </w:rPr>
              <w:t xml:space="preserve"> </w:t>
            </w:r>
          </w:p>
        </w:tc>
        <w:tc>
          <w:tcPr>
            <w:tcW w:w="1774" w:type="dxa"/>
            <w:tcBorders>
              <w:top w:val="nil"/>
              <w:left w:val="nil"/>
              <w:bottom w:val="nil"/>
              <w:right w:val="single" w:sz="4" w:space="0" w:color="auto"/>
            </w:tcBorders>
            <w:shd w:val="clear" w:color="auto" w:fill="auto"/>
            <w:noWrap/>
            <w:vAlign w:val="bottom"/>
            <w:hideMark/>
          </w:tcPr>
          <w:p w14:paraId="53FD6E73" w14:textId="05CF55F7"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-940</w:t>
            </w:r>
            <w:r w:rsidRPr="00672A3E">
              <w:rPr>
                <w:rFonts w:cs="Arial"/>
                <w:color w:val="000000"/>
                <w:sz w:val="22"/>
                <w:szCs w:val="22"/>
                <w:lang w:val="en-US" w:eastAsia="zh-CN"/>
              </w:rPr>
              <w:t> </w:t>
            </w:r>
          </w:p>
        </w:tc>
      </w:tr>
      <w:tr w:rsidR="00C35543" w:rsidRPr="000C156A" w14:paraId="1A5AA84A" w14:textId="77777777" w:rsidTr="003A64C9">
        <w:trPr>
          <w:trHeight w:val="361"/>
        </w:trPr>
        <w:tc>
          <w:tcPr>
            <w:tcW w:w="2503" w:type="dxa"/>
            <w:tcBorders>
              <w:top w:val="nil"/>
              <w:left w:val="single" w:sz="4" w:space="0" w:color="auto"/>
              <w:bottom w:val="nil"/>
              <w:right w:val="single" w:sz="4" w:space="0" w:color="auto"/>
            </w:tcBorders>
            <w:noWrap/>
            <w:hideMark/>
          </w:tcPr>
          <w:p w14:paraId="09A9865A" w14:textId="77777777" w:rsidR="00C35543" w:rsidRPr="000C156A" w:rsidRDefault="00C35543" w:rsidP="00C35543">
            <w:pPr>
              <w:tabs>
                <w:tab w:val="left" w:pos="720"/>
              </w:tabs>
              <w:overflowPunct/>
              <w:adjustRightInd/>
              <w:spacing w:before="0"/>
              <w:rPr>
                <w:sz w:val="22"/>
                <w:szCs w:val="22"/>
                <w:lang w:val="en-US"/>
              </w:rPr>
            </w:pPr>
            <w:r w:rsidRPr="000C156A">
              <w:rPr>
                <w:rFonts w:hint="eastAsia"/>
                <w:sz w:val="22"/>
                <w:szCs w:val="22"/>
                <w:lang w:val="en-US"/>
              </w:rPr>
              <w:t>免除</w:t>
            </w:r>
          </w:p>
        </w:tc>
        <w:tc>
          <w:tcPr>
            <w:tcW w:w="1126" w:type="dxa"/>
            <w:tcBorders>
              <w:top w:val="nil"/>
              <w:left w:val="nil"/>
              <w:bottom w:val="nil"/>
              <w:right w:val="single" w:sz="4" w:space="0" w:color="auto"/>
            </w:tcBorders>
            <w:shd w:val="clear" w:color="auto" w:fill="auto"/>
            <w:noWrap/>
            <w:vAlign w:val="bottom"/>
            <w:hideMark/>
          </w:tcPr>
          <w:p w14:paraId="4793D8ED" w14:textId="1AFB182D"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-8</w:t>
            </w:r>
            <w:r w:rsidR="00006ED7">
              <w:rPr>
                <w:rFonts w:cs="Arial"/>
                <w:color w:val="000000"/>
                <w:sz w:val="22"/>
                <w:szCs w:val="22"/>
                <w:lang w:val="en-US" w:eastAsia="zh-CN"/>
              </w:rPr>
              <w:t>6</w:t>
            </w:r>
            <w:r>
              <w:rPr>
                <w:rFonts w:cs="Arial"/>
                <w:color w:val="000000"/>
                <w:sz w:val="22"/>
                <w:szCs w:val="22"/>
                <w:lang w:val="en-US" w:eastAsia="zh-CN"/>
              </w:rPr>
              <w:t> 234</w:t>
            </w:r>
            <w:r w:rsidRPr="00672A3E">
              <w:rPr>
                <w:rFonts w:cs="Arial"/>
                <w:color w:val="000000"/>
                <w:sz w:val="22"/>
                <w:szCs w:val="22"/>
                <w:lang w:val="en-US" w:eastAsia="zh-CN"/>
              </w:rPr>
              <w:t> </w:t>
            </w:r>
          </w:p>
        </w:tc>
        <w:tc>
          <w:tcPr>
            <w:tcW w:w="1186" w:type="dxa"/>
            <w:tcBorders>
              <w:top w:val="nil"/>
              <w:left w:val="nil"/>
              <w:bottom w:val="nil"/>
              <w:right w:val="single" w:sz="4" w:space="0" w:color="auto"/>
            </w:tcBorders>
            <w:shd w:val="clear" w:color="auto" w:fill="auto"/>
            <w:noWrap/>
            <w:vAlign w:val="bottom"/>
            <w:hideMark/>
          </w:tcPr>
          <w:p w14:paraId="0DF5D8B6" w14:textId="0D2E7D6A"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672A3E">
              <w:rPr>
                <w:rFonts w:cs="Arial"/>
                <w:color w:val="000000"/>
                <w:sz w:val="22"/>
                <w:szCs w:val="22"/>
                <w:lang w:val="en-US" w:eastAsia="zh-CN"/>
              </w:rPr>
              <w:t> </w:t>
            </w:r>
          </w:p>
        </w:tc>
        <w:tc>
          <w:tcPr>
            <w:tcW w:w="1328" w:type="dxa"/>
            <w:tcBorders>
              <w:top w:val="nil"/>
              <w:left w:val="nil"/>
              <w:bottom w:val="nil"/>
              <w:right w:val="single" w:sz="4" w:space="0" w:color="auto"/>
            </w:tcBorders>
            <w:shd w:val="clear" w:color="auto" w:fill="auto"/>
            <w:noWrap/>
            <w:vAlign w:val="bottom"/>
            <w:hideMark/>
          </w:tcPr>
          <w:p w14:paraId="2B878513" w14:textId="2C65A778"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p>
        </w:tc>
        <w:tc>
          <w:tcPr>
            <w:tcW w:w="1600" w:type="dxa"/>
            <w:tcBorders>
              <w:top w:val="nil"/>
              <w:left w:val="nil"/>
              <w:bottom w:val="nil"/>
              <w:right w:val="single" w:sz="4" w:space="0" w:color="auto"/>
            </w:tcBorders>
            <w:shd w:val="clear" w:color="auto" w:fill="auto"/>
            <w:noWrap/>
            <w:vAlign w:val="bottom"/>
            <w:hideMark/>
          </w:tcPr>
          <w:p w14:paraId="09090445" w14:textId="5C40D053"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sidRPr="00672A3E">
              <w:rPr>
                <w:rFonts w:cs="Arial"/>
                <w:color w:val="000000"/>
                <w:sz w:val="22"/>
                <w:szCs w:val="22"/>
                <w:lang w:val="en-US" w:eastAsia="zh-CN"/>
              </w:rPr>
              <w:t>-</w:t>
            </w:r>
            <w:r>
              <w:rPr>
                <w:rFonts w:cs="Arial"/>
                <w:color w:val="000000"/>
                <w:sz w:val="22"/>
                <w:szCs w:val="22"/>
                <w:lang w:val="en-US" w:eastAsia="zh-CN"/>
              </w:rPr>
              <w:t>28</w:t>
            </w:r>
            <w:r w:rsidRPr="00672A3E">
              <w:rPr>
                <w:rFonts w:cs="Arial"/>
                <w:color w:val="000000"/>
                <w:sz w:val="22"/>
                <w:szCs w:val="22"/>
                <w:lang w:val="en-US" w:eastAsia="zh-CN"/>
              </w:rPr>
              <w:t xml:space="preserve"> </w:t>
            </w:r>
          </w:p>
        </w:tc>
        <w:tc>
          <w:tcPr>
            <w:tcW w:w="1774" w:type="dxa"/>
            <w:tcBorders>
              <w:top w:val="nil"/>
              <w:left w:val="nil"/>
              <w:bottom w:val="nil"/>
              <w:right w:val="single" w:sz="4" w:space="0" w:color="auto"/>
            </w:tcBorders>
            <w:shd w:val="clear" w:color="auto" w:fill="auto"/>
            <w:noWrap/>
            <w:vAlign w:val="bottom"/>
            <w:hideMark/>
          </w:tcPr>
          <w:p w14:paraId="39F580CA" w14:textId="2DDB32D1"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-86 262</w:t>
            </w:r>
          </w:p>
        </w:tc>
      </w:tr>
      <w:tr w:rsidR="00C35543" w:rsidRPr="000C156A" w14:paraId="35B6DFFB" w14:textId="77777777" w:rsidTr="003A64C9">
        <w:trPr>
          <w:trHeight w:val="298"/>
        </w:trPr>
        <w:tc>
          <w:tcPr>
            <w:tcW w:w="2503" w:type="dxa"/>
            <w:tcBorders>
              <w:top w:val="nil"/>
              <w:left w:val="single" w:sz="4" w:space="0" w:color="auto"/>
              <w:bottom w:val="nil"/>
              <w:right w:val="nil"/>
            </w:tcBorders>
            <w:noWrap/>
            <w:hideMark/>
          </w:tcPr>
          <w:p w14:paraId="22F6EFBC" w14:textId="77777777" w:rsidR="00C35543" w:rsidRPr="000C156A" w:rsidRDefault="00C35543" w:rsidP="00C35543">
            <w:pPr>
              <w:tabs>
                <w:tab w:val="left" w:pos="720"/>
              </w:tabs>
              <w:overflowPunct/>
              <w:adjustRightInd/>
              <w:spacing w:before="0"/>
              <w:rPr>
                <w:sz w:val="22"/>
                <w:szCs w:val="22"/>
                <w:lang w:val="en-US" w:eastAsia="zh-CN"/>
              </w:rPr>
            </w:pPr>
            <w:r w:rsidRPr="000C156A">
              <w:rPr>
                <w:rFonts w:hint="eastAsia"/>
                <w:sz w:val="22"/>
                <w:szCs w:val="22"/>
                <w:lang w:val="en-US"/>
              </w:rPr>
              <w:t>转入短期</w:t>
            </w:r>
            <w:r w:rsidRPr="000C156A">
              <w:rPr>
                <w:rFonts w:hint="eastAsia"/>
                <w:sz w:val="22"/>
                <w:szCs w:val="22"/>
                <w:lang w:val="en-US" w:eastAsia="zh-CN"/>
              </w:rPr>
              <w:t>/</w:t>
            </w:r>
            <w:r w:rsidRPr="000C156A">
              <w:rPr>
                <w:rFonts w:hint="eastAsia"/>
                <w:sz w:val="22"/>
                <w:szCs w:val="22"/>
                <w:lang w:val="en-US" w:eastAsia="zh-CN"/>
              </w:rPr>
              <w:t>由短期转出</w:t>
            </w:r>
          </w:p>
        </w:tc>
        <w:tc>
          <w:tcPr>
            <w:tcW w:w="1126" w:type="dxa"/>
            <w:tcBorders>
              <w:top w:val="nil"/>
              <w:left w:val="single" w:sz="4" w:space="0" w:color="auto"/>
              <w:bottom w:val="nil"/>
              <w:right w:val="single" w:sz="4" w:space="0" w:color="auto"/>
            </w:tcBorders>
            <w:shd w:val="clear" w:color="auto" w:fill="auto"/>
            <w:noWrap/>
            <w:hideMark/>
          </w:tcPr>
          <w:p w14:paraId="7657B265" w14:textId="6A07419D"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672A3E">
              <w:rPr>
                <w:rFonts w:cs="Arial"/>
                <w:color w:val="000000"/>
                <w:sz w:val="22"/>
                <w:szCs w:val="22"/>
                <w:lang w:val="en-US" w:eastAsia="zh-CN"/>
              </w:rPr>
              <w:t> </w:t>
            </w:r>
          </w:p>
        </w:tc>
        <w:tc>
          <w:tcPr>
            <w:tcW w:w="1186" w:type="dxa"/>
            <w:tcBorders>
              <w:top w:val="nil"/>
              <w:left w:val="nil"/>
              <w:bottom w:val="nil"/>
              <w:right w:val="single" w:sz="4" w:space="0" w:color="auto"/>
            </w:tcBorders>
            <w:shd w:val="clear" w:color="auto" w:fill="auto"/>
            <w:noWrap/>
            <w:hideMark/>
          </w:tcPr>
          <w:p w14:paraId="1D63C840" w14:textId="7D50671D"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672A3E">
              <w:rPr>
                <w:rFonts w:cs="Arial"/>
                <w:color w:val="000000"/>
                <w:sz w:val="22"/>
                <w:szCs w:val="22"/>
                <w:lang w:val="en-US" w:eastAsia="zh-CN"/>
              </w:rPr>
              <w:t> </w:t>
            </w:r>
          </w:p>
        </w:tc>
        <w:tc>
          <w:tcPr>
            <w:tcW w:w="1328" w:type="dxa"/>
            <w:tcBorders>
              <w:top w:val="nil"/>
              <w:left w:val="nil"/>
              <w:bottom w:val="nil"/>
              <w:right w:val="single" w:sz="4" w:space="0" w:color="auto"/>
            </w:tcBorders>
            <w:shd w:val="clear" w:color="auto" w:fill="auto"/>
            <w:noWrap/>
            <w:hideMark/>
          </w:tcPr>
          <w:p w14:paraId="180606F6" w14:textId="52D67B43"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w:t>
            </w:r>
            <w:r w:rsidRPr="00672A3E">
              <w:rPr>
                <w:rFonts w:cs="Arial"/>
                <w:color w:val="000000"/>
                <w:sz w:val="22"/>
                <w:szCs w:val="22"/>
                <w:lang w:val="en-US" w:eastAsia="zh-CN"/>
              </w:rPr>
              <w:t> </w:t>
            </w:r>
          </w:p>
        </w:tc>
        <w:tc>
          <w:tcPr>
            <w:tcW w:w="1600" w:type="dxa"/>
            <w:tcBorders>
              <w:top w:val="nil"/>
              <w:left w:val="nil"/>
              <w:bottom w:val="nil"/>
              <w:right w:val="single" w:sz="4" w:space="0" w:color="auto"/>
            </w:tcBorders>
            <w:shd w:val="clear" w:color="auto" w:fill="auto"/>
            <w:noWrap/>
            <w:hideMark/>
          </w:tcPr>
          <w:p w14:paraId="3A45B853" w14:textId="7C853DAD"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-390</w:t>
            </w:r>
          </w:p>
        </w:tc>
        <w:tc>
          <w:tcPr>
            <w:tcW w:w="1774" w:type="dxa"/>
            <w:tcBorders>
              <w:top w:val="nil"/>
              <w:left w:val="nil"/>
              <w:bottom w:val="nil"/>
              <w:right w:val="single" w:sz="4" w:space="0" w:color="auto"/>
            </w:tcBorders>
            <w:shd w:val="clear" w:color="auto" w:fill="auto"/>
            <w:noWrap/>
            <w:hideMark/>
          </w:tcPr>
          <w:p w14:paraId="1FBD2165" w14:textId="1E9C1A66" w:rsidR="00C35543" w:rsidRPr="000C156A" w:rsidRDefault="00C35543" w:rsidP="00C35543">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390</w:t>
            </w:r>
            <w:r w:rsidRPr="00672A3E">
              <w:rPr>
                <w:rFonts w:cs="Arial"/>
                <w:color w:val="000000"/>
                <w:sz w:val="22"/>
                <w:szCs w:val="22"/>
                <w:lang w:val="en-US" w:eastAsia="zh-CN"/>
              </w:rPr>
              <w:t> </w:t>
            </w:r>
          </w:p>
        </w:tc>
      </w:tr>
      <w:tr w:rsidR="00C35543" w:rsidRPr="000C156A" w14:paraId="25A1FA70" w14:textId="77777777" w:rsidTr="003A64C9">
        <w:trPr>
          <w:trHeight w:val="361"/>
        </w:trPr>
        <w:tc>
          <w:tcPr>
            <w:tcW w:w="2503" w:type="dxa"/>
            <w:tcBorders>
              <w:top w:val="single" w:sz="4" w:space="0" w:color="auto"/>
              <w:left w:val="single" w:sz="4" w:space="0" w:color="auto"/>
              <w:bottom w:val="single" w:sz="4" w:space="0" w:color="auto"/>
              <w:right w:val="nil"/>
            </w:tcBorders>
            <w:noWrap/>
            <w:vAlign w:val="center"/>
            <w:hideMark/>
          </w:tcPr>
          <w:p w14:paraId="43BB742E" w14:textId="77777777" w:rsidR="00C35543" w:rsidRPr="000C156A" w:rsidRDefault="00C35543" w:rsidP="00C35543">
            <w:pPr>
              <w:pStyle w:val="Tabletext"/>
              <w:rPr>
                <w:b/>
                <w:bCs/>
                <w:lang w:val="en-US"/>
              </w:rPr>
            </w:pPr>
            <w:r w:rsidRPr="000C156A">
              <w:rPr>
                <w:rFonts w:hint="eastAsia"/>
                <w:b/>
                <w:bCs/>
                <w:szCs w:val="24"/>
                <w:lang w:val="en-US"/>
              </w:rPr>
              <w:t>期终余额</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964D3F1" w14:textId="74BD67FE" w:rsidR="00C35543" w:rsidRPr="000C156A" w:rsidRDefault="00C35543" w:rsidP="00C35543">
            <w:pPr>
              <w:overflowPunct/>
              <w:autoSpaceDE/>
              <w:autoSpaceDN/>
              <w:adjustRightInd/>
              <w:spacing w:before="0"/>
              <w:ind w:right="110"/>
              <w:jc w:val="right"/>
              <w:textAlignment w:val="auto"/>
              <w:rPr>
                <w:rFonts w:cs="Arial"/>
                <w:b/>
                <w:bCs/>
                <w:color w:val="000000"/>
                <w:sz w:val="22"/>
                <w:szCs w:val="22"/>
                <w:lang w:val="en-US" w:eastAsia="zh-CN"/>
              </w:rPr>
            </w:pPr>
            <w:r>
              <w:rPr>
                <w:rFonts w:cs="Arial"/>
                <w:b/>
                <w:bCs/>
                <w:color w:val="000000"/>
                <w:sz w:val="22"/>
                <w:szCs w:val="22"/>
                <w:lang w:val="en-US" w:eastAsia="zh-CN"/>
              </w:rPr>
              <w:t>545 636</w:t>
            </w:r>
            <w:r w:rsidRPr="00672A3E">
              <w:rPr>
                <w:rFonts w:cs="Arial"/>
                <w:b/>
                <w:bCs/>
                <w:color w:val="000000"/>
                <w:sz w:val="22"/>
                <w:szCs w:val="22"/>
                <w:lang w:val="en-US" w:eastAsia="zh-CN"/>
              </w:rPr>
              <w:t xml:space="preserve"> </w:t>
            </w:r>
          </w:p>
        </w:tc>
        <w:tc>
          <w:tcPr>
            <w:tcW w:w="1186" w:type="dxa"/>
            <w:tcBorders>
              <w:top w:val="nil"/>
              <w:left w:val="nil"/>
              <w:bottom w:val="single" w:sz="4" w:space="0" w:color="auto"/>
              <w:right w:val="single" w:sz="4" w:space="0" w:color="auto"/>
            </w:tcBorders>
            <w:shd w:val="clear" w:color="auto" w:fill="auto"/>
            <w:noWrap/>
            <w:vAlign w:val="center"/>
            <w:hideMark/>
          </w:tcPr>
          <w:p w14:paraId="7C23861C" w14:textId="25AC0249" w:rsidR="00C35543" w:rsidRPr="000C156A" w:rsidRDefault="00C35543" w:rsidP="00C35543">
            <w:pPr>
              <w:overflowPunct/>
              <w:autoSpaceDE/>
              <w:autoSpaceDN/>
              <w:adjustRightInd/>
              <w:spacing w:before="0"/>
              <w:jc w:val="right"/>
              <w:textAlignment w:val="auto"/>
              <w:rPr>
                <w:rFonts w:cs="Arial"/>
                <w:b/>
                <w:bCs/>
                <w:color w:val="000000"/>
                <w:sz w:val="22"/>
                <w:szCs w:val="22"/>
                <w:lang w:val="en-US" w:eastAsia="zh-CN"/>
              </w:rPr>
            </w:pPr>
            <w:r w:rsidRPr="00672A3E">
              <w:rPr>
                <w:rFonts w:cs="Arial"/>
                <w:b/>
                <w:bCs/>
                <w:color w:val="000000"/>
                <w:sz w:val="22"/>
                <w:szCs w:val="22"/>
                <w:lang w:val="en-US" w:eastAsia="zh-CN"/>
              </w:rPr>
              <w:t xml:space="preserve">54 </w:t>
            </w:r>
          </w:p>
        </w:tc>
        <w:tc>
          <w:tcPr>
            <w:tcW w:w="1328" w:type="dxa"/>
            <w:tcBorders>
              <w:top w:val="nil"/>
              <w:left w:val="nil"/>
              <w:bottom w:val="single" w:sz="4" w:space="0" w:color="auto"/>
              <w:right w:val="single" w:sz="4" w:space="0" w:color="auto"/>
            </w:tcBorders>
            <w:shd w:val="clear" w:color="auto" w:fill="auto"/>
            <w:noWrap/>
            <w:vAlign w:val="center"/>
            <w:hideMark/>
          </w:tcPr>
          <w:p w14:paraId="79DCDDE6" w14:textId="68A73F3C" w:rsidR="00C35543" w:rsidRPr="000C156A" w:rsidRDefault="00C35543" w:rsidP="00C35543">
            <w:pPr>
              <w:overflowPunct/>
              <w:autoSpaceDE/>
              <w:autoSpaceDN/>
              <w:adjustRightInd/>
              <w:spacing w:before="0"/>
              <w:jc w:val="right"/>
              <w:textAlignment w:val="auto"/>
              <w:rPr>
                <w:rFonts w:cs="Arial"/>
                <w:b/>
                <w:bCs/>
                <w:color w:val="000000"/>
                <w:sz w:val="22"/>
                <w:szCs w:val="22"/>
                <w:lang w:val="en-US" w:eastAsia="zh-CN"/>
              </w:rPr>
            </w:pPr>
            <w:r w:rsidRPr="00672A3E">
              <w:rPr>
                <w:rFonts w:cs="Arial"/>
                <w:b/>
                <w:bCs/>
                <w:color w:val="000000"/>
                <w:sz w:val="22"/>
                <w:szCs w:val="22"/>
                <w:lang w:val="en-US" w:eastAsia="zh-CN"/>
              </w:rPr>
              <w:t>1</w:t>
            </w:r>
            <w:r>
              <w:rPr>
                <w:rFonts w:cs="Arial"/>
                <w:b/>
                <w:bCs/>
                <w:color w:val="000000"/>
                <w:sz w:val="22"/>
                <w:szCs w:val="22"/>
                <w:lang w:val="en-US" w:eastAsia="zh-CN"/>
              </w:rPr>
              <w:t>3 330</w:t>
            </w:r>
            <w:r w:rsidRPr="00672A3E">
              <w:rPr>
                <w:rFonts w:cs="Arial"/>
                <w:b/>
                <w:bCs/>
                <w:color w:val="000000"/>
                <w:sz w:val="22"/>
                <w:szCs w:val="22"/>
                <w:lang w:val="en-US" w:eastAsia="zh-CN"/>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14:paraId="2939B8F7" w14:textId="5B9A2E48" w:rsidR="00C35543" w:rsidRPr="000C156A" w:rsidRDefault="00C35543" w:rsidP="00C35543">
            <w:pPr>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11 063</w:t>
            </w:r>
            <w:r w:rsidRPr="00672A3E">
              <w:rPr>
                <w:rFonts w:cs="Arial"/>
                <w:b/>
                <w:bCs/>
                <w:color w:val="000000"/>
                <w:sz w:val="22"/>
                <w:szCs w:val="22"/>
                <w:lang w:val="en-US" w:eastAsia="zh-CN"/>
              </w:rPr>
              <w:t xml:space="preserve"> </w:t>
            </w:r>
          </w:p>
        </w:tc>
        <w:tc>
          <w:tcPr>
            <w:tcW w:w="1774" w:type="dxa"/>
            <w:tcBorders>
              <w:top w:val="nil"/>
              <w:left w:val="nil"/>
              <w:bottom w:val="single" w:sz="4" w:space="0" w:color="auto"/>
              <w:right w:val="single" w:sz="4" w:space="0" w:color="auto"/>
            </w:tcBorders>
            <w:shd w:val="clear" w:color="auto" w:fill="auto"/>
            <w:noWrap/>
            <w:vAlign w:val="bottom"/>
            <w:hideMark/>
          </w:tcPr>
          <w:p w14:paraId="2679B1AD" w14:textId="0AD67115" w:rsidR="00C35543" w:rsidRPr="000C156A" w:rsidRDefault="00C35543" w:rsidP="00C35543">
            <w:pPr>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570 083</w:t>
            </w:r>
            <w:r w:rsidRPr="00672A3E">
              <w:rPr>
                <w:rFonts w:cs="Arial"/>
                <w:b/>
                <w:bCs/>
                <w:color w:val="000000"/>
                <w:sz w:val="22"/>
                <w:szCs w:val="22"/>
                <w:lang w:val="en-US" w:eastAsia="zh-CN"/>
              </w:rPr>
              <w:t xml:space="preserve"> </w:t>
            </w:r>
          </w:p>
        </w:tc>
      </w:tr>
    </w:tbl>
    <w:p w14:paraId="52116431" w14:textId="77777777" w:rsidR="0085433F" w:rsidRPr="000C156A" w:rsidRDefault="0085433F" w:rsidP="0085433F">
      <w:pPr>
        <w:spacing w:before="240"/>
        <w:ind w:firstLineChars="200" w:firstLine="480"/>
        <w:rPr>
          <w:lang w:eastAsia="zh-CN"/>
        </w:rPr>
      </w:pPr>
      <w:r w:rsidRPr="000C156A">
        <w:rPr>
          <w:rFonts w:hint="eastAsia"/>
          <w:lang w:eastAsia="zh-CN"/>
        </w:rPr>
        <w:t>长期福利系指离职后福利，主要为离职后健康保险（</w:t>
      </w:r>
      <w:r w:rsidRPr="000C156A">
        <w:rPr>
          <w:lang w:eastAsia="zh-CN"/>
        </w:rPr>
        <w:t>ASHI</w:t>
      </w:r>
      <w:r w:rsidRPr="000C156A">
        <w:rPr>
          <w:rFonts w:hint="eastAsia"/>
          <w:lang w:eastAsia="zh-CN"/>
        </w:rPr>
        <w:t>）计划、归国补助金、应计休假，以及对国际电联部分前职员的先前养恤金和医疗保险计划的承付款项。</w:t>
      </w:r>
    </w:p>
    <w:p w14:paraId="545389B4" w14:textId="77777777" w:rsidR="0085433F" w:rsidRPr="00E82FE7" w:rsidRDefault="0085433F" w:rsidP="0085433F">
      <w:pPr>
        <w:pStyle w:val="Heading3"/>
        <w:ind w:left="1134" w:hanging="1134"/>
        <w:rPr>
          <w:b w:val="0"/>
          <w:bCs/>
          <w:i w:val="0"/>
          <w:lang w:eastAsia="zh-CN"/>
        </w:rPr>
      </w:pPr>
      <w:bookmarkStart w:id="868" w:name="_Toc41905884"/>
      <w:bookmarkStart w:id="869" w:name="_Toc73518699"/>
      <w:bookmarkStart w:id="870" w:name="_Toc73518846"/>
      <w:bookmarkStart w:id="871" w:name="_Toc73519246"/>
      <w:bookmarkStart w:id="872" w:name="_Toc73636285"/>
      <w:bookmarkStart w:id="873" w:name="_Toc110264007"/>
      <w:bookmarkStart w:id="874" w:name="_Toc110264086"/>
      <w:bookmarkStart w:id="875" w:name="_Toc110265259"/>
      <w:bookmarkStart w:id="876" w:name="_Toc110265725"/>
      <w:bookmarkStart w:id="877" w:name="_Toc110330095"/>
      <w:bookmarkStart w:id="878" w:name="_Toc110330260"/>
      <w:r w:rsidRPr="00E82FE7">
        <w:rPr>
          <w:b w:val="0"/>
          <w:bCs/>
          <w:i w:val="0"/>
          <w:lang w:eastAsia="zh-CN"/>
        </w:rPr>
        <w:t>17.2.1</w:t>
      </w:r>
      <w:r w:rsidRPr="00E82FE7">
        <w:rPr>
          <w:b w:val="0"/>
          <w:bCs/>
          <w:i w:val="0"/>
          <w:lang w:eastAsia="zh-CN"/>
        </w:rPr>
        <w:tab/>
        <w:t>ASHI</w:t>
      </w:r>
      <w:r w:rsidRPr="00E82FE7">
        <w:rPr>
          <w:rFonts w:eastAsia="STKaiti" w:cs="Microsoft YaHei" w:hint="eastAsia"/>
          <w:b w:val="0"/>
          <w:bCs/>
          <w:i w:val="0"/>
          <w:lang w:val="fr-FR" w:eastAsia="zh-CN"/>
        </w:rPr>
        <w:t>计划的离职后福利的精算估值</w:t>
      </w:r>
      <w:bookmarkEnd w:id="868"/>
      <w:bookmarkEnd w:id="869"/>
      <w:bookmarkEnd w:id="870"/>
      <w:bookmarkEnd w:id="871"/>
      <w:bookmarkEnd w:id="872"/>
      <w:bookmarkEnd w:id="873"/>
      <w:bookmarkEnd w:id="874"/>
      <w:bookmarkEnd w:id="875"/>
      <w:bookmarkEnd w:id="876"/>
      <w:bookmarkEnd w:id="877"/>
      <w:bookmarkEnd w:id="878"/>
    </w:p>
    <w:p w14:paraId="23D6AE0A" w14:textId="17040108" w:rsidR="0085433F" w:rsidRPr="000C156A" w:rsidRDefault="0085433F" w:rsidP="0085433F">
      <w:pPr>
        <w:keepNext/>
        <w:keepLines/>
        <w:ind w:firstLineChars="200" w:firstLine="480"/>
        <w:rPr>
          <w:lang w:eastAsia="zh-CN"/>
        </w:rPr>
      </w:pPr>
      <w:r w:rsidRPr="000C156A">
        <w:rPr>
          <w:rFonts w:hint="eastAsia"/>
          <w:lang w:eastAsia="zh-CN"/>
        </w:rPr>
        <w:t>承付款项结算通过一家独立咨询公司进行的年度精算研究确定。最近于</w:t>
      </w:r>
      <w:r w:rsidRPr="000C156A">
        <w:rPr>
          <w:lang w:eastAsia="zh-CN"/>
        </w:rPr>
        <w:t>202</w:t>
      </w:r>
      <w:r w:rsidR="00E82FE7">
        <w:rPr>
          <w:lang w:eastAsia="zh-CN"/>
        </w:rPr>
        <w:t>2</w:t>
      </w:r>
      <w:r w:rsidRPr="000C156A">
        <w:rPr>
          <w:rFonts w:hint="eastAsia"/>
          <w:lang w:eastAsia="zh-CN"/>
        </w:rPr>
        <w:t>年</w:t>
      </w:r>
      <w:r w:rsidRPr="000C156A">
        <w:rPr>
          <w:lang w:eastAsia="zh-CN"/>
        </w:rPr>
        <w:t>1</w:t>
      </w:r>
      <w:r w:rsidRPr="000C156A">
        <w:rPr>
          <w:rFonts w:hint="eastAsia"/>
          <w:lang w:eastAsia="zh-CN"/>
        </w:rPr>
        <w:t>月进行的估值符合</w:t>
      </w:r>
      <w:r w:rsidRPr="000C156A">
        <w:rPr>
          <w:lang w:eastAsia="zh-CN"/>
        </w:rPr>
        <w:t>202</w:t>
      </w:r>
      <w:r w:rsidR="00E82FE7">
        <w:rPr>
          <w:lang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日特定条件的职员离职后医疗保险福利的国际电联承付款项确定为</w:t>
      </w:r>
      <w:r w:rsidR="00E82FE7">
        <w:rPr>
          <w:rFonts w:hint="eastAsia"/>
          <w:lang w:eastAsia="zh-CN"/>
        </w:rPr>
        <w:t>5</w:t>
      </w:r>
      <w:r w:rsidRPr="000C156A">
        <w:rPr>
          <w:lang w:eastAsia="zh-CN"/>
        </w:rPr>
        <w:t>.</w:t>
      </w:r>
      <w:r w:rsidR="00E82FE7">
        <w:rPr>
          <w:lang w:eastAsia="zh-CN"/>
        </w:rPr>
        <w:t>4563</w:t>
      </w:r>
      <w:r w:rsidRPr="000C156A">
        <w:rPr>
          <w:rFonts w:hint="eastAsia"/>
          <w:lang w:eastAsia="zh-CN"/>
        </w:rPr>
        <w:t>亿瑞郎。精算研究基于国际电联提供的数据。</w:t>
      </w:r>
    </w:p>
    <w:p w14:paraId="7DDF69DB" w14:textId="77777777" w:rsidR="0085433F" w:rsidRPr="00E82FE7" w:rsidRDefault="0085433F" w:rsidP="0085433F">
      <w:pPr>
        <w:pStyle w:val="Heading3"/>
        <w:ind w:left="1134" w:hanging="1134"/>
        <w:rPr>
          <w:b w:val="0"/>
          <w:bCs/>
          <w:i w:val="0"/>
          <w:lang w:val="fr-FR" w:eastAsia="zh-CN"/>
        </w:rPr>
      </w:pPr>
      <w:bookmarkStart w:id="879" w:name="_Toc41905885"/>
      <w:bookmarkStart w:id="880" w:name="_Toc73518700"/>
      <w:bookmarkStart w:id="881" w:name="_Toc73518847"/>
      <w:bookmarkStart w:id="882" w:name="_Toc73519247"/>
      <w:bookmarkStart w:id="883" w:name="_Toc73636286"/>
      <w:bookmarkStart w:id="884" w:name="_Toc110264008"/>
      <w:bookmarkStart w:id="885" w:name="_Toc110264087"/>
      <w:bookmarkStart w:id="886" w:name="_Toc110265260"/>
      <w:bookmarkStart w:id="887" w:name="_Toc110265726"/>
      <w:bookmarkStart w:id="888" w:name="_Toc110330096"/>
      <w:bookmarkStart w:id="889" w:name="_Toc110330261"/>
      <w:r w:rsidRPr="00E82FE7">
        <w:rPr>
          <w:b w:val="0"/>
          <w:bCs/>
          <w:i w:val="0"/>
          <w:lang w:val="fr-FR" w:eastAsia="zh-CN"/>
        </w:rPr>
        <w:t>17.2.2</w:t>
      </w:r>
      <w:r w:rsidRPr="00E82FE7">
        <w:rPr>
          <w:b w:val="0"/>
          <w:bCs/>
          <w:i w:val="0"/>
          <w:lang w:val="fr-FR" w:eastAsia="zh-CN"/>
        </w:rPr>
        <w:tab/>
      </w:r>
      <w:r w:rsidRPr="00E82FE7">
        <w:rPr>
          <w:rFonts w:ascii="STKaiti" w:eastAsia="STKaiti" w:hAnsi="STKaiti" w:hint="eastAsia"/>
          <w:b w:val="0"/>
          <w:bCs/>
          <w:i w:val="0"/>
          <w:lang w:val="fr-FR" w:eastAsia="zh-CN"/>
        </w:rPr>
        <w:t>精算估值</w:t>
      </w:r>
      <w:r w:rsidRPr="00E82FE7">
        <w:rPr>
          <w:rFonts w:asciiTheme="minorHAnsi" w:eastAsia="STKaiti" w:hAnsiTheme="minorHAnsi"/>
          <w:b w:val="0"/>
          <w:bCs/>
          <w:i w:val="0"/>
          <w:lang w:val="fr-FR" w:eastAsia="zh-CN"/>
        </w:rPr>
        <w:t xml:space="preserve"> – </w:t>
      </w:r>
      <w:r w:rsidRPr="00E82FE7">
        <w:rPr>
          <w:rFonts w:ascii="STKaiti" w:eastAsia="STKaiti" w:hAnsi="STKaiti" w:hint="eastAsia"/>
          <w:b w:val="0"/>
          <w:bCs/>
          <w:i w:val="0"/>
          <w:lang w:val="fr-FR" w:eastAsia="zh-CN"/>
        </w:rPr>
        <w:t>假设和方法</w:t>
      </w:r>
      <w:bookmarkEnd w:id="879"/>
      <w:bookmarkEnd w:id="880"/>
      <w:bookmarkEnd w:id="881"/>
      <w:bookmarkEnd w:id="882"/>
      <w:bookmarkEnd w:id="883"/>
      <w:bookmarkEnd w:id="884"/>
      <w:bookmarkEnd w:id="885"/>
      <w:bookmarkEnd w:id="886"/>
      <w:bookmarkEnd w:id="887"/>
      <w:bookmarkEnd w:id="888"/>
      <w:bookmarkEnd w:id="889"/>
    </w:p>
    <w:p w14:paraId="7EECE78C" w14:textId="169202D1" w:rsidR="0085433F" w:rsidRPr="000C156A" w:rsidRDefault="0085433F" w:rsidP="0085433F">
      <w:pPr>
        <w:spacing w:after="240"/>
        <w:ind w:firstLineChars="200" w:firstLine="480"/>
        <w:rPr>
          <w:lang w:eastAsia="zh-CN"/>
        </w:rPr>
      </w:pPr>
      <w:r w:rsidRPr="000C156A">
        <w:rPr>
          <w:rFonts w:hint="eastAsia"/>
          <w:lang w:eastAsia="zh-CN"/>
        </w:rPr>
        <w:t>在</w:t>
      </w:r>
      <w:r w:rsidRPr="000C156A">
        <w:rPr>
          <w:lang w:val="fr-FR" w:eastAsia="zh-CN"/>
        </w:rPr>
        <w:t>20</w:t>
      </w:r>
      <w:r w:rsidRPr="00006ED7">
        <w:rPr>
          <w:lang w:val="fr-FR" w:eastAsia="zh-CN"/>
        </w:rPr>
        <w:t>2</w:t>
      </w:r>
      <w:r w:rsidR="00E82FE7" w:rsidRPr="00006ED7">
        <w:rPr>
          <w:lang w:val="fr-FR" w:eastAsia="zh-CN"/>
        </w:rPr>
        <w:t>1</w:t>
      </w:r>
      <w:r w:rsidRPr="000C156A">
        <w:rPr>
          <w:rFonts w:hint="eastAsia"/>
          <w:lang w:eastAsia="zh-CN"/>
        </w:rPr>
        <w:t>年</w:t>
      </w:r>
      <w:r w:rsidRPr="000C156A">
        <w:rPr>
          <w:lang w:val="fr-FR" w:eastAsia="zh-CN"/>
        </w:rPr>
        <w:t>12</w:t>
      </w:r>
      <w:r w:rsidRPr="000C156A">
        <w:rPr>
          <w:rFonts w:hint="eastAsia"/>
          <w:lang w:eastAsia="zh-CN"/>
        </w:rPr>
        <w:t>月</w:t>
      </w:r>
      <w:r w:rsidRPr="000C156A">
        <w:rPr>
          <w:lang w:val="fr-FR" w:eastAsia="zh-CN"/>
        </w:rPr>
        <w:t>31</w:t>
      </w:r>
      <w:r w:rsidRPr="000C156A">
        <w:rPr>
          <w:rFonts w:hint="eastAsia"/>
          <w:lang w:eastAsia="zh-CN"/>
        </w:rPr>
        <w:t>日与</w:t>
      </w:r>
      <w:r w:rsidRPr="000C156A">
        <w:rPr>
          <w:lang w:val="fr-FR" w:eastAsia="zh-CN"/>
        </w:rPr>
        <w:t>ASHI</w:t>
      </w:r>
      <w:r w:rsidRPr="000C156A">
        <w:rPr>
          <w:rFonts w:hint="eastAsia"/>
          <w:lang w:eastAsia="zh-CN"/>
        </w:rPr>
        <w:t>计划相关承付款项估值以及</w:t>
      </w:r>
      <w:r w:rsidRPr="000C156A">
        <w:rPr>
          <w:lang w:val="fr-FR" w:eastAsia="zh-CN"/>
        </w:rPr>
        <w:t>20</w:t>
      </w:r>
      <w:r w:rsidRPr="00006ED7">
        <w:rPr>
          <w:lang w:val="fr-FR" w:eastAsia="zh-CN"/>
        </w:rPr>
        <w:t>2</w:t>
      </w:r>
      <w:r w:rsidR="00E82FE7" w:rsidRPr="00006ED7">
        <w:rPr>
          <w:lang w:val="fr-FR" w:eastAsia="zh-CN"/>
        </w:rPr>
        <w:t>1</w:t>
      </w:r>
      <w:r w:rsidRPr="000C156A">
        <w:rPr>
          <w:rFonts w:hint="eastAsia"/>
          <w:lang w:eastAsia="zh-CN"/>
        </w:rPr>
        <w:t>年间缴费相关的框架范围内</w:t>
      </w:r>
      <w:r w:rsidRPr="000C156A">
        <w:rPr>
          <w:rFonts w:hint="eastAsia"/>
          <w:lang w:val="fr-FR" w:eastAsia="zh-CN"/>
        </w:rPr>
        <w:t>，</w:t>
      </w:r>
      <w:r w:rsidRPr="000C156A">
        <w:rPr>
          <w:rFonts w:hint="eastAsia"/>
          <w:lang w:eastAsia="zh-CN"/>
        </w:rPr>
        <w:t>国际电联对精算师使用的假设和方法进行证实。下述为</w:t>
      </w:r>
      <w:r w:rsidRPr="000C156A">
        <w:rPr>
          <w:lang w:eastAsia="zh-CN"/>
        </w:rPr>
        <w:t>202</w:t>
      </w:r>
      <w:r w:rsidR="00E82FE7">
        <w:rPr>
          <w:lang w:eastAsia="zh-CN"/>
        </w:rPr>
        <w:t>1</w:t>
      </w:r>
      <w:r w:rsidRPr="000C156A">
        <w:rPr>
          <w:rFonts w:hint="eastAsia"/>
          <w:lang w:eastAsia="zh-CN"/>
        </w:rPr>
        <w:t>年期间估值所采用的假设与方法。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657"/>
      </w:tblGrid>
      <w:tr w:rsidR="0085433F" w:rsidRPr="000C156A" w14:paraId="5ACEAC1E"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617BE2C3" w14:textId="77777777" w:rsidR="0085433F" w:rsidRPr="000C156A" w:rsidRDefault="0085433F" w:rsidP="003A64C9">
            <w:pPr>
              <w:pStyle w:val="Tabletext"/>
              <w:rPr>
                <w:sz w:val="20"/>
                <w:lang w:val="en-US"/>
              </w:rPr>
            </w:pPr>
            <w:r w:rsidRPr="000C156A">
              <w:rPr>
                <w:rFonts w:hint="eastAsia"/>
                <w:sz w:val="20"/>
                <w:lang w:val="en-US"/>
              </w:rPr>
              <w:t>贴现率</w:t>
            </w:r>
          </w:p>
        </w:tc>
        <w:tc>
          <w:tcPr>
            <w:tcW w:w="6657" w:type="dxa"/>
            <w:tcBorders>
              <w:top w:val="single" w:sz="4" w:space="0" w:color="auto"/>
              <w:left w:val="single" w:sz="4" w:space="0" w:color="auto"/>
              <w:bottom w:val="single" w:sz="4" w:space="0" w:color="auto"/>
              <w:right w:val="single" w:sz="4" w:space="0" w:color="auto"/>
            </w:tcBorders>
            <w:hideMark/>
          </w:tcPr>
          <w:p w14:paraId="68B74B3F" w14:textId="764B7984" w:rsidR="0085433F" w:rsidRPr="000C156A" w:rsidRDefault="0085433F" w:rsidP="003A64C9">
            <w:pPr>
              <w:pStyle w:val="Tabletext"/>
              <w:pageBreakBefore/>
              <w:rPr>
                <w:sz w:val="20"/>
                <w:lang w:val="en-US" w:eastAsia="zh-CN"/>
              </w:rPr>
            </w:pPr>
            <w:r w:rsidRPr="000C156A">
              <w:rPr>
                <w:sz w:val="20"/>
                <w:lang w:val="en-US" w:eastAsia="zh-CN"/>
              </w:rPr>
              <w:t>202</w:t>
            </w:r>
            <w:r w:rsidR="00E82FE7">
              <w:rPr>
                <w:sz w:val="20"/>
                <w:lang w:val="en-US" w:eastAsia="zh-CN"/>
              </w:rPr>
              <w:t>1</w:t>
            </w:r>
            <w:r w:rsidRPr="000C156A">
              <w:rPr>
                <w:rFonts w:hint="eastAsia"/>
                <w:sz w:val="20"/>
                <w:lang w:val="en-US" w:eastAsia="zh-CN"/>
              </w:rPr>
              <w:t>年</w:t>
            </w:r>
            <w:r w:rsidRPr="000C156A">
              <w:rPr>
                <w:sz w:val="20"/>
                <w:lang w:val="en-US" w:eastAsia="zh-CN"/>
              </w:rPr>
              <w:t>0.2</w:t>
            </w:r>
            <w:r w:rsidRPr="000C156A">
              <w:rPr>
                <w:rFonts w:hint="eastAsia"/>
                <w:sz w:val="20"/>
                <w:lang w:val="en-US" w:eastAsia="zh-CN"/>
              </w:rPr>
              <w:t>0</w:t>
            </w:r>
            <w:r w:rsidRPr="000C156A">
              <w:rPr>
                <w:sz w:val="20"/>
                <w:lang w:val="en-US" w:eastAsia="zh-CN"/>
              </w:rPr>
              <w:t>%</w:t>
            </w:r>
            <w:r w:rsidRPr="000C156A">
              <w:rPr>
                <w:sz w:val="20"/>
                <w:lang w:val="en-US" w:eastAsia="zh-CN"/>
              </w:rPr>
              <w:t>，</w:t>
            </w:r>
            <w:r w:rsidRPr="000C156A">
              <w:rPr>
                <w:sz w:val="20"/>
                <w:lang w:val="en-US" w:eastAsia="zh-CN"/>
              </w:rPr>
              <w:t>20</w:t>
            </w:r>
            <w:r w:rsidR="00E82FE7">
              <w:rPr>
                <w:sz w:val="20"/>
                <w:lang w:val="en-US" w:eastAsia="zh-CN"/>
              </w:rPr>
              <w:t>20</w:t>
            </w:r>
            <w:r w:rsidRPr="000C156A">
              <w:rPr>
                <w:rFonts w:hint="eastAsia"/>
                <w:sz w:val="20"/>
                <w:lang w:val="en-US" w:eastAsia="zh-CN"/>
              </w:rPr>
              <w:t>年</w:t>
            </w:r>
            <w:r w:rsidRPr="000C156A">
              <w:rPr>
                <w:rFonts w:hint="eastAsia"/>
                <w:sz w:val="20"/>
                <w:lang w:val="en-US" w:eastAsia="zh-CN"/>
              </w:rPr>
              <w:t>0</w:t>
            </w:r>
            <w:r w:rsidRPr="000C156A">
              <w:rPr>
                <w:sz w:val="20"/>
                <w:lang w:val="en-US" w:eastAsia="zh-CN"/>
              </w:rPr>
              <w:t>.</w:t>
            </w:r>
            <w:r w:rsidR="00E82FE7">
              <w:rPr>
                <w:sz w:val="20"/>
                <w:lang w:val="en-US" w:eastAsia="zh-CN"/>
              </w:rPr>
              <w:t>2</w:t>
            </w:r>
            <w:r w:rsidRPr="000C156A">
              <w:rPr>
                <w:sz w:val="20"/>
                <w:lang w:val="en-US" w:eastAsia="zh-CN"/>
              </w:rPr>
              <w:t>0%</w:t>
            </w:r>
          </w:p>
        </w:tc>
      </w:tr>
      <w:tr w:rsidR="0085433F" w:rsidRPr="000C156A" w14:paraId="1DF1094E"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45ADDAE2" w14:textId="77777777" w:rsidR="0085433F" w:rsidRPr="000C156A" w:rsidRDefault="0085433F" w:rsidP="003A64C9">
            <w:pPr>
              <w:pStyle w:val="Tabletext"/>
              <w:rPr>
                <w:sz w:val="20"/>
                <w:lang w:val="en-US" w:eastAsia="zh-CN"/>
              </w:rPr>
            </w:pPr>
            <w:r w:rsidRPr="000C156A">
              <w:rPr>
                <w:rFonts w:hint="eastAsia"/>
                <w:sz w:val="20"/>
                <w:lang w:val="en-US" w:eastAsia="zh-CN"/>
              </w:rPr>
              <w:t>医疗费用增长</w:t>
            </w:r>
          </w:p>
        </w:tc>
        <w:tc>
          <w:tcPr>
            <w:tcW w:w="6657" w:type="dxa"/>
            <w:tcBorders>
              <w:top w:val="single" w:sz="4" w:space="0" w:color="auto"/>
              <w:left w:val="single" w:sz="4" w:space="0" w:color="auto"/>
              <w:bottom w:val="single" w:sz="4" w:space="0" w:color="auto"/>
              <w:right w:val="single" w:sz="4" w:space="0" w:color="auto"/>
            </w:tcBorders>
            <w:hideMark/>
          </w:tcPr>
          <w:p w14:paraId="39B2DDBA" w14:textId="73D7423F" w:rsidR="0085433F" w:rsidRPr="000C156A" w:rsidRDefault="0085433F" w:rsidP="003A64C9">
            <w:pPr>
              <w:pStyle w:val="Tabletext"/>
              <w:rPr>
                <w:sz w:val="20"/>
                <w:lang w:val="en-US" w:eastAsia="zh-CN"/>
              </w:rPr>
            </w:pPr>
            <w:r w:rsidRPr="000C156A">
              <w:rPr>
                <w:sz w:val="20"/>
                <w:lang w:val="en-US" w:eastAsia="zh-CN"/>
              </w:rPr>
              <w:t>202</w:t>
            </w:r>
            <w:r w:rsidR="00E82FE7">
              <w:rPr>
                <w:sz w:val="20"/>
                <w:lang w:val="en-US" w:eastAsia="zh-CN"/>
              </w:rPr>
              <w:t>1</w:t>
            </w:r>
            <w:r w:rsidRPr="000C156A">
              <w:rPr>
                <w:rFonts w:hint="eastAsia"/>
                <w:sz w:val="20"/>
                <w:lang w:val="en-US" w:eastAsia="zh-CN"/>
              </w:rPr>
              <w:t>年</w:t>
            </w:r>
            <w:r w:rsidRPr="000C156A">
              <w:rPr>
                <w:sz w:val="20"/>
                <w:lang w:val="en-US" w:eastAsia="zh-CN"/>
              </w:rPr>
              <w:t>2.</w:t>
            </w:r>
            <w:r w:rsidR="00E82FE7">
              <w:rPr>
                <w:sz w:val="20"/>
                <w:lang w:val="en-US" w:eastAsia="zh-CN"/>
              </w:rPr>
              <w:t>5</w:t>
            </w:r>
            <w:r w:rsidRPr="000C156A">
              <w:rPr>
                <w:sz w:val="20"/>
                <w:lang w:val="en-US" w:eastAsia="zh-CN"/>
              </w:rPr>
              <w:t>0%</w:t>
            </w:r>
            <w:r w:rsidRPr="000C156A">
              <w:rPr>
                <w:rFonts w:hint="eastAsia"/>
                <w:sz w:val="20"/>
                <w:lang w:val="en-US" w:eastAsia="zh-CN"/>
              </w:rPr>
              <w:t>，</w:t>
            </w:r>
            <w:r w:rsidRPr="000C156A">
              <w:rPr>
                <w:rFonts w:hint="eastAsia"/>
                <w:sz w:val="20"/>
                <w:lang w:val="en-US" w:eastAsia="zh-CN"/>
              </w:rPr>
              <w:t>2</w:t>
            </w:r>
            <w:r w:rsidRPr="000C156A">
              <w:rPr>
                <w:sz w:val="20"/>
                <w:lang w:val="en-US" w:eastAsia="zh-CN"/>
              </w:rPr>
              <w:t>0</w:t>
            </w:r>
            <w:r w:rsidR="00E82FE7">
              <w:rPr>
                <w:sz w:val="20"/>
                <w:lang w:val="en-US" w:eastAsia="zh-CN"/>
              </w:rPr>
              <w:t>20</w:t>
            </w:r>
            <w:r w:rsidRPr="000C156A">
              <w:rPr>
                <w:rFonts w:hint="eastAsia"/>
                <w:sz w:val="20"/>
                <w:lang w:val="en-US" w:eastAsia="zh-CN"/>
              </w:rPr>
              <w:t>年</w:t>
            </w:r>
            <w:r w:rsidR="00E82FE7">
              <w:rPr>
                <w:sz w:val="20"/>
                <w:lang w:val="en-US" w:eastAsia="zh-CN"/>
              </w:rPr>
              <w:t>2.80</w:t>
            </w:r>
            <w:r w:rsidRPr="000C156A">
              <w:rPr>
                <w:sz w:val="20"/>
                <w:lang w:val="en-US" w:eastAsia="zh-CN"/>
              </w:rPr>
              <w:t>%</w:t>
            </w:r>
          </w:p>
        </w:tc>
      </w:tr>
      <w:tr w:rsidR="0085433F" w:rsidRPr="000C156A" w14:paraId="4DBC224E"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42FEBBEB" w14:textId="77777777" w:rsidR="0085433F" w:rsidRPr="000C156A" w:rsidRDefault="0085433F" w:rsidP="003A64C9">
            <w:pPr>
              <w:pStyle w:val="Tabletext"/>
              <w:rPr>
                <w:sz w:val="20"/>
                <w:lang w:val="en-US" w:eastAsia="zh-CN"/>
              </w:rPr>
            </w:pPr>
            <w:r w:rsidRPr="000C156A">
              <w:rPr>
                <w:rFonts w:hint="eastAsia"/>
                <w:sz w:val="20"/>
                <w:lang w:val="en-US" w:eastAsia="zh-CN"/>
              </w:rPr>
              <w:t>资产的预期会计收益率</w:t>
            </w:r>
          </w:p>
        </w:tc>
        <w:tc>
          <w:tcPr>
            <w:tcW w:w="6657" w:type="dxa"/>
            <w:tcBorders>
              <w:top w:val="single" w:sz="4" w:space="0" w:color="auto"/>
              <w:left w:val="single" w:sz="4" w:space="0" w:color="auto"/>
              <w:bottom w:val="single" w:sz="4" w:space="0" w:color="auto"/>
              <w:right w:val="single" w:sz="4" w:space="0" w:color="auto"/>
            </w:tcBorders>
            <w:hideMark/>
          </w:tcPr>
          <w:p w14:paraId="417C0442" w14:textId="621F411B" w:rsidR="0085433F" w:rsidRPr="000C156A" w:rsidRDefault="0085433F" w:rsidP="003A64C9">
            <w:pPr>
              <w:pStyle w:val="Tabletext"/>
              <w:rPr>
                <w:sz w:val="20"/>
                <w:lang w:val="en-US" w:eastAsia="zh-CN"/>
              </w:rPr>
            </w:pPr>
            <w:r w:rsidRPr="000C156A">
              <w:rPr>
                <w:sz w:val="20"/>
                <w:lang w:val="en-US" w:eastAsia="zh-CN"/>
              </w:rPr>
              <w:t>202</w:t>
            </w:r>
            <w:r w:rsidR="00E82FE7">
              <w:rPr>
                <w:sz w:val="20"/>
                <w:lang w:val="en-US" w:eastAsia="zh-CN"/>
              </w:rPr>
              <w:t>1</w:t>
            </w:r>
            <w:r w:rsidRPr="000C156A">
              <w:rPr>
                <w:rFonts w:hint="eastAsia"/>
                <w:sz w:val="20"/>
                <w:lang w:val="en-US" w:eastAsia="zh-CN"/>
              </w:rPr>
              <w:t>年不适用</w:t>
            </w:r>
          </w:p>
        </w:tc>
      </w:tr>
      <w:tr w:rsidR="0085433F" w:rsidRPr="000C156A" w14:paraId="1253A2B6"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457CEB5E" w14:textId="77777777" w:rsidR="0085433F" w:rsidRPr="000C156A" w:rsidRDefault="0085433F" w:rsidP="003A64C9">
            <w:pPr>
              <w:pStyle w:val="Tabletext"/>
              <w:rPr>
                <w:sz w:val="20"/>
                <w:lang w:val="en-US" w:eastAsia="zh-CN"/>
              </w:rPr>
            </w:pPr>
            <w:r w:rsidRPr="000C156A">
              <w:rPr>
                <w:rFonts w:hint="eastAsia"/>
                <w:sz w:val="20"/>
                <w:lang w:val="en-US" w:eastAsia="zh-CN"/>
              </w:rPr>
              <w:t>薪酬增长</w:t>
            </w:r>
          </w:p>
        </w:tc>
        <w:tc>
          <w:tcPr>
            <w:tcW w:w="6657" w:type="dxa"/>
            <w:tcBorders>
              <w:top w:val="single" w:sz="4" w:space="0" w:color="auto"/>
              <w:left w:val="single" w:sz="4" w:space="0" w:color="auto"/>
              <w:bottom w:val="single" w:sz="4" w:space="0" w:color="auto"/>
              <w:right w:val="single" w:sz="4" w:space="0" w:color="auto"/>
            </w:tcBorders>
            <w:hideMark/>
          </w:tcPr>
          <w:p w14:paraId="645E579A" w14:textId="77777777" w:rsidR="0085433F" w:rsidRPr="000C156A" w:rsidRDefault="0085433F" w:rsidP="003A64C9">
            <w:pPr>
              <w:pStyle w:val="Tabletext"/>
              <w:rPr>
                <w:sz w:val="20"/>
                <w:lang w:val="en-US" w:eastAsia="zh-CN"/>
              </w:rPr>
            </w:pPr>
            <w:r w:rsidRPr="000C156A">
              <w:rPr>
                <w:sz w:val="20"/>
                <w:lang w:val="en-US" w:eastAsia="zh-CN"/>
              </w:rPr>
              <w:t>3%</w:t>
            </w:r>
            <w:r w:rsidRPr="000C156A">
              <w:rPr>
                <w:rFonts w:hint="eastAsia"/>
                <w:sz w:val="20"/>
                <w:lang w:val="en-US" w:eastAsia="zh-CN"/>
              </w:rPr>
              <w:t>加上</w:t>
            </w:r>
            <w:r w:rsidRPr="000C156A">
              <w:rPr>
                <w:rFonts w:hint="eastAsia"/>
                <w:sz w:val="20"/>
                <w:lang w:val="en-US" w:eastAsia="zh-CN"/>
              </w:rPr>
              <w:t>2</w:t>
            </w:r>
            <w:r w:rsidRPr="000C156A">
              <w:rPr>
                <w:sz w:val="20"/>
                <w:lang w:val="en-US" w:eastAsia="zh-CN"/>
              </w:rPr>
              <w:t>019</w:t>
            </w:r>
            <w:r w:rsidRPr="000C156A">
              <w:rPr>
                <w:rFonts w:hint="eastAsia"/>
                <w:sz w:val="20"/>
                <w:lang w:val="en-US" w:eastAsia="zh-CN"/>
              </w:rPr>
              <w:t>年</w:t>
            </w:r>
            <w:r w:rsidRPr="000C156A">
              <w:rPr>
                <w:sz w:val="20"/>
                <w:lang w:val="en-US" w:eastAsia="zh-CN"/>
              </w:rPr>
              <w:t>UNJSPF</w:t>
            </w:r>
            <w:r w:rsidRPr="000C156A">
              <w:rPr>
                <w:sz w:val="20"/>
                <w:lang w:eastAsia="zh-CN"/>
              </w:rPr>
              <w:t>静态薪金表</w:t>
            </w:r>
          </w:p>
        </w:tc>
      </w:tr>
      <w:tr w:rsidR="0085433F" w:rsidRPr="000C156A" w14:paraId="137B55B0"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2D95EBF2" w14:textId="77777777" w:rsidR="0085433F" w:rsidRPr="000C156A" w:rsidRDefault="0085433F" w:rsidP="003A64C9">
            <w:pPr>
              <w:pStyle w:val="Tabletext"/>
              <w:rPr>
                <w:sz w:val="20"/>
                <w:lang w:val="en-US" w:eastAsia="zh-CN"/>
              </w:rPr>
            </w:pPr>
            <w:r w:rsidRPr="000C156A">
              <w:rPr>
                <w:rFonts w:hint="eastAsia"/>
                <w:sz w:val="20"/>
                <w:lang w:val="en-US" w:eastAsia="zh-CN"/>
              </w:rPr>
              <w:t>养恤金增长</w:t>
            </w:r>
          </w:p>
        </w:tc>
        <w:tc>
          <w:tcPr>
            <w:tcW w:w="6657" w:type="dxa"/>
            <w:tcBorders>
              <w:top w:val="single" w:sz="4" w:space="0" w:color="auto"/>
              <w:left w:val="single" w:sz="4" w:space="0" w:color="auto"/>
              <w:bottom w:val="single" w:sz="4" w:space="0" w:color="auto"/>
              <w:right w:val="single" w:sz="4" w:space="0" w:color="auto"/>
            </w:tcBorders>
            <w:hideMark/>
          </w:tcPr>
          <w:p w14:paraId="6B8975DB" w14:textId="1B1E194A" w:rsidR="0085433F" w:rsidRPr="000C156A" w:rsidRDefault="0085433F" w:rsidP="003A64C9">
            <w:pPr>
              <w:pStyle w:val="Tabletext"/>
              <w:rPr>
                <w:sz w:val="20"/>
                <w:lang w:val="en-US" w:eastAsia="zh-CN"/>
              </w:rPr>
            </w:pPr>
            <w:r w:rsidRPr="000C156A">
              <w:rPr>
                <w:sz w:val="20"/>
                <w:lang w:val="en-US" w:eastAsia="zh-CN"/>
              </w:rPr>
              <w:t>202</w:t>
            </w:r>
            <w:r w:rsidR="00E82FE7">
              <w:rPr>
                <w:sz w:val="20"/>
                <w:lang w:val="en-US" w:eastAsia="zh-CN"/>
              </w:rPr>
              <w:t>1</w:t>
            </w:r>
            <w:r w:rsidRPr="000C156A">
              <w:rPr>
                <w:rFonts w:hint="eastAsia"/>
                <w:sz w:val="20"/>
                <w:lang w:val="en-US" w:eastAsia="zh-CN"/>
              </w:rPr>
              <w:t>和</w:t>
            </w:r>
            <w:r w:rsidRPr="000C156A">
              <w:rPr>
                <w:sz w:val="20"/>
                <w:lang w:val="en-US" w:eastAsia="zh-CN"/>
              </w:rPr>
              <w:t>20</w:t>
            </w:r>
            <w:r w:rsidR="00E82FE7">
              <w:rPr>
                <w:sz w:val="20"/>
                <w:lang w:val="en-US" w:eastAsia="zh-CN"/>
              </w:rPr>
              <w:t>20</w:t>
            </w:r>
            <w:r w:rsidRPr="000C156A">
              <w:rPr>
                <w:rFonts w:hint="eastAsia"/>
                <w:sz w:val="20"/>
                <w:lang w:val="en-US" w:eastAsia="zh-CN"/>
              </w:rPr>
              <w:t>年均为</w:t>
            </w:r>
            <w:r w:rsidRPr="000C156A">
              <w:rPr>
                <w:sz w:val="20"/>
                <w:lang w:val="en-US" w:eastAsia="zh-CN"/>
              </w:rPr>
              <w:t>2.50%</w:t>
            </w:r>
          </w:p>
        </w:tc>
      </w:tr>
      <w:tr w:rsidR="0085433F" w:rsidRPr="000C156A" w14:paraId="48243D3F"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7D92EF9D" w14:textId="77777777" w:rsidR="0085433F" w:rsidRPr="000C156A" w:rsidRDefault="0085433F" w:rsidP="003A64C9">
            <w:pPr>
              <w:pStyle w:val="Tabletext"/>
              <w:rPr>
                <w:sz w:val="20"/>
                <w:lang w:val="en-US" w:eastAsia="zh-CN"/>
              </w:rPr>
            </w:pPr>
            <w:r w:rsidRPr="000C156A">
              <w:rPr>
                <w:sz w:val="20"/>
                <w:lang w:val="en-US" w:eastAsia="zh-CN"/>
              </w:rPr>
              <w:lastRenderedPageBreak/>
              <w:t>201</w:t>
            </w:r>
            <w:r w:rsidRPr="000C156A">
              <w:rPr>
                <w:rFonts w:hint="eastAsia"/>
                <w:sz w:val="20"/>
                <w:lang w:val="en-US" w:eastAsia="zh-CN"/>
              </w:rPr>
              <w:t>8</w:t>
            </w:r>
            <w:r w:rsidRPr="000C156A">
              <w:rPr>
                <w:rFonts w:hint="eastAsia"/>
                <w:sz w:val="20"/>
                <w:lang w:val="en-US" w:eastAsia="zh-CN"/>
              </w:rPr>
              <w:t>年医疗费用报销申请年预期平均成本和不同年龄的医疗费用变化</w:t>
            </w:r>
          </w:p>
        </w:tc>
        <w:tc>
          <w:tcPr>
            <w:tcW w:w="6657" w:type="dxa"/>
            <w:tcBorders>
              <w:top w:val="single" w:sz="4" w:space="0" w:color="auto"/>
              <w:left w:val="single" w:sz="4" w:space="0" w:color="auto"/>
              <w:bottom w:val="single" w:sz="4" w:space="0" w:color="auto"/>
              <w:right w:val="single" w:sz="4" w:space="0" w:color="auto"/>
            </w:tcBorders>
            <w:hideMark/>
          </w:tcPr>
          <w:p w14:paraId="08FF6076" w14:textId="153D19F3" w:rsidR="0085433F" w:rsidRPr="000C156A" w:rsidRDefault="0085433F" w:rsidP="003A64C9">
            <w:pPr>
              <w:pStyle w:val="Tabletext"/>
              <w:rPr>
                <w:sz w:val="20"/>
                <w:lang w:val="en-US" w:eastAsia="zh-CN"/>
              </w:rPr>
            </w:pPr>
            <w:r w:rsidRPr="000C156A">
              <w:rPr>
                <w:sz w:val="20"/>
                <w:lang w:val="en-US" w:eastAsia="zh-CN"/>
              </w:rPr>
              <w:t>202</w:t>
            </w:r>
            <w:r w:rsidR="00E82FE7">
              <w:rPr>
                <w:sz w:val="20"/>
                <w:lang w:val="en-US" w:eastAsia="zh-CN"/>
              </w:rPr>
              <w:t>1</w:t>
            </w:r>
            <w:r w:rsidRPr="000C156A">
              <w:rPr>
                <w:rFonts w:hint="eastAsia"/>
                <w:sz w:val="20"/>
                <w:lang w:val="en-US" w:eastAsia="zh-CN"/>
              </w:rPr>
              <w:t>年精算报告基于</w:t>
            </w:r>
            <w:r w:rsidRPr="000C156A">
              <w:rPr>
                <w:sz w:val="20"/>
                <w:lang w:val="en-US" w:eastAsia="zh-CN"/>
              </w:rPr>
              <w:t>202</w:t>
            </w:r>
            <w:r w:rsidR="00E82FE7">
              <w:rPr>
                <w:sz w:val="20"/>
                <w:lang w:val="en-US" w:eastAsia="zh-CN"/>
              </w:rPr>
              <w:t>1</w:t>
            </w:r>
            <w:r w:rsidRPr="000C156A">
              <w:rPr>
                <w:rFonts w:hint="eastAsia"/>
                <w:sz w:val="20"/>
                <w:lang w:val="en-US" w:eastAsia="zh-CN"/>
              </w:rPr>
              <w:t>年底年龄分别为</w:t>
            </w:r>
            <w:r w:rsidRPr="000C156A">
              <w:rPr>
                <w:sz w:val="20"/>
                <w:lang w:val="en-US" w:eastAsia="zh-CN"/>
              </w:rPr>
              <w:t>50</w:t>
            </w:r>
            <w:r w:rsidRPr="000C156A">
              <w:rPr>
                <w:rFonts w:hint="eastAsia"/>
                <w:sz w:val="20"/>
                <w:lang w:val="en-US" w:eastAsia="zh-CN"/>
              </w:rPr>
              <w:t>、</w:t>
            </w:r>
            <w:r w:rsidRPr="000C156A">
              <w:rPr>
                <w:sz w:val="20"/>
                <w:lang w:val="en-US" w:eastAsia="zh-CN"/>
              </w:rPr>
              <w:t>55</w:t>
            </w:r>
            <w:r w:rsidRPr="000C156A">
              <w:rPr>
                <w:rFonts w:hint="eastAsia"/>
                <w:sz w:val="20"/>
                <w:lang w:val="en-US" w:eastAsia="zh-CN"/>
              </w:rPr>
              <w:t>、</w:t>
            </w:r>
            <w:r w:rsidRPr="000C156A">
              <w:rPr>
                <w:sz w:val="20"/>
                <w:lang w:val="en-US" w:eastAsia="zh-CN"/>
              </w:rPr>
              <w:t>60</w:t>
            </w:r>
            <w:r w:rsidRPr="000C156A">
              <w:rPr>
                <w:rFonts w:hint="eastAsia"/>
                <w:sz w:val="20"/>
                <w:lang w:val="en-US" w:eastAsia="zh-CN"/>
              </w:rPr>
              <w:t>、</w:t>
            </w:r>
            <w:r w:rsidRPr="000C156A">
              <w:rPr>
                <w:sz w:val="20"/>
                <w:lang w:val="en-US" w:eastAsia="zh-CN"/>
              </w:rPr>
              <w:t>65</w:t>
            </w:r>
            <w:r w:rsidRPr="000C156A">
              <w:rPr>
                <w:rFonts w:hint="eastAsia"/>
                <w:sz w:val="20"/>
                <w:lang w:val="en-US" w:eastAsia="zh-CN"/>
              </w:rPr>
              <w:t>、</w:t>
            </w:r>
            <w:r w:rsidRPr="000C156A">
              <w:rPr>
                <w:sz w:val="20"/>
                <w:lang w:val="en-US" w:eastAsia="zh-CN"/>
              </w:rPr>
              <w:t>70</w:t>
            </w:r>
            <w:r w:rsidRPr="000C156A">
              <w:rPr>
                <w:rFonts w:hint="eastAsia"/>
                <w:sz w:val="20"/>
                <w:lang w:val="en-US" w:eastAsia="zh-CN"/>
              </w:rPr>
              <w:t>、</w:t>
            </w:r>
            <w:r w:rsidRPr="000C156A">
              <w:rPr>
                <w:sz w:val="20"/>
                <w:lang w:val="en-US" w:eastAsia="zh-CN"/>
              </w:rPr>
              <w:t>75</w:t>
            </w:r>
            <w:r w:rsidRPr="000C156A">
              <w:rPr>
                <w:rFonts w:hint="eastAsia"/>
                <w:sz w:val="20"/>
                <w:lang w:val="en-US" w:eastAsia="zh-CN"/>
              </w:rPr>
              <w:t>和</w:t>
            </w:r>
            <w:r w:rsidRPr="000C156A">
              <w:rPr>
                <w:sz w:val="20"/>
                <w:lang w:val="en-US" w:eastAsia="zh-CN"/>
              </w:rPr>
              <w:t>80</w:t>
            </w:r>
            <w:r w:rsidRPr="000C156A">
              <w:rPr>
                <w:rFonts w:hint="eastAsia"/>
                <w:sz w:val="20"/>
                <w:lang w:val="en-US" w:eastAsia="zh-CN"/>
              </w:rPr>
              <w:t>岁的人员估算的平均年龄段报销申请平均费用（瑞郎）：</w:t>
            </w:r>
            <w:r w:rsidRPr="000C156A">
              <w:rPr>
                <w:rFonts w:hint="eastAsia"/>
                <w:sz w:val="20"/>
                <w:lang w:val="en-US" w:eastAsia="zh-CN"/>
              </w:rPr>
              <w:t>3</w:t>
            </w:r>
            <w:r w:rsidRPr="000C156A">
              <w:rPr>
                <w:sz w:val="20"/>
                <w:lang w:val="en-US" w:eastAsia="zh-CN"/>
              </w:rPr>
              <w:t> 487</w:t>
            </w:r>
            <w:r w:rsidRPr="000C156A">
              <w:rPr>
                <w:rFonts w:hint="eastAsia"/>
                <w:sz w:val="20"/>
                <w:lang w:val="en-US" w:eastAsia="zh-CN"/>
              </w:rPr>
              <w:t>瑞郎、</w:t>
            </w:r>
            <w:r w:rsidRPr="000C156A">
              <w:rPr>
                <w:rFonts w:hint="eastAsia"/>
                <w:sz w:val="20"/>
                <w:lang w:val="en-US" w:eastAsia="zh-CN"/>
              </w:rPr>
              <w:t>4</w:t>
            </w:r>
            <w:r w:rsidRPr="000C156A">
              <w:rPr>
                <w:sz w:val="20"/>
                <w:lang w:val="en-US" w:eastAsia="zh-CN"/>
              </w:rPr>
              <w:t> 365</w:t>
            </w:r>
            <w:r w:rsidRPr="000C156A">
              <w:rPr>
                <w:rFonts w:hint="eastAsia"/>
                <w:sz w:val="20"/>
                <w:lang w:val="en-US" w:eastAsia="zh-CN"/>
              </w:rPr>
              <w:t>瑞郎、</w:t>
            </w:r>
            <w:r w:rsidRPr="000C156A">
              <w:rPr>
                <w:rFonts w:hint="eastAsia"/>
                <w:sz w:val="20"/>
                <w:lang w:val="en-US" w:eastAsia="zh-CN"/>
              </w:rPr>
              <w:t>5</w:t>
            </w:r>
            <w:r w:rsidRPr="000C156A">
              <w:rPr>
                <w:sz w:val="20"/>
                <w:lang w:val="en-US" w:eastAsia="zh-CN"/>
              </w:rPr>
              <w:t> 472</w:t>
            </w:r>
            <w:r w:rsidRPr="000C156A">
              <w:rPr>
                <w:rFonts w:hint="eastAsia"/>
                <w:sz w:val="20"/>
                <w:lang w:val="en-US" w:eastAsia="zh-CN"/>
              </w:rPr>
              <w:t>瑞郎、</w:t>
            </w:r>
            <w:r w:rsidRPr="000C156A">
              <w:rPr>
                <w:rFonts w:hint="eastAsia"/>
                <w:sz w:val="20"/>
                <w:lang w:val="en-US" w:eastAsia="zh-CN"/>
              </w:rPr>
              <w:t>6</w:t>
            </w:r>
            <w:r w:rsidRPr="000C156A">
              <w:rPr>
                <w:sz w:val="20"/>
                <w:lang w:val="en-US" w:eastAsia="zh-CN"/>
              </w:rPr>
              <w:t> 871</w:t>
            </w:r>
            <w:r w:rsidRPr="000C156A">
              <w:rPr>
                <w:rFonts w:hint="eastAsia"/>
                <w:sz w:val="20"/>
                <w:lang w:val="en-US" w:eastAsia="zh-CN"/>
              </w:rPr>
              <w:t>瑞郎、</w:t>
            </w:r>
            <w:r w:rsidRPr="000C156A">
              <w:rPr>
                <w:rFonts w:hint="eastAsia"/>
                <w:sz w:val="20"/>
                <w:lang w:val="en-US" w:eastAsia="zh-CN"/>
              </w:rPr>
              <w:t>8</w:t>
            </w:r>
            <w:r w:rsidRPr="000C156A">
              <w:rPr>
                <w:sz w:val="20"/>
                <w:lang w:val="en-US" w:eastAsia="zh-CN"/>
              </w:rPr>
              <w:t> 641</w:t>
            </w:r>
            <w:r w:rsidRPr="000C156A">
              <w:rPr>
                <w:rFonts w:hint="eastAsia"/>
                <w:sz w:val="20"/>
                <w:lang w:val="en-US" w:eastAsia="zh-CN"/>
              </w:rPr>
              <w:t>瑞郎、</w:t>
            </w:r>
            <w:r w:rsidRPr="000C156A">
              <w:rPr>
                <w:sz w:val="20"/>
                <w:lang w:val="en-US" w:eastAsia="zh-CN"/>
              </w:rPr>
              <w:t>10 889</w:t>
            </w:r>
            <w:r w:rsidRPr="000C156A">
              <w:rPr>
                <w:rFonts w:hint="eastAsia"/>
                <w:sz w:val="20"/>
                <w:lang w:val="en-US" w:eastAsia="zh-CN"/>
              </w:rPr>
              <w:t>瑞郎、</w:t>
            </w:r>
            <w:r w:rsidRPr="000C156A">
              <w:rPr>
                <w:sz w:val="20"/>
                <w:lang w:val="en-US" w:eastAsia="zh-CN"/>
              </w:rPr>
              <w:t>13 743</w:t>
            </w:r>
            <w:r w:rsidRPr="000C156A">
              <w:rPr>
                <w:rFonts w:hint="eastAsia"/>
                <w:sz w:val="20"/>
                <w:lang w:val="en-US" w:eastAsia="zh-CN"/>
              </w:rPr>
              <w:t>瑞郎。</w:t>
            </w:r>
          </w:p>
        </w:tc>
      </w:tr>
      <w:tr w:rsidR="0085433F" w:rsidRPr="000C156A" w14:paraId="00F9F989"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314E8470" w14:textId="77777777" w:rsidR="0085433F" w:rsidRPr="000C156A" w:rsidRDefault="0085433F" w:rsidP="003A64C9">
            <w:pPr>
              <w:pStyle w:val="Tabletext"/>
              <w:rPr>
                <w:sz w:val="20"/>
                <w:lang w:val="en-US"/>
              </w:rPr>
            </w:pPr>
            <w:r w:rsidRPr="000C156A">
              <w:rPr>
                <w:rFonts w:hint="eastAsia"/>
                <w:sz w:val="20"/>
                <w:lang w:val="en-US"/>
              </w:rPr>
              <w:t>行政费用</w:t>
            </w:r>
          </w:p>
        </w:tc>
        <w:tc>
          <w:tcPr>
            <w:tcW w:w="6657" w:type="dxa"/>
            <w:tcBorders>
              <w:top w:val="single" w:sz="4" w:space="0" w:color="auto"/>
              <w:left w:val="single" w:sz="4" w:space="0" w:color="auto"/>
              <w:bottom w:val="single" w:sz="4" w:space="0" w:color="auto"/>
              <w:right w:val="single" w:sz="4" w:space="0" w:color="auto"/>
            </w:tcBorders>
            <w:hideMark/>
          </w:tcPr>
          <w:p w14:paraId="2C3B7B67" w14:textId="77777777" w:rsidR="0085433F" w:rsidRPr="000C156A" w:rsidRDefault="0085433F" w:rsidP="003A64C9">
            <w:pPr>
              <w:pStyle w:val="Tabletext"/>
              <w:rPr>
                <w:sz w:val="20"/>
                <w:lang w:val="en-US" w:eastAsia="zh-CN"/>
              </w:rPr>
            </w:pPr>
            <w:r w:rsidRPr="000C156A">
              <w:rPr>
                <w:rFonts w:hint="eastAsia"/>
                <w:sz w:val="20"/>
                <w:lang w:val="en-US" w:eastAsia="zh-CN"/>
              </w:rPr>
              <w:t>每人年平均行政费用为</w:t>
            </w:r>
            <w:r w:rsidRPr="000C156A">
              <w:rPr>
                <w:sz w:val="20"/>
                <w:lang w:val="en-US" w:eastAsia="zh-CN"/>
              </w:rPr>
              <w:t>161</w:t>
            </w:r>
            <w:r w:rsidRPr="000C156A">
              <w:rPr>
                <w:rFonts w:hint="eastAsia"/>
                <w:sz w:val="20"/>
                <w:lang w:val="en-US" w:eastAsia="zh-CN"/>
              </w:rPr>
              <w:t>瑞郎。</w:t>
            </w:r>
          </w:p>
        </w:tc>
      </w:tr>
      <w:tr w:rsidR="0085433F" w:rsidRPr="000C156A" w14:paraId="137A03D7"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10E6AB74" w14:textId="77777777" w:rsidR="0085433F" w:rsidRPr="000C156A" w:rsidRDefault="0085433F" w:rsidP="003A64C9">
            <w:pPr>
              <w:pStyle w:val="Tabletext"/>
              <w:rPr>
                <w:sz w:val="20"/>
                <w:lang w:val="en-US"/>
              </w:rPr>
            </w:pPr>
            <w:r w:rsidRPr="000C156A">
              <w:rPr>
                <w:rFonts w:hint="eastAsia"/>
                <w:sz w:val="20"/>
                <w:lang w:val="en-US"/>
              </w:rPr>
              <w:t>死亡率</w:t>
            </w:r>
          </w:p>
        </w:tc>
        <w:tc>
          <w:tcPr>
            <w:tcW w:w="6657" w:type="dxa"/>
            <w:tcBorders>
              <w:top w:val="single" w:sz="4" w:space="0" w:color="auto"/>
              <w:left w:val="single" w:sz="4" w:space="0" w:color="auto"/>
              <w:bottom w:val="single" w:sz="4" w:space="0" w:color="auto"/>
              <w:right w:val="single" w:sz="4" w:space="0" w:color="auto"/>
            </w:tcBorders>
            <w:hideMark/>
          </w:tcPr>
          <w:p w14:paraId="7C4C3AD5" w14:textId="215A21BD" w:rsidR="0085433F" w:rsidRPr="000C156A" w:rsidRDefault="0085433F" w:rsidP="003A64C9">
            <w:pPr>
              <w:pStyle w:val="Tabletext"/>
              <w:rPr>
                <w:sz w:val="20"/>
                <w:lang w:val="en-US" w:eastAsia="zh-CN"/>
              </w:rPr>
            </w:pPr>
            <w:r w:rsidRPr="000C156A">
              <w:rPr>
                <w:sz w:val="20"/>
                <w:lang w:eastAsia="zh-CN"/>
              </w:rPr>
              <w:t>死亡率基于上一份按性别分列的联合国死亡率表</w:t>
            </w:r>
            <w:r w:rsidRPr="000C156A">
              <w:rPr>
                <w:rFonts w:hint="eastAsia"/>
                <w:sz w:val="20"/>
                <w:lang w:eastAsia="zh-CN"/>
              </w:rPr>
              <w:t>（</w:t>
            </w:r>
            <w:r w:rsidRPr="000C156A">
              <w:rPr>
                <w:sz w:val="20"/>
                <w:lang w:eastAsia="zh-CN"/>
              </w:rPr>
              <w:t>202</w:t>
            </w:r>
            <w:r w:rsidR="00E82FE7">
              <w:rPr>
                <w:sz w:val="20"/>
                <w:lang w:eastAsia="zh-CN"/>
              </w:rPr>
              <w:t>2</w:t>
            </w:r>
            <w:r w:rsidRPr="000C156A">
              <w:rPr>
                <w:sz w:val="20"/>
                <w:lang w:eastAsia="zh-CN"/>
              </w:rPr>
              <w:t>年</w:t>
            </w:r>
            <w:r w:rsidRPr="000C156A">
              <w:rPr>
                <w:rFonts w:hint="eastAsia"/>
                <w:sz w:val="20"/>
                <w:lang w:eastAsia="zh-CN"/>
              </w:rPr>
              <w:t>1</w:t>
            </w:r>
            <w:r w:rsidRPr="000C156A">
              <w:rPr>
                <w:sz w:val="20"/>
                <w:lang w:eastAsia="zh-CN"/>
              </w:rPr>
              <w:t>月</w:t>
            </w:r>
            <w:r w:rsidRPr="000C156A">
              <w:rPr>
                <w:rFonts w:hint="eastAsia"/>
                <w:sz w:val="20"/>
                <w:lang w:eastAsia="zh-CN"/>
              </w:rPr>
              <w:t>）</w:t>
            </w:r>
            <w:r w:rsidRPr="000C156A">
              <w:rPr>
                <w:sz w:val="20"/>
                <w:lang w:eastAsia="zh-CN"/>
              </w:rPr>
              <w:t>，</w:t>
            </w:r>
            <w:r w:rsidRPr="000C156A">
              <w:rPr>
                <w:rFonts w:hint="eastAsia"/>
                <w:sz w:val="20"/>
                <w:lang w:eastAsia="zh-CN"/>
              </w:rPr>
              <w:t>现职</w:t>
            </w:r>
            <w:r w:rsidRPr="000C156A">
              <w:rPr>
                <w:sz w:val="20"/>
                <w:lang w:eastAsia="zh-CN"/>
              </w:rPr>
              <w:t>人员和残疾退休人员的寿命没有</w:t>
            </w:r>
            <w:r w:rsidRPr="000C156A">
              <w:rPr>
                <w:rFonts w:hint="eastAsia"/>
                <w:sz w:val="20"/>
                <w:lang w:eastAsia="zh-CN"/>
              </w:rPr>
              <w:t>延长</w:t>
            </w:r>
            <w:r w:rsidRPr="000C156A">
              <w:rPr>
                <w:sz w:val="20"/>
                <w:lang w:eastAsia="zh-CN"/>
              </w:rPr>
              <w:t>，</w:t>
            </w:r>
            <w:r w:rsidRPr="000C156A">
              <w:rPr>
                <w:rFonts w:hint="eastAsia"/>
                <w:sz w:val="20"/>
                <w:lang w:val="en-US" w:eastAsia="zh-CN"/>
              </w:rPr>
              <w:t>养恤金领取人员、遗属</w:t>
            </w:r>
            <w:r w:rsidRPr="000C156A">
              <w:rPr>
                <w:sz w:val="20"/>
                <w:lang w:eastAsia="zh-CN"/>
              </w:rPr>
              <w:t>的寿命在</w:t>
            </w:r>
            <w:r w:rsidRPr="000C156A">
              <w:rPr>
                <w:sz w:val="20"/>
                <w:lang w:eastAsia="zh-CN"/>
              </w:rPr>
              <w:t>204</w:t>
            </w:r>
            <w:r w:rsidR="00E82FE7">
              <w:rPr>
                <w:sz w:val="20"/>
                <w:lang w:eastAsia="zh-CN"/>
              </w:rPr>
              <w:t>1</w:t>
            </w:r>
            <w:r w:rsidRPr="000C156A">
              <w:rPr>
                <w:sz w:val="20"/>
                <w:lang w:eastAsia="zh-CN"/>
              </w:rPr>
              <w:t>年之前一直保持</w:t>
            </w:r>
            <w:r w:rsidRPr="000C156A">
              <w:rPr>
                <w:rFonts w:hint="eastAsia"/>
                <w:sz w:val="20"/>
                <w:lang w:eastAsia="zh-CN"/>
              </w:rPr>
              <w:t>总体延长</w:t>
            </w:r>
            <w:r w:rsidRPr="000C156A">
              <w:rPr>
                <w:sz w:val="20"/>
                <w:lang w:eastAsia="zh-CN"/>
              </w:rPr>
              <w:t>。</w:t>
            </w:r>
            <w:r w:rsidRPr="000C156A">
              <w:rPr>
                <w:rFonts w:hint="eastAsia"/>
                <w:sz w:val="20"/>
                <w:lang w:val="en-US" w:eastAsia="zh-CN"/>
              </w:rPr>
              <w:t>基础年份为</w:t>
            </w:r>
            <w:r w:rsidRPr="000C156A">
              <w:rPr>
                <w:sz w:val="20"/>
                <w:lang w:val="en-US" w:eastAsia="zh-CN"/>
              </w:rPr>
              <w:t>2017</w:t>
            </w:r>
            <w:r w:rsidRPr="000C156A">
              <w:rPr>
                <w:rFonts w:hint="eastAsia"/>
                <w:sz w:val="20"/>
                <w:lang w:val="en-US" w:eastAsia="zh-CN"/>
              </w:rPr>
              <w:t>年，采用</w:t>
            </w:r>
            <w:r w:rsidRPr="000C156A">
              <w:rPr>
                <w:sz w:val="20"/>
                <w:lang w:val="en-US" w:eastAsia="zh-CN"/>
              </w:rPr>
              <w:t>204</w:t>
            </w:r>
            <w:r w:rsidR="00E82FE7">
              <w:rPr>
                <w:sz w:val="20"/>
                <w:lang w:val="en-US" w:eastAsia="zh-CN"/>
              </w:rPr>
              <w:t>1</w:t>
            </w:r>
            <w:r w:rsidRPr="000C156A">
              <w:rPr>
                <w:rFonts w:hint="eastAsia"/>
                <w:sz w:val="20"/>
                <w:lang w:val="en-US" w:eastAsia="zh-CN"/>
              </w:rPr>
              <w:t>年前适用于当前健康非在职人员的总体寿命延长（</w:t>
            </w:r>
            <w:r w:rsidRPr="000C156A">
              <w:rPr>
                <w:sz w:val="20"/>
                <w:lang w:val="en-US" w:eastAsia="zh-CN"/>
              </w:rPr>
              <w:t>generational improvement</w:t>
            </w:r>
            <w:r w:rsidRPr="000C156A">
              <w:rPr>
                <w:rFonts w:hint="eastAsia"/>
                <w:sz w:val="20"/>
                <w:lang w:val="en-US" w:eastAsia="zh-CN"/>
              </w:rPr>
              <w:t>）。</w:t>
            </w:r>
          </w:p>
        </w:tc>
      </w:tr>
      <w:tr w:rsidR="0085433F" w:rsidRPr="000C156A" w14:paraId="7C485F46"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4AF2141D" w14:textId="77777777" w:rsidR="0085433F" w:rsidRPr="000C156A" w:rsidRDefault="0085433F" w:rsidP="003A64C9">
            <w:pPr>
              <w:pStyle w:val="Tabletext"/>
              <w:rPr>
                <w:sz w:val="20"/>
                <w:lang w:val="en-US"/>
              </w:rPr>
            </w:pPr>
            <w:r w:rsidRPr="000C156A">
              <w:rPr>
                <w:rFonts w:hint="eastAsia"/>
                <w:sz w:val="20"/>
                <w:lang w:val="en-US"/>
              </w:rPr>
              <w:t>资产估值</w:t>
            </w:r>
          </w:p>
        </w:tc>
        <w:tc>
          <w:tcPr>
            <w:tcW w:w="6657" w:type="dxa"/>
            <w:tcBorders>
              <w:top w:val="single" w:sz="4" w:space="0" w:color="auto"/>
              <w:left w:val="single" w:sz="4" w:space="0" w:color="auto"/>
              <w:bottom w:val="single" w:sz="4" w:space="0" w:color="auto"/>
              <w:right w:val="single" w:sz="4" w:space="0" w:color="auto"/>
            </w:tcBorders>
            <w:hideMark/>
          </w:tcPr>
          <w:p w14:paraId="43FA818A" w14:textId="6DDDAF42" w:rsidR="0085433F" w:rsidRPr="000C156A" w:rsidRDefault="0085433F" w:rsidP="003A64C9">
            <w:pPr>
              <w:pStyle w:val="Tabletext"/>
              <w:rPr>
                <w:sz w:val="20"/>
                <w:lang w:val="en-US" w:eastAsia="zh-CN"/>
              </w:rPr>
            </w:pPr>
            <w:r w:rsidRPr="000C156A">
              <w:rPr>
                <w:rFonts w:hint="eastAsia"/>
                <w:sz w:val="20"/>
                <w:lang w:val="en-US" w:eastAsia="zh-CN"/>
              </w:rPr>
              <w:t>截至</w:t>
            </w:r>
            <w:r w:rsidRPr="000C156A">
              <w:rPr>
                <w:sz w:val="20"/>
                <w:lang w:val="en-US" w:eastAsia="zh-CN"/>
              </w:rPr>
              <w:t>20</w:t>
            </w:r>
            <w:r w:rsidRPr="000C156A">
              <w:rPr>
                <w:rFonts w:hint="eastAsia"/>
                <w:sz w:val="20"/>
                <w:lang w:val="en-US" w:eastAsia="zh-CN"/>
              </w:rPr>
              <w:t>2</w:t>
            </w:r>
            <w:r w:rsidR="00E82FE7">
              <w:rPr>
                <w:sz w:val="20"/>
                <w:lang w:val="en-US" w:eastAsia="zh-CN"/>
              </w:rPr>
              <w:t>1</w:t>
            </w:r>
            <w:r w:rsidRPr="000C156A">
              <w:rPr>
                <w:rFonts w:hint="eastAsia"/>
                <w:sz w:val="20"/>
                <w:lang w:val="en-US" w:eastAsia="zh-CN"/>
              </w:rPr>
              <w:t>年</w:t>
            </w:r>
            <w:r w:rsidRPr="000C156A">
              <w:rPr>
                <w:sz w:val="20"/>
                <w:lang w:val="en-US" w:eastAsia="zh-CN"/>
              </w:rPr>
              <w:t>12</w:t>
            </w:r>
            <w:r w:rsidRPr="000C156A">
              <w:rPr>
                <w:rFonts w:hint="eastAsia"/>
                <w:sz w:val="20"/>
                <w:lang w:val="en-US" w:eastAsia="zh-CN"/>
              </w:rPr>
              <w:t>月</w:t>
            </w:r>
            <w:r w:rsidRPr="000C156A">
              <w:rPr>
                <w:sz w:val="20"/>
                <w:lang w:val="en-US" w:eastAsia="zh-CN"/>
              </w:rPr>
              <w:t>31</w:t>
            </w:r>
            <w:r w:rsidRPr="000C156A">
              <w:rPr>
                <w:rFonts w:hint="eastAsia"/>
                <w:sz w:val="20"/>
                <w:lang w:val="en-US" w:eastAsia="zh-CN"/>
              </w:rPr>
              <w:t>日，国际电联在保障基金下无财产。</w:t>
            </w:r>
          </w:p>
        </w:tc>
      </w:tr>
      <w:tr w:rsidR="0085433F" w:rsidRPr="000C156A" w14:paraId="3D12ACDF"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7F7BFFF4" w14:textId="77777777" w:rsidR="0085433F" w:rsidRPr="000C156A" w:rsidRDefault="0085433F" w:rsidP="003A64C9">
            <w:pPr>
              <w:pStyle w:val="Tabletext"/>
              <w:rPr>
                <w:sz w:val="20"/>
                <w:lang w:val="en-US" w:eastAsia="zh-CN"/>
              </w:rPr>
            </w:pPr>
            <w:r w:rsidRPr="000C156A">
              <w:rPr>
                <w:rFonts w:hint="eastAsia"/>
                <w:sz w:val="20"/>
                <w:lang w:val="en-US" w:eastAsia="zh-CN"/>
              </w:rPr>
              <w:t>残疾率</w:t>
            </w:r>
          </w:p>
        </w:tc>
        <w:tc>
          <w:tcPr>
            <w:tcW w:w="6657" w:type="dxa"/>
            <w:tcBorders>
              <w:top w:val="single" w:sz="4" w:space="0" w:color="auto"/>
              <w:left w:val="single" w:sz="4" w:space="0" w:color="auto"/>
              <w:bottom w:val="single" w:sz="4" w:space="0" w:color="auto"/>
              <w:right w:val="single" w:sz="4" w:space="0" w:color="auto"/>
            </w:tcBorders>
            <w:hideMark/>
          </w:tcPr>
          <w:p w14:paraId="531739D6" w14:textId="0ECE4472" w:rsidR="0085433F" w:rsidRPr="000C156A" w:rsidRDefault="0085433F" w:rsidP="003A64C9">
            <w:pPr>
              <w:pStyle w:val="Tabletext"/>
              <w:rPr>
                <w:sz w:val="20"/>
                <w:lang w:val="en-US" w:eastAsia="zh-CN"/>
              </w:rPr>
            </w:pPr>
            <w:r w:rsidRPr="000C156A">
              <w:rPr>
                <w:rFonts w:hint="eastAsia"/>
                <w:sz w:val="20"/>
                <w:lang w:val="en-US" w:eastAsia="zh-CN"/>
              </w:rPr>
              <w:t>该数字随年龄和性别以及专业类职员和一般事务类职员的不同而不同，并随年龄的增长而增加。残疾率以</w:t>
            </w:r>
            <w:r w:rsidRPr="000C156A">
              <w:rPr>
                <w:rFonts w:hint="eastAsia"/>
                <w:sz w:val="20"/>
                <w:lang w:val="en-US" w:eastAsia="zh-CN"/>
              </w:rPr>
              <w:t>2</w:t>
            </w:r>
            <w:r w:rsidRPr="000C156A">
              <w:rPr>
                <w:sz w:val="20"/>
                <w:lang w:val="en-US" w:eastAsia="zh-CN"/>
              </w:rPr>
              <w:t>02</w:t>
            </w:r>
            <w:r w:rsidR="00F85696">
              <w:rPr>
                <w:sz w:val="20"/>
                <w:lang w:val="en-US" w:eastAsia="zh-CN"/>
              </w:rPr>
              <w:t>2</w:t>
            </w:r>
            <w:r w:rsidRPr="000C156A">
              <w:rPr>
                <w:rFonts w:hint="eastAsia"/>
                <w:sz w:val="20"/>
                <w:lang w:val="en-US" w:eastAsia="zh-CN"/>
              </w:rPr>
              <w:t>年</w:t>
            </w:r>
            <w:r w:rsidR="00E82FE7">
              <w:rPr>
                <w:rFonts w:hint="eastAsia"/>
                <w:sz w:val="20"/>
                <w:lang w:val="en-US" w:eastAsia="zh-CN"/>
              </w:rPr>
              <w:t>1</w:t>
            </w:r>
            <w:r w:rsidRPr="000C156A">
              <w:rPr>
                <w:rFonts w:hint="eastAsia"/>
                <w:sz w:val="20"/>
                <w:lang w:val="en-US" w:eastAsia="zh-CN"/>
              </w:rPr>
              <w:t>月通报的联合国残疾表为基础。</w:t>
            </w:r>
          </w:p>
        </w:tc>
      </w:tr>
      <w:tr w:rsidR="0085433F" w:rsidRPr="000C156A" w14:paraId="08B127C5"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107EB098" w14:textId="77777777" w:rsidR="0085433F" w:rsidRPr="000C156A" w:rsidRDefault="0085433F" w:rsidP="003A64C9">
            <w:pPr>
              <w:pStyle w:val="Tabletext"/>
              <w:rPr>
                <w:sz w:val="20"/>
                <w:lang w:val="en-US" w:eastAsia="zh-CN"/>
              </w:rPr>
            </w:pPr>
            <w:r w:rsidRPr="000C156A">
              <w:rPr>
                <w:rFonts w:hint="eastAsia"/>
                <w:sz w:val="20"/>
                <w:lang w:val="en-US" w:eastAsia="zh-CN"/>
              </w:rPr>
              <w:t>福利权利转换率</w:t>
            </w:r>
          </w:p>
        </w:tc>
        <w:tc>
          <w:tcPr>
            <w:tcW w:w="6657" w:type="dxa"/>
            <w:tcBorders>
              <w:top w:val="single" w:sz="4" w:space="0" w:color="auto"/>
              <w:left w:val="single" w:sz="4" w:space="0" w:color="auto"/>
              <w:bottom w:val="single" w:sz="4" w:space="0" w:color="auto"/>
              <w:right w:val="single" w:sz="4" w:space="0" w:color="auto"/>
            </w:tcBorders>
            <w:hideMark/>
          </w:tcPr>
          <w:p w14:paraId="674978EE" w14:textId="77777777" w:rsidR="0085433F" w:rsidRPr="000C156A" w:rsidRDefault="0085433F" w:rsidP="003A64C9">
            <w:pPr>
              <w:pStyle w:val="Tabletext"/>
              <w:rPr>
                <w:sz w:val="20"/>
                <w:lang w:val="en-US" w:eastAsia="zh-CN"/>
              </w:rPr>
            </w:pPr>
            <w:r w:rsidRPr="000C156A">
              <w:rPr>
                <w:rFonts w:hint="eastAsia"/>
                <w:sz w:val="20"/>
                <w:lang w:val="en-US" w:eastAsia="zh-CN"/>
              </w:rPr>
              <w:t>该转换率随着年龄和服务年限的不同而不同，头一年提出的转换申请更多。</w:t>
            </w:r>
          </w:p>
        </w:tc>
      </w:tr>
      <w:tr w:rsidR="0085433F" w:rsidRPr="000C156A" w14:paraId="47D1E021"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0F4F53DC" w14:textId="77777777" w:rsidR="0085433F" w:rsidRPr="000C156A" w:rsidRDefault="0085433F" w:rsidP="003A64C9">
            <w:pPr>
              <w:pStyle w:val="Tabletext"/>
              <w:rPr>
                <w:sz w:val="20"/>
                <w:lang w:val="en-US" w:eastAsia="zh-CN"/>
              </w:rPr>
            </w:pPr>
            <w:r w:rsidRPr="000C156A">
              <w:rPr>
                <w:rFonts w:hint="eastAsia"/>
                <w:sz w:val="20"/>
                <w:lang w:val="en-US" w:eastAsia="zh-CN"/>
              </w:rPr>
              <w:t>职员流动</w:t>
            </w:r>
          </w:p>
        </w:tc>
        <w:tc>
          <w:tcPr>
            <w:tcW w:w="6657" w:type="dxa"/>
            <w:tcBorders>
              <w:top w:val="single" w:sz="4" w:space="0" w:color="auto"/>
              <w:left w:val="single" w:sz="4" w:space="0" w:color="auto"/>
              <w:bottom w:val="single" w:sz="4" w:space="0" w:color="auto"/>
              <w:right w:val="single" w:sz="4" w:space="0" w:color="auto"/>
            </w:tcBorders>
            <w:hideMark/>
          </w:tcPr>
          <w:p w14:paraId="7150E79A" w14:textId="77777777" w:rsidR="0085433F" w:rsidRPr="000C156A" w:rsidRDefault="0085433F" w:rsidP="003A64C9">
            <w:pPr>
              <w:pStyle w:val="Tabletext"/>
              <w:rPr>
                <w:sz w:val="20"/>
                <w:lang w:val="en-US" w:eastAsia="zh-CN"/>
              </w:rPr>
            </w:pPr>
            <w:r w:rsidRPr="000C156A">
              <w:rPr>
                <w:rFonts w:hint="eastAsia"/>
                <w:sz w:val="20"/>
                <w:lang w:val="en-US" w:eastAsia="zh-CN"/>
              </w:rPr>
              <w:t>估值中被考虑的、离开组织的职员离职率随年龄和性别的不同而不同。</w:t>
            </w:r>
          </w:p>
        </w:tc>
      </w:tr>
      <w:tr w:rsidR="0085433F" w:rsidRPr="000C156A" w14:paraId="79CB9D49"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59901C17" w14:textId="77777777" w:rsidR="0085433F" w:rsidRPr="000C156A" w:rsidRDefault="0085433F" w:rsidP="003A64C9">
            <w:pPr>
              <w:pStyle w:val="Tabletext"/>
              <w:rPr>
                <w:sz w:val="20"/>
                <w:lang w:val="en-US"/>
              </w:rPr>
            </w:pPr>
            <w:r w:rsidRPr="000C156A">
              <w:rPr>
                <w:rFonts w:hint="eastAsia"/>
                <w:sz w:val="20"/>
                <w:lang w:val="en-US"/>
              </w:rPr>
              <w:t>退休率</w:t>
            </w:r>
          </w:p>
        </w:tc>
        <w:tc>
          <w:tcPr>
            <w:tcW w:w="6657" w:type="dxa"/>
            <w:tcBorders>
              <w:top w:val="single" w:sz="4" w:space="0" w:color="auto"/>
              <w:left w:val="single" w:sz="4" w:space="0" w:color="auto"/>
              <w:bottom w:val="single" w:sz="4" w:space="0" w:color="auto"/>
              <w:right w:val="single" w:sz="4" w:space="0" w:color="auto"/>
            </w:tcBorders>
            <w:hideMark/>
          </w:tcPr>
          <w:p w14:paraId="089290D9" w14:textId="0653776F" w:rsidR="0085433F" w:rsidRPr="000C156A" w:rsidRDefault="0085433F" w:rsidP="003A64C9">
            <w:pPr>
              <w:pStyle w:val="Tabletext"/>
              <w:rPr>
                <w:sz w:val="20"/>
                <w:lang w:val="en-US" w:eastAsia="zh-CN"/>
              </w:rPr>
            </w:pPr>
            <w:r w:rsidRPr="000C156A">
              <w:rPr>
                <w:rFonts w:hint="eastAsia"/>
                <w:sz w:val="20"/>
                <w:lang w:val="en-US" w:eastAsia="zh-CN"/>
              </w:rPr>
              <w:t>所有职员的退休率设定为与</w:t>
            </w:r>
            <w:r w:rsidRPr="000C156A">
              <w:rPr>
                <w:rFonts w:hint="eastAsia"/>
                <w:sz w:val="20"/>
                <w:lang w:val="en-US" w:eastAsia="zh-CN"/>
              </w:rPr>
              <w:t>2</w:t>
            </w:r>
            <w:r w:rsidRPr="000C156A">
              <w:rPr>
                <w:sz w:val="20"/>
                <w:lang w:val="en-US" w:eastAsia="zh-CN"/>
              </w:rPr>
              <w:t>02</w:t>
            </w:r>
            <w:r w:rsidR="00F85696">
              <w:rPr>
                <w:sz w:val="20"/>
                <w:lang w:val="en-US" w:eastAsia="zh-CN"/>
              </w:rPr>
              <w:t>2</w:t>
            </w:r>
            <w:r w:rsidRPr="000C156A">
              <w:rPr>
                <w:rFonts w:hint="eastAsia"/>
                <w:sz w:val="20"/>
                <w:lang w:val="en-US" w:eastAsia="zh-CN"/>
              </w:rPr>
              <w:t>年</w:t>
            </w:r>
            <w:r w:rsidR="00E82FE7">
              <w:rPr>
                <w:rFonts w:hint="eastAsia"/>
                <w:sz w:val="20"/>
                <w:lang w:val="en-US" w:eastAsia="zh-CN"/>
              </w:rPr>
              <w:t>1</w:t>
            </w:r>
            <w:r w:rsidRPr="000C156A">
              <w:rPr>
                <w:rFonts w:hint="eastAsia"/>
                <w:sz w:val="20"/>
                <w:lang w:val="en-US" w:eastAsia="zh-CN"/>
              </w:rPr>
              <w:t>月联合国任务组提供的比率相同。退休率随年龄、服务年限和专业职位的不同而不同。</w:t>
            </w:r>
          </w:p>
        </w:tc>
      </w:tr>
      <w:tr w:rsidR="0085433F" w:rsidRPr="000C156A" w14:paraId="623F15A8"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135DEC2A" w14:textId="77777777" w:rsidR="0085433F" w:rsidRPr="000C156A" w:rsidRDefault="0085433F" w:rsidP="003A64C9">
            <w:pPr>
              <w:pStyle w:val="Tabletext"/>
              <w:rPr>
                <w:sz w:val="20"/>
                <w:lang w:val="en-US"/>
              </w:rPr>
            </w:pPr>
            <w:r w:rsidRPr="000C156A">
              <w:rPr>
                <w:rFonts w:hint="eastAsia"/>
                <w:sz w:val="20"/>
                <w:lang w:val="en-US"/>
              </w:rPr>
              <w:t>加入率</w:t>
            </w:r>
          </w:p>
        </w:tc>
        <w:tc>
          <w:tcPr>
            <w:tcW w:w="6657" w:type="dxa"/>
            <w:tcBorders>
              <w:top w:val="single" w:sz="4" w:space="0" w:color="auto"/>
              <w:left w:val="single" w:sz="4" w:space="0" w:color="auto"/>
              <w:bottom w:val="single" w:sz="4" w:space="0" w:color="auto"/>
              <w:right w:val="single" w:sz="4" w:space="0" w:color="auto"/>
            </w:tcBorders>
            <w:hideMark/>
          </w:tcPr>
          <w:p w14:paraId="1539B771" w14:textId="77777777" w:rsidR="0085433F" w:rsidRPr="000C156A" w:rsidRDefault="0085433F" w:rsidP="003A64C9">
            <w:pPr>
              <w:pStyle w:val="Tabletext"/>
              <w:rPr>
                <w:sz w:val="20"/>
                <w:lang w:val="en-US" w:eastAsia="zh-CN"/>
              </w:rPr>
            </w:pPr>
            <w:r w:rsidRPr="000C156A">
              <w:rPr>
                <w:sz w:val="20"/>
                <w:lang w:val="en-US" w:eastAsia="zh-CN"/>
              </w:rPr>
              <w:t>97.5%</w:t>
            </w:r>
            <w:r w:rsidRPr="000C156A">
              <w:rPr>
                <w:rFonts w:hint="eastAsia"/>
                <w:sz w:val="20"/>
                <w:lang w:val="en-US" w:eastAsia="zh-CN"/>
              </w:rPr>
              <w:t>的未来退休人员将选择参加</w:t>
            </w:r>
            <w:r w:rsidRPr="000C156A">
              <w:rPr>
                <w:sz w:val="20"/>
                <w:lang w:val="en-US" w:eastAsia="zh-CN"/>
              </w:rPr>
              <w:t>ASHI</w:t>
            </w:r>
            <w:r w:rsidRPr="000C156A">
              <w:rPr>
                <w:rFonts w:hint="eastAsia"/>
                <w:sz w:val="20"/>
                <w:lang w:val="en-US" w:eastAsia="zh-CN"/>
              </w:rPr>
              <w:t>计划。</w:t>
            </w:r>
          </w:p>
        </w:tc>
      </w:tr>
      <w:tr w:rsidR="0085433F" w:rsidRPr="000C156A" w14:paraId="607261F2"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292EC34C" w14:textId="77777777" w:rsidR="0085433F" w:rsidRPr="000C156A" w:rsidRDefault="0085433F" w:rsidP="003A64C9">
            <w:pPr>
              <w:pStyle w:val="Tabletext"/>
              <w:rPr>
                <w:sz w:val="20"/>
                <w:lang w:val="en-US"/>
              </w:rPr>
            </w:pPr>
            <w:r w:rsidRPr="000C156A">
              <w:rPr>
                <w:rFonts w:hint="eastAsia"/>
                <w:sz w:val="20"/>
                <w:lang w:val="en-US"/>
              </w:rPr>
              <w:t>配偶覆盖</w:t>
            </w:r>
          </w:p>
        </w:tc>
        <w:tc>
          <w:tcPr>
            <w:tcW w:w="6657" w:type="dxa"/>
            <w:tcBorders>
              <w:top w:val="single" w:sz="4" w:space="0" w:color="auto"/>
              <w:left w:val="single" w:sz="4" w:space="0" w:color="auto"/>
              <w:bottom w:val="single" w:sz="4" w:space="0" w:color="auto"/>
              <w:right w:val="single" w:sz="4" w:space="0" w:color="auto"/>
            </w:tcBorders>
            <w:hideMark/>
          </w:tcPr>
          <w:p w14:paraId="0206F85B" w14:textId="77777777" w:rsidR="0085433F" w:rsidRPr="000C156A" w:rsidRDefault="0085433F" w:rsidP="003A64C9">
            <w:pPr>
              <w:pStyle w:val="Tabletext"/>
              <w:rPr>
                <w:sz w:val="20"/>
                <w:lang w:val="en-US" w:eastAsia="zh-CN"/>
              </w:rPr>
            </w:pPr>
            <w:r w:rsidRPr="000C156A">
              <w:rPr>
                <w:sz w:val="20"/>
                <w:lang w:val="en-US" w:eastAsia="zh-CN"/>
              </w:rPr>
              <w:t>75%</w:t>
            </w:r>
            <w:r w:rsidRPr="000C156A">
              <w:rPr>
                <w:rFonts w:hint="eastAsia"/>
                <w:sz w:val="20"/>
                <w:lang w:val="en-US" w:eastAsia="zh-CN"/>
              </w:rPr>
              <w:t>的男性和</w:t>
            </w:r>
            <w:r w:rsidRPr="000C156A">
              <w:rPr>
                <w:sz w:val="20"/>
                <w:lang w:val="en-US" w:eastAsia="zh-CN"/>
              </w:rPr>
              <w:t>25%</w:t>
            </w:r>
            <w:r w:rsidRPr="000C156A">
              <w:rPr>
                <w:rFonts w:hint="eastAsia"/>
                <w:sz w:val="20"/>
                <w:lang w:val="en-US" w:eastAsia="zh-CN"/>
              </w:rPr>
              <w:t>的女性退休职员均有将要求加入</w:t>
            </w:r>
            <w:r w:rsidRPr="000C156A">
              <w:rPr>
                <w:sz w:val="20"/>
                <w:lang w:val="en-US" w:eastAsia="zh-CN"/>
              </w:rPr>
              <w:t>ASHI</w:t>
            </w:r>
            <w:r w:rsidRPr="000C156A">
              <w:rPr>
                <w:rFonts w:hint="eastAsia"/>
                <w:sz w:val="20"/>
                <w:lang w:val="en-US" w:eastAsia="zh-CN"/>
              </w:rPr>
              <w:t>保险方案的配偶。假设男性比其配偶年长五岁。</w:t>
            </w:r>
          </w:p>
        </w:tc>
      </w:tr>
      <w:tr w:rsidR="0085433F" w:rsidRPr="000C156A" w14:paraId="7F0D4281"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1F24652C" w14:textId="77777777" w:rsidR="0085433F" w:rsidRPr="000C156A" w:rsidRDefault="0085433F" w:rsidP="003A64C9">
            <w:pPr>
              <w:pStyle w:val="Tabletext"/>
              <w:rPr>
                <w:sz w:val="20"/>
                <w:lang w:val="en-US"/>
              </w:rPr>
            </w:pPr>
            <w:r w:rsidRPr="000C156A">
              <w:rPr>
                <w:rFonts w:hint="eastAsia"/>
                <w:sz w:val="20"/>
                <w:lang w:val="en-US"/>
              </w:rPr>
              <w:t>精算方法</w:t>
            </w:r>
          </w:p>
        </w:tc>
        <w:tc>
          <w:tcPr>
            <w:tcW w:w="6657" w:type="dxa"/>
            <w:tcBorders>
              <w:top w:val="single" w:sz="4" w:space="0" w:color="auto"/>
              <w:left w:val="single" w:sz="4" w:space="0" w:color="auto"/>
              <w:bottom w:val="single" w:sz="4" w:space="0" w:color="auto"/>
              <w:right w:val="single" w:sz="4" w:space="0" w:color="auto"/>
            </w:tcBorders>
            <w:hideMark/>
          </w:tcPr>
          <w:p w14:paraId="524A14D0" w14:textId="77777777" w:rsidR="0085433F" w:rsidRPr="000C156A" w:rsidRDefault="0085433F" w:rsidP="003A64C9">
            <w:pPr>
              <w:pStyle w:val="Tabletext"/>
              <w:rPr>
                <w:sz w:val="20"/>
                <w:lang w:val="en-US" w:eastAsia="zh-CN"/>
              </w:rPr>
            </w:pPr>
            <w:r w:rsidRPr="000C156A">
              <w:rPr>
                <w:sz w:val="20"/>
                <w:lang w:eastAsia="zh-CN"/>
              </w:rPr>
              <w:t>服务按比例分配的预计单位信用法。分配期从</w:t>
            </w:r>
            <w:r w:rsidRPr="000C156A">
              <w:rPr>
                <w:sz w:val="20"/>
                <w:lang w:eastAsia="zh-CN"/>
              </w:rPr>
              <w:t>45</w:t>
            </w:r>
            <w:r w:rsidRPr="000C156A">
              <w:rPr>
                <w:sz w:val="20"/>
                <w:lang w:eastAsia="zh-CN"/>
              </w:rPr>
              <w:t>岁开始，</w:t>
            </w:r>
            <w:r w:rsidRPr="000C156A">
              <w:rPr>
                <w:rFonts w:hint="eastAsia"/>
                <w:sz w:val="20"/>
                <w:lang w:val="en-US" w:eastAsia="zh-CN"/>
              </w:rPr>
              <w:t>从而反映出这样的事实，即，职员必须</w:t>
            </w:r>
            <w:r w:rsidRPr="000C156A">
              <w:rPr>
                <w:sz w:val="20"/>
                <w:lang w:eastAsia="zh-CN"/>
              </w:rPr>
              <w:t>年满</w:t>
            </w:r>
            <w:r w:rsidRPr="000C156A">
              <w:rPr>
                <w:sz w:val="20"/>
                <w:lang w:eastAsia="zh-CN"/>
              </w:rPr>
              <w:t>55</w:t>
            </w:r>
            <w:r w:rsidRPr="000C156A">
              <w:rPr>
                <w:sz w:val="20"/>
                <w:lang w:eastAsia="zh-CN"/>
              </w:rPr>
              <w:t>岁且服务满</w:t>
            </w:r>
            <w:r w:rsidRPr="000C156A">
              <w:rPr>
                <w:sz w:val="20"/>
                <w:lang w:eastAsia="zh-CN"/>
              </w:rPr>
              <w:t>10</w:t>
            </w:r>
            <w:r w:rsidRPr="000C156A">
              <w:rPr>
                <w:sz w:val="20"/>
                <w:lang w:eastAsia="zh-CN"/>
              </w:rPr>
              <w:t>年</w:t>
            </w:r>
            <w:r w:rsidRPr="000C156A">
              <w:rPr>
                <w:rFonts w:hint="eastAsia"/>
                <w:sz w:val="20"/>
                <w:lang w:val="en-US" w:eastAsia="zh-CN"/>
              </w:rPr>
              <w:t>才有资格享受该计划的福利。</w:t>
            </w:r>
          </w:p>
        </w:tc>
      </w:tr>
      <w:tr w:rsidR="0085433F" w:rsidRPr="000C156A" w14:paraId="57460FB3" w14:textId="77777777" w:rsidTr="003A64C9">
        <w:tc>
          <w:tcPr>
            <w:tcW w:w="2864" w:type="dxa"/>
            <w:tcBorders>
              <w:top w:val="single" w:sz="4" w:space="0" w:color="auto"/>
              <w:left w:val="single" w:sz="4" w:space="0" w:color="auto"/>
              <w:bottom w:val="single" w:sz="4" w:space="0" w:color="auto"/>
              <w:right w:val="single" w:sz="4" w:space="0" w:color="auto"/>
            </w:tcBorders>
            <w:hideMark/>
          </w:tcPr>
          <w:p w14:paraId="3ABD51FD" w14:textId="77777777" w:rsidR="0085433F" w:rsidRPr="000C156A" w:rsidRDefault="0085433F" w:rsidP="003A64C9">
            <w:pPr>
              <w:pStyle w:val="Tabletext"/>
              <w:rPr>
                <w:sz w:val="20"/>
                <w:lang w:val="en-US" w:eastAsia="zh-CN"/>
              </w:rPr>
            </w:pPr>
            <w:r w:rsidRPr="000C156A">
              <w:rPr>
                <w:rFonts w:hint="eastAsia"/>
                <w:sz w:val="20"/>
                <w:lang w:val="en-US" w:eastAsia="zh-CN"/>
              </w:rPr>
              <w:t>其他全面收益（</w:t>
            </w:r>
            <w:r w:rsidRPr="000C156A">
              <w:rPr>
                <w:sz w:val="20"/>
                <w:lang w:val="en-US" w:eastAsia="zh-CN"/>
              </w:rPr>
              <w:t>OCI</w:t>
            </w:r>
            <w:r w:rsidRPr="000C156A">
              <w:rPr>
                <w:rFonts w:hint="eastAsia"/>
                <w:sz w:val="20"/>
                <w:lang w:val="en-US" w:eastAsia="zh-CN"/>
              </w:rPr>
              <w:t>）方式</w:t>
            </w:r>
          </w:p>
        </w:tc>
        <w:tc>
          <w:tcPr>
            <w:tcW w:w="6657" w:type="dxa"/>
            <w:tcBorders>
              <w:top w:val="single" w:sz="4" w:space="0" w:color="auto"/>
              <w:left w:val="single" w:sz="4" w:space="0" w:color="auto"/>
              <w:bottom w:val="single" w:sz="4" w:space="0" w:color="auto"/>
              <w:right w:val="single" w:sz="4" w:space="0" w:color="auto"/>
            </w:tcBorders>
            <w:hideMark/>
          </w:tcPr>
          <w:p w14:paraId="0BFF2BF5" w14:textId="77777777" w:rsidR="0085433F" w:rsidRPr="000C156A" w:rsidRDefault="0085433F" w:rsidP="003A64C9">
            <w:pPr>
              <w:pStyle w:val="Tabletext"/>
              <w:rPr>
                <w:sz w:val="20"/>
                <w:lang w:val="en-US" w:eastAsia="zh-CN"/>
              </w:rPr>
            </w:pPr>
            <w:r w:rsidRPr="000C156A">
              <w:rPr>
                <w:rFonts w:hint="eastAsia"/>
                <w:sz w:val="20"/>
                <w:lang w:val="en-US" w:eastAsia="zh-CN"/>
              </w:rPr>
              <w:t>所有收益</w:t>
            </w:r>
            <w:r w:rsidRPr="000C156A">
              <w:rPr>
                <w:rFonts w:hint="eastAsia"/>
                <w:sz w:val="20"/>
                <w:lang w:val="en-US" w:eastAsia="zh-CN"/>
              </w:rPr>
              <w:t>/</w:t>
            </w:r>
            <w:r w:rsidRPr="000C156A">
              <w:rPr>
                <w:rFonts w:hint="eastAsia"/>
                <w:sz w:val="20"/>
                <w:lang w:val="en-US" w:eastAsia="zh-CN"/>
              </w:rPr>
              <w:t>损失都通过综合净收入报表（</w:t>
            </w:r>
            <w:r w:rsidRPr="000C156A">
              <w:rPr>
                <w:rFonts w:hint="eastAsia"/>
                <w:sz w:val="20"/>
                <w:lang w:val="en-US" w:eastAsia="zh-CN"/>
              </w:rPr>
              <w:t>SoCI</w:t>
            </w:r>
            <w:r w:rsidRPr="000C156A">
              <w:rPr>
                <w:rFonts w:hint="eastAsia"/>
                <w:sz w:val="20"/>
                <w:lang w:val="en-US" w:eastAsia="zh-CN"/>
              </w:rPr>
              <w:t>）在发生年度立即得到全部确认，但在利润和损失之外。</w:t>
            </w:r>
          </w:p>
        </w:tc>
      </w:tr>
    </w:tbl>
    <w:p w14:paraId="35D51A9F" w14:textId="77777777" w:rsidR="0085433F" w:rsidRPr="000C156A" w:rsidRDefault="0085433F" w:rsidP="0085433F">
      <w:pPr>
        <w:spacing w:before="240"/>
        <w:ind w:firstLineChars="200" w:firstLine="480"/>
        <w:rPr>
          <w:lang w:eastAsia="zh-CN"/>
        </w:rPr>
      </w:pPr>
      <w:bookmarkStart w:id="890" w:name="_MON_1396085038"/>
      <w:bookmarkStart w:id="891" w:name="_MON_1402733319"/>
      <w:bookmarkStart w:id="892" w:name="_MON_1402733477"/>
      <w:bookmarkEnd w:id="890"/>
      <w:bookmarkEnd w:id="891"/>
      <w:bookmarkEnd w:id="892"/>
      <w:r w:rsidRPr="000C156A">
        <w:rPr>
          <w:lang w:eastAsia="zh-CN"/>
        </w:rPr>
        <w:t>55</w:t>
      </w:r>
      <w:r w:rsidRPr="000C156A">
        <w:rPr>
          <w:rFonts w:hint="eastAsia"/>
          <w:lang w:eastAsia="zh-CN"/>
        </w:rPr>
        <w:t>岁或</w:t>
      </w:r>
      <w:r w:rsidRPr="000C156A">
        <w:rPr>
          <w:lang w:eastAsia="zh-CN"/>
        </w:rPr>
        <w:t>55</w:t>
      </w:r>
      <w:r w:rsidRPr="000C156A">
        <w:rPr>
          <w:rFonts w:hint="eastAsia"/>
          <w:lang w:eastAsia="zh-CN"/>
        </w:rPr>
        <w:t>岁以上的离职人员（及其配偶、受抚养子女和遗属）有资格享受离职后健康保险，前提是他们至少已在联合国或联合国某一专门机构服务了十年，且在离职前的五年内一直得到</w:t>
      </w:r>
      <w:r w:rsidRPr="000C156A">
        <w:rPr>
          <w:rFonts w:eastAsia="Times New Roman"/>
          <w:lang w:val="en-US" w:eastAsia="zh-CN"/>
        </w:rPr>
        <w:t>UNSMIS</w:t>
      </w:r>
      <w:r w:rsidRPr="000C156A">
        <w:rPr>
          <w:rFonts w:ascii="SimSun" w:hAnsi="SimSun" w:cs="SimSun" w:hint="eastAsia"/>
          <w:lang w:val="en-US" w:eastAsia="zh-CN"/>
        </w:rPr>
        <w:t>健康保险计划</w:t>
      </w:r>
      <w:r w:rsidRPr="000C156A">
        <w:rPr>
          <w:rFonts w:hint="eastAsia"/>
          <w:lang w:eastAsia="zh-CN"/>
        </w:rPr>
        <w:t>的保险。同样的福利亦适用于按照联合国合办职员养恤基金接收残疾津贴的职员。上述体制为联合出资体制</w:t>
      </w:r>
      <w:r w:rsidRPr="000C156A">
        <w:rPr>
          <w:rFonts w:hint="eastAsia"/>
          <w:lang w:eastAsia="zh-CN"/>
        </w:rPr>
        <w:t xml:space="preserve"> </w:t>
      </w:r>
      <w:r w:rsidRPr="000C156A">
        <w:rPr>
          <w:lang w:eastAsia="zh-CN"/>
        </w:rPr>
        <w:t xml:space="preserve">– </w:t>
      </w:r>
      <w:r w:rsidRPr="000C156A">
        <w:rPr>
          <w:rFonts w:hint="eastAsia"/>
          <w:lang w:eastAsia="zh-CN"/>
        </w:rPr>
        <w:t>国际电联缴费</w:t>
      </w:r>
      <w:r w:rsidRPr="000C156A">
        <w:rPr>
          <w:lang w:eastAsia="zh-CN"/>
        </w:rPr>
        <w:t>2/3</w:t>
      </w:r>
      <w:r w:rsidRPr="000C156A">
        <w:rPr>
          <w:rFonts w:hint="eastAsia"/>
          <w:lang w:eastAsia="zh-CN"/>
        </w:rPr>
        <w:t>，被保人缴费</w:t>
      </w:r>
      <w:r w:rsidRPr="000C156A">
        <w:rPr>
          <w:lang w:eastAsia="zh-CN"/>
        </w:rPr>
        <w:t>1/3</w:t>
      </w:r>
      <w:r w:rsidRPr="000C156A">
        <w:rPr>
          <w:rFonts w:hint="eastAsia"/>
          <w:lang w:eastAsia="zh-CN"/>
        </w:rPr>
        <w:t>。</w:t>
      </w:r>
    </w:p>
    <w:p w14:paraId="4B6B225F" w14:textId="25E2150A" w:rsidR="0085433F" w:rsidRPr="000C156A" w:rsidRDefault="0085433F" w:rsidP="0085433F">
      <w:pPr>
        <w:spacing w:after="240"/>
        <w:ind w:firstLineChars="200" w:firstLine="480"/>
        <w:rPr>
          <w:lang w:eastAsia="zh-CN"/>
        </w:rPr>
      </w:pPr>
      <w:r w:rsidRPr="000C156A">
        <w:rPr>
          <w:rFonts w:hint="eastAsia"/>
          <w:lang w:eastAsia="zh-CN"/>
        </w:rPr>
        <w:t>下表为为获得截至</w:t>
      </w:r>
      <w:r w:rsidRPr="000C156A">
        <w:rPr>
          <w:lang w:eastAsia="zh-CN"/>
        </w:rPr>
        <w:t>202</w:t>
      </w:r>
      <w:r w:rsidR="00087D21">
        <w:rPr>
          <w:lang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日的金额而开展的精算</w:t>
      </w:r>
      <w:r w:rsidRPr="000C156A">
        <w:rPr>
          <w:rFonts w:hint="eastAsia"/>
          <w:lang w:val="en-US" w:eastAsia="zh-CN"/>
        </w:rPr>
        <w:t>研究得出</w:t>
      </w:r>
      <w:r w:rsidRPr="000C156A">
        <w:rPr>
          <w:rFonts w:hint="eastAsia"/>
          <w:lang w:eastAsia="zh-CN"/>
        </w:rPr>
        <w:t>的有关职员津贴造成的负债的更多信息和分析以及该基金所持有的资产的估值。</w:t>
      </w:r>
    </w:p>
    <w:tbl>
      <w:tblPr>
        <w:tblW w:w="9541" w:type="dxa"/>
        <w:jc w:val="center"/>
        <w:tblLook w:val="04A0" w:firstRow="1" w:lastRow="0" w:firstColumn="1" w:lastColumn="0" w:noHBand="0" w:noVBand="1"/>
      </w:tblPr>
      <w:tblGrid>
        <w:gridCol w:w="5573"/>
        <w:gridCol w:w="1984"/>
        <w:gridCol w:w="1984"/>
      </w:tblGrid>
      <w:tr w:rsidR="0085433F" w:rsidRPr="000C156A" w14:paraId="71FF3213" w14:textId="77777777" w:rsidTr="003A64C9">
        <w:trPr>
          <w:trHeight w:val="528"/>
          <w:jc w:val="center"/>
        </w:trPr>
        <w:tc>
          <w:tcPr>
            <w:tcW w:w="5573" w:type="dxa"/>
            <w:tcBorders>
              <w:top w:val="single" w:sz="4" w:space="0" w:color="auto"/>
              <w:left w:val="single" w:sz="4" w:space="0" w:color="auto"/>
              <w:bottom w:val="single" w:sz="4" w:space="0" w:color="auto"/>
              <w:right w:val="nil"/>
            </w:tcBorders>
            <w:vAlign w:val="center"/>
            <w:hideMark/>
          </w:tcPr>
          <w:p w14:paraId="681283D4" w14:textId="2E431D90" w:rsidR="0085433F" w:rsidRPr="000C156A" w:rsidRDefault="0085433F" w:rsidP="003A64C9">
            <w:pPr>
              <w:widowControl w:val="0"/>
              <w:kinsoku w:val="0"/>
              <w:rPr>
                <w:bCs/>
                <w:color w:val="000000"/>
                <w:sz w:val="22"/>
                <w:szCs w:val="18"/>
                <w:lang w:val="en-US" w:eastAsia="zh-CN"/>
              </w:rPr>
            </w:pPr>
            <w:r w:rsidRPr="000C156A">
              <w:rPr>
                <w:rFonts w:hint="eastAsia"/>
                <w:b/>
                <w:color w:val="000000"/>
                <w:sz w:val="22"/>
                <w:szCs w:val="18"/>
                <w:lang w:val="en-US" w:eastAsia="zh-CN"/>
              </w:rPr>
              <w:t>财务状况报表中截至</w:t>
            </w:r>
            <w:r w:rsidRPr="000C156A">
              <w:rPr>
                <w:b/>
                <w:color w:val="000000"/>
                <w:sz w:val="22"/>
                <w:szCs w:val="18"/>
                <w:lang w:val="en-US" w:eastAsia="zh-CN"/>
              </w:rPr>
              <w:t>202</w:t>
            </w:r>
            <w:r w:rsidR="00087D21">
              <w:rPr>
                <w:b/>
                <w:color w:val="000000"/>
                <w:sz w:val="22"/>
                <w:szCs w:val="18"/>
                <w:lang w:val="en-US" w:eastAsia="zh-CN"/>
              </w:rPr>
              <w:t>1</w:t>
            </w:r>
            <w:r w:rsidRPr="000C156A">
              <w:rPr>
                <w:rFonts w:hint="eastAsia"/>
                <w:b/>
                <w:color w:val="000000"/>
                <w:sz w:val="22"/>
                <w:szCs w:val="18"/>
                <w:lang w:val="en-US" w:eastAsia="zh-CN"/>
              </w:rPr>
              <w:t>年和</w:t>
            </w:r>
            <w:r w:rsidRPr="000C156A">
              <w:rPr>
                <w:b/>
                <w:color w:val="000000"/>
                <w:sz w:val="22"/>
                <w:szCs w:val="18"/>
                <w:lang w:val="en-US" w:eastAsia="zh-CN"/>
              </w:rPr>
              <w:t>20</w:t>
            </w:r>
            <w:r w:rsidR="00087D21">
              <w:rPr>
                <w:b/>
                <w:color w:val="000000"/>
                <w:sz w:val="22"/>
                <w:szCs w:val="18"/>
                <w:lang w:val="en-US" w:eastAsia="zh-CN"/>
              </w:rPr>
              <w:t>20</w:t>
            </w:r>
            <w:r w:rsidRPr="000C156A">
              <w:rPr>
                <w:rFonts w:hint="eastAsia"/>
                <w:b/>
                <w:color w:val="000000"/>
                <w:sz w:val="22"/>
                <w:szCs w:val="18"/>
                <w:lang w:val="en-US" w:eastAsia="zh-CN"/>
              </w:rPr>
              <w:t>年</w:t>
            </w:r>
            <w:r w:rsidRPr="000C156A">
              <w:rPr>
                <w:b/>
                <w:color w:val="000000"/>
                <w:sz w:val="22"/>
                <w:szCs w:val="18"/>
                <w:lang w:val="en-US" w:eastAsia="zh-CN"/>
              </w:rPr>
              <w:t>12</w:t>
            </w:r>
            <w:r w:rsidRPr="000C156A">
              <w:rPr>
                <w:rFonts w:hint="eastAsia"/>
                <w:b/>
                <w:color w:val="000000"/>
                <w:sz w:val="22"/>
                <w:szCs w:val="18"/>
                <w:lang w:val="en-US" w:eastAsia="zh-CN"/>
              </w:rPr>
              <w:t>月</w:t>
            </w:r>
            <w:r w:rsidRPr="000C156A">
              <w:rPr>
                <w:b/>
                <w:color w:val="000000"/>
                <w:sz w:val="22"/>
                <w:szCs w:val="18"/>
                <w:lang w:val="en-US" w:eastAsia="zh-CN"/>
              </w:rPr>
              <w:t>31</w:t>
            </w:r>
            <w:r w:rsidRPr="000C156A">
              <w:rPr>
                <w:rFonts w:hint="eastAsia"/>
                <w:b/>
                <w:color w:val="000000"/>
                <w:sz w:val="22"/>
                <w:szCs w:val="18"/>
                <w:lang w:val="en-US" w:eastAsia="zh-CN"/>
              </w:rPr>
              <w:t>日</w:t>
            </w:r>
            <w:r w:rsidRPr="000C156A">
              <w:rPr>
                <w:b/>
                <w:color w:val="000000"/>
                <w:sz w:val="22"/>
                <w:szCs w:val="18"/>
                <w:lang w:val="en-US" w:eastAsia="zh-CN"/>
              </w:rPr>
              <w:br/>
            </w:r>
            <w:r w:rsidRPr="000C156A">
              <w:rPr>
                <w:rFonts w:hint="eastAsia"/>
                <w:b/>
                <w:color w:val="000000"/>
                <w:sz w:val="22"/>
                <w:szCs w:val="18"/>
                <w:lang w:val="en-US" w:eastAsia="zh-CN"/>
              </w:rPr>
              <w:t>离职后保险计划中的承付款项金额</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9585CBE" w14:textId="1109D2A0" w:rsidR="0085433F" w:rsidRPr="000C156A" w:rsidRDefault="0085433F" w:rsidP="003A64C9">
            <w:pPr>
              <w:widowControl w:val="0"/>
              <w:kinsoku w:val="0"/>
              <w:spacing w:before="60"/>
              <w:jc w:val="center"/>
              <w:rPr>
                <w:b/>
                <w:color w:val="000000"/>
                <w:sz w:val="22"/>
                <w:szCs w:val="18"/>
                <w:lang w:val="en-US" w:eastAsia="zh-CN"/>
              </w:rPr>
            </w:pPr>
            <w:r w:rsidRPr="000C156A">
              <w:rPr>
                <w:rFonts w:ascii="STKaiti" w:eastAsia="STKaiti" w:hAnsi="STKaiti" w:cs="SimSun" w:hint="eastAsia"/>
                <w:b/>
                <w:bCs/>
                <w:color w:val="000000"/>
                <w:sz w:val="22"/>
                <w:szCs w:val="18"/>
                <w:lang w:val="en-US"/>
              </w:rPr>
              <w:t>单位：千瑞郎</w:t>
            </w:r>
            <w:r w:rsidRPr="000C156A">
              <w:rPr>
                <w:b/>
                <w:bCs/>
                <w:i/>
                <w:iCs/>
                <w:color w:val="000000"/>
                <w:sz w:val="22"/>
                <w:szCs w:val="18"/>
                <w:lang w:val="en-US"/>
              </w:rPr>
              <w:br/>
            </w:r>
            <w:r w:rsidRPr="000C156A">
              <w:rPr>
                <w:b/>
                <w:bCs/>
                <w:color w:val="000000"/>
                <w:sz w:val="22"/>
                <w:szCs w:val="18"/>
                <w:lang w:val="en-US"/>
              </w:rPr>
              <w:t>202</w:t>
            </w:r>
            <w:r w:rsidR="00087D21">
              <w:rPr>
                <w:b/>
                <w:bCs/>
                <w:color w:val="000000"/>
                <w:sz w:val="22"/>
                <w:szCs w:val="18"/>
                <w:lang w:val="en-US"/>
              </w:rPr>
              <w:t>1</w:t>
            </w:r>
            <w:r w:rsidRPr="000C156A">
              <w:rPr>
                <w:rFonts w:ascii="SimSun" w:hAnsi="SimSun" w:cs="SimSun" w:hint="eastAsia"/>
                <w:b/>
                <w:bCs/>
                <w:color w:val="000000"/>
                <w:sz w:val="22"/>
                <w:szCs w:val="18"/>
                <w:lang w:val="en-US"/>
              </w:rPr>
              <w:t>年</w:t>
            </w:r>
            <w:r w:rsidRPr="000C156A">
              <w:rPr>
                <w:b/>
                <w:bCs/>
                <w:color w:val="000000"/>
                <w:sz w:val="22"/>
                <w:szCs w:val="18"/>
                <w:lang w:val="en-US"/>
              </w:rPr>
              <w:t>12</w:t>
            </w:r>
            <w:r w:rsidRPr="000C156A">
              <w:rPr>
                <w:rFonts w:ascii="SimSun" w:hAnsi="SimSun" w:cs="SimSun" w:hint="eastAsia"/>
                <w:b/>
                <w:bCs/>
                <w:color w:val="000000"/>
                <w:sz w:val="22"/>
                <w:szCs w:val="18"/>
                <w:lang w:val="en-US"/>
              </w:rPr>
              <w:t>月</w:t>
            </w:r>
            <w:r w:rsidRPr="000C156A">
              <w:rPr>
                <w:b/>
                <w:bCs/>
                <w:color w:val="000000"/>
                <w:sz w:val="22"/>
                <w:szCs w:val="18"/>
                <w:lang w:val="en-US"/>
              </w:rPr>
              <w:t>31</w:t>
            </w:r>
            <w:r w:rsidRPr="000C156A">
              <w:rPr>
                <w:rFonts w:ascii="SimSun" w:hAnsi="SimSun" w:cs="SimSun" w:hint="eastAsia"/>
                <w:b/>
                <w:bCs/>
                <w:color w:val="000000"/>
                <w:sz w:val="22"/>
                <w:szCs w:val="18"/>
                <w:lang w:val="en-US"/>
              </w:rPr>
              <w:t>日</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DEAC11C" w14:textId="0A57E33C" w:rsidR="0085433F" w:rsidRPr="000C156A" w:rsidRDefault="0085433F" w:rsidP="003A64C9">
            <w:pPr>
              <w:widowControl w:val="0"/>
              <w:kinsoku w:val="0"/>
              <w:spacing w:before="60"/>
              <w:jc w:val="center"/>
              <w:rPr>
                <w:b/>
                <w:color w:val="000000"/>
                <w:sz w:val="22"/>
                <w:szCs w:val="18"/>
                <w:lang w:val="en-US"/>
              </w:rPr>
            </w:pPr>
            <w:r w:rsidRPr="000C156A">
              <w:rPr>
                <w:rFonts w:ascii="STKaiti" w:eastAsia="STKaiti" w:hAnsi="STKaiti" w:cs="SimSun" w:hint="eastAsia"/>
                <w:b/>
                <w:bCs/>
                <w:color w:val="000000"/>
                <w:sz w:val="22"/>
                <w:szCs w:val="18"/>
                <w:lang w:val="en-US"/>
              </w:rPr>
              <w:t>单位：千瑞郎</w:t>
            </w:r>
            <w:r w:rsidRPr="000C156A">
              <w:rPr>
                <w:b/>
                <w:bCs/>
                <w:i/>
                <w:iCs/>
                <w:color w:val="000000"/>
                <w:sz w:val="22"/>
                <w:szCs w:val="18"/>
                <w:lang w:val="en-US"/>
              </w:rPr>
              <w:br/>
            </w:r>
            <w:r w:rsidRPr="000C156A">
              <w:rPr>
                <w:b/>
                <w:bCs/>
                <w:color w:val="000000"/>
                <w:sz w:val="22"/>
                <w:szCs w:val="18"/>
                <w:lang w:val="en-US"/>
              </w:rPr>
              <w:t>20</w:t>
            </w:r>
            <w:r w:rsidR="00087D21">
              <w:rPr>
                <w:b/>
                <w:bCs/>
                <w:color w:val="000000"/>
                <w:sz w:val="22"/>
                <w:szCs w:val="18"/>
                <w:lang w:val="en-US"/>
              </w:rPr>
              <w:t>20</w:t>
            </w:r>
            <w:r w:rsidRPr="000C156A">
              <w:rPr>
                <w:rFonts w:ascii="SimSun" w:hAnsi="SimSun" w:cs="SimSun" w:hint="eastAsia"/>
                <w:b/>
                <w:bCs/>
                <w:color w:val="000000"/>
                <w:sz w:val="22"/>
                <w:szCs w:val="18"/>
                <w:lang w:val="en-US"/>
              </w:rPr>
              <w:t>年</w:t>
            </w:r>
            <w:r w:rsidRPr="000C156A">
              <w:rPr>
                <w:b/>
                <w:bCs/>
                <w:color w:val="000000"/>
                <w:sz w:val="22"/>
                <w:szCs w:val="18"/>
                <w:lang w:val="en-US"/>
              </w:rPr>
              <w:t>12</w:t>
            </w:r>
            <w:r w:rsidRPr="000C156A">
              <w:rPr>
                <w:rFonts w:ascii="SimSun" w:hAnsi="SimSun" w:cs="SimSun" w:hint="eastAsia"/>
                <w:b/>
                <w:bCs/>
                <w:color w:val="000000"/>
                <w:sz w:val="22"/>
                <w:szCs w:val="18"/>
                <w:lang w:val="en-US"/>
              </w:rPr>
              <w:t>月</w:t>
            </w:r>
            <w:r w:rsidRPr="000C156A">
              <w:rPr>
                <w:b/>
                <w:bCs/>
                <w:color w:val="000000"/>
                <w:sz w:val="22"/>
                <w:szCs w:val="18"/>
                <w:lang w:val="en-US"/>
              </w:rPr>
              <w:t>31</w:t>
            </w:r>
            <w:r w:rsidRPr="000C156A">
              <w:rPr>
                <w:rFonts w:ascii="SimSun" w:hAnsi="SimSun" w:cs="SimSun" w:hint="eastAsia"/>
                <w:b/>
                <w:bCs/>
                <w:color w:val="000000"/>
                <w:sz w:val="22"/>
                <w:szCs w:val="18"/>
                <w:lang w:val="en-US"/>
              </w:rPr>
              <w:t>日</w:t>
            </w:r>
          </w:p>
        </w:tc>
      </w:tr>
      <w:tr w:rsidR="00087D21" w:rsidRPr="000C156A" w14:paraId="555134D6" w14:textId="77777777" w:rsidTr="00087D21">
        <w:trPr>
          <w:trHeight w:val="264"/>
          <w:jc w:val="center"/>
        </w:trPr>
        <w:tc>
          <w:tcPr>
            <w:tcW w:w="5573" w:type="dxa"/>
            <w:tcBorders>
              <w:top w:val="nil"/>
              <w:left w:val="single" w:sz="4" w:space="0" w:color="auto"/>
              <w:bottom w:val="nil"/>
              <w:right w:val="single" w:sz="4" w:space="0" w:color="auto"/>
            </w:tcBorders>
            <w:hideMark/>
          </w:tcPr>
          <w:p w14:paraId="6630FA1C" w14:textId="77777777" w:rsidR="00087D21" w:rsidRPr="000C156A" w:rsidRDefault="00087D21" w:rsidP="00087D21">
            <w:pPr>
              <w:widowControl w:val="0"/>
              <w:kinsoku w:val="0"/>
              <w:spacing w:before="60" w:after="60"/>
              <w:rPr>
                <w:b/>
                <w:color w:val="000000"/>
                <w:sz w:val="22"/>
                <w:szCs w:val="18"/>
                <w:lang w:val="en-US" w:eastAsia="zh-CN"/>
              </w:rPr>
            </w:pPr>
            <w:r w:rsidRPr="000C156A">
              <w:rPr>
                <w:rFonts w:hint="eastAsia"/>
                <w:bCs/>
                <w:color w:val="000000"/>
                <w:sz w:val="22"/>
                <w:szCs w:val="18"/>
                <w:lang w:val="en-US" w:eastAsia="zh-CN"/>
              </w:rPr>
              <w:t>分别截至</w:t>
            </w:r>
            <w:r w:rsidRPr="000C156A">
              <w:rPr>
                <w:bCs/>
                <w:color w:val="000000"/>
                <w:sz w:val="22"/>
                <w:szCs w:val="18"/>
                <w:lang w:val="en-US" w:eastAsia="zh-CN"/>
              </w:rPr>
              <w:t>2020-2019</w:t>
            </w:r>
            <w:r w:rsidRPr="000C156A">
              <w:rPr>
                <w:rFonts w:hint="eastAsia"/>
                <w:bCs/>
                <w:color w:val="000000"/>
                <w:sz w:val="22"/>
                <w:szCs w:val="18"/>
                <w:lang w:val="en-US" w:eastAsia="zh-CN"/>
              </w:rPr>
              <w:t>年</w:t>
            </w:r>
            <w:r w:rsidRPr="000C156A">
              <w:rPr>
                <w:bCs/>
                <w:color w:val="000000"/>
                <w:sz w:val="22"/>
                <w:szCs w:val="18"/>
                <w:lang w:val="en-US" w:eastAsia="zh-CN"/>
              </w:rPr>
              <w:t>12</w:t>
            </w:r>
            <w:r w:rsidRPr="000C156A">
              <w:rPr>
                <w:rFonts w:hint="eastAsia"/>
                <w:bCs/>
                <w:color w:val="000000"/>
                <w:sz w:val="22"/>
                <w:szCs w:val="18"/>
                <w:lang w:val="en-US" w:eastAsia="zh-CN"/>
              </w:rPr>
              <w:t>月</w:t>
            </w:r>
            <w:r w:rsidRPr="000C156A">
              <w:rPr>
                <w:bCs/>
                <w:color w:val="000000"/>
                <w:sz w:val="22"/>
                <w:szCs w:val="18"/>
                <w:lang w:val="en-US" w:eastAsia="zh-CN"/>
              </w:rPr>
              <w:t>31</w:t>
            </w:r>
            <w:r w:rsidRPr="000C156A">
              <w:rPr>
                <w:rFonts w:hint="eastAsia"/>
                <w:bCs/>
                <w:color w:val="000000"/>
                <w:sz w:val="22"/>
                <w:szCs w:val="18"/>
                <w:lang w:val="en-US" w:eastAsia="zh-CN"/>
              </w:rPr>
              <w:t>日的余额</w:t>
            </w:r>
          </w:p>
        </w:tc>
        <w:tc>
          <w:tcPr>
            <w:tcW w:w="1984" w:type="dxa"/>
            <w:tcBorders>
              <w:top w:val="single" w:sz="4" w:space="0" w:color="auto"/>
              <w:left w:val="single" w:sz="4" w:space="0" w:color="auto"/>
              <w:bottom w:val="nil"/>
              <w:right w:val="single" w:sz="4" w:space="0" w:color="auto"/>
            </w:tcBorders>
            <w:shd w:val="clear" w:color="auto" w:fill="auto"/>
          </w:tcPr>
          <w:p w14:paraId="7FF80412" w14:textId="3BCACA60" w:rsidR="00087D21" w:rsidRPr="000C156A" w:rsidRDefault="00087D21" w:rsidP="00087D21">
            <w:pPr>
              <w:widowControl w:val="0"/>
              <w:kinsoku w:val="0"/>
              <w:ind w:right="210"/>
              <w:jc w:val="right"/>
              <w:rPr>
                <w:iCs/>
                <w:color w:val="000000"/>
                <w:sz w:val="22"/>
                <w:szCs w:val="18"/>
                <w:lang w:val="en-US" w:eastAsia="zh-CN"/>
              </w:rPr>
            </w:pPr>
            <w:r>
              <w:rPr>
                <w:i/>
                <w:iCs/>
                <w:color w:val="000000"/>
                <w:sz w:val="22"/>
                <w:szCs w:val="18"/>
                <w:lang w:val="en-US"/>
              </w:rPr>
              <w:t>631 870</w:t>
            </w:r>
          </w:p>
        </w:tc>
        <w:tc>
          <w:tcPr>
            <w:tcW w:w="1984" w:type="dxa"/>
            <w:tcBorders>
              <w:top w:val="single" w:sz="4" w:space="0" w:color="auto"/>
              <w:left w:val="single" w:sz="4" w:space="0" w:color="auto"/>
              <w:bottom w:val="nil"/>
              <w:right w:val="single" w:sz="4" w:space="0" w:color="auto"/>
            </w:tcBorders>
            <w:hideMark/>
          </w:tcPr>
          <w:p w14:paraId="68C12910" w14:textId="6A7D7758" w:rsidR="00087D21" w:rsidRPr="000C156A" w:rsidRDefault="00087D21" w:rsidP="00087D21">
            <w:pPr>
              <w:widowControl w:val="0"/>
              <w:kinsoku w:val="0"/>
              <w:ind w:right="210"/>
              <w:jc w:val="right"/>
              <w:rPr>
                <w:iCs/>
                <w:color w:val="000000"/>
                <w:sz w:val="22"/>
                <w:szCs w:val="18"/>
                <w:lang w:val="en-US"/>
              </w:rPr>
            </w:pPr>
            <w:r w:rsidRPr="000C156A">
              <w:rPr>
                <w:i/>
                <w:iCs/>
                <w:color w:val="000000"/>
                <w:sz w:val="22"/>
                <w:szCs w:val="18"/>
                <w:lang w:val="en-US"/>
              </w:rPr>
              <w:t>611 896</w:t>
            </w:r>
          </w:p>
        </w:tc>
      </w:tr>
      <w:tr w:rsidR="00087D21" w:rsidRPr="000C156A" w14:paraId="156823BE" w14:textId="77777777" w:rsidTr="00087D21">
        <w:trPr>
          <w:trHeight w:val="336"/>
          <w:jc w:val="center"/>
        </w:trPr>
        <w:tc>
          <w:tcPr>
            <w:tcW w:w="5573" w:type="dxa"/>
            <w:tcBorders>
              <w:top w:val="nil"/>
              <w:left w:val="single" w:sz="4" w:space="0" w:color="auto"/>
              <w:bottom w:val="nil"/>
              <w:right w:val="single" w:sz="4" w:space="0" w:color="auto"/>
            </w:tcBorders>
            <w:hideMark/>
          </w:tcPr>
          <w:p w14:paraId="2764D068" w14:textId="77777777" w:rsidR="00087D21" w:rsidRPr="000C156A" w:rsidRDefault="00087D21" w:rsidP="00087D21">
            <w:pPr>
              <w:widowControl w:val="0"/>
              <w:kinsoku w:val="0"/>
              <w:spacing w:before="60" w:after="60"/>
              <w:rPr>
                <w:bCs/>
                <w:color w:val="000000"/>
                <w:sz w:val="22"/>
                <w:szCs w:val="18"/>
                <w:lang w:val="en-US" w:eastAsia="zh-CN"/>
              </w:rPr>
            </w:pPr>
            <w:r w:rsidRPr="000C156A">
              <w:rPr>
                <w:rFonts w:hint="eastAsia"/>
                <w:bCs/>
                <w:color w:val="000000"/>
                <w:sz w:val="22"/>
                <w:szCs w:val="18"/>
                <w:lang w:val="en-US" w:eastAsia="zh-CN"/>
              </w:rPr>
              <w:t>财务业绩报表中确认的费用合计</w:t>
            </w:r>
          </w:p>
        </w:tc>
        <w:tc>
          <w:tcPr>
            <w:tcW w:w="1984" w:type="dxa"/>
            <w:tcBorders>
              <w:top w:val="nil"/>
              <w:left w:val="single" w:sz="4" w:space="0" w:color="auto"/>
              <w:bottom w:val="nil"/>
              <w:right w:val="single" w:sz="4" w:space="0" w:color="auto"/>
            </w:tcBorders>
            <w:shd w:val="clear" w:color="auto" w:fill="auto"/>
          </w:tcPr>
          <w:p w14:paraId="619BF760" w14:textId="5BF3FF4F" w:rsidR="00087D21" w:rsidRPr="000C156A" w:rsidRDefault="00087D21" w:rsidP="00087D21">
            <w:pPr>
              <w:widowControl w:val="0"/>
              <w:kinsoku w:val="0"/>
              <w:ind w:right="210"/>
              <w:jc w:val="right"/>
              <w:rPr>
                <w:iCs/>
                <w:color w:val="000000"/>
                <w:sz w:val="22"/>
                <w:szCs w:val="18"/>
                <w:lang w:val="en-US"/>
              </w:rPr>
            </w:pPr>
            <w:r>
              <w:rPr>
                <w:i/>
                <w:iCs/>
                <w:color w:val="000000"/>
                <w:sz w:val="22"/>
                <w:szCs w:val="18"/>
                <w:lang w:val="en-US"/>
              </w:rPr>
              <w:t>26 425</w:t>
            </w:r>
          </w:p>
        </w:tc>
        <w:tc>
          <w:tcPr>
            <w:tcW w:w="1984" w:type="dxa"/>
            <w:tcBorders>
              <w:top w:val="nil"/>
              <w:left w:val="single" w:sz="4" w:space="0" w:color="auto"/>
              <w:bottom w:val="nil"/>
              <w:right w:val="single" w:sz="4" w:space="0" w:color="auto"/>
            </w:tcBorders>
            <w:hideMark/>
          </w:tcPr>
          <w:p w14:paraId="376E16A9" w14:textId="5C005512" w:rsidR="00087D21" w:rsidRPr="000C156A" w:rsidRDefault="00087D21" w:rsidP="00087D21">
            <w:pPr>
              <w:widowControl w:val="0"/>
              <w:kinsoku w:val="0"/>
              <w:ind w:right="210"/>
              <w:jc w:val="right"/>
              <w:rPr>
                <w:iCs/>
                <w:color w:val="000000"/>
                <w:sz w:val="22"/>
                <w:szCs w:val="18"/>
                <w:lang w:val="en-US"/>
              </w:rPr>
            </w:pPr>
            <w:r w:rsidRPr="000C156A">
              <w:rPr>
                <w:i/>
                <w:iCs/>
                <w:color w:val="000000"/>
                <w:sz w:val="22"/>
                <w:szCs w:val="18"/>
                <w:lang w:val="en-US"/>
              </w:rPr>
              <w:t>27 667</w:t>
            </w:r>
          </w:p>
        </w:tc>
      </w:tr>
      <w:tr w:rsidR="00087D21" w:rsidRPr="000C156A" w14:paraId="12709DC9" w14:textId="77777777" w:rsidTr="00087D21">
        <w:trPr>
          <w:trHeight w:val="264"/>
          <w:jc w:val="center"/>
        </w:trPr>
        <w:tc>
          <w:tcPr>
            <w:tcW w:w="5573" w:type="dxa"/>
            <w:tcBorders>
              <w:top w:val="nil"/>
              <w:left w:val="single" w:sz="4" w:space="0" w:color="auto"/>
              <w:bottom w:val="nil"/>
              <w:right w:val="single" w:sz="4" w:space="0" w:color="auto"/>
            </w:tcBorders>
            <w:hideMark/>
          </w:tcPr>
          <w:p w14:paraId="572FFB66" w14:textId="77777777" w:rsidR="00087D21" w:rsidRPr="000C156A" w:rsidRDefault="00087D21" w:rsidP="00087D21">
            <w:pPr>
              <w:widowControl w:val="0"/>
              <w:kinsoku w:val="0"/>
              <w:spacing w:before="60" w:after="60"/>
              <w:rPr>
                <w:bCs/>
                <w:color w:val="000000"/>
                <w:sz w:val="22"/>
                <w:szCs w:val="18"/>
                <w:lang w:val="en-US" w:eastAsia="zh-CN"/>
              </w:rPr>
            </w:pPr>
            <w:r w:rsidRPr="000C156A">
              <w:rPr>
                <w:rFonts w:hint="eastAsia"/>
                <w:bCs/>
                <w:color w:val="000000"/>
                <w:sz w:val="22"/>
                <w:szCs w:val="18"/>
                <w:lang w:val="en-US" w:eastAsia="zh-CN"/>
              </w:rPr>
              <w:t>确认为净资产的精算损失</w:t>
            </w:r>
          </w:p>
        </w:tc>
        <w:tc>
          <w:tcPr>
            <w:tcW w:w="1984" w:type="dxa"/>
            <w:tcBorders>
              <w:top w:val="nil"/>
              <w:left w:val="single" w:sz="4" w:space="0" w:color="auto"/>
              <w:bottom w:val="nil"/>
              <w:right w:val="single" w:sz="4" w:space="0" w:color="auto"/>
            </w:tcBorders>
            <w:shd w:val="clear" w:color="auto" w:fill="auto"/>
          </w:tcPr>
          <w:p w14:paraId="66CC6DEA" w14:textId="37348298" w:rsidR="00087D21" w:rsidRPr="000C156A" w:rsidRDefault="00087D21" w:rsidP="00087D21">
            <w:pPr>
              <w:widowControl w:val="0"/>
              <w:kinsoku w:val="0"/>
              <w:ind w:right="210"/>
              <w:jc w:val="right"/>
              <w:rPr>
                <w:iCs/>
                <w:color w:val="000000"/>
                <w:sz w:val="22"/>
                <w:szCs w:val="18"/>
                <w:lang w:val="en-US"/>
              </w:rPr>
            </w:pPr>
            <w:r>
              <w:rPr>
                <w:i/>
                <w:iCs/>
                <w:color w:val="000000"/>
                <w:sz w:val="22"/>
                <w:szCs w:val="18"/>
                <w:lang w:val="en-US"/>
              </w:rPr>
              <w:t>-103 499</w:t>
            </w:r>
          </w:p>
        </w:tc>
        <w:tc>
          <w:tcPr>
            <w:tcW w:w="1984" w:type="dxa"/>
            <w:tcBorders>
              <w:top w:val="nil"/>
              <w:left w:val="single" w:sz="4" w:space="0" w:color="auto"/>
              <w:bottom w:val="nil"/>
              <w:right w:val="single" w:sz="4" w:space="0" w:color="auto"/>
            </w:tcBorders>
            <w:hideMark/>
          </w:tcPr>
          <w:p w14:paraId="4BA19F7F" w14:textId="26479FFF" w:rsidR="00087D21" w:rsidRPr="000C156A" w:rsidRDefault="00087D21" w:rsidP="00087D21">
            <w:pPr>
              <w:widowControl w:val="0"/>
              <w:kinsoku w:val="0"/>
              <w:ind w:right="210"/>
              <w:jc w:val="right"/>
              <w:rPr>
                <w:iCs/>
                <w:color w:val="000000"/>
                <w:sz w:val="22"/>
                <w:szCs w:val="18"/>
                <w:lang w:val="en-US"/>
              </w:rPr>
            </w:pPr>
            <w:r w:rsidRPr="000C156A">
              <w:rPr>
                <w:i/>
                <w:iCs/>
                <w:color w:val="000000"/>
                <w:sz w:val="22"/>
                <w:szCs w:val="18"/>
                <w:lang w:val="en-US"/>
              </w:rPr>
              <w:t>-2 815</w:t>
            </w:r>
          </w:p>
        </w:tc>
      </w:tr>
      <w:tr w:rsidR="00087D21" w:rsidRPr="000C156A" w14:paraId="109AD161" w14:textId="77777777" w:rsidTr="00087D21">
        <w:trPr>
          <w:trHeight w:val="264"/>
          <w:jc w:val="center"/>
        </w:trPr>
        <w:tc>
          <w:tcPr>
            <w:tcW w:w="5573" w:type="dxa"/>
            <w:tcBorders>
              <w:top w:val="nil"/>
              <w:left w:val="single" w:sz="4" w:space="0" w:color="auto"/>
              <w:bottom w:val="nil"/>
              <w:right w:val="single" w:sz="4" w:space="0" w:color="auto"/>
            </w:tcBorders>
            <w:vAlign w:val="bottom"/>
            <w:hideMark/>
          </w:tcPr>
          <w:p w14:paraId="0561E8E9" w14:textId="77777777" w:rsidR="00087D21" w:rsidRPr="000C156A" w:rsidRDefault="00087D21" w:rsidP="00087D21">
            <w:pPr>
              <w:widowControl w:val="0"/>
              <w:kinsoku w:val="0"/>
              <w:spacing w:before="60" w:after="60"/>
              <w:rPr>
                <w:bCs/>
                <w:color w:val="000000"/>
                <w:sz w:val="22"/>
                <w:szCs w:val="18"/>
                <w:lang w:val="en-US" w:eastAsia="zh-CN"/>
              </w:rPr>
            </w:pPr>
            <w:r w:rsidRPr="000C156A">
              <w:rPr>
                <w:rFonts w:hint="eastAsia"/>
                <w:bCs/>
                <w:color w:val="000000"/>
                <w:sz w:val="22"/>
                <w:szCs w:val="18"/>
                <w:lang w:val="en-US" w:eastAsia="zh-CN"/>
              </w:rPr>
              <w:t>该期的缴款</w:t>
            </w:r>
          </w:p>
        </w:tc>
        <w:tc>
          <w:tcPr>
            <w:tcW w:w="1984" w:type="dxa"/>
            <w:tcBorders>
              <w:top w:val="nil"/>
              <w:left w:val="single" w:sz="4" w:space="0" w:color="auto"/>
              <w:bottom w:val="nil"/>
              <w:right w:val="single" w:sz="4" w:space="0" w:color="auto"/>
            </w:tcBorders>
            <w:shd w:val="clear" w:color="auto" w:fill="auto"/>
          </w:tcPr>
          <w:p w14:paraId="1830F1A9" w14:textId="5A966612" w:rsidR="00087D21" w:rsidRPr="000C156A" w:rsidRDefault="00087D21" w:rsidP="00087D21">
            <w:pPr>
              <w:widowControl w:val="0"/>
              <w:kinsoku w:val="0"/>
              <w:ind w:right="210"/>
              <w:jc w:val="right"/>
              <w:rPr>
                <w:iCs/>
                <w:color w:val="000000"/>
                <w:sz w:val="22"/>
                <w:szCs w:val="18"/>
                <w:lang w:val="en-US"/>
              </w:rPr>
            </w:pPr>
            <w:r w:rsidRPr="000D7C4D">
              <w:rPr>
                <w:i/>
                <w:iCs/>
                <w:color w:val="000000"/>
                <w:sz w:val="22"/>
                <w:szCs w:val="18"/>
                <w:lang w:val="en-US"/>
              </w:rPr>
              <w:t>-</w:t>
            </w:r>
            <w:r>
              <w:rPr>
                <w:i/>
                <w:iCs/>
                <w:color w:val="000000"/>
                <w:sz w:val="22"/>
                <w:szCs w:val="18"/>
                <w:lang w:val="en-US"/>
              </w:rPr>
              <w:t>9 160</w:t>
            </w:r>
          </w:p>
        </w:tc>
        <w:tc>
          <w:tcPr>
            <w:tcW w:w="1984" w:type="dxa"/>
            <w:tcBorders>
              <w:top w:val="nil"/>
              <w:left w:val="single" w:sz="4" w:space="0" w:color="auto"/>
              <w:bottom w:val="nil"/>
              <w:right w:val="single" w:sz="4" w:space="0" w:color="auto"/>
            </w:tcBorders>
            <w:hideMark/>
          </w:tcPr>
          <w:p w14:paraId="28B3B105" w14:textId="1D7A65B9" w:rsidR="00087D21" w:rsidRPr="000C156A" w:rsidRDefault="00087D21" w:rsidP="00087D21">
            <w:pPr>
              <w:widowControl w:val="0"/>
              <w:kinsoku w:val="0"/>
              <w:ind w:right="210"/>
              <w:jc w:val="right"/>
              <w:rPr>
                <w:iCs/>
                <w:color w:val="000000"/>
                <w:sz w:val="22"/>
                <w:szCs w:val="18"/>
                <w:lang w:val="en-US"/>
              </w:rPr>
            </w:pPr>
            <w:r w:rsidRPr="000C156A">
              <w:rPr>
                <w:i/>
                <w:iCs/>
                <w:color w:val="000000"/>
                <w:sz w:val="22"/>
                <w:szCs w:val="18"/>
                <w:lang w:val="en-US"/>
              </w:rPr>
              <w:t>-4 878</w:t>
            </w:r>
          </w:p>
        </w:tc>
      </w:tr>
      <w:tr w:rsidR="00087D21" w:rsidRPr="000C156A" w14:paraId="10294910" w14:textId="77777777" w:rsidTr="00087D21">
        <w:trPr>
          <w:trHeight w:val="264"/>
          <w:jc w:val="center"/>
        </w:trPr>
        <w:tc>
          <w:tcPr>
            <w:tcW w:w="5573" w:type="dxa"/>
            <w:tcBorders>
              <w:top w:val="nil"/>
              <w:left w:val="single" w:sz="4" w:space="0" w:color="auto"/>
              <w:bottom w:val="nil"/>
              <w:right w:val="single" w:sz="4" w:space="0" w:color="auto"/>
            </w:tcBorders>
            <w:hideMark/>
          </w:tcPr>
          <w:p w14:paraId="1E5F316F" w14:textId="77777777" w:rsidR="00087D21" w:rsidRPr="000C156A" w:rsidRDefault="00087D21" w:rsidP="00087D21">
            <w:pPr>
              <w:widowControl w:val="0"/>
              <w:kinsoku w:val="0"/>
              <w:spacing w:before="60" w:after="60"/>
              <w:rPr>
                <w:bCs/>
                <w:color w:val="000000"/>
                <w:sz w:val="22"/>
                <w:szCs w:val="18"/>
                <w:lang w:val="en-US" w:eastAsia="zh-CN"/>
              </w:rPr>
            </w:pPr>
            <w:r w:rsidRPr="000C156A">
              <w:rPr>
                <w:rFonts w:hint="eastAsia"/>
                <w:bCs/>
                <w:color w:val="000000"/>
                <w:sz w:val="22"/>
                <w:szCs w:val="18"/>
                <w:lang w:val="en-US" w:eastAsia="zh-CN"/>
              </w:rPr>
              <w:t>未实现的汇率损</w:t>
            </w:r>
            <w:r w:rsidRPr="000C156A">
              <w:rPr>
                <w:bCs/>
                <w:color w:val="000000"/>
                <w:sz w:val="22"/>
                <w:szCs w:val="18"/>
                <w:lang w:val="en-US" w:eastAsia="zh-CN"/>
              </w:rPr>
              <w:t>/</w:t>
            </w:r>
            <w:r w:rsidRPr="000C156A">
              <w:rPr>
                <w:rFonts w:hint="eastAsia"/>
                <w:bCs/>
                <w:color w:val="000000"/>
                <w:sz w:val="22"/>
                <w:szCs w:val="18"/>
                <w:lang w:val="en-US" w:eastAsia="zh-CN"/>
              </w:rPr>
              <w:t>（益）</w:t>
            </w:r>
          </w:p>
        </w:tc>
        <w:tc>
          <w:tcPr>
            <w:tcW w:w="1984" w:type="dxa"/>
            <w:tcBorders>
              <w:top w:val="nil"/>
              <w:left w:val="single" w:sz="4" w:space="0" w:color="auto"/>
              <w:right w:val="single" w:sz="4" w:space="0" w:color="auto"/>
            </w:tcBorders>
            <w:shd w:val="clear" w:color="auto" w:fill="auto"/>
          </w:tcPr>
          <w:p w14:paraId="44F835D5" w14:textId="781572AF" w:rsidR="00087D21" w:rsidRPr="000C156A" w:rsidRDefault="00087D21" w:rsidP="00087D21">
            <w:pPr>
              <w:widowControl w:val="0"/>
              <w:kinsoku w:val="0"/>
              <w:ind w:right="210"/>
              <w:jc w:val="right"/>
              <w:rPr>
                <w:iCs/>
                <w:color w:val="000000"/>
                <w:sz w:val="22"/>
                <w:szCs w:val="18"/>
                <w:lang w:val="en-US"/>
              </w:rPr>
            </w:pPr>
            <w:r w:rsidRPr="000D7C4D">
              <w:rPr>
                <w:i/>
                <w:iCs/>
                <w:color w:val="000000"/>
                <w:sz w:val="22"/>
                <w:szCs w:val="18"/>
                <w:lang w:val="en-US"/>
              </w:rPr>
              <w:t>0</w:t>
            </w:r>
          </w:p>
        </w:tc>
        <w:tc>
          <w:tcPr>
            <w:tcW w:w="1984" w:type="dxa"/>
            <w:tcBorders>
              <w:top w:val="nil"/>
              <w:left w:val="single" w:sz="4" w:space="0" w:color="auto"/>
              <w:right w:val="single" w:sz="4" w:space="0" w:color="auto"/>
            </w:tcBorders>
            <w:hideMark/>
          </w:tcPr>
          <w:p w14:paraId="0136034D" w14:textId="5862B365" w:rsidR="00087D21" w:rsidRPr="000C156A" w:rsidRDefault="00087D21" w:rsidP="00087D21">
            <w:pPr>
              <w:widowControl w:val="0"/>
              <w:kinsoku w:val="0"/>
              <w:ind w:right="210"/>
              <w:jc w:val="right"/>
              <w:rPr>
                <w:iCs/>
                <w:color w:val="000000"/>
                <w:sz w:val="22"/>
                <w:szCs w:val="18"/>
                <w:lang w:val="en-US"/>
              </w:rPr>
            </w:pPr>
            <w:r w:rsidRPr="000C156A">
              <w:rPr>
                <w:i/>
                <w:iCs/>
                <w:color w:val="000000"/>
                <w:sz w:val="22"/>
                <w:szCs w:val="18"/>
                <w:lang w:val="en-US"/>
              </w:rPr>
              <w:t>0</w:t>
            </w:r>
          </w:p>
        </w:tc>
      </w:tr>
      <w:tr w:rsidR="00087D21" w:rsidRPr="000C156A" w14:paraId="32A523AD" w14:textId="77777777" w:rsidTr="00087D21">
        <w:trPr>
          <w:trHeight w:val="336"/>
          <w:jc w:val="center"/>
        </w:trPr>
        <w:tc>
          <w:tcPr>
            <w:tcW w:w="5573" w:type="dxa"/>
            <w:tcBorders>
              <w:top w:val="nil"/>
              <w:left w:val="single" w:sz="4" w:space="0" w:color="auto"/>
              <w:bottom w:val="single" w:sz="4" w:space="0" w:color="auto"/>
              <w:right w:val="single" w:sz="4" w:space="0" w:color="auto"/>
            </w:tcBorders>
            <w:hideMark/>
          </w:tcPr>
          <w:p w14:paraId="1AE4A51C" w14:textId="77777777" w:rsidR="00087D21" w:rsidRPr="000C156A" w:rsidRDefault="00087D21" w:rsidP="00087D21">
            <w:pPr>
              <w:widowControl w:val="0"/>
              <w:kinsoku w:val="0"/>
              <w:rPr>
                <w:bCs/>
                <w:color w:val="000000"/>
                <w:sz w:val="22"/>
                <w:szCs w:val="18"/>
                <w:lang w:val="en-US" w:eastAsia="zh-CN"/>
              </w:rPr>
            </w:pPr>
            <w:r w:rsidRPr="000C156A">
              <w:rPr>
                <w:rFonts w:hint="eastAsia"/>
                <w:bCs/>
                <w:color w:val="000000"/>
                <w:sz w:val="22"/>
                <w:szCs w:val="18"/>
                <w:lang w:val="en-US" w:eastAsia="zh-CN"/>
              </w:rPr>
              <w:t>分别截至</w:t>
            </w:r>
            <w:r w:rsidRPr="000C156A">
              <w:rPr>
                <w:rFonts w:hint="eastAsia"/>
                <w:bCs/>
                <w:color w:val="000000"/>
                <w:sz w:val="22"/>
                <w:szCs w:val="18"/>
                <w:lang w:val="en-US" w:eastAsia="zh-CN"/>
              </w:rPr>
              <w:t>20</w:t>
            </w:r>
            <w:r w:rsidRPr="000C156A">
              <w:rPr>
                <w:bCs/>
                <w:color w:val="000000"/>
                <w:sz w:val="22"/>
                <w:szCs w:val="18"/>
                <w:lang w:val="en-US" w:eastAsia="zh-CN"/>
              </w:rPr>
              <w:t>20</w:t>
            </w:r>
            <w:r w:rsidRPr="000C156A">
              <w:rPr>
                <w:rFonts w:hint="eastAsia"/>
                <w:bCs/>
                <w:color w:val="000000"/>
                <w:sz w:val="22"/>
                <w:szCs w:val="18"/>
                <w:lang w:val="en-US" w:eastAsia="zh-CN"/>
              </w:rPr>
              <w:t>-201</w:t>
            </w:r>
            <w:r w:rsidRPr="000C156A">
              <w:rPr>
                <w:bCs/>
                <w:color w:val="000000"/>
                <w:sz w:val="22"/>
                <w:szCs w:val="18"/>
                <w:lang w:val="en-US" w:eastAsia="zh-CN"/>
              </w:rPr>
              <w:t>9</w:t>
            </w:r>
            <w:r w:rsidRPr="000C156A">
              <w:rPr>
                <w:rFonts w:hint="eastAsia"/>
                <w:bCs/>
                <w:color w:val="000000"/>
                <w:sz w:val="22"/>
                <w:szCs w:val="18"/>
                <w:lang w:val="en-US" w:eastAsia="zh-CN"/>
              </w:rPr>
              <w:t>年</w:t>
            </w:r>
            <w:r w:rsidRPr="000C156A">
              <w:rPr>
                <w:bCs/>
                <w:color w:val="000000"/>
                <w:sz w:val="22"/>
                <w:szCs w:val="18"/>
                <w:lang w:val="en-US" w:eastAsia="zh-CN"/>
              </w:rPr>
              <w:t>12</w:t>
            </w:r>
            <w:r w:rsidRPr="000C156A">
              <w:rPr>
                <w:rFonts w:hint="eastAsia"/>
                <w:bCs/>
                <w:color w:val="000000"/>
                <w:sz w:val="22"/>
                <w:szCs w:val="18"/>
                <w:lang w:val="en-US" w:eastAsia="zh-CN"/>
              </w:rPr>
              <w:t>月</w:t>
            </w:r>
            <w:r w:rsidRPr="000C156A">
              <w:rPr>
                <w:bCs/>
                <w:color w:val="000000"/>
                <w:sz w:val="22"/>
                <w:szCs w:val="18"/>
                <w:lang w:val="en-US" w:eastAsia="zh-CN"/>
              </w:rPr>
              <w:t>31</w:t>
            </w:r>
            <w:r w:rsidRPr="000C156A">
              <w:rPr>
                <w:rFonts w:hint="eastAsia"/>
                <w:bCs/>
                <w:color w:val="000000"/>
                <w:sz w:val="22"/>
                <w:szCs w:val="18"/>
                <w:lang w:val="en-US" w:eastAsia="zh-CN"/>
              </w:rPr>
              <w:t>日的</w:t>
            </w:r>
            <w:r w:rsidRPr="000C156A">
              <w:rPr>
                <w:bCs/>
                <w:color w:val="000000"/>
                <w:sz w:val="22"/>
                <w:szCs w:val="18"/>
                <w:lang w:val="en-US" w:eastAsia="zh-CN"/>
              </w:rPr>
              <w:t>ASHI</w:t>
            </w:r>
            <w:r w:rsidRPr="000C156A">
              <w:rPr>
                <w:rFonts w:hint="eastAsia"/>
                <w:bCs/>
                <w:color w:val="000000"/>
                <w:sz w:val="22"/>
                <w:szCs w:val="18"/>
                <w:lang w:val="en-US" w:eastAsia="zh-CN"/>
              </w:rPr>
              <w:t>计划中的</w:t>
            </w:r>
            <w:r w:rsidRPr="000C156A">
              <w:rPr>
                <w:bCs/>
                <w:color w:val="000000"/>
                <w:sz w:val="22"/>
                <w:szCs w:val="18"/>
                <w:lang w:val="en-US" w:eastAsia="zh-CN"/>
              </w:rPr>
              <w:br/>
            </w:r>
            <w:r w:rsidRPr="000C156A">
              <w:rPr>
                <w:rFonts w:hint="eastAsia"/>
                <w:bCs/>
                <w:color w:val="000000"/>
                <w:sz w:val="22"/>
                <w:szCs w:val="18"/>
                <w:lang w:val="en-US" w:eastAsia="zh-CN"/>
              </w:rPr>
              <w:t>承付款项金额</w:t>
            </w:r>
          </w:p>
        </w:tc>
        <w:tc>
          <w:tcPr>
            <w:tcW w:w="1984" w:type="dxa"/>
            <w:tcBorders>
              <w:top w:val="nil"/>
              <w:left w:val="single" w:sz="4" w:space="0" w:color="auto"/>
              <w:bottom w:val="single" w:sz="4" w:space="0" w:color="auto"/>
              <w:right w:val="single" w:sz="4" w:space="0" w:color="auto"/>
            </w:tcBorders>
            <w:shd w:val="clear" w:color="auto" w:fill="auto"/>
          </w:tcPr>
          <w:p w14:paraId="509EEE49" w14:textId="0185D192" w:rsidR="00087D21" w:rsidRPr="000C156A" w:rsidRDefault="00087D21" w:rsidP="00087D21">
            <w:pPr>
              <w:widowControl w:val="0"/>
              <w:kinsoku w:val="0"/>
              <w:ind w:right="210"/>
              <w:jc w:val="right"/>
              <w:rPr>
                <w:iCs/>
                <w:color w:val="000000"/>
                <w:sz w:val="22"/>
                <w:szCs w:val="18"/>
                <w:lang w:val="en-US"/>
              </w:rPr>
            </w:pPr>
            <w:r>
              <w:rPr>
                <w:i/>
                <w:iCs/>
                <w:color w:val="000000"/>
                <w:sz w:val="22"/>
                <w:szCs w:val="18"/>
                <w:lang w:val="en-US"/>
              </w:rPr>
              <w:t>545 636</w:t>
            </w:r>
          </w:p>
        </w:tc>
        <w:tc>
          <w:tcPr>
            <w:tcW w:w="1984" w:type="dxa"/>
            <w:tcBorders>
              <w:top w:val="nil"/>
              <w:left w:val="single" w:sz="4" w:space="0" w:color="auto"/>
              <w:bottom w:val="single" w:sz="4" w:space="0" w:color="auto"/>
              <w:right w:val="single" w:sz="4" w:space="0" w:color="auto"/>
            </w:tcBorders>
            <w:hideMark/>
          </w:tcPr>
          <w:p w14:paraId="7C28572C" w14:textId="70641B85" w:rsidR="00087D21" w:rsidRPr="000C156A" w:rsidRDefault="00087D21" w:rsidP="00087D21">
            <w:pPr>
              <w:widowControl w:val="0"/>
              <w:kinsoku w:val="0"/>
              <w:ind w:right="210"/>
              <w:jc w:val="right"/>
              <w:rPr>
                <w:iCs/>
                <w:color w:val="000000"/>
                <w:sz w:val="22"/>
                <w:szCs w:val="18"/>
                <w:lang w:val="en-US"/>
              </w:rPr>
            </w:pPr>
            <w:r w:rsidRPr="000C156A">
              <w:rPr>
                <w:i/>
                <w:iCs/>
                <w:color w:val="000000"/>
                <w:sz w:val="22"/>
                <w:szCs w:val="18"/>
                <w:lang w:val="en-US"/>
              </w:rPr>
              <w:t>631 870</w:t>
            </w:r>
          </w:p>
        </w:tc>
      </w:tr>
    </w:tbl>
    <w:p w14:paraId="045684E2" w14:textId="788D83BB" w:rsidR="0085433F" w:rsidRPr="000C156A" w:rsidRDefault="00262942" w:rsidP="0085433F">
      <w:pPr>
        <w:spacing w:before="240"/>
        <w:ind w:firstLineChars="200" w:firstLine="480"/>
        <w:rPr>
          <w:lang w:eastAsia="zh-CN"/>
        </w:rPr>
      </w:pPr>
      <w:r w:rsidRPr="00262942">
        <w:rPr>
          <w:rFonts w:hint="eastAsia"/>
          <w:szCs w:val="24"/>
          <w:lang w:eastAsia="zh-CN"/>
        </w:rPr>
        <w:lastRenderedPageBreak/>
        <w:t>截至</w:t>
      </w:r>
      <w:r w:rsidRPr="00262942">
        <w:rPr>
          <w:rFonts w:hint="eastAsia"/>
          <w:szCs w:val="24"/>
          <w:lang w:eastAsia="zh-CN"/>
        </w:rPr>
        <w:t>2021</w:t>
      </w:r>
      <w:r w:rsidRPr="00262942">
        <w:rPr>
          <w:rFonts w:hint="eastAsia"/>
          <w:szCs w:val="24"/>
          <w:lang w:eastAsia="zh-CN"/>
        </w:rPr>
        <w:t>年</w:t>
      </w:r>
      <w:r w:rsidRPr="00262942">
        <w:rPr>
          <w:rFonts w:hint="eastAsia"/>
          <w:szCs w:val="24"/>
          <w:lang w:eastAsia="zh-CN"/>
        </w:rPr>
        <w:t>12</w:t>
      </w:r>
      <w:r w:rsidRPr="00262942">
        <w:rPr>
          <w:rFonts w:hint="eastAsia"/>
          <w:szCs w:val="24"/>
          <w:lang w:eastAsia="zh-CN"/>
        </w:rPr>
        <w:t>月</w:t>
      </w:r>
      <w:r w:rsidRPr="00262942">
        <w:rPr>
          <w:rFonts w:hint="eastAsia"/>
          <w:szCs w:val="24"/>
          <w:lang w:eastAsia="zh-CN"/>
        </w:rPr>
        <w:t>31</w:t>
      </w:r>
      <w:r w:rsidRPr="00262942">
        <w:rPr>
          <w:rFonts w:hint="eastAsia"/>
          <w:szCs w:val="24"/>
          <w:lang w:eastAsia="zh-CN"/>
        </w:rPr>
        <w:t>日，与</w:t>
      </w:r>
      <w:r w:rsidRPr="00262942">
        <w:rPr>
          <w:rFonts w:hint="eastAsia"/>
          <w:szCs w:val="24"/>
          <w:lang w:eastAsia="zh-CN"/>
        </w:rPr>
        <w:t>ASHI</w:t>
      </w:r>
      <w:r w:rsidRPr="00262942">
        <w:rPr>
          <w:rFonts w:hint="eastAsia"/>
          <w:szCs w:val="24"/>
          <w:lang w:eastAsia="zh-CN"/>
        </w:rPr>
        <w:t>有关的承付款项为</w:t>
      </w:r>
      <w:r w:rsidRPr="00262942">
        <w:rPr>
          <w:rFonts w:hint="eastAsia"/>
          <w:szCs w:val="24"/>
          <w:lang w:eastAsia="zh-CN"/>
        </w:rPr>
        <w:t>5.4563</w:t>
      </w:r>
      <w:r w:rsidRPr="00262942">
        <w:rPr>
          <w:rFonts w:hint="eastAsia"/>
          <w:szCs w:val="24"/>
          <w:lang w:eastAsia="zh-CN"/>
        </w:rPr>
        <w:t>亿瑞郎。自</w:t>
      </w:r>
      <w:r w:rsidRPr="00262942">
        <w:rPr>
          <w:rFonts w:hint="eastAsia"/>
          <w:szCs w:val="24"/>
          <w:lang w:eastAsia="zh-CN"/>
        </w:rPr>
        <w:t>2020</w:t>
      </w:r>
      <w:r w:rsidRPr="00262942">
        <w:rPr>
          <w:rFonts w:hint="eastAsia"/>
          <w:szCs w:val="24"/>
          <w:lang w:eastAsia="zh-CN"/>
        </w:rPr>
        <w:t>年年底的</w:t>
      </w:r>
      <w:r w:rsidRPr="00262942">
        <w:rPr>
          <w:rFonts w:hint="eastAsia"/>
          <w:szCs w:val="24"/>
          <w:lang w:eastAsia="zh-CN"/>
        </w:rPr>
        <w:t>6.3187</w:t>
      </w:r>
      <w:r w:rsidRPr="00262942">
        <w:rPr>
          <w:rFonts w:hint="eastAsia"/>
          <w:szCs w:val="24"/>
          <w:lang w:eastAsia="zh-CN"/>
        </w:rPr>
        <w:t>亿瑞郎降至</w:t>
      </w:r>
      <w:r w:rsidRPr="00262942">
        <w:rPr>
          <w:rFonts w:hint="eastAsia"/>
          <w:szCs w:val="24"/>
          <w:lang w:eastAsia="zh-CN"/>
        </w:rPr>
        <w:t>2021</w:t>
      </w:r>
      <w:r w:rsidRPr="00262942">
        <w:rPr>
          <w:rFonts w:hint="eastAsia"/>
          <w:szCs w:val="24"/>
          <w:lang w:eastAsia="zh-CN"/>
        </w:rPr>
        <w:t>年的</w:t>
      </w:r>
      <w:r w:rsidRPr="00262942">
        <w:rPr>
          <w:rFonts w:hint="eastAsia"/>
          <w:szCs w:val="24"/>
          <w:lang w:eastAsia="zh-CN"/>
        </w:rPr>
        <w:t>5.4563</w:t>
      </w:r>
      <w:r w:rsidRPr="00262942">
        <w:rPr>
          <w:rFonts w:hint="eastAsia"/>
          <w:szCs w:val="24"/>
          <w:lang w:eastAsia="zh-CN"/>
        </w:rPr>
        <w:t>亿瑞郎的原因，可归结于对</w:t>
      </w:r>
      <w:r w:rsidRPr="00262942">
        <w:rPr>
          <w:rFonts w:hint="eastAsia"/>
          <w:szCs w:val="24"/>
          <w:lang w:eastAsia="zh-CN"/>
        </w:rPr>
        <w:t>2021</w:t>
      </w:r>
      <w:r w:rsidRPr="00262942">
        <w:rPr>
          <w:rFonts w:hint="eastAsia"/>
          <w:szCs w:val="24"/>
          <w:lang w:eastAsia="zh-CN"/>
        </w:rPr>
        <w:t>年财务假设的变化。影响</w:t>
      </w:r>
      <w:r w:rsidRPr="00262942">
        <w:rPr>
          <w:rFonts w:hint="eastAsia"/>
          <w:szCs w:val="24"/>
          <w:lang w:eastAsia="zh-CN"/>
        </w:rPr>
        <w:t>ASHI</w:t>
      </w:r>
      <w:r w:rsidRPr="00262942">
        <w:rPr>
          <w:rFonts w:hint="eastAsia"/>
          <w:szCs w:val="24"/>
          <w:lang w:eastAsia="zh-CN"/>
        </w:rPr>
        <w:t>估值的主要因素是用于计算未来累积索赔现值的贴现率。</w:t>
      </w:r>
      <w:r w:rsidRPr="00262942">
        <w:rPr>
          <w:rFonts w:hint="eastAsia"/>
          <w:szCs w:val="24"/>
          <w:lang w:eastAsia="zh-CN"/>
        </w:rPr>
        <w:t>2021</w:t>
      </w:r>
      <w:r w:rsidRPr="00262942">
        <w:rPr>
          <w:rFonts w:hint="eastAsia"/>
          <w:szCs w:val="24"/>
          <w:lang w:eastAsia="zh-CN"/>
        </w:rPr>
        <w:t>年，贴现率从</w:t>
      </w:r>
      <w:r w:rsidRPr="00262942">
        <w:rPr>
          <w:rFonts w:hint="eastAsia"/>
          <w:szCs w:val="24"/>
          <w:lang w:eastAsia="zh-CN"/>
        </w:rPr>
        <w:t>0.2%</w:t>
      </w:r>
      <w:r w:rsidRPr="00262942">
        <w:rPr>
          <w:rFonts w:hint="eastAsia"/>
          <w:szCs w:val="24"/>
          <w:lang w:eastAsia="zh-CN"/>
        </w:rPr>
        <w:t>增至</w:t>
      </w:r>
      <w:r w:rsidRPr="00262942">
        <w:rPr>
          <w:rFonts w:hint="eastAsia"/>
          <w:szCs w:val="24"/>
          <w:lang w:eastAsia="zh-CN"/>
        </w:rPr>
        <w:t>0.5%</w:t>
      </w:r>
      <w:r w:rsidRPr="00262942">
        <w:rPr>
          <w:rFonts w:hint="eastAsia"/>
          <w:szCs w:val="24"/>
          <w:lang w:eastAsia="zh-CN"/>
        </w:rPr>
        <w:t>。贴现率的这一增长，令</w:t>
      </w:r>
      <w:r w:rsidRPr="00262942">
        <w:rPr>
          <w:rFonts w:hint="eastAsia"/>
          <w:szCs w:val="24"/>
          <w:lang w:eastAsia="zh-CN"/>
        </w:rPr>
        <w:t>ASHI</w:t>
      </w:r>
      <w:r w:rsidRPr="00262942">
        <w:rPr>
          <w:rFonts w:hint="eastAsia"/>
          <w:szCs w:val="24"/>
          <w:lang w:eastAsia="zh-CN"/>
        </w:rPr>
        <w:t>获利</w:t>
      </w:r>
      <w:r w:rsidRPr="00262942">
        <w:rPr>
          <w:rFonts w:hint="eastAsia"/>
          <w:szCs w:val="24"/>
          <w:lang w:eastAsia="zh-CN"/>
        </w:rPr>
        <w:t>3</w:t>
      </w:r>
      <w:r w:rsidR="00F85696">
        <w:rPr>
          <w:szCs w:val="24"/>
          <w:lang w:eastAsia="zh-CN"/>
        </w:rPr>
        <w:t xml:space="preserve"> </w:t>
      </w:r>
      <w:r w:rsidRPr="00262942">
        <w:rPr>
          <w:rFonts w:hint="eastAsia"/>
          <w:szCs w:val="24"/>
          <w:lang w:eastAsia="zh-CN"/>
        </w:rPr>
        <w:t>670</w:t>
      </w:r>
      <w:r w:rsidRPr="00262942">
        <w:rPr>
          <w:rFonts w:hint="eastAsia"/>
          <w:szCs w:val="24"/>
          <w:lang w:eastAsia="zh-CN"/>
        </w:rPr>
        <w:t>万瑞郎。</w:t>
      </w:r>
    </w:p>
    <w:p w14:paraId="16BA215F" w14:textId="2DBB26D2" w:rsidR="00087D21" w:rsidRPr="00727431" w:rsidRDefault="000D3B60" w:rsidP="00F85696">
      <w:pPr>
        <w:tabs>
          <w:tab w:val="clear" w:pos="794"/>
          <w:tab w:val="left" w:pos="550"/>
        </w:tabs>
        <w:snapToGrid w:val="0"/>
        <w:spacing w:after="120"/>
        <w:ind w:firstLineChars="200" w:firstLine="480"/>
        <w:jc w:val="both"/>
        <w:rPr>
          <w:rFonts w:cs="Calibri"/>
          <w:b/>
          <w:color w:val="800000"/>
          <w:sz w:val="22"/>
          <w:szCs w:val="24"/>
          <w:highlight w:val="green"/>
          <w:lang w:eastAsia="zh-CN"/>
        </w:rPr>
      </w:pPr>
      <w:r w:rsidRPr="000D3B60">
        <w:rPr>
          <w:rFonts w:hint="eastAsia"/>
          <w:szCs w:val="24"/>
          <w:lang w:eastAsia="zh-CN"/>
        </w:rPr>
        <w:t>对</w:t>
      </w:r>
      <w:r w:rsidRPr="000D3B60">
        <w:rPr>
          <w:rFonts w:hint="eastAsia"/>
          <w:szCs w:val="24"/>
          <w:lang w:eastAsia="zh-CN"/>
        </w:rPr>
        <w:t>2021</w:t>
      </w:r>
      <w:r w:rsidRPr="000D3B60">
        <w:rPr>
          <w:rFonts w:hint="eastAsia"/>
          <w:szCs w:val="24"/>
          <w:lang w:eastAsia="zh-CN"/>
        </w:rPr>
        <w:t>年</w:t>
      </w:r>
      <w:r w:rsidRPr="000D3B60">
        <w:rPr>
          <w:rFonts w:hint="eastAsia"/>
          <w:szCs w:val="24"/>
          <w:lang w:eastAsia="zh-CN"/>
        </w:rPr>
        <w:t>ASHI</w:t>
      </w:r>
      <w:r w:rsidRPr="000D3B60">
        <w:rPr>
          <w:rFonts w:hint="eastAsia"/>
          <w:szCs w:val="24"/>
          <w:lang w:eastAsia="zh-CN"/>
        </w:rPr>
        <w:t>负债有积极影响的第二个因素是医疗趋势通货膨胀。</w:t>
      </w:r>
      <w:r>
        <w:rPr>
          <w:rFonts w:hint="eastAsia"/>
          <w:szCs w:val="24"/>
          <w:lang w:eastAsia="zh-CN"/>
        </w:rPr>
        <w:t>其</w:t>
      </w:r>
      <w:r w:rsidRPr="000D3B60">
        <w:rPr>
          <w:rFonts w:hint="eastAsia"/>
          <w:szCs w:val="24"/>
          <w:lang w:eastAsia="zh-CN"/>
        </w:rPr>
        <w:t>4470</w:t>
      </w:r>
      <w:r w:rsidRPr="000D3B60">
        <w:rPr>
          <w:rFonts w:hint="eastAsia"/>
          <w:szCs w:val="24"/>
          <w:lang w:eastAsia="zh-CN"/>
        </w:rPr>
        <w:t>万瑞郎的收益</w:t>
      </w:r>
      <w:r>
        <w:rPr>
          <w:rFonts w:hint="eastAsia"/>
          <w:szCs w:val="24"/>
          <w:lang w:eastAsia="zh-CN"/>
        </w:rPr>
        <w:t>为</w:t>
      </w:r>
      <w:r w:rsidRPr="000D3B60">
        <w:rPr>
          <w:rFonts w:hint="eastAsia"/>
          <w:szCs w:val="24"/>
          <w:lang w:eastAsia="zh-CN"/>
        </w:rPr>
        <w:t>瑞士</w:t>
      </w:r>
      <w:r w:rsidR="00010A76">
        <w:rPr>
          <w:rFonts w:hint="eastAsia"/>
          <w:szCs w:val="24"/>
          <w:lang w:eastAsia="zh-CN"/>
        </w:rPr>
        <w:t>当前</w:t>
      </w:r>
      <w:r w:rsidRPr="000D3B60">
        <w:rPr>
          <w:rFonts w:hint="eastAsia"/>
          <w:szCs w:val="24"/>
          <w:lang w:eastAsia="zh-CN"/>
        </w:rPr>
        <w:t>低医疗通货膨胀以及医疗索赔水平</w:t>
      </w:r>
      <w:r>
        <w:rPr>
          <w:rFonts w:hint="eastAsia"/>
          <w:szCs w:val="24"/>
          <w:lang w:eastAsia="zh-CN"/>
        </w:rPr>
        <w:t>所</w:t>
      </w:r>
      <w:r w:rsidRPr="000D3B60">
        <w:rPr>
          <w:rFonts w:hint="eastAsia"/>
          <w:szCs w:val="24"/>
          <w:lang w:eastAsia="zh-CN"/>
        </w:rPr>
        <w:t>致。</w:t>
      </w:r>
    </w:p>
    <w:p w14:paraId="06348E33" w14:textId="2D4F2CAA" w:rsidR="0085433F" w:rsidRPr="000C156A" w:rsidRDefault="0085433F" w:rsidP="0085433F">
      <w:pPr>
        <w:spacing w:before="240"/>
        <w:ind w:firstLineChars="200" w:firstLine="480"/>
        <w:jc w:val="both"/>
        <w:rPr>
          <w:sz w:val="22"/>
          <w:lang w:eastAsia="zh-CN"/>
        </w:rPr>
      </w:pPr>
      <w:r w:rsidRPr="000C156A">
        <w:rPr>
          <w:lang w:eastAsia="zh-CN"/>
        </w:rPr>
        <w:t>根据外部审计</w:t>
      </w:r>
      <w:r w:rsidRPr="000C156A">
        <w:rPr>
          <w:rFonts w:hint="eastAsia"/>
          <w:lang w:eastAsia="zh-CN"/>
        </w:rPr>
        <w:t>员</w:t>
      </w:r>
      <w:r w:rsidRPr="000C156A">
        <w:rPr>
          <w:lang w:eastAsia="zh-CN"/>
        </w:rPr>
        <w:t>的要求</w:t>
      </w:r>
      <w:r w:rsidRPr="000C156A">
        <w:rPr>
          <w:rFonts w:hint="eastAsia"/>
          <w:lang w:eastAsia="zh-CN"/>
        </w:rPr>
        <w:t>并为了通报情况</w:t>
      </w:r>
      <w:r w:rsidRPr="000C156A">
        <w:rPr>
          <w:lang w:eastAsia="zh-CN"/>
        </w:rPr>
        <w:t>，已经要求使用怡安瑞士政府债券收益率曲线进行估值。</w:t>
      </w:r>
      <w:r w:rsidRPr="000C156A">
        <w:rPr>
          <w:rFonts w:hint="eastAsia"/>
          <w:lang w:eastAsia="zh-CN"/>
        </w:rPr>
        <w:t>该</w:t>
      </w:r>
      <w:r w:rsidRPr="000C156A">
        <w:rPr>
          <w:lang w:eastAsia="zh-CN"/>
        </w:rPr>
        <w:t>政府债券的贴现率为</w:t>
      </w:r>
      <w:r w:rsidRPr="000C156A">
        <w:rPr>
          <w:lang w:eastAsia="zh-CN"/>
        </w:rPr>
        <w:t>0.</w:t>
      </w:r>
      <w:r w:rsidR="00A1515A">
        <w:rPr>
          <w:lang w:eastAsia="zh-CN"/>
        </w:rPr>
        <w:t>1</w:t>
      </w:r>
      <w:r w:rsidRPr="000C156A">
        <w:rPr>
          <w:lang w:eastAsia="zh-CN"/>
        </w:rPr>
        <w:t>%</w:t>
      </w:r>
      <w:r w:rsidRPr="000C156A">
        <w:rPr>
          <w:lang w:eastAsia="zh-CN"/>
        </w:rPr>
        <w:t>，这将使</w:t>
      </w:r>
      <w:r w:rsidRPr="000C156A">
        <w:rPr>
          <w:lang w:eastAsia="zh-CN"/>
        </w:rPr>
        <w:t>ASHI</w:t>
      </w:r>
      <w:r w:rsidRPr="000C156A">
        <w:rPr>
          <w:rFonts w:hint="eastAsia"/>
          <w:lang w:eastAsia="zh-CN"/>
        </w:rPr>
        <w:t>承付款项</w:t>
      </w:r>
      <w:r w:rsidRPr="000C156A">
        <w:rPr>
          <w:lang w:eastAsia="zh-CN"/>
        </w:rPr>
        <w:t>增加到约</w:t>
      </w:r>
      <w:r w:rsidR="00A1515A">
        <w:rPr>
          <w:lang w:eastAsia="zh-CN"/>
        </w:rPr>
        <w:t>77</w:t>
      </w:r>
      <w:r w:rsidRPr="000C156A">
        <w:rPr>
          <w:lang w:eastAsia="zh-CN"/>
        </w:rPr>
        <w:t>00</w:t>
      </w:r>
      <w:r w:rsidRPr="000C156A">
        <w:rPr>
          <w:rFonts w:hint="eastAsia"/>
          <w:lang w:eastAsia="zh-CN"/>
        </w:rPr>
        <w:t>万</w:t>
      </w:r>
      <w:r w:rsidRPr="000C156A">
        <w:rPr>
          <w:lang w:eastAsia="zh-CN"/>
        </w:rPr>
        <w:t>瑞郎</w:t>
      </w:r>
      <w:r w:rsidRPr="000C156A">
        <w:rPr>
          <w:rFonts w:ascii="SimSun" w:hAnsi="SimSun" w:cs="SimSun" w:hint="eastAsia"/>
          <w:lang w:eastAsia="zh-CN"/>
        </w:rPr>
        <w:t>。</w:t>
      </w:r>
    </w:p>
    <w:p w14:paraId="293FE191" w14:textId="77777777" w:rsidR="0085433F" w:rsidRPr="000C156A" w:rsidRDefault="0085433F" w:rsidP="0085433F">
      <w:pPr>
        <w:spacing w:after="120"/>
        <w:ind w:firstLineChars="200" w:firstLine="480"/>
        <w:rPr>
          <w:lang w:val="en-US" w:eastAsia="zh-CN"/>
        </w:rPr>
      </w:pPr>
      <w:bookmarkStart w:id="893" w:name="_Toc305764095"/>
      <w:r w:rsidRPr="000C156A">
        <w:rPr>
          <w:rFonts w:hint="eastAsia"/>
          <w:lang w:val="en-US" w:eastAsia="zh-CN"/>
        </w:rPr>
        <w:t>由于精算估算</w:t>
      </w:r>
      <w:r w:rsidRPr="000C156A">
        <w:rPr>
          <w:rFonts w:hint="eastAsia"/>
          <w:lang w:eastAsia="zh-CN"/>
        </w:rPr>
        <w:t>变化</w:t>
      </w:r>
      <w:r w:rsidRPr="000C156A">
        <w:rPr>
          <w:rFonts w:hint="eastAsia"/>
          <w:lang w:val="en-US" w:eastAsia="zh-CN"/>
        </w:rPr>
        <w:t>造成的精算损失在净资产中使用其他全面收益方法（</w:t>
      </w:r>
      <w:r w:rsidRPr="000C156A">
        <w:rPr>
          <w:lang w:val="en-US" w:eastAsia="zh-CN"/>
        </w:rPr>
        <w:t>OCI</w:t>
      </w:r>
      <w:r w:rsidRPr="000C156A">
        <w:rPr>
          <w:rFonts w:hint="eastAsia"/>
          <w:lang w:val="en-US" w:eastAsia="zh-CN"/>
        </w:rPr>
        <w:t>）予以确认。</w:t>
      </w:r>
    </w:p>
    <w:p w14:paraId="12BD4382" w14:textId="77777777" w:rsidR="0085433F" w:rsidRPr="000C156A" w:rsidRDefault="0085433F" w:rsidP="0085433F">
      <w:pPr>
        <w:spacing w:after="240"/>
        <w:ind w:firstLineChars="200" w:firstLine="480"/>
        <w:rPr>
          <w:lang w:eastAsia="zh-CN"/>
        </w:rPr>
      </w:pPr>
      <w:r w:rsidRPr="000C156A">
        <w:rPr>
          <w:lang w:eastAsia="zh-CN"/>
        </w:rPr>
        <w:t>下表显示</w:t>
      </w:r>
      <w:r w:rsidRPr="000C156A">
        <w:rPr>
          <w:rFonts w:hint="eastAsia"/>
          <w:lang w:eastAsia="zh-CN"/>
        </w:rPr>
        <w:t>本财务</w:t>
      </w:r>
      <w:r w:rsidRPr="000C156A">
        <w:rPr>
          <w:lang w:eastAsia="zh-CN"/>
        </w:rPr>
        <w:t>期结束时的</w:t>
      </w:r>
      <w:r w:rsidRPr="000C156A">
        <w:rPr>
          <w:rFonts w:hint="eastAsia"/>
          <w:lang w:val="en-US" w:eastAsia="zh-CN"/>
        </w:rPr>
        <w:t>承付款项</w:t>
      </w:r>
      <w:r w:rsidRPr="000C156A">
        <w:rPr>
          <w:lang w:eastAsia="zh-CN"/>
        </w:rPr>
        <w:t>净额</w:t>
      </w:r>
      <w:r w:rsidRPr="000C156A">
        <w:rPr>
          <w:rFonts w:hint="eastAsia"/>
          <w:lang w:eastAsia="zh-CN"/>
        </w:rPr>
        <w:t>：</w:t>
      </w:r>
    </w:p>
    <w:tbl>
      <w:tblPr>
        <w:tblW w:w="9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5"/>
        <w:gridCol w:w="2001"/>
        <w:gridCol w:w="1855"/>
      </w:tblGrid>
      <w:tr w:rsidR="0085433F" w:rsidRPr="000C156A" w14:paraId="129C5D44" w14:textId="77777777" w:rsidTr="003A64C9">
        <w:trPr>
          <w:trHeight w:val="297"/>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14:paraId="01D37ED0" w14:textId="77777777" w:rsidR="0085433F" w:rsidRPr="000C156A" w:rsidRDefault="0085433F" w:rsidP="003A64C9">
            <w:pPr>
              <w:widowControl w:val="0"/>
              <w:kinsoku w:val="0"/>
              <w:spacing w:before="0"/>
              <w:rPr>
                <w:b/>
                <w:sz w:val="22"/>
                <w:szCs w:val="22"/>
                <w:lang w:val="en-US" w:eastAsia="zh-CN"/>
              </w:rPr>
            </w:pPr>
            <w:r w:rsidRPr="000C156A">
              <w:rPr>
                <w:rFonts w:hint="eastAsia"/>
                <w:b/>
                <w:color w:val="000000"/>
                <w:sz w:val="22"/>
                <w:szCs w:val="22"/>
                <w:lang w:val="en-US" w:eastAsia="zh-CN"/>
              </w:rPr>
              <w:t>在净资产中得到确认的精算损失分析</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14:paraId="29B4A7F6" w14:textId="77777777" w:rsidR="0085433F" w:rsidRPr="000C156A" w:rsidRDefault="0085433F" w:rsidP="003A64C9">
            <w:pPr>
              <w:spacing w:after="120"/>
              <w:ind w:firstLineChars="200" w:firstLine="440"/>
              <w:jc w:val="center"/>
              <w:rPr>
                <w:rFonts w:ascii="STKaiti" w:eastAsia="STKaiti" w:hAnsi="STKaiti"/>
                <w:b/>
                <w:bCs/>
                <w:sz w:val="22"/>
                <w:szCs w:val="22"/>
                <w:lang w:val="en-US" w:eastAsia="zh-CN"/>
              </w:rPr>
            </w:pPr>
            <w:r w:rsidRPr="000C156A">
              <w:rPr>
                <w:rFonts w:ascii="STKaiti" w:eastAsia="STKaiti" w:hAnsi="STKaiti" w:hint="eastAsia"/>
                <w:b/>
                <w:bCs/>
                <w:sz w:val="22"/>
                <w:szCs w:val="22"/>
                <w:lang w:val="en-US" w:eastAsia="zh-CN"/>
              </w:rPr>
              <w:t>单位：千瑞郎</w:t>
            </w:r>
          </w:p>
        </w:tc>
      </w:tr>
      <w:tr w:rsidR="0085433F" w:rsidRPr="000C156A" w14:paraId="55B076DD" w14:textId="77777777" w:rsidTr="003A64C9">
        <w:trPr>
          <w:trHeight w:val="264"/>
          <w:jc w:val="center"/>
        </w:trPr>
        <w:tc>
          <w:tcPr>
            <w:tcW w:w="5665" w:type="dxa"/>
            <w:tcBorders>
              <w:top w:val="single" w:sz="4" w:space="0" w:color="auto"/>
              <w:left w:val="single" w:sz="4" w:space="0" w:color="auto"/>
              <w:bottom w:val="nil"/>
              <w:right w:val="single" w:sz="4" w:space="0" w:color="auto"/>
            </w:tcBorders>
            <w:hideMark/>
          </w:tcPr>
          <w:p w14:paraId="13B2BC78" w14:textId="77777777" w:rsidR="0085433F" w:rsidRPr="000C156A" w:rsidRDefault="0085433F" w:rsidP="003A64C9">
            <w:pPr>
              <w:rPr>
                <w:rFonts w:ascii="STKaiti" w:eastAsia="STKaiti" w:hAnsi="STKaiti"/>
                <w:b/>
                <w:bCs/>
                <w:sz w:val="22"/>
                <w:szCs w:val="22"/>
                <w:lang w:val="en-US" w:eastAsia="zh-CN"/>
              </w:rPr>
            </w:pPr>
          </w:p>
        </w:tc>
        <w:tc>
          <w:tcPr>
            <w:tcW w:w="2001" w:type="dxa"/>
            <w:tcBorders>
              <w:top w:val="single" w:sz="4" w:space="0" w:color="auto"/>
              <w:left w:val="single" w:sz="4" w:space="0" w:color="auto"/>
              <w:bottom w:val="nil"/>
              <w:right w:val="nil"/>
            </w:tcBorders>
            <w:vAlign w:val="bottom"/>
            <w:hideMark/>
          </w:tcPr>
          <w:p w14:paraId="4AF4F500" w14:textId="21C6499B" w:rsidR="0085433F" w:rsidRPr="000C156A" w:rsidRDefault="0085433F" w:rsidP="003A64C9">
            <w:pPr>
              <w:pageBreakBefore/>
              <w:widowControl w:val="0"/>
              <w:kinsoku w:val="0"/>
              <w:spacing w:before="60"/>
              <w:jc w:val="center"/>
              <w:rPr>
                <w:b/>
                <w:bCs/>
                <w:color w:val="000000"/>
                <w:sz w:val="22"/>
                <w:szCs w:val="22"/>
                <w:lang w:val="en-US" w:eastAsia="zh-CN"/>
              </w:rPr>
            </w:pPr>
            <w:r w:rsidRPr="000C156A">
              <w:rPr>
                <w:b/>
                <w:bCs/>
                <w:color w:val="000000"/>
                <w:sz w:val="22"/>
                <w:szCs w:val="22"/>
                <w:lang w:val="en-US" w:eastAsia="zh-CN"/>
              </w:rPr>
              <w:t>202</w:t>
            </w:r>
            <w:r w:rsidR="00A1515A">
              <w:rPr>
                <w:b/>
                <w:bCs/>
                <w:color w:val="000000"/>
                <w:sz w:val="22"/>
                <w:szCs w:val="22"/>
                <w:lang w:val="en-US" w:eastAsia="zh-CN"/>
              </w:rPr>
              <w:t>1</w:t>
            </w:r>
            <w:r w:rsidRPr="000C156A">
              <w:rPr>
                <w:rFonts w:hint="eastAsia"/>
                <w:b/>
                <w:bCs/>
                <w:color w:val="000000"/>
                <w:sz w:val="22"/>
                <w:szCs w:val="22"/>
                <w:lang w:val="en-US" w:eastAsia="zh-CN"/>
              </w:rPr>
              <w:t>年</w:t>
            </w:r>
            <w:r w:rsidRPr="000C156A">
              <w:rPr>
                <w:b/>
                <w:bCs/>
                <w:color w:val="000000"/>
                <w:sz w:val="22"/>
                <w:szCs w:val="22"/>
                <w:lang w:val="en-US" w:eastAsia="zh-CN"/>
              </w:rPr>
              <w:t>12</w:t>
            </w:r>
            <w:r w:rsidRPr="000C156A">
              <w:rPr>
                <w:rFonts w:hint="eastAsia"/>
                <w:b/>
                <w:bCs/>
                <w:color w:val="000000"/>
                <w:sz w:val="22"/>
                <w:szCs w:val="22"/>
                <w:lang w:val="en-US" w:eastAsia="zh-CN"/>
              </w:rPr>
              <w:t>月</w:t>
            </w:r>
            <w:r w:rsidRPr="000C156A">
              <w:rPr>
                <w:b/>
                <w:bCs/>
                <w:color w:val="000000"/>
                <w:sz w:val="22"/>
                <w:szCs w:val="22"/>
                <w:lang w:val="en-US" w:eastAsia="zh-CN"/>
              </w:rPr>
              <w:t>31</w:t>
            </w:r>
            <w:r w:rsidRPr="000C156A">
              <w:rPr>
                <w:rFonts w:hint="eastAsia"/>
                <w:b/>
                <w:bCs/>
                <w:color w:val="000000"/>
                <w:sz w:val="22"/>
                <w:szCs w:val="22"/>
                <w:lang w:val="en-US" w:eastAsia="zh-CN"/>
              </w:rPr>
              <w:t>日</w:t>
            </w:r>
          </w:p>
        </w:tc>
        <w:tc>
          <w:tcPr>
            <w:tcW w:w="1855" w:type="dxa"/>
            <w:tcBorders>
              <w:top w:val="single" w:sz="4" w:space="0" w:color="auto"/>
              <w:left w:val="single" w:sz="4" w:space="0" w:color="auto"/>
              <w:bottom w:val="nil"/>
              <w:right w:val="single" w:sz="4" w:space="0" w:color="auto"/>
            </w:tcBorders>
            <w:vAlign w:val="bottom"/>
            <w:hideMark/>
          </w:tcPr>
          <w:p w14:paraId="3267DDB0" w14:textId="71626643" w:rsidR="0085433F" w:rsidRPr="000C156A" w:rsidRDefault="0085433F" w:rsidP="003A64C9">
            <w:pPr>
              <w:pageBreakBefore/>
              <w:widowControl w:val="0"/>
              <w:kinsoku w:val="0"/>
              <w:spacing w:before="60"/>
              <w:ind w:firstLineChars="8" w:firstLine="18"/>
              <w:jc w:val="center"/>
              <w:rPr>
                <w:b/>
                <w:bCs/>
                <w:color w:val="000000"/>
                <w:sz w:val="22"/>
                <w:szCs w:val="22"/>
                <w:lang w:val="en-US" w:eastAsia="zh-CN"/>
              </w:rPr>
            </w:pPr>
            <w:r w:rsidRPr="000C156A">
              <w:rPr>
                <w:b/>
                <w:bCs/>
                <w:color w:val="000000"/>
                <w:sz w:val="22"/>
                <w:szCs w:val="22"/>
                <w:lang w:val="en-US" w:eastAsia="zh-CN"/>
              </w:rPr>
              <w:t>20</w:t>
            </w:r>
            <w:r w:rsidR="00A1515A">
              <w:rPr>
                <w:b/>
                <w:bCs/>
                <w:color w:val="000000"/>
                <w:sz w:val="22"/>
                <w:szCs w:val="22"/>
                <w:lang w:val="en-US" w:eastAsia="zh-CN"/>
              </w:rPr>
              <w:t>20</w:t>
            </w:r>
            <w:r w:rsidRPr="000C156A">
              <w:rPr>
                <w:rFonts w:hint="eastAsia"/>
                <w:b/>
                <w:bCs/>
                <w:color w:val="000000"/>
                <w:sz w:val="22"/>
                <w:szCs w:val="22"/>
                <w:lang w:val="en-US" w:eastAsia="zh-CN"/>
              </w:rPr>
              <w:t>年</w:t>
            </w:r>
            <w:r w:rsidRPr="000C156A">
              <w:rPr>
                <w:b/>
                <w:bCs/>
                <w:color w:val="000000"/>
                <w:sz w:val="22"/>
                <w:szCs w:val="22"/>
                <w:lang w:val="en-US" w:eastAsia="zh-CN"/>
              </w:rPr>
              <w:t>12</w:t>
            </w:r>
            <w:r w:rsidRPr="000C156A">
              <w:rPr>
                <w:rFonts w:hint="eastAsia"/>
                <w:b/>
                <w:bCs/>
                <w:color w:val="000000"/>
                <w:sz w:val="22"/>
                <w:szCs w:val="22"/>
                <w:lang w:val="en-US" w:eastAsia="zh-CN"/>
              </w:rPr>
              <w:t>月</w:t>
            </w:r>
            <w:r w:rsidRPr="000C156A">
              <w:rPr>
                <w:b/>
                <w:bCs/>
                <w:color w:val="000000"/>
                <w:sz w:val="22"/>
                <w:szCs w:val="22"/>
                <w:lang w:val="en-US" w:eastAsia="zh-CN"/>
              </w:rPr>
              <w:t>31</w:t>
            </w:r>
            <w:r w:rsidRPr="000C156A">
              <w:rPr>
                <w:rFonts w:hint="eastAsia"/>
                <w:b/>
                <w:bCs/>
                <w:color w:val="000000"/>
                <w:sz w:val="22"/>
                <w:szCs w:val="22"/>
                <w:lang w:val="en-US" w:eastAsia="zh-CN"/>
              </w:rPr>
              <w:t>日</w:t>
            </w:r>
          </w:p>
        </w:tc>
      </w:tr>
      <w:tr w:rsidR="00A1515A" w:rsidRPr="000C156A" w14:paraId="608D203B" w14:textId="77777777" w:rsidTr="00A1515A">
        <w:trPr>
          <w:trHeight w:val="264"/>
          <w:jc w:val="center"/>
        </w:trPr>
        <w:tc>
          <w:tcPr>
            <w:tcW w:w="5665" w:type="dxa"/>
            <w:tcBorders>
              <w:top w:val="nil"/>
              <w:left w:val="single" w:sz="4" w:space="0" w:color="auto"/>
              <w:bottom w:val="nil"/>
              <w:right w:val="single" w:sz="4" w:space="0" w:color="auto"/>
            </w:tcBorders>
            <w:vAlign w:val="center"/>
            <w:hideMark/>
          </w:tcPr>
          <w:p w14:paraId="6DCCD286" w14:textId="77777777" w:rsidR="00A1515A" w:rsidRPr="000C156A" w:rsidRDefault="00A1515A" w:rsidP="00A1515A">
            <w:pPr>
              <w:widowControl w:val="0"/>
              <w:kinsoku w:val="0"/>
              <w:spacing w:before="60" w:after="60"/>
              <w:rPr>
                <w:bCs/>
                <w:color w:val="000000"/>
                <w:sz w:val="22"/>
                <w:szCs w:val="22"/>
                <w:lang w:val="en-US" w:eastAsia="zh-CN"/>
              </w:rPr>
            </w:pPr>
            <w:r w:rsidRPr="000C156A">
              <w:rPr>
                <w:rFonts w:hint="eastAsia"/>
                <w:bCs/>
                <w:color w:val="000000"/>
                <w:sz w:val="22"/>
                <w:szCs w:val="22"/>
                <w:lang w:val="en-US" w:eastAsia="zh-CN"/>
              </w:rPr>
              <w:t>假设变化造成的承付款项</w:t>
            </w:r>
          </w:p>
        </w:tc>
        <w:tc>
          <w:tcPr>
            <w:tcW w:w="2001" w:type="dxa"/>
            <w:tcBorders>
              <w:top w:val="nil"/>
              <w:left w:val="nil"/>
              <w:bottom w:val="nil"/>
              <w:right w:val="nil"/>
            </w:tcBorders>
            <w:shd w:val="clear" w:color="auto" w:fill="auto"/>
            <w:vAlign w:val="center"/>
          </w:tcPr>
          <w:p w14:paraId="65B56181" w14:textId="1C45643D" w:rsidR="00A1515A" w:rsidRPr="000C156A" w:rsidRDefault="00A1515A" w:rsidP="00A1515A">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DC014B">
              <w:rPr>
                <w:rFonts w:asciiTheme="minorHAnsi" w:hAnsiTheme="minorHAnsi" w:cstheme="minorHAnsi"/>
                <w:color w:val="000000"/>
                <w:sz w:val="22"/>
                <w:szCs w:val="22"/>
                <w:lang w:val="en-US" w:eastAsia="zh-CN"/>
              </w:rPr>
              <w:t>-</w:t>
            </w:r>
            <w:r>
              <w:rPr>
                <w:rFonts w:asciiTheme="minorHAnsi" w:hAnsiTheme="minorHAnsi" w:cstheme="minorHAnsi"/>
                <w:color w:val="000000"/>
                <w:sz w:val="22"/>
                <w:szCs w:val="22"/>
                <w:lang w:val="en-US" w:eastAsia="zh-CN"/>
              </w:rPr>
              <w:t>101 490</w:t>
            </w:r>
            <w:r w:rsidRPr="00DC014B">
              <w:rPr>
                <w:rFonts w:asciiTheme="minorHAnsi" w:hAnsiTheme="minorHAnsi" w:cstheme="minorHAnsi"/>
                <w:color w:val="000000"/>
                <w:sz w:val="22"/>
                <w:szCs w:val="22"/>
                <w:lang w:val="en-US" w:eastAsia="zh-CN"/>
              </w:rPr>
              <w:t xml:space="preserve"> </w:t>
            </w:r>
          </w:p>
        </w:tc>
        <w:tc>
          <w:tcPr>
            <w:tcW w:w="1855" w:type="dxa"/>
            <w:tcBorders>
              <w:top w:val="nil"/>
              <w:left w:val="single" w:sz="8" w:space="0" w:color="auto"/>
              <w:bottom w:val="nil"/>
              <w:right w:val="single" w:sz="8" w:space="0" w:color="auto"/>
            </w:tcBorders>
            <w:shd w:val="clear" w:color="auto" w:fill="auto"/>
            <w:vAlign w:val="center"/>
            <w:hideMark/>
          </w:tcPr>
          <w:p w14:paraId="7A6A7165" w14:textId="08E1B0A6" w:rsidR="00A1515A" w:rsidRPr="000C156A" w:rsidRDefault="00A1515A" w:rsidP="00A1515A">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C156A">
              <w:rPr>
                <w:rFonts w:asciiTheme="minorHAnsi" w:hAnsiTheme="minorHAnsi" w:cstheme="minorHAnsi"/>
                <w:color w:val="000000"/>
                <w:sz w:val="22"/>
                <w:szCs w:val="22"/>
                <w:lang w:val="en-US" w:eastAsia="zh-CN"/>
              </w:rPr>
              <w:t>-5 547</w:t>
            </w:r>
          </w:p>
        </w:tc>
      </w:tr>
      <w:tr w:rsidR="00A1515A" w:rsidRPr="000C156A" w14:paraId="464657F1" w14:textId="77777777" w:rsidTr="00A1515A">
        <w:trPr>
          <w:trHeight w:val="264"/>
          <w:jc w:val="center"/>
        </w:trPr>
        <w:tc>
          <w:tcPr>
            <w:tcW w:w="5665" w:type="dxa"/>
            <w:tcBorders>
              <w:top w:val="nil"/>
              <w:left w:val="single" w:sz="4" w:space="0" w:color="auto"/>
              <w:bottom w:val="nil"/>
              <w:right w:val="single" w:sz="4" w:space="0" w:color="auto"/>
            </w:tcBorders>
            <w:vAlign w:val="center"/>
            <w:hideMark/>
          </w:tcPr>
          <w:p w14:paraId="211A710B" w14:textId="77777777" w:rsidR="00A1515A" w:rsidRPr="000C156A" w:rsidRDefault="00A1515A" w:rsidP="00A1515A">
            <w:pPr>
              <w:widowControl w:val="0"/>
              <w:kinsoku w:val="0"/>
              <w:spacing w:before="60" w:after="60"/>
              <w:rPr>
                <w:bCs/>
                <w:color w:val="000000"/>
                <w:sz w:val="22"/>
                <w:szCs w:val="22"/>
                <w:lang w:val="en-US" w:eastAsia="zh-CN"/>
              </w:rPr>
            </w:pPr>
            <w:r w:rsidRPr="000C156A">
              <w:rPr>
                <w:rFonts w:hint="eastAsia"/>
                <w:bCs/>
                <w:color w:val="000000"/>
                <w:sz w:val="22"/>
                <w:szCs w:val="22"/>
                <w:lang w:val="en-US" w:eastAsia="zh-CN"/>
              </w:rPr>
              <w:t>该期内经验造成的承付款项</w:t>
            </w:r>
          </w:p>
        </w:tc>
        <w:tc>
          <w:tcPr>
            <w:tcW w:w="2001" w:type="dxa"/>
            <w:tcBorders>
              <w:top w:val="nil"/>
              <w:left w:val="nil"/>
              <w:bottom w:val="nil"/>
              <w:right w:val="nil"/>
            </w:tcBorders>
            <w:shd w:val="clear" w:color="auto" w:fill="auto"/>
            <w:vAlign w:val="center"/>
          </w:tcPr>
          <w:p w14:paraId="0E6F8545" w14:textId="3CB1F6D5" w:rsidR="00A1515A" w:rsidRPr="000C156A" w:rsidRDefault="00A1515A" w:rsidP="00A1515A">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Pr>
                <w:rFonts w:asciiTheme="minorHAnsi" w:hAnsiTheme="minorHAnsi" w:cstheme="minorHAnsi"/>
                <w:color w:val="000000"/>
                <w:sz w:val="22"/>
                <w:szCs w:val="22"/>
                <w:lang w:val="en-US" w:eastAsia="zh-CN"/>
              </w:rPr>
              <w:t>-2 009</w:t>
            </w:r>
          </w:p>
        </w:tc>
        <w:tc>
          <w:tcPr>
            <w:tcW w:w="1855" w:type="dxa"/>
            <w:tcBorders>
              <w:top w:val="nil"/>
              <w:left w:val="single" w:sz="8" w:space="0" w:color="auto"/>
              <w:bottom w:val="nil"/>
              <w:right w:val="single" w:sz="8" w:space="0" w:color="auto"/>
            </w:tcBorders>
            <w:shd w:val="clear" w:color="auto" w:fill="auto"/>
            <w:vAlign w:val="center"/>
            <w:hideMark/>
          </w:tcPr>
          <w:p w14:paraId="67586C79" w14:textId="718D3AEF" w:rsidR="00A1515A" w:rsidRPr="000C156A" w:rsidRDefault="00A1515A" w:rsidP="00A1515A">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C156A">
              <w:rPr>
                <w:rFonts w:asciiTheme="minorHAnsi" w:hAnsiTheme="minorHAnsi" w:cstheme="minorHAnsi"/>
                <w:color w:val="000000"/>
                <w:sz w:val="22"/>
                <w:szCs w:val="22"/>
                <w:lang w:val="en-US" w:eastAsia="zh-CN"/>
              </w:rPr>
              <w:t>2 732</w:t>
            </w:r>
          </w:p>
        </w:tc>
      </w:tr>
      <w:tr w:rsidR="00A1515A" w:rsidRPr="000C156A" w14:paraId="5B23D98B" w14:textId="77777777" w:rsidTr="00A1515A">
        <w:trPr>
          <w:trHeight w:val="264"/>
          <w:jc w:val="center"/>
        </w:trPr>
        <w:tc>
          <w:tcPr>
            <w:tcW w:w="5665" w:type="dxa"/>
            <w:tcBorders>
              <w:top w:val="nil"/>
              <w:left w:val="single" w:sz="4" w:space="0" w:color="auto"/>
              <w:bottom w:val="nil"/>
              <w:right w:val="single" w:sz="4" w:space="0" w:color="auto"/>
            </w:tcBorders>
            <w:vAlign w:val="center"/>
            <w:hideMark/>
          </w:tcPr>
          <w:p w14:paraId="13A8874E" w14:textId="77777777" w:rsidR="00A1515A" w:rsidRPr="000C156A" w:rsidRDefault="00A1515A" w:rsidP="00A1515A">
            <w:pPr>
              <w:widowControl w:val="0"/>
              <w:kinsoku w:val="0"/>
              <w:spacing w:before="60" w:after="60"/>
              <w:rPr>
                <w:bCs/>
                <w:color w:val="000000"/>
                <w:sz w:val="22"/>
                <w:szCs w:val="22"/>
                <w:lang w:val="en-US" w:eastAsia="zh-CN"/>
              </w:rPr>
            </w:pPr>
            <w:r w:rsidRPr="000C156A">
              <w:rPr>
                <w:rFonts w:hint="eastAsia"/>
                <w:bCs/>
                <w:color w:val="000000"/>
                <w:sz w:val="22"/>
                <w:szCs w:val="22"/>
                <w:lang w:val="en-US" w:eastAsia="zh-CN"/>
              </w:rPr>
              <w:t>本期差异</w:t>
            </w:r>
          </w:p>
        </w:tc>
        <w:tc>
          <w:tcPr>
            <w:tcW w:w="2001" w:type="dxa"/>
            <w:tcBorders>
              <w:top w:val="nil"/>
              <w:left w:val="nil"/>
              <w:bottom w:val="nil"/>
              <w:right w:val="nil"/>
            </w:tcBorders>
            <w:shd w:val="clear" w:color="auto" w:fill="auto"/>
            <w:vAlign w:val="center"/>
          </w:tcPr>
          <w:p w14:paraId="435B6B24" w14:textId="31540B05" w:rsidR="00A1515A" w:rsidRPr="00A1515A" w:rsidRDefault="00A1515A" w:rsidP="00A1515A">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A1515A">
              <w:rPr>
                <w:rFonts w:asciiTheme="minorHAnsi" w:hAnsiTheme="minorHAnsi" w:cstheme="minorHAnsi"/>
                <w:color w:val="000000"/>
                <w:sz w:val="22"/>
                <w:szCs w:val="22"/>
                <w:lang w:val="en-US" w:eastAsia="zh-CN"/>
              </w:rPr>
              <w:t xml:space="preserve">-103 499    </w:t>
            </w:r>
          </w:p>
        </w:tc>
        <w:tc>
          <w:tcPr>
            <w:tcW w:w="1855" w:type="dxa"/>
            <w:tcBorders>
              <w:top w:val="nil"/>
              <w:left w:val="single" w:sz="8" w:space="0" w:color="auto"/>
              <w:bottom w:val="nil"/>
              <w:right w:val="single" w:sz="8" w:space="0" w:color="auto"/>
            </w:tcBorders>
            <w:shd w:val="clear" w:color="auto" w:fill="auto"/>
            <w:vAlign w:val="center"/>
            <w:hideMark/>
          </w:tcPr>
          <w:p w14:paraId="252A1993" w14:textId="6840066E" w:rsidR="00A1515A" w:rsidRPr="000C156A" w:rsidRDefault="00A1515A" w:rsidP="00A1515A">
            <w:pPr>
              <w:overflowPunct/>
              <w:autoSpaceDE/>
              <w:autoSpaceDN/>
              <w:adjustRightInd/>
              <w:spacing w:before="0"/>
              <w:jc w:val="right"/>
              <w:textAlignment w:val="auto"/>
              <w:rPr>
                <w:rFonts w:asciiTheme="minorHAnsi" w:hAnsiTheme="minorHAnsi" w:cstheme="minorHAnsi"/>
                <w:b/>
                <w:bCs/>
                <w:color w:val="000000"/>
                <w:sz w:val="22"/>
                <w:szCs w:val="22"/>
                <w:lang w:val="en-US" w:eastAsia="zh-CN"/>
              </w:rPr>
            </w:pPr>
            <w:r w:rsidRPr="000C156A">
              <w:rPr>
                <w:rFonts w:asciiTheme="minorHAnsi" w:hAnsiTheme="minorHAnsi" w:cstheme="minorHAnsi"/>
                <w:b/>
                <w:bCs/>
                <w:color w:val="000000"/>
                <w:sz w:val="22"/>
                <w:szCs w:val="22"/>
                <w:lang w:val="en-US" w:eastAsia="zh-CN"/>
              </w:rPr>
              <w:t>-2 815</w:t>
            </w:r>
          </w:p>
        </w:tc>
      </w:tr>
      <w:tr w:rsidR="00A1515A" w:rsidRPr="000C156A" w14:paraId="4CE112FD" w14:textId="77777777" w:rsidTr="00A1515A">
        <w:trPr>
          <w:trHeight w:val="264"/>
          <w:jc w:val="center"/>
        </w:trPr>
        <w:tc>
          <w:tcPr>
            <w:tcW w:w="5665" w:type="dxa"/>
            <w:tcBorders>
              <w:top w:val="nil"/>
              <w:left w:val="single" w:sz="4" w:space="0" w:color="auto"/>
              <w:bottom w:val="single" w:sz="4" w:space="0" w:color="auto"/>
              <w:right w:val="single" w:sz="4" w:space="0" w:color="auto"/>
            </w:tcBorders>
            <w:vAlign w:val="center"/>
            <w:hideMark/>
          </w:tcPr>
          <w:p w14:paraId="095D8BBB" w14:textId="77777777" w:rsidR="00A1515A" w:rsidRPr="000C156A" w:rsidRDefault="00A1515A" w:rsidP="00A1515A">
            <w:pPr>
              <w:widowControl w:val="0"/>
              <w:kinsoku w:val="0"/>
              <w:spacing w:before="60" w:after="60"/>
              <w:rPr>
                <w:bCs/>
                <w:color w:val="000000"/>
                <w:sz w:val="22"/>
                <w:szCs w:val="22"/>
                <w:lang w:val="en-US" w:eastAsia="zh-CN"/>
              </w:rPr>
            </w:pPr>
            <w:r w:rsidRPr="000C156A">
              <w:rPr>
                <w:rFonts w:hint="eastAsia"/>
                <w:bCs/>
                <w:color w:val="000000"/>
                <w:sz w:val="22"/>
                <w:szCs w:val="22"/>
                <w:lang w:val="en-US" w:eastAsia="zh-CN"/>
              </w:rPr>
              <w:t>净资产中确认的分别截至</w:t>
            </w:r>
            <w:r w:rsidRPr="000C156A">
              <w:rPr>
                <w:bCs/>
                <w:color w:val="000000"/>
                <w:sz w:val="22"/>
                <w:szCs w:val="22"/>
                <w:lang w:val="en-US" w:eastAsia="zh-CN"/>
              </w:rPr>
              <w:t>12</w:t>
            </w:r>
            <w:r w:rsidRPr="000C156A">
              <w:rPr>
                <w:rFonts w:hint="eastAsia"/>
                <w:bCs/>
                <w:color w:val="000000"/>
                <w:sz w:val="22"/>
                <w:szCs w:val="22"/>
                <w:lang w:val="en-US" w:eastAsia="zh-CN"/>
              </w:rPr>
              <w:t>月</w:t>
            </w:r>
            <w:r w:rsidRPr="000C156A">
              <w:rPr>
                <w:bCs/>
                <w:color w:val="000000"/>
                <w:sz w:val="22"/>
                <w:szCs w:val="22"/>
                <w:lang w:val="en-US" w:eastAsia="zh-CN"/>
              </w:rPr>
              <w:t>31</w:t>
            </w:r>
            <w:r w:rsidRPr="000C156A">
              <w:rPr>
                <w:rFonts w:hint="eastAsia"/>
                <w:bCs/>
                <w:color w:val="000000"/>
                <w:sz w:val="22"/>
                <w:szCs w:val="22"/>
                <w:lang w:val="en-US" w:eastAsia="zh-CN"/>
              </w:rPr>
              <w:t>日的积累金额</w:t>
            </w:r>
          </w:p>
        </w:tc>
        <w:tc>
          <w:tcPr>
            <w:tcW w:w="2001" w:type="dxa"/>
            <w:tcBorders>
              <w:top w:val="nil"/>
              <w:left w:val="nil"/>
              <w:bottom w:val="single" w:sz="8" w:space="0" w:color="auto"/>
              <w:right w:val="nil"/>
            </w:tcBorders>
            <w:shd w:val="clear" w:color="auto" w:fill="auto"/>
            <w:vAlign w:val="center"/>
          </w:tcPr>
          <w:p w14:paraId="64C63D6D" w14:textId="6F63FCA6" w:rsidR="00A1515A" w:rsidRPr="000C156A" w:rsidRDefault="00A1515A" w:rsidP="00A1515A">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A1515A">
              <w:rPr>
                <w:rFonts w:asciiTheme="minorHAnsi" w:hAnsiTheme="minorHAnsi" w:cstheme="minorHAnsi"/>
                <w:color w:val="000000"/>
                <w:sz w:val="22"/>
                <w:szCs w:val="22"/>
                <w:lang w:val="en-US" w:eastAsia="zh-CN"/>
              </w:rPr>
              <w:t xml:space="preserve">277 923 </w:t>
            </w:r>
          </w:p>
        </w:tc>
        <w:tc>
          <w:tcPr>
            <w:tcW w:w="1855" w:type="dxa"/>
            <w:tcBorders>
              <w:top w:val="nil"/>
              <w:left w:val="single" w:sz="8" w:space="0" w:color="auto"/>
              <w:bottom w:val="single" w:sz="8" w:space="0" w:color="auto"/>
              <w:right w:val="single" w:sz="8" w:space="0" w:color="auto"/>
            </w:tcBorders>
            <w:shd w:val="clear" w:color="auto" w:fill="auto"/>
            <w:vAlign w:val="center"/>
            <w:hideMark/>
          </w:tcPr>
          <w:p w14:paraId="242F7D27" w14:textId="6DD57F93" w:rsidR="00A1515A" w:rsidRPr="000C156A" w:rsidRDefault="00A1515A" w:rsidP="00A1515A">
            <w:pPr>
              <w:overflowPunct/>
              <w:autoSpaceDE/>
              <w:autoSpaceDN/>
              <w:adjustRightInd/>
              <w:spacing w:before="0"/>
              <w:jc w:val="right"/>
              <w:textAlignment w:val="auto"/>
              <w:rPr>
                <w:rFonts w:asciiTheme="minorHAnsi" w:hAnsiTheme="minorHAnsi" w:cstheme="minorHAnsi"/>
                <w:color w:val="000000"/>
                <w:sz w:val="22"/>
                <w:szCs w:val="22"/>
                <w:lang w:val="en-US" w:eastAsia="zh-CN"/>
              </w:rPr>
            </w:pPr>
            <w:r w:rsidRPr="000C156A">
              <w:rPr>
                <w:rFonts w:asciiTheme="minorHAnsi" w:hAnsiTheme="minorHAnsi" w:cstheme="minorHAnsi"/>
                <w:color w:val="000000"/>
                <w:sz w:val="22"/>
                <w:szCs w:val="22"/>
              </w:rPr>
              <w:t>267 574</w:t>
            </w:r>
          </w:p>
        </w:tc>
      </w:tr>
    </w:tbl>
    <w:p w14:paraId="7C92F924" w14:textId="77777777" w:rsidR="0085433F" w:rsidRPr="000C156A" w:rsidRDefault="0085433F" w:rsidP="0085433F">
      <w:pPr>
        <w:keepNext/>
        <w:keepLines/>
        <w:spacing w:before="240" w:after="240"/>
        <w:ind w:firstLineChars="200" w:firstLine="480"/>
        <w:rPr>
          <w:lang w:eastAsia="zh-CN"/>
        </w:rPr>
      </w:pPr>
      <w:r w:rsidRPr="000C156A">
        <w:rPr>
          <w:rFonts w:hint="eastAsia"/>
          <w:lang w:val="en-US" w:eastAsia="zh-CN"/>
        </w:rPr>
        <w:t>下表</w:t>
      </w:r>
      <w:r w:rsidRPr="000C156A">
        <w:rPr>
          <w:lang w:eastAsia="zh-CN"/>
        </w:rPr>
        <w:t>显示对</w:t>
      </w:r>
      <w:r w:rsidRPr="000C156A">
        <w:rPr>
          <w:rFonts w:hint="eastAsia"/>
          <w:lang w:eastAsia="zh-CN"/>
        </w:rPr>
        <w:t>本</w:t>
      </w:r>
      <w:r w:rsidRPr="000C156A">
        <w:rPr>
          <w:lang w:eastAsia="zh-CN"/>
        </w:rPr>
        <w:t>财务期</w:t>
      </w:r>
      <w:r w:rsidRPr="000C156A">
        <w:rPr>
          <w:rFonts w:hint="eastAsia"/>
          <w:lang w:eastAsia="zh-CN"/>
        </w:rPr>
        <w:t>末</w:t>
      </w:r>
      <w:r w:rsidRPr="000C156A">
        <w:rPr>
          <w:lang w:eastAsia="zh-CN"/>
        </w:rPr>
        <w:t>损益费用或结余的分析</w:t>
      </w:r>
      <w:r w:rsidRPr="000C156A">
        <w:rPr>
          <w:rFonts w:hint="eastAsia"/>
          <w:lang w:val="en-US" w:eastAsia="zh-CN"/>
        </w:rPr>
        <w:t>。</w:t>
      </w:r>
    </w:p>
    <w:tbl>
      <w:tblPr>
        <w:tblW w:w="9533" w:type="dxa"/>
        <w:jc w:val="center"/>
        <w:tblLook w:val="04A0" w:firstRow="1" w:lastRow="0" w:firstColumn="1" w:lastColumn="0" w:noHBand="0" w:noVBand="1"/>
      </w:tblPr>
      <w:tblGrid>
        <w:gridCol w:w="5811"/>
        <w:gridCol w:w="1861"/>
        <w:gridCol w:w="1861"/>
      </w:tblGrid>
      <w:tr w:rsidR="0085433F" w:rsidRPr="000C156A" w14:paraId="50C52A85" w14:textId="77777777" w:rsidTr="003A64C9">
        <w:trPr>
          <w:trHeight w:val="567"/>
          <w:jc w:val="center"/>
        </w:trPr>
        <w:tc>
          <w:tcPr>
            <w:tcW w:w="5811" w:type="dxa"/>
            <w:tcBorders>
              <w:top w:val="single" w:sz="4" w:space="0" w:color="auto"/>
              <w:left w:val="single" w:sz="4" w:space="0" w:color="auto"/>
              <w:bottom w:val="single" w:sz="4" w:space="0" w:color="auto"/>
              <w:right w:val="single" w:sz="4" w:space="0" w:color="auto"/>
            </w:tcBorders>
            <w:vAlign w:val="center"/>
            <w:hideMark/>
          </w:tcPr>
          <w:p w14:paraId="2D6CCD18" w14:textId="77777777" w:rsidR="0085433F" w:rsidRPr="000C156A" w:rsidRDefault="0085433F" w:rsidP="003A64C9">
            <w:pPr>
              <w:widowControl w:val="0"/>
              <w:kinsoku w:val="0"/>
              <w:spacing w:before="20" w:after="60"/>
              <w:rPr>
                <w:b/>
                <w:color w:val="000000"/>
                <w:sz w:val="22"/>
                <w:szCs w:val="18"/>
                <w:lang w:val="en-US" w:eastAsia="zh-CN"/>
              </w:rPr>
            </w:pPr>
            <w:r w:rsidRPr="000C156A">
              <w:rPr>
                <w:rFonts w:hint="eastAsia"/>
                <w:b/>
                <w:color w:val="000000"/>
                <w:sz w:val="22"/>
                <w:szCs w:val="18"/>
                <w:lang w:val="en-US" w:eastAsia="zh-CN"/>
              </w:rPr>
              <w:t>在财务业绩报表中确认的金额</w:t>
            </w:r>
          </w:p>
        </w:tc>
        <w:tc>
          <w:tcPr>
            <w:tcW w:w="3722" w:type="dxa"/>
            <w:gridSpan w:val="2"/>
            <w:tcBorders>
              <w:top w:val="single" w:sz="4" w:space="0" w:color="auto"/>
              <w:left w:val="nil"/>
              <w:bottom w:val="single" w:sz="4" w:space="0" w:color="auto"/>
              <w:right w:val="single" w:sz="4" w:space="0" w:color="auto"/>
            </w:tcBorders>
            <w:noWrap/>
            <w:vAlign w:val="center"/>
            <w:hideMark/>
          </w:tcPr>
          <w:p w14:paraId="4204E4AA" w14:textId="77777777" w:rsidR="0085433F" w:rsidRPr="000C156A" w:rsidRDefault="0085433F" w:rsidP="003A64C9">
            <w:pPr>
              <w:keepNext/>
              <w:keepLines/>
              <w:widowControl w:val="0"/>
              <w:kinsoku w:val="0"/>
              <w:spacing w:before="20"/>
              <w:jc w:val="center"/>
              <w:rPr>
                <w:rFonts w:ascii="STKaiti" w:eastAsia="STKaiti" w:hAnsi="STKaiti"/>
                <w:b/>
                <w:bCs/>
                <w:color w:val="000000"/>
                <w:sz w:val="22"/>
                <w:szCs w:val="18"/>
                <w:lang w:val="en-US" w:eastAsia="zh-CN"/>
              </w:rPr>
            </w:pPr>
            <w:r w:rsidRPr="000C156A">
              <w:rPr>
                <w:rFonts w:ascii="STKaiti" w:eastAsia="STKaiti" w:hAnsi="STKaiti" w:cs="SimSun" w:hint="eastAsia"/>
                <w:b/>
                <w:bCs/>
                <w:color w:val="000000"/>
                <w:sz w:val="22"/>
                <w:szCs w:val="18"/>
                <w:lang w:val="en-US" w:eastAsia="zh-CN"/>
              </w:rPr>
              <w:t>单位：千瑞郎</w:t>
            </w:r>
          </w:p>
        </w:tc>
      </w:tr>
      <w:tr w:rsidR="0085433F" w:rsidRPr="000C156A" w14:paraId="7E5900FF" w14:textId="77777777" w:rsidTr="003A64C9">
        <w:trPr>
          <w:trHeight w:val="264"/>
          <w:jc w:val="center"/>
        </w:trPr>
        <w:tc>
          <w:tcPr>
            <w:tcW w:w="5811" w:type="dxa"/>
            <w:tcBorders>
              <w:top w:val="single" w:sz="4" w:space="0" w:color="auto"/>
              <w:left w:val="single" w:sz="4" w:space="0" w:color="auto"/>
              <w:bottom w:val="nil"/>
              <w:right w:val="single" w:sz="4" w:space="0" w:color="auto"/>
            </w:tcBorders>
            <w:hideMark/>
          </w:tcPr>
          <w:p w14:paraId="36FD0536" w14:textId="77777777" w:rsidR="0085433F" w:rsidRPr="000C156A" w:rsidRDefault="0085433F" w:rsidP="003A64C9">
            <w:pPr>
              <w:rPr>
                <w:rFonts w:ascii="STKaiti" w:eastAsia="STKaiti" w:hAnsi="STKaiti"/>
                <w:b/>
                <w:bCs/>
                <w:color w:val="000000"/>
                <w:sz w:val="22"/>
                <w:szCs w:val="18"/>
                <w:lang w:val="en-US" w:eastAsia="zh-CN"/>
              </w:rPr>
            </w:pPr>
          </w:p>
        </w:tc>
        <w:tc>
          <w:tcPr>
            <w:tcW w:w="1861" w:type="dxa"/>
            <w:tcBorders>
              <w:top w:val="single" w:sz="4" w:space="0" w:color="auto"/>
              <w:left w:val="nil"/>
              <w:bottom w:val="nil"/>
              <w:right w:val="single" w:sz="4" w:space="0" w:color="auto"/>
            </w:tcBorders>
            <w:noWrap/>
            <w:vAlign w:val="bottom"/>
            <w:hideMark/>
          </w:tcPr>
          <w:p w14:paraId="23BDBABE" w14:textId="14762B34" w:rsidR="0085433F" w:rsidRPr="000C156A" w:rsidRDefault="0085433F" w:rsidP="003A64C9">
            <w:pPr>
              <w:keepNext/>
              <w:keepLines/>
              <w:widowControl w:val="0"/>
              <w:kinsoku w:val="0"/>
              <w:spacing w:before="20"/>
              <w:jc w:val="center"/>
              <w:rPr>
                <w:b/>
                <w:color w:val="000000"/>
                <w:sz w:val="22"/>
                <w:szCs w:val="18"/>
                <w:lang w:val="en-US" w:eastAsia="zh-CN"/>
              </w:rPr>
            </w:pPr>
            <w:r w:rsidRPr="000C156A">
              <w:rPr>
                <w:b/>
                <w:bCs/>
                <w:color w:val="000000"/>
                <w:sz w:val="22"/>
                <w:szCs w:val="18"/>
                <w:lang w:val="en-US" w:eastAsia="zh-CN"/>
              </w:rPr>
              <w:t>202</w:t>
            </w:r>
            <w:r w:rsidR="005178BF">
              <w:rPr>
                <w:b/>
                <w:bCs/>
                <w:color w:val="000000"/>
                <w:sz w:val="22"/>
                <w:szCs w:val="18"/>
                <w:lang w:val="en-US" w:eastAsia="zh-CN"/>
              </w:rPr>
              <w:t>1</w:t>
            </w:r>
            <w:r w:rsidRPr="000C156A">
              <w:rPr>
                <w:rFonts w:ascii="SimSun" w:hAnsi="SimSun" w:cs="SimSun" w:hint="eastAsia"/>
                <w:b/>
                <w:bCs/>
                <w:color w:val="000000"/>
                <w:sz w:val="22"/>
                <w:szCs w:val="18"/>
                <w:lang w:val="en-US" w:eastAsia="zh-CN"/>
              </w:rPr>
              <w:t>年</w:t>
            </w:r>
            <w:r w:rsidRPr="000C156A">
              <w:rPr>
                <w:b/>
                <w:bCs/>
                <w:color w:val="000000"/>
                <w:sz w:val="22"/>
                <w:szCs w:val="18"/>
                <w:lang w:val="en-US" w:eastAsia="zh-CN"/>
              </w:rPr>
              <w:t>12</w:t>
            </w:r>
            <w:r w:rsidRPr="000C156A">
              <w:rPr>
                <w:rFonts w:ascii="SimSun" w:hAnsi="SimSun" w:cs="SimSun" w:hint="eastAsia"/>
                <w:b/>
                <w:bCs/>
                <w:color w:val="000000"/>
                <w:sz w:val="22"/>
                <w:szCs w:val="18"/>
                <w:lang w:val="en-US" w:eastAsia="zh-CN"/>
              </w:rPr>
              <w:t>月</w:t>
            </w:r>
            <w:r w:rsidRPr="000C156A">
              <w:rPr>
                <w:b/>
                <w:bCs/>
                <w:color w:val="000000"/>
                <w:sz w:val="22"/>
                <w:szCs w:val="18"/>
                <w:lang w:val="en-US" w:eastAsia="zh-CN"/>
              </w:rPr>
              <w:t>31</w:t>
            </w:r>
            <w:r w:rsidRPr="000C156A">
              <w:rPr>
                <w:rFonts w:ascii="SimSun" w:hAnsi="SimSun" w:cs="SimSun" w:hint="eastAsia"/>
                <w:b/>
                <w:bCs/>
                <w:color w:val="000000"/>
                <w:sz w:val="22"/>
                <w:szCs w:val="18"/>
                <w:lang w:val="en-US" w:eastAsia="zh-CN"/>
              </w:rPr>
              <w:t>日</w:t>
            </w:r>
          </w:p>
        </w:tc>
        <w:tc>
          <w:tcPr>
            <w:tcW w:w="1861" w:type="dxa"/>
            <w:tcBorders>
              <w:top w:val="single" w:sz="4" w:space="0" w:color="auto"/>
              <w:left w:val="nil"/>
              <w:bottom w:val="nil"/>
              <w:right w:val="single" w:sz="4" w:space="0" w:color="auto"/>
            </w:tcBorders>
            <w:vAlign w:val="bottom"/>
            <w:hideMark/>
          </w:tcPr>
          <w:p w14:paraId="40B1C17F" w14:textId="5FFDE824" w:rsidR="0085433F" w:rsidRPr="000C156A" w:rsidRDefault="0085433F" w:rsidP="003A64C9">
            <w:pPr>
              <w:keepNext/>
              <w:keepLines/>
              <w:widowControl w:val="0"/>
              <w:kinsoku w:val="0"/>
              <w:spacing w:before="20"/>
              <w:jc w:val="center"/>
              <w:rPr>
                <w:b/>
                <w:color w:val="000000"/>
                <w:sz w:val="22"/>
                <w:szCs w:val="18"/>
                <w:lang w:val="en-US" w:eastAsia="zh-CN"/>
              </w:rPr>
            </w:pPr>
            <w:r w:rsidRPr="000C156A">
              <w:rPr>
                <w:b/>
                <w:bCs/>
                <w:color w:val="000000"/>
                <w:sz w:val="22"/>
                <w:szCs w:val="18"/>
                <w:lang w:val="en-US" w:eastAsia="zh-CN"/>
              </w:rPr>
              <w:t>20</w:t>
            </w:r>
            <w:r w:rsidR="005178BF">
              <w:rPr>
                <w:b/>
                <w:bCs/>
                <w:color w:val="000000"/>
                <w:sz w:val="22"/>
                <w:szCs w:val="18"/>
                <w:lang w:val="en-US" w:eastAsia="zh-CN"/>
              </w:rPr>
              <w:t>20</w:t>
            </w:r>
            <w:r w:rsidRPr="000C156A">
              <w:rPr>
                <w:rFonts w:ascii="SimSun" w:hAnsi="SimSun" w:cs="SimSun" w:hint="eastAsia"/>
                <w:b/>
                <w:bCs/>
                <w:color w:val="000000"/>
                <w:sz w:val="22"/>
                <w:szCs w:val="18"/>
                <w:lang w:val="en-US" w:eastAsia="zh-CN"/>
              </w:rPr>
              <w:t>年</w:t>
            </w:r>
            <w:r w:rsidRPr="000C156A">
              <w:rPr>
                <w:b/>
                <w:bCs/>
                <w:color w:val="000000"/>
                <w:sz w:val="22"/>
                <w:szCs w:val="18"/>
                <w:lang w:val="en-US" w:eastAsia="zh-CN"/>
              </w:rPr>
              <w:t>12</w:t>
            </w:r>
            <w:r w:rsidRPr="000C156A">
              <w:rPr>
                <w:rFonts w:ascii="SimSun" w:hAnsi="SimSun" w:cs="SimSun" w:hint="eastAsia"/>
                <w:b/>
                <w:bCs/>
                <w:color w:val="000000"/>
                <w:sz w:val="22"/>
                <w:szCs w:val="18"/>
                <w:lang w:val="en-US" w:eastAsia="zh-CN"/>
              </w:rPr>
              <w:t>月</w:t>
            </w:r>
            <w:r w:rsidRPr="000C156A">
              <w:rPr>
                <w:b/>
                <w:bCs/>
                <w:color w:val="000000"/>
                <w:sz w:val="22"/>
                <w:szCs w:val="18"/>
                <w:lang w:val="en-US" w:eastAsia="zh-CN"/>
              </w:rPr>
              <w:t>31</w:t>
            </w:r>
            <w:r w:rsidRPr="000C156A">
              <w:rPr>
                <w:rFonts w:ascii="SimSun" w:hAnsi="SimSun" w:cs="SimSun" w:hint="eastAsia"/>
                <w:b/>
                <w:bCs/>
                <w:color w:val="000000"/>
                <w:sz w:val="22"/>
                <w:szCs w:val="18"/>
                <w:lang w:val="en-US" w:eastAsia="zh-CN"/>
              </w:rPr>
              <w:t>日</w:t>
            </w:r>
          </w:p>
        </w:tc>
      </w:tr>
      <w:tr w:rsidR="0085433F" w:rsidRPr="000C156A" w14:paraId="03102FA8" w14:textId="77777777" w:rsidTr="003A64C9">
        <w:trPr>
          <w:trHeight w:val="336"/>
          <w:jc w:val="center"/>
        </w:trPr>
        <w:tc>
          <w:tcPr>
            <w:tcW w:w="5811" w:type="dxa"/>
            <w:tcBorders>
              <w:top w:val="nil"/>
              <w:left w:val="single" w:sz="4" w:space="0" w:color="auto"/>
              <w:bottom w:val="nil"/>
              <w:right w:val="single" w:sz="4" w:space="0" w:color="auto"/>
            </w:tcBorders>
            <w:hideMark/>
          </w:tcPr>
          <w:p w14:paraId="37882B00" w14:textId="77777777" w:rsidR="0085433F" w:rsidRPr="000C156A" w:rsidRDefault="0085433F" w:rsidP="003A64C9">
            <w:pPr>
              <w:widowControl w:val="0"/>
              <w:kinsoku w:val="0"/>
              <w:spacing w:before="20" w:after="60"/>
              <w:rPr>
                <w:bCs/>
                <w:color w:val="000000"/>
                <w:sz w:val="22"/>
                <w:szCs w:val="18"/>
                <w:lang w:val="en-US" w:eastAsia="zh-CN"/>
              </w:rPr>
            </w:pPr>
            <w:r w:rsidRPr="000C156A">
              <w:rPr>
                <w:rFonts w:hint="eastAsia"/>
                <w:bCs/>
                <w:color w:val="000000"/>
                <w:sz w:val="22"/>
                <w:szCs w:val="18"/>
                <w:lang w:val="en-US" w:eastAsia="zh-CN"/>
              </w:rPr>
              <w:t>该期承付款项和缴款更新</w:t>
            </w:r>
          </w:p>
        </w:tc>
        <w:tc>
          <w:tcPr>
            <w:tcW w:w="1861" w:type="dxa"/>
            <w:tcBorders>
              <w:top w:val="nil"/>
              <w:left w:val="nil"/>
              <w:bottom w:val="nil"/>
              <w:right w:val="single" w:sz="4" w:space="0" w:color="auto"/>
            </w:tcBorders>
            <w:noWrap/>
            <w:vAlign w:val="bottom"/>
          </w:tcPr>
          <w:p w14:paraId="7DE67C48" w14:textId="77777777" w:rsidR="0085433F" w:rsidRPr="000C156A" w:rsidRDefault="0085433F" w:rsidP="003A64C9">
            <w:pPr>
              <w:widowControl w:val="0"/>
              <w:kinsoku w:val="0"/>
              <w:spacing w:before="20"/>
              <w:ind w:right="60"/>
              <w:jc w:val="right"/>
              <w:rPr>
                <w:bCs/>
                <w:i/>
                <w:iCs/>
                <w:color w:val="000000"/>
                <w:sz w:val="22"/>
                <w:szCs w:val="22"/>
                <w:lang w:val="en-US" w:eastAsia="zh-CN"/>
              </w:rPr>
            </w:pPr>
          </w:p>
        </w:tc>
        <w:tc>
          <w:tcPr>
            <w:tcW w:w="1861" w:type="dxa"/>
            <w:tcBorders>
              <w:top w:val="nil"/>
              <w:left w:val="nil"/>
              <w:bottom w:val="nil"/>
              <w:right w:val="single" w:sz="4" w:space="0" w:color="auto"/>
            </w:tcBorders>
            <w:vAlign w:val="bottom"/>
          </w:tcPr>
          <w:p w14:paraId="0E3ADBD5" w14:textId="77777777" w:rsidR="0085433F" w:rsidRPr="000C156A" w:rsidRDefault="0085433F" w:rsidP="003A64C9">
            <w:pPr>
              <w:widowControl w:val="0"/>
              <w:kinsoku w:val="0"/>
              <w:spacing w:before="20"/>
              <w:ind w:right="60"/>
              <w:jc w:val="right"/>
              <w:rPr>
                <w:bCs/>
                <w:i/>
                <w:iCs/>
                <w:color w:val="000000"/>
                <w:sz w:val="22"/>
                <w:szCs w:val="22"/>
                <w:lang w:val="en-US" w:eastAsia="zh-CN"/>
              </w:rPr>
            </w:pPr>
          </w:p>
        </w:tc>
      </w:tr>
      <w:tr w:rsidR="005178BF" w:rsidRPr="000C156A" w14:paraId="766384A4" w14:textId="77777777" w:rsidTr="005178BF">
        <w:trPr>
          <w:trHeight w:val="264"/>
          <w:jc w:val="center"/>
        </w:trPr>
        <w:tc>
          <w:tcPr>
            <w:tcW w:w="5811" w:type="dxa"/>
            <w:tcBorders>
              <w:top w:val="nil"/>
              <w:left w:val="single" w:sz="4" w:space="0" w:color="auto"/>
              <w:bottom w:val="nil"/>
              <w:right w:val="single" w:sz="4" w:space="0" w:color="auto"/>
            </w:tcBorders>
            <w:vAlign w:val="bottom"/>
            <w:hideMark/>
          </w:tcPr>
          <w:p w14:paraId="1F00F921" w14:textId="77777777" w:rsidR="005178BF" w:rsidRPr="000C156A" w:rsidRDefault="005178BF" w:rsidP="005178BF">
            <w:pPr>
              <w:widowControl w:val="0"/>
              <w:kinsoku w:val="0"/>
              <w:spacing w:before="20" w:after="60"/>
              <w:rPr>
                <w:b/>
                <w:color w:val="000000"/>
                <w:sz w:val="22"/>
                <w:szCs w:val="18"/>
                <w:lang w:val="en-US" w:eastAsia="zh-CN"/>
              </w:rPr>
            </w:pPr>
            <w:r w:rsidRPr="000C156A">
              <w:rPr>
                <w:rFonts w:hint="eastAsia"/>
                <w:bCs/>
                <w:color w:val="000000"/>
                <w:sz w:val="22"/>
                <w:szCs w:val="18"/>
                <w:lang w:val="en-US" w:eastAsia="zh-CN"/>
              </w:rPr>
              <w:t>服务费用</w:t>
            </w:r>
          </w:p>
        </w:tc>
        <w:tc>
          <w:tcPr>
            <w:tcW w:w="1861" w:type="dxa"/>
            <w:tcBorders>
              <w:top w:val="nil"/>
              <w:left w:val="nil"/>
              <w:bottom w:val="nil"/>
              <w:right w:val="single" w:sz="4" w:space="0" w:color="auto"/>
            </w:tcBorders>
            <w:shd w:val="clear" w:color="auto" w:fill="auto"/>
            <w:vAlign w:val="bottom"/>
          </w:tcPr>
          <w:p w14:paraId="03622A35" w14:textId="4C3BC0A6" w:rsidR="005178BF" w:rsidRPr="000C156A" w:rsidRDefault="005178BF" w:rsidP="005178BF">
            <w:pPr>
              <w:overflowPunct/>
              <w:autoSpaceDE/>
              <w:autoSpaceDN/>
              <w:adjustRightInd/>
              <w:spacing w:before="0"/>
              <w:jc w:val="right"/>
              <w:textAlignment w:val="auto"/>
              <w:rPr>
                <w:bCs/>
                <w:color w:val="000000"/>
                <w:sz w:val="22"/>
                <w:szCs w:val="22"/>
                <w:lang w:val="en-US"/>
              </w:rPr>
            </w:pPr>
            <w:r w:rsidRPr="00CF674C">
              <w:rPr>
                <w:bCs/>
                <w:sz w:val="22"/>
                <w:szCs w:val="22"/>
                <w:lang w:val="en-US"/>
              </w:rPr>
              <w:t>2</w:t>
            </w:r>
            <w:r>
              <w:rPr>
                <w:bCs/>
                <w:sz w:val="22"/>
                <w:szCs w:val="22"/>
                <w:lang w:val="en-US"/>
              </w:rPr>
              <w:t>5 171</w:t>
            </w:r>
          </w:p>
        </w:tc>
        <w:tc>
          <w:tcPr>
            <w:tcW w:w="1861" w:type="dxa"/>
            <w:tcBorders>
              <w:top w:val="nil"/>
              <w:left w:val="nil"/>
              <w:bottom w:val="nil"/>
              <w:right w:val="single" w:sz="4" w:space="0" w:color="auto"/>
            </w:tcBorders>
            <w:vAlign w:val="bottom"/>
            <w:hideMark/>
          </w:tcPr>
          <w:p w14:paraId="67F9D4BF" w14:textId="320CAC1E" w:rsidR="005178BF" w:rsidRPr="000C156A" w:rsidRDefault="005178BF" w:rsidP="005178BF">
            <w:pPr>
              <w:overflowPunct/>
              <w:autoSpaceDE/>
              <w:autoSpaceDN/>
              <w:adjustRightInd/>
              <w:spacing w:before="0"/>
              <w:jc w:val="right"/>
              <w:textAlignment w:val="auto"/>
              <w:rPr>
                <w:bCs/>
                <w:color w:val="000000"/>
                <w:sz w:val="22"/>
                <w:szCs w:val="22"/>
                <w:lang w:val="en-US"/>
              </w:rPr>
            </w:pPr>
            <w:r w:rsidRPr="000C156A">
              <w:rPr>
                <w:bCs/>
                <w:color w:val="000000"/>
                <w:sz w:val="22"/>
                <w:szCs w:val="22"/>
                <w:lang w:val="en-US"/>
              </w:rPr>
              <w:t>24 026</w:t>
            </w:r>
          </w:p>
        </w:tc>
      </w:tr>
      <w:tr w:rsidR="005178BF" w:rsidRPr="000C156A" w14:paraId="4C28E054" w14:textId="77777777" w:rsidTr="003A64C9">
        <w:trPr>
          <w:trHeight w:val="264"/>
          <w:jc w:val="center"/>
        </w:trPr>
        <w:tc>
          <w:tcPr>
            <w:tcW w:w="5811" w:type="dxa"/>
            <w:tcBorders>
              <w:top w:val="nil"/>
              <w:left w:val="single" w:sz="4" w:space="0" w:color="auto"/>
              <w:bottom w:val="nil"/>
              <w:right w:val="single" w:sz="4" w:space="0" w:color="auto"/>
            </w:tcBorders>
            <w:vAlign w:val="bottom"/>
            <w:hideMark/>
          </w:tcPr>
          <w:p w14:paraId="61B1ABA3" w14:textId="77777777" w:rsidR="005178BF" w:rsidRPr="000C156A" w:rsidRDefault="005178BF" w:rsidP="005178BF">
            <w:pPr>
              <w:widowControl w:val="0"/>
              <w:kinsoku w:val="0"/>
              <w:spacing w:before="20" w:after="60"/>
              <w:rPr>
                <w:b/>
                <w:color w:val="000000"/>
                <w:sz w:val="22"/>
                <w:szCs w:val="18"/>
                <w:lang w:val="en-US" w:eastAsia="zh-CN"/>
              </w:rPr>
            </w:pPr>
            <w:r w:rsidRPr="000C156A">
              <w:rPr>
                <w:rFonts w:hint="eastAsia"/>
                <w:bCs/>
                <w:color w:val="000000"/>
                <w:sz w:val="22"/>
                <w:szCs w:val="18"/>
                <w:lang w:val="en-US" w:eastAsia="zh-CN"/>
              </w:rPr>
              <w:t>财务收费</w:t>
            </w:r>
          </w:p>
        </w:tc>
        <w:tc>
          <w:tcPr>
            <w:tcW w:w="1861" w:type="dxa"/>
            <w:tcBorders>
              <w:top w:val="nil"/>
              <w:left w:val="nil"/>
              <w:bottom w:val="nil"/>
              <w:right w:val="single" w:sz="4" w:space="0" w:color="auto"/>
            </w:tcBorders>
            <w:shd w:val="clear" w:color="auto" w:fill="auto"/>
            <w:vAlign w:val="bottom"/>
          </w:tcPr>
          <w:p w14:paraId="78128991" w14:textId="487455F8" w:rsidR="005178BF" w:rsidRPr="000C156A" w:rsidRDefault="005178BF" w:rsidP="005178BF">
            <w:pPr>
              <w:overflowPunct/>
              <w:autoSpaceDE/>
              <w:autoSpaceDN/>
              <w:adjustRightInd/>
              <w:spacing w:before="0"/>
              <w:jc w:val="right"/>
              <w:textAlignment w:val="auto"/>
              <w:rPr>
                <w:bCs/>
                <w:color w:val="000000"/>
                <w:sz w:val="22"/>
                <w:szCs w:val="22"/>
                <w:lang w:val="en-US"/>
              </w:rPr>
            </w:pPr>
            <w:r>
              <w:rPr>
                <w:bCs/>
                <w:sz w:val="22"/>
                <w:szCs w:val="22"/>
                <w:lang w:val="en-US"/>
              </w:rPr>
              <w:t>1 254</w:t>
            </w:r>
          </w:p>
        </w:tc>
        <w:tc>
          <w:tcPr>
            <w:tcW w:w="1861" w:type="dxa"/>
            <w:tcBorders>
              <w:top w:val="nil"/>
              <w:left w:val="nil"/>
              <w:bottom w:val="nil"/>
              <w:right w:val="single" w:sz="4" w:space="0" w:color="auto"/>
            </w:tcBorders>
            <w:vAlign w:val="center"/>
            <w:hideMark/>
          </w:tcPr>
          <w:p w14:paraId="7A3486EB" w14:textId="7AF4CD66" w:rsidR="005178BF" w:rsidRPr="000C156A" w:rsidRDefault="005178BF" w:rsidP="005178BF">
            <w:pPr>
              <w:overflowPunct/>
              <w:autoSpaceDE/>
              <w:autoSpaceDN/>
              <w:adjustRightInd/>
              <w:spacing w:before="0"/>
              <w:jc w:val="right"/>
              <w:textAlignment w:val="auto"/>
              <w:rPr>
                <w:bCs/>
                <w:color w:val="000000"/>
                <w:sz w:val="22"/>
                <w:szCs w:val="22"/>
                <w:lang w:val="en-US"/>
              </w:rPr>
            </w:pPr>
            <w:r w:rsidRPr="000C156A">
              <w:rPr>
                <w:bCs/>
                <w:color w:val="000000"/>
                <w:sz w:val="22"/>
                <w:szCs w:val="22"/>
                <w:lang w:val="en-US"/>
              </w:rPr>
              <w:t>3 641</w:t>
            </w:r>
          </w:p>
        </w:tc>
      </w:tr>
      <w:tr w:rsidR="005178BF" w:rsidRPr="000C156A" w14:paraId="39474D15" w14:textId="77777777" w:rsidTr="003A64C9">
        <w:trPr>
          <w:trHeight w:val="264"/>
          <w:jc w:val="center"/>
        </w:trPr>
        <w:tc>
          <w:tcPr>
            <w:tcW w:w="5811" w:type="dxa"/>
            <w:tcBorders>
              <w:top w:val="nil"/>
              <w:left w:val="single" w:sz="4" w:space="0" w:color="auto"/>
              <w:right w:val="single" w:sz="4" w:space="0" w:color="auto"/>
            </w:tcBorders>
            <w:vAlign w:val="bottom"/>
            <w:hideMark/>
          </w:tcPr>
          <w:p w14:paraId="5732D333" w14:textId="26267B9D" w:rsidR="005178BF" w:rsidRPr="000C156A" w:rsidRDefault="005178BF" w:rsidP="005178BF">
            <w:pPr>
              <w:widowControl w:val="0"/>
              <w:kinsoku w:val="0"/>
              <w:spacing w:before="20" w:after="60"/>
              <w:rPr>
                <w:b/>
                <w:color w:val="000000"/>
                <w:sz w:val="22"/>
                <w:szCs w:val="18"/>
                <w:lang w:val="en-US" w:eastAsia="zh-CN"/>
              </w:rPr>
            </w:pPr>
          </w:p>
        </w:tc>
        <w:tc>
          <w:tcPr>
            <w:tcW w:w="1861" w:type="dxa"/>
            <w:tcBorders>
              <w:top w:val="nil"/>
              <w:left w:val="nil"/>
              <w:right w:val="single" w:sz="4" w:space="0" w:color="auto"/>
            </w:tcBorders>
            <w:shd w:val="clear" w:color="auto" w:fill="auto"/>
            <w:vAlign w:val="bottom"/>
          </w:tcPr>
          <w:p w14:paraId="53DD3FD1" w14:textId="00F1E987" w:rsidR="005178BF" w:rsidRPr="000C156A" w:rsidRDefault="005178BF" w:rsidP="005178BF">
            <w:pPr>
              <w:widowControl w:val="0"/>
              <w:kinsoku w:val="0"/>
              <w:spacing w:before="20"/>
              <w:ind w:right="60"/>
              <w:jc w:val="right"/>
              <w:rPr>
                <w:bCs/>
                <w:color w:val="000000"/>
                <w:sz w:val="22"/>
                <w:szCs w:val="22"/>
                <w:lang w:val="en-US" w:eastAsia="zh-CN"/>
              </w:rPr>
            </w:pPr>
          </w:p>
        </w:tc>
        <w:tc>
          <w:tcPr>
            <w:tcW w:w="1861" w:type="dxa"/>
            <w:tcBorders>
              <w:top w:val="nil"/>
              <w:left w:val="nil"/>
              <w:right w:val="single" w:sz="4" w:space="0" w:color="auto"/>
            </w:tcBorders>
            <w:vAlign w:val="center"/>
            <w:hideMark/>
          </w:tcPr>
          <w:p w14:paraId="69E60B2A" w14:textId="601A62B7" w:rsidR="005178BF" w:rsidRPr="000C156A" w:rsidRDefault="005178BF" w:rsidP="005178BF">
            <w:pPr>
              <w:widowControl w:val="0"/>
              <w:kinsoku w:val="0"/>
              <w:spacing w:before="20"/>
              <w:ind w:right="60"/>
              <w:jc w:val="right"/>
              <w:rPr>
                <w:bCs/>
                <w:color w:val="000000"/>
                <w:sz w:val="22"/>
                <w:szCs w:val="22"/>
                <w:lang w:val="en-US"/>
              </w:rPr>
            </w:pPr>
            <w:r w:rsidRPr="000C156A">
              <w:rPr>
                <w:bCs/>
                <w:color w:val="000000"/>
                <w:sz w:val="22"/>
                <w:szCs w:val="22"/>
                <w:lang w:val="en-US"/>
              </w:rPr>
              <w:t>0</w:t>
            </w:r>
          </w:p>
        </w:tc>
      </w:tr>
      <w:tr w:rsidR="005178BF" w:rsidRPr="000C156A" w14:paraId="143B04F4" w14:textId="77777777" w:rsidTr="005178BF">
        <w:trPr>
          <w:trHeight w:val="300"/>
          <w:jc w:val="center"/>
        </w:trPr>
        <w:tc>
          <w:tcPr>
            <w:tcW w:w="5811" w:type="dxa"/>
            <w:tcBorders>
              <w:left w:val="single" w:sz="4" w:space="0" w:color="auto"/>
              <w:bottom w:val="single" w:sz="4" w:space="0" w:color="auto"/>
              <w:right w:val="single" w:sz="4" w:space="0" w:color="auto"/>
            </w:tcBorders>
            <w:vAlign w:val="center"/>
            <w:hideMark/>
          </w:tcPr>
          <w:p w14:paraId="7F64FE02" w14:textId="77777777" w:rsidR="005178BF" w:rsidRPr="000C156A" w:rsidRDefault="005178BF" w:rsidP="005178BF">
            <w:pPr>
              <w:widowControl w:val="0"/>
              <w:kinsoku w:val="0"/>
              <w:spacing w:before="20" w:after="60"/>
              <w:rPr>
                <w:b/>
                <w:color w:val="000000"/>
                <w:sz w:val="22"/>
                <w:szCs w:val="18"/>
                <w:lang w:val="en-US"/>
              </w:rPr>
            </w:pPr>
            <w:r w:rsidRPr="000C156A">
              <w:rPr>
                <w:rFonts w:hint="eastAsia"/>
                <w:bCs/>
                <w:color w:val="000000"/>
                <w:sz w:val="22"/>
                <w:szCs w:val="18"/>
                <w:lang w:val="en-US" w:eastAsia="zh-CN"/>
              </w:rPr>
              <w:t>合计</w:t>
            </w:r>
          </w:p>
        </w:tc>
        <w:tc>
          <w:tcPr>
            <w:tcW w:w="1861" w:type="dxa"/>
            <w:tcBorders>
              <w:left w:val="nil"/>
              <w:bottom w:val="single" w:sz="4" w:space="0" w:color="auto"/>
              <w:right w:val="single" w:sz="4" w:space="0" w:color="auto"/>
            </w:tcBorders>
            <w:shd w:val="clear" w:color="auto" w:fill="auto"/>
            <w:vAlign w:val="center"/>
          </w:tcPr>
          <w:p w14:paraId="60719BB2" w14:textId="1810EB94" w:rsidR="005178BF" w:rsidRPr="000C156A" w:rsidRDefault="005178BF" w:rsidP="005178BF">
            <w:pPr>
              <w:overflowPunct/>
              <w:autoSpaceDE/>
              <w:autoSpaceDN/>
              <w:adjustRightInd/>
              <w:spacing w:before="0"/>
              <w:jc w:val="right"/>
              <w:textAlignment w:val="auto"/>
              <w:rPr>
                <w:rFonts w:cs="Arial"/>
                <w:color w:val="000000"/>
                <w:sz w:val="22"/>
                <w:szCs w:val="22"/>
                <w:lang w:val="en-US" w:eastAsia="zh-CN"/>
              </w:rPr>
            </w:pPr>
            <w:r>
              <w:rPr>
                <w:rFonts w:cs="Arial"/>
                <w:sz w:val="22"/>
                <w:szCs w:val="22"/>
              </w:rPr>
              <w:t>26 425</w:t>
            </w:r>
          </w:p>
        </w:tc>
        <w:tc>
          <w:tcPr>
            <w:tcW w:w="1861" w:type="dxa"/>
            <w:tcBorders>
              <w:left w:val="nil"/>
              <w:bottom w:val="single" w:sz="4" w:space="0" w:color="auto"/>
              <w:right w:val="single" w:sz="4" w:space="0" w:color="auto"/>
            </w:tcBorders>
            <w:vAlign w:val="center"/>
            <w:hideMark/>
          </w:tcPr>
          <w:p w14:paraId="016ED701" w14:textId="03A7B381" w:rsidR="005178BF" w:rsidRPr="000C156A" w:rsidRDefault="005178BF" w:rsidP="005178BF">
            <w:pPr>
              <w:overflowPunct/>
              <w:autoSpaceDE/>
              <w:autoSpaceDN/>
              <w:adjustRightInd/>
              <w:spacing w:before="0"/>
              <w:jc w:val="right"/>
              <w:textAlignment w:val="auto"/>
              <w:rPr>
                <w:rFonts w:cs="Arial"/>
                <w:color w:val="000000"/>
                <w:sz w:val="22"/>
                <w:szCs w:val="22"/>
                <w:lang w:val="en-US" w:eastAsia="zh-CN"/>
              </w:rPr>
            </w:pPr>
            <w:r w:rsidRPr="000C156A">
              <w:rPr>
                <w:rFonts w:cs="Arial"/>
                <w:color w:val="000000"/>
                <w:sz w:val="22"/>
                <w:szCs w:val="22"/>
              </w:rPr>
              <w:t>27 667</w:t>
            </w:r>
          </w:p>
        </w:tc>
      </w:tr>
    </w:tbl>
    <w:p w14:paraId="3739B1F9" w14:textId="77777777" w:rsidR="0085433F" w:rsidRPr="000C156A" w:rsidRDefault="0085433F" w:rsidP="0085433F">
      <w:pPr>
        <w:spacing w:before="240"/>
        <w:ind w:firstLineChars="200" w:firstLine="480"/>
        <w:rPr>
          <w:lang w:eastAsia="zh-CN"/>
        </w:rPr>
      </w:pPr>
      <w:bookmarkStart w:id="894" w:name="_Toc41905886"/>
      <w:bookmarkStart w:id="895" w:name="_Toc41906911"/>
      <w:bookmarkStart w:id="896" w:name="_Toc41907992"/>
      <w:bookmarkStart w:id="897" w:name="_Toc41908060"/>
      <w:bookmarkStart w:id="898" w:name="_Hlk40424823"/>
      <w:bookmarkEnd w:id="893"/>
      <w:r w:rsidRPr="000C156A">
        <w:rPr>
          <w:rFonts w:hint="eastAsia"/>
          <w:lang w:val="en-US" w:eastAsia="zh-CN"/>
        </w:rPr>
        <w:t>2020</w:t>
      </w:r>
      <w:r w:rsidRPr="000C156A">
        <w:rPr>
          <w:rFonts w:hint="eastAsia"/>
          <w:lang w:val="en-US" w:eastAsia="zh-CN"/>
        </w:rPr>
        <w:t>年</w:t>
      </w:r>
      <w:r w:rsidRPr="000C156A">
        <w:rPr>
          <w:rFonts w:hint="eastAsia"/>
          <w:lang w:val="en-US" w:eastAsia="zh-CN"/>
        </w:rPr>
        <w:t>1</w:t>
      </w:r>
      <w:r w:rsidRPr="000C156A">
        <w:rPr>
          <w:rFonts w:hint="eastAsia"/>
          <w:lang w:val="en-US" w:eastAsia="zh-CN"/>
        </w:rPr>
        <w:t>月，国际电联加入了（</w:t>
      </w:r>
      <w:r w:rsidRPr="000C156A">
        <w:rPr>
          <w:szCs w:val="24"/>
          <w:lang w:eastAsia="zh-CN"/>
        </w:rPr>
        <w:t>UNSMIS</w:t>
      </w:r>
      <w:r w:rsidRPr="000C156A">
        <w:rPr>
          <w:rFonts w:hint="eastAsia"/>
          <w:szCs w:val="24"/>
          <w:lang w:eastAsia="zh-CN"/>
        </w:rPr>
        <w:t>）（</w:t>
      </w:r>
      <w:r w:rsidRPr="000C156A">
        <w:rPr>
          <w:lang w:val="en-US" w:eastAsia="zh-CN"/>
        </w:rPr>
        <w:t>联合国工作人员疾病和事故互助保险协</w:t>
      </w:r>
      <w:r w:rsidRPr="000C156A">
        <w:rPr>
          <w:rFonts w:hint="eastAsia"/>
          <w:lang w:val="en-US" w:eastAsia="zh-CN"/>
        </w:rPr>
        <w:t>会</w:t>
      </w:r>
      <w:r w:rsidRPr="000C156A">
        <w:rPr>
          <w:rFonts w:ascii="Microsoft YaHei" w:eastAsia="Microsoft YaHei" w:hAnsi="Microsoft YaHei" w:cs="Microsoft YaHei" w:hint="eastAsia"/>
          <w:color w:val="000000"/>
          <w:sz w:val="20"/>
          <w:shd w:val="clear" w:color="auto" w:fill="FFFFFF"/>
          <w:lang w:eastAsia="zh-CN"/>
        </w:rPr>
        <w:t>）</w:t>
      </w:r>
      <w:r w:rsidRPr="000C156A">
        <w:rPr>
          <w:rFonts w:hint="eastAsia"/>
          <w:lang w:val="en-US" w:eastAsia="zh-CN"/>
        </w:rPr>
        <w:t>。加入这一联合国医保计划对工作人员来说是有利的，因为缴费率已降低，免赔额被取消，且由于这一计划的规模，从长期来看对国际电联来说也是有利的。该计划汇集了总部设在日内瓦的若干联合国组织和专门机构。该健康保险计划包括联合国日内瓦办事处、难民署和气象组织的工作人员。</w:t>
      </w:r>
    </w:p>
    <w:p w14:paraId="3BA4A1D7" w14:textId="2A6DF91C" w:rsidR="0085433F" w:rsidRPr="000C156A" w:rsidRDefault="00010A76" w:rsidP="0085433F">
      <w:pPr>
        <w:tabs>
          <w:tab w:val="left" w:pos="0"/>
        </w:tabs>
        <w:ind w:firstLineChars="200" w:firstLine="480"/>
        <w:rPr>
          <w:lang w:eastAsia="zh-CN"/>
        </w:rPr>
      </w:pPr>
      <w:bookmarkStart w:id="899" w:name="_Toc73518703"/>
      <w:bookmarkStart w:id="900" w:name="_Toc73518850"/>
      <w:bookmarkStart w:id="901" w:name="_Toc73519250"/>
      <w:bookmarkStart w:id="902" w:name="_Toc73636289"/>
      <w:bookmarkEnd w:id="894"/>
      <w:bookmarkEnd w:id="895"/>
      <w:bookmarkEnd w:id="896"/>
      <w:bookmarkEnd w:id="897"/>
      <w:r w:rsidRPr="00010A76">
        <w:rPr>
          <w:rFonts w:cs="Calibri" w:hint="eastAsia"/>
          <w:szCs w:val="24"/>
          <w:lang w:eastAsia="zh-CN"/>
        </w:rPr>
        <w:t>UNSMIS</w:t>
      </w:r>
      <w:r w:rsidRPr="00010A76">
        <w:rPr>
          <w:rFonts w:cs="Calibri" w:hint="eastAsia"/>
          <w:szCs w:val="24"/>
          <w:lang w:eastAsia="zh-CN"/>
        </w:rPr>
        <w:t>计划的基础是从</w:t>
      </w:r>
      <w:r w:rsidRPr="00010A76">
        <w:rPr>
          <w:rFonts w:cs="Calibri" w:hint="eastAsia"/>
          <w:szCs w:val="24"/>
          <w:lang w:eastAsia="zh-CN"/>
        </w:rPr>
        <w:t>2020</w:t>
      </w:r>
      <w:r w:rsidRPr="00010A76">
        <w:rPr>
          <w:rFonts w:cs="Calibri" w:hint="eastAsia"/>
          <w:szCs w:val="24"/>
          <w:lang w:eastAsia="zh-CN"/>
        </w:rPr>
        <w:t>年</w:t>
      </w:r>
      <w:r w:rsidRPr="00010A76">
        <w:rPr>
          <w:rFonts w:cs="Calibri" w:hint="eastAsia"/>
          <w:szCs w:val="24"/>
          <w:lang w:eastAsia="zh-CN"/>
        </w:rPr>
        <w:t>1</w:t>
      </w:r>
      <w:r w:rsidRPr="00010A76">
        <w:rPr>
          <w:rFonts w:cs="Calibri" w:hint="eastAsia"/>
          <w:szCs w:val="24"/>
          <w:lang w:eastAsia="zh-CN"/>
        </w:rPr>
        <w:t>月</w:t>
      </w:r>
      <w:r w:rsidRPr="00010A76">
        <w:rPr>
          <w:rFonts w:cs="Calibri" w:hint="eastAsia"/>
          <w:szCs w:val="24"/>
          <w:lang w:eastAsia="zh-CN"/>
        </w:rPr>
        <w:t>1</w:t>
      </w:r>
      <w:r w:rsidRPr="00010A76">
        <w:rPr>
          <w:rFonts w:cs="Calibri" w:hint="eastAsia"/>
          <w:szCs w:val="24"/>
          <w:lang w:eastAsia="zh-CN"/>
        </w:rPr>
        <w:t>日起实行的</w:t>
      </w:r>
      <w:r w:rsidR="00CE46A8" w:rsidRPr="00CE46A8">
        <w:rPr>
          <w:rFonts w:cs="Calibri" w:hint="eastAsia"/>
          <w:szCs w:val="24"/>
          <w:lang w:eastAsia="zh-CN"/>
        </w:rPr>
        <w:t>3.4%</w:t>
      </w:r>
      <w:r w:rsidR="00CE46A8" w:rsidRPr="00CE46A8">
        <w:rPr>
          <w:rFonts w:cs="Calibri" w:hint="eastAsia"/>
          <w:szCs w:val="24"/>
          <w:lang w:eastAsia="zh-CN"/>
        </w:rPr>
        <w:t>的工资缴费</w:t>
      </w:r>
      <w:r w:rsidRPr="00010A76">
        <w:rPr>
          <w:rFonts w:cs="Calibri" w:hint="eastAsia"/>
          <w:szCs w:val="24"/>
          <w:lang w:eastAsia="zh-CN"/>
        </w:rPr>
        <w:t>。费用控制的后续工作由</w:t>
      </w:r>
      <w:r w:rsidRPr="00010A76">
        <w:rPr>
          <w:rFonts w:cs="Calibri" w:hint="eastAsia"/>
          <w:szCs w:val="24"/>
          <w:lang w:eastAsia="zh-CN"/>
        </w:rPr>
        <w:t>UNSMIS</w:t>
      </w:r>
      <w:r w:rsidRPr="00010A76">
        <w:rPr>
          <w:rFonts w:cs="Calibri" w:hint="eastAsia"/>
          <w:szCs w:val="24"/>
          <w:lang w:eastAsia="zh-CN"/>
        </w:rPr>
        <w:t>委员会管理，国际电联作为新成员在该委员会占有一席之地。详见关于</w:t>
      </w:r>
      <w:hyperlink r:id="rId38" w:history="1">
        <w:r w:rsidRPr="00F85696">
          <w:rPr>
            <w:rStyle w:val="Hyperlink"/>
            <w:rFonts w:cs="Calibri" w:hint="eastAsia"/>
            <w:szCs w:val="24"/>
            <w:lang w:eastAsia="zh-CN"/>
          </w:rPr>
          <w:t>ASHI</w:t>
        </w:r>
        <w:r w:rsidRPr="00F85696">
          <w:rPr>
            <w:rStyle w:val="Hyperlink"/>
            <w:rFonts w:cs="Calibri" w:hint="eastAsia"/>
            <w:szCs w:val="24"/>
            <w:lang w:eastAsia="zh-CN"/>
          </w:rPr>
          <w:t>年度报告的</w:t>
        </w:r>
        <w:r w:rsidRPr="00F85696">
          <w:rPr>
            <w:rStyle w:val="Hyperlink"/>
            <w:rFonts w:cs="Calibri" w:hint="eastAsia"/>
            <w:szCs w:val="24"/>
            <w:lang w:eastAsia="zh-CN"/>
          </w:rPr>
          <w:t>C22/46</w:t>
        </w:r>
        <w:r w:rsidRPr="00F85696">
          <w:rPr>
            <w:rStyle w:val="Hyperlink"/>
            <w:rFonts w:cs="Calibri" w:hint="eastAsia"/>
            <w:szCs w:val="24"/>
            <w:lang w:eastAsia="zh-CN"/>
          </w:rPr>
          <w:t>号文件</w:t>
        </w:r>
      </w:hyperlink>
      <w:r w:rsidRPr="00010A76">
        <w:rPr>
          <w:rFonts w:cs="Calibri" w:hint="eastAsia"/>
          <w:szCs w:val="24"/>
          <w:lang w:eastAsia="zh-CN"/>
        </w:rPr>
        <w:t>。</w:t>
      </w:r>
      <w:bookmarkEnd w:id="899"/>
      <w:bookmarkEnd w:id="900"/>
      <w:bookmarkEnd w:id="901"/>
      <w:bookmarkEnd w:id="902"/>
    </w:p>
    <w:p w14:paraId="2A71DD5D" w14:textId="3B8E174E" w:rsidR="0085433F" w:rsidRPr="00A74867" w:rsidRDefault="0085433F" w:rsidP="0085433F">
      <w:pPr>
        <w:pStyle w:val="Heading3"/>
        <w:ind w:left="1134" w:hanging="1134"/>
        <w:rPr>
          <w:b w:val="0"/>
          <w:bCs/>
          <w:i w:val="0"/>
          <w:lang w:val="en-US" w:eastAsia="zh-CN"/>
        </w:rPr>
      </w:pPr>
      <w:bookmarkStart w:id="903" w:name="_Toc41905887"/>
      <w:bookmarkStart w:id="904" w:name="_Toc73518705"/>
      <w:bookmarkStart w:id="905" w:name="_Toc73518852"/>
      <w:bookmarkStart w:id="906" w:name="_Toc73519252"/>
      <w:bookmarkStart w:id="907" w:name="_Toc73636291"/>
      <w:bookmarkStart w:id="908" w:name="_Toc110264009"/>
      <w:bookmarkStart w:id="909" w:name="_Toc110264088"/>
      <w:bookmarkStart w:id="910" w:name="_Toc110265261"/>
      <w:bookmarkStart w:id="911" w:name="_Toc110265727"/>
      <w:bookmarkStart w:id="912" w:name="_Toc110330097"/>
      <w:bookmarkStart w:id="913" w:name="_Toc110330262"/>
      <w:bookmarkEnd w:id="898"/>
      <w:r w:rsidRPr="00A74867">
        <w:rPr>
          <w:b w:val="0"/>
          <w:bCs/>
          <w:i w:val="0"/>
          <w:lang w:val="en-US" w:eastAsia="zh-CN"/>
        </w:rPr>
        <w:lastRenderedPageBreak/>
        <w:t>17.2.3</w:t>
      </w:r>
      <w:r w:rsidRPr="00A74867">
        <w:rPr>
          <w:b w:val="0"/>
          <w:bCs/>
          <w:i w:val="0"/>
          <w:lang w:val="en-US" w:eastAsia="zh-CN"/>
        </w:rPr>
        <w:tab/>
        <w:t>202</w:t>
      </w:r>
      <w:r w:rsidR="00F85696">
        <w:rPr>
          <w:b w:val="0"/>
          <w:bCs/>
          <w:i w:val="0"/>
          <w:lang w:val="en-US" w:eastAsia="zh-CN"/>
        </w:rPr>
        <w:t>1</w:t>
      </w:r>
      <w:r w:rsidRPr="00A74867">
        <w:rPr>
          <w:rFonts w:eastAsia="STKaiti" w:hint="eastAsia"/>
          <w:b w:val="0"/>
          <w:bCs/>
          <w:i w:val="0"/>
          <w:lang w:val="fr-FR" w:eastAsia="zh-CN"/>
        </w:rPr>
        <w:t>年期</w:t>
      </w:r>
      <w:r w:rsidRPr="00A74867">
        <w:rPr>
          <w:b w:val="0"/>
          <w:bCs/>
          <w:i w:val="0"/>
          <w:lang w:val="en-US" w:eastAsia="zh-CN"/>
        </w:rPr>
        <w:t>ASHI</w:t>
      </w:r>
      <w:r w:rsidRPr="00A74867">
        <w:rPr>
          <w:rFonts w:eastAsia="STKaiti" w:hint="eastAsia"/>
          <w:b w:val="0"/>
          <w:bCs/>
          <w:i w:val="0"/>
          <w:lang w:val="fr-FR" w:eastAsia="zh-CN"/>
        </w:rPr>
        <w:t>计划的成本估算</w:t>
      </w:r>
      <w:bookmarkEnd w:id="903"/>
      <w:bookmarkEnd w:id="904"/>
      <w:bookmarkEnd w:id="905"/>
      <w:bookmarkEnd w:id="906"/>
      <w:bookmarkEnd w:id="907"/>
      <w:bookmarkEnd w:id="908"/>
      <w:bookmarkEnd w:id="909"/>
      <w:bookmarkEnd w:id="910"/>
      <w:bookmarkEnd w:id="911"/>
      <w:bookmarkEnd w:id="912"/>
      <w:bookmarkEnd w:id="913"/>
    </w:p>
    <w:p w14:paraId="6D45F2DA" w14:textId="2C0CB090" w:rsidR="0085433F" w:rsidRPr="000C156A" w:rsidRDefault="0085433F" w:rsidP="0085433F">
      <w:pPr>
        <w:ind w:firstLineChars="200" w:firstLine="480"/>
        <w:rPr>
          <w:lang w:eastAsia="zh-CN"/>
        </w:rPr>
      </w:pPr>
      <w:r w:rsidRPr="000C156A">
        <w:rPr>
          <w:rFonts w:hint="eastAsia"/>
          <w:lang w:val="en-US" w:eastAsia="zh-CN"/>
        </w:rPr>
        <w:t>每当医疗费率增长</w:t>
      </w:r>
      <w:r w:rsidRPr="000C156A">
        <w:rPr>
          <w:rFonts w:hint="eastAsia"/>
          <w:lang w:val="en-US" w:eastAsia="zh-CN"/>
        </w:rPr>
        <w:t>1%</w:t>
      </w:r>
      <w:r w:rsidRPr="000C156A">
        <w:rPr>
          <w:rFonts w:hint="eastAsia"/>
          <w:lang w:val="en-US" w:eastAsia="zh-CN"/>
        </w:rPr>
        <w:t>，即带来</w:t>
      </w:r>
      <w:r w:rsidRPr="000C156A">
        <w:rPr>
          <w:rFonts w:hint="eastAsia"/>
          <w:lang w:val="en-US" w:eastAsia="zh-CN"/>
        </w:rPr>
        <w:t>1</w:t>
      </w:r>
      <w:r w:rsidRPr="000C156A">
        <w:rPr>
          <w:lang w:val="en-US" w:eastAsia="zh-CN"/>
        </w:rPr>
        <w:t xml:space="preserve"> </w:t>
      </w:r>
      <w:r w:rsidR="00A74867">
        <w:rPr>
          <w:lang w:val="en-US" w:eastAsia="zh-CN"/>
        </w:rPr>
        <w:t>009</w:t>
      </w:r>
      <w:r w:rsidRPr="000C156A">
        <w:rPr>
          <w:rFonts w:hint="eastAsia"/>
          <w:lang w:val="en-US" w:eastAsia="zh-CN"/>
        </w:rPr>
        <w:t>万</w:t>
      </w:r>
      <w:r w:rsidRPr="000C156A">
        <w:rPr>
          <w:rFonts w:hint="eastAsia"/>
          <w:lang w:eastAsia="zh-CN"/>
        </w:rPr>
        <w:t>瑞郎的综合服务费用和利息上涨，并对固定收益承付款项带来</w:t>
      </w:r>
      <w:r w:rsidRPr="000C156A">
        <w:rPr>
          <w:lang w:eastAsia="zh-CN"/>
        </w:rPr>
        <w:t>1</w:t>
      </w:r>
      <w:r w:rsidRPr="000C156A">
        <w:rPr>
          <w:lang w:val="en-US" w:eastAsia="zh-CN"/>
        </w:rPr>
        <w:t>.</w:t>
      </w:r>
      <w:r w:rsidR="00A74867">
        <w:rPr>
          <w:lang w:val="en-US" w:eastAsia="zh-CN"/>
        </w:rPr>
        <w:t>4983</w:t>
      </w:r>
      <w:r w:rsidRPr="000C156A">
        <w:rPr>
          <w:rFonts w:hint="eastAsia"/>
          <w:lang w:eastAsia="zh-CN"/>
        </w:rPr>
        <w:t>亿瑞郎的影响。如果减少</w:t>
      </w:r>
      <w:r w:rsidRPr="000C156A">
        <w:rPr>
          <w:lang w:eastAsia="zh-CN"/>
        </w:rPr>
        <w:t>1%</w:t>
      </w:r>
      <w:r w:rsidRPr="000C156A">
        <w:rPr>
          <w:rFonts w:hint="eastAsia"/>
          <w:lang w:eastAsia="zh-CN"/>
        </w:rPr>
        <w:t>，服务费用和利息会下降</w:t>
      </w:r>
      <w:r w:rsidR="00A74867">
        <w:rPr>
          <w:lang w:eastAsia="zh-CN"/>
        </w:rPr>
        <w:t>715</w:t>
      </w:r>
      <w:r w:rsidRPr="000C156A">
        <w:rPr>
          <w:rFonts w:hint="eastAsia"/>
          <w:lang w:eastAsia="zh-CN"/>
        </w:rPr>
        <w:t>万瑞郎，并使固定收益承付款项减少</w:t>
      </w:r>
      <w:r w:rsidRPr="000C156A">
        <w:rPr>
          <w:lang w:eastAsia="zh-CN"/>
        </w:rPr>
        <w:t>1.</w:t>
      </w:r>
      <w:r w:rsidR="00A74867">
        <w:rPr>
          <w:lang w:eastAsia="zh-CN"/>
        </w:rPr>
        <w:t>1445</w:t>
      </w:r>
      <w:r w:rsidRPr="000C156A">
        <w:rPr>
          <w:rFonts w:hint="eastAsia"/>
          <w:lang w:eastAsia="zh-CN"/>
        </w:rPr>
        <w:t>亿瑞郎。</w:t>
      </w:r>
    </w:p>
    <w:p w14:paraId="2F828CA2" w14:textId="77777777" w:rsidR="0085433F" w:rsidRPr="00A74867" w:rsidRDefault="0085433F" w:rsidP="0085433F">
      <w:pPr>
        <w:pStyle w:val="Heading3"/>
        <w:ind w:left="1134" w:hanging="1134"/>
        <w:rPr>
          <w:rFonts w:ascii="STKaiti" w:eastAsia="STKaiti" w:hAnsi="STKaiti"/>
          <w:b w:val="0"/>
          <w:i w:val="0"/>
          <w:iCs/>
          <w:lang w:eastAsia="zh-CN"/>
        </w:rPr>
      </w:pPr>
      <w:bookmarkStart w:id="914" w:name="_Toc41905888"/>
      <w:bookmarkStart w:id="915" w:name="_Toc73518706"/>
      <w:bookmarkStart w:id="916" w:name="_Toc73518853"/>
      <w:bookmarkStart w:id="917" w:name="_Toc73519253"/>
      <w:bookmarkStart w:id="918" w:name="_Toc73636292"/>
      <w:bookmarkStart w:id="919" w:name="_Toc110264010"/>
      <w:bookmarkStart w:id="920" w:name="_Toc110264089"/>
      <w:bookmarkStart w:id="921" w:name="_Toc110265262"/>
      <w:bookmarkStart w:id="922" w:name="_Toc110265728"/>
      <w:bookmarkStart w:id="923" w:name="_Toc110330098"/>
      <w:bookmarkStart w:id="924" w:name="_Toc110330263"/>
      <w:r w:rsidRPr="00A74867">
        <w:rPr>
          <w:b w:val="0"/>
          <w:i w:val="0"/>
          <w:iCs/>
          <w:lang w:eastAsia="zh-CN"/>
        </w:rPr>
        <w:t>17.2.4</w:t>
      </w:r>
      <w:r w:rsidRPr="00A74867">
        <w:rPr>
          <w:b w:val="0"/>
          <w:i w:val="0"/>
          <w:iCs/>
          <w:lang w:eastAsia="zh-CN"/>
        </w:rPr>
        <w:tab/>
      </w:r>
      <w:r w:rsidRPr="00A74867">
        <w:rPr>
          <w:rFonts w:ascii="STKaiti" w:eastAsia="STKaiti" w:hAnsi="STKaiti" w:hint="eastAsia"/>
          <w:b w:val="0"/>
          <w:i w:val="0"/>
          <w:iCs/>
          <w:lang w:eastAsia="zh-CN"/>
        </w:rPr>
        <w:t>归国</w:t>
      </w:r>
      <w:bookmarkEnd w:id="914"/>
      <w:bookmarkEnd w:id="915"/>
      <w:bookmarkEnd w:id="916"/>
      <w:bookmarkEnd w:id="917"/>
      <w:bookmarkEnd w:id="918"/>
      <w:bookmarkEnd w:id="919"/>
      <w:bookmarkEnd w:id="920"/>
      <w:bookmarkEnd w:id="921"/>
      <w:bookmarkEnd w:id="922"/>
      <w:bookmarkEnd w:id="923"/>
      <w:bookmarkEnd w:id="924"/>
    </w:p>
    <w:p w14:paraId="3E59EB02" w14:textId="77777777" w:rsidR="0085433F" w:rsidRPr="000C156A" w:rsidRDefault="0085433F" w:rsidP="0085433F">
      <w:pPr>
        <w:ind w:firstLineChars="200" w:firstLine="480"/>
        <w:rPr>
          <w:lang w:eastAsia="zh-CN"/>
        </w:rPr>
      </w:pPr>
      <w:r w:rsidRPr="000C156A">
        <w:rPr>
          <w:rFonts w:hint="eastAsia"/>
          <w:lang w:eastAsia="zh-CN"/>
        </w:rPr>
        <w:t>原则上，国际电联须向其归国的职员支付归国补助金。须由秘书长确定享受该补助金的资格以及所需相关证据方面的详细条件和定义。</w:t>
      </w:r>
    </w:p>
    <w:p w14:paraId="1A99827F" w14:textId="611E3D49" w:rsidR="0085433F" w:rsidRPr="000C156A" w:rsidRDefault="0085433F" w:rsidP="0085433F">
      <w:pPr>
        <w:ind w:firstLineChars="200" w:firstLine="480"/>
        <w:rPr>
          <w:lang w:eastAsia="zh-CN"/>
        </w:rPr>
      </w:pPr>
      <w:r w:rsidRPr="000C156A">
        <w:rPr>
          <w:rFonts w:hint="eastAsia"/>
          <w:lang w:eastAsia="zh-CN"/>
        </w:rPr>
        <w:t>在计算截至</w:t>
      </w:r>
      <w:r w:rsidRPr="000C156A">
        <w:rPr>
          <w:lang w:eastAsia="zh-CN"/>
        </w:rPr>
        <w:t>202</w:t>
      </w:r>
      <w:r w:rsidR="007C26E9">
        <w:rPr>
          <w:lang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日的总承付款项时考虑到了服务年限、基薪和语言津贴。所采用的经济假设为</w:t>
      </w:r>
      <w:r w:rsidRPr="000C156A">
        <w:rPr>
          <w:lang w:eastAsia="zh-CN"/>
        </w:rPr>
        <w:t>0.</w:t>
      </w:r>
      <w:r w:rsidR="007C26E9">
        <w:rPr>
          <w:lang w:eastAsia="zh-CN"/>
        </w:rPr>
        <w:t>5</w:t>
      </w:r>
      <w:r w:rsidRPr="000C156A">
        <w:rPr>
          <w:lang w:eastAsia="zh-CN"/>
        </w:rPr>
        <w:t>%</w:t>
      </w:r>
      <w:r w:rsidRPr="000C156A">
        <w:rPr>
          <w:rFonts w:hint="eastAsia"/>
          <w:lang w:eastAsia="zh-CN"/>
        </w:rPr>
        <w:t>的贴现率（</w:t>
      </w:r>
      <w:r w:rsidRPr="000C156A">
        <w:rPr>
          <w:lang w:eastAsia="zh-CN"/>
        </w:rPr>
        <w:t>20</w:t>
      </w:r>
      <w:r w:rsidR="007C26E9">
        <w:rPr>
          <w:lang w:eastAsia="zh-CN"/>
        </w:rPr>
        <w:t>20</w:t>
      </w:r>
      <w:r w:rsidRPr="000C156A">
        <w:rPr>
          <w:rFonts w:hint="eastAsia"/>
          <w:lang w:eastAsia="zh-CN"/>
        </w:rPr>
        <w:t>年为</w:t>
      </w:r>
      <w:r w:rsidRPr="000C156A">
        <w:rPr>
          <w:lang w:eastAsia="zh-CN"/>
        </w:rPr>
        <w:t>0.</w:t>
      </w:r>
      <w:r w:rsidR="007C26E9">
        <w:rPr>
          <w:lang w:eastAsia="zh-CN"/>
        </w:rPr>
        <w:t>2</w:t>
      </w:r>
      <w:r w:rsidRPr="000C156A">
        <w:rPr>
          <w:lang w:eastAsia="zh-CN"/>
        </w:rPr>
        <w:t>%</w:t>
      </w:r>
      <w:r w:rsidRPr="000C156A">
        <w:rPr>
          <w:rFonts w:hint="eastAsia"/>
          <w:lang w:eastAsia="zh-CN"/>
        </w:rPr>
        <w:t>）和</w:t>
      </w:r>
      <w:r w:rsidRPr="000C156A">
        <w:rPr>
          <w:lang w:eastAsia="zh-CN"/>
        </w:rPr>
        <w:t>3.0%</w:t>
      </w:r>
      <w:r w:rsidRPr="000C156A">
        <w:rPr>
          <w:rFonts w:hint="eastAsia"/>
          <w:lang w:eastAsia="zh-CN"/>
        </w:rPr>
        <w:t>的薪酬增长率。在</w:t>
      </w:r>
      <w:r w:rsidRPr="000C156A">
        <w:rPr>
          <w:lang w:eastAsia="zh-CN"/>
        </w:rPr>
        <w:t>202</w:t>
      </w:r>
      <w:r w:rsidR="007C26E9">
        <w:rPr>
          <w:lang w:eastAsia="zh-CN"/>
        </w:rPr>
        <w:t>1</w:t>
      </w:r>
      <w:r w:rsidRPr="000C156A">
        <w:rPr>
          <w:rFonts w:hint="eastAsia"/>
          <w:lang w:eastAsia="zh-CN"/>
        </w:rPr>
        <w:t>年的估值中，用于归国补助金精算研究的假设与</w:t>
      </w:r>
      <w:r w:rsidRPr="000C156A">
        <w:rPr>
          <w:lang w:eastAsia="zh-CN"/>
        </w:rPr>
        <w:t>ASHI</w:t>
      </w:r>
      <w:r w:rsidRPr="000C156A">
        <w:rPr>
          <w:rFonts w:hint="eastAsia"/>
          <w:lang w:eastAsia="zh-CN"/>
        </w:rPr>
        <w:t>假设保持一致。</w:t>
      </w:r>
    </w:p>
    <w:p w14:paraId="0E3002A7" w14:textId="77777777" w:rsidR="0085433F" w:rsidRPr="00A74867" w:rsidRDefault="0085433F" w:rsidP="0085433F">
      <w:pPr>
        <w:pStyle w:val="Heading3"/>
        <w:ind w:left="1134" w:hanging="1134"/>
        <w:rPr>
          <w:rFonts w:ascii="STKaiti" w:eastAsia="STKaiti" w:hAnsi="STKaiti"/>
          <w:b w:val="0"/>
          <w:i w:val="0"/>
          <w:iCs/>
          <w:lang w:eastAsia="zh-CN"/>
        </w:rPr>
      </w:pPr>
      <w:bookmarkStart w:id="925" w:name="_Toc41905889"/>
      <w:bookmarkStart w:id="926" w:name="_Toc73518707"/>
      <w:bookmarkStart w:id="927" w:name="_Toc73518854"/>
      <w:bookmarkStart w:id="928" w:name="_Toc73519254"/>
      <w:bookmarkStart w:id="929" w:name="_Toc73636293"/>
      <w:bookmarkStart w:id="930" w:name="_Toc110264011"/>
      <w:bookmarkStart w:id="931" w:name="_Toc110264090"/>
      <w:bookmarkStart w:id="932" w:name="_Toc110265263"/>
      <w:bookmarkStart w:id="933" w:name="_Toc110265729"/>
      <w:bookmarkStart w:id="934" w:name="_Toc110330099"/>
      <w:bookmarkStart w:id="935" w:name="_Toc110330264"/>
      <w:r w:rsidRPr="00A74867">
        <w:rPr>
          <w:b w:val="0"/>
          <w:i w:val="0"/>
          <w:iCs/>
          <w:lang w:eastAsia="zh-CN"/>
        </w:rPr>
        <w:t>17.2.5</w:t>
      </w:r>
      <w:r w:rsidRPr="00A74867">
        <w:rPr>
          <w:b w:val="0"/>
          <w:i w:val="0"/>
          <w:iCs/>
          <w:lang w:eastAsia="zh-CN"/>
        </w:rPr>
        <w:tab/>
      </w:r>
      <w:r w:rsidRPr="00A74867">
        <w:rPr>
          <w:rFonts w:ascii="STKaiti" w:eastAsia="STKaiti" w:hAnsi="STKaiti" w:hint="eastAsia"/>
          <w:b w:val="0"/>
          <w:i w:val="0"/>
          <w:iCs/>
          <w:lang w:eastAsia="zh-CN"/>
        </w:rPr>
        <w:t>归国补助金的支付</w:t>
      </w:r>
      <w:bookmarkEnd w:id="925"/>
      <w:bookmarkEnd w:id="926"/>
      <w:bookmarkEnd w:id="927"/>
      <w:bookmarkEnd w:id="928"/>
      <w:bookmarkEnd w:id="929"/>
      <w:bookmarkEnd w:id="930"/>
      <w:bookmarkEnd w:id="931"/>
      <w:bookmarkEnd w:id="932"/>
      <w:bookmarkEnd w:id="933"/>
      <w:bookmarkEnd w:id="934"/>
      <w:bookmarkEnd w:id="935"/>
    </w:p>
    <w:p w14:paraId="62E28334" w14:textId="0E9B53B8" w:rsidR="0085433F" w:rsidRPr="000C156A" w:rsidRDefault="00B375E4" w:rsidP="0085433F">
      <w:pPr>
        <w:ind w:firstLineChars="200" w:firstLine="480"/>
        <w:rPr>
          <w:lang w:eastAsia="zh-CN"/>
        </w:rPr>
      </w:pPr>
      <w:r w:rsidRPr="000C156A">
        <w:rPr>
          <w:rFonts w:hint="eastAsia"/>
          <w:lang w:val="en-US" w:eastAsia="zh-CN"/>
        </w:rPr>
        <w:t>离职归国补助金的支付须遵守</w:t>
      </w:r>
      <w:r w:rsidRPr="000C156A">
        <w:rPr>
          <w:rFonts w:hint="eastAsia"/>
          <w:lang w:eastAsia="zh-CN"/>
        </w:rPr>
        <w:t>《人事规则和人事细则》</w:t>
      </w:r>
      <w:r w:rsidRPr="000C156A">
        <w:rPr>
          <w:rFonts w:hint="eastAsia"/>
          <w:lang w:val="en-US" w:eastAsia="zh-CN"/>
        </w:rPr>
        <w:t>规定的条件和定义。截至</w:t>
      </w:r>
      <w:r w:rsidRPr="000C156A">
        <w:rPr>
          <w:rFonts w:hint="eastAsia"/>
          <w:lang w:val="en-US" w:eastAsia="zh-CN"/>
        </w:rPr>
        <w:t>202</w:t>
      </w:r>
      <w:r w:rsidR="005172B0">
        <w:rPr>
          <w:lang w:val="en-US" w:eastAsia="zh-CN"/>
        </w:rPr>
        <w:t>1</w:t>
      </w:r>
      <w:r w:rsidRPr="000C156A">
        <w:rPr>
          <w:rFonts w:hint="eastAsia"/>
          <w:lang w:val="en-US" w:eastAsia="zh-CN"/>
        </w:rPr>
        <w:t>年</w:t>
      </w:r>
      <w:r w:rsidRPr="000C156A">
        <w:rPr>
          <w:rFonts w:hint="eastAsia"/>
          <w:lang w:val="en-US" w:eastAsia="zh-CN"/>
        </w:rPr>
        <w:t>12</w:t>
      </w:r>
      <w:r w:rsidRPr="000C156A">
        <w:rPr>
          <w:rFonts w:hint="eastAsia"/>
          <w:lang w:val="en-US" w:eastAsia="zh-CN"/>
        </w:rPr>
        <w:t>月，准备金为</w:t>
      </w:r>
      <w:r w:rsidR="005172B0" w:rsidRPr="005172B0">
        <w:rPr>
          <w:rFonts w:hint="eastAsia"/>
          <w:lang w:val="en-US" w:eastAsia="zh-CN"/>
        </w:rPr>
        <w:t>1 33</w:t>
      </w:r>
      <w:r w:rsidR="00F92382">
        <w:rPr>
          <w:lang w:val="en-US" w:eastAsia="zh-CN"/>
        </w:rPr>
        <w:t>0</w:t>
      </w:r>
      <w:r w:rsidR="005172B0" w:rsidRPr="005172B0">
        <w:rPr>
          <w:rFonts w:hint="eastAsia"/>
          <w:lang w:val="en-US" w:eastAsia="zh-CN"/>
        </w:rPr>
        <w:t>万瑞郎</w:t>
      </w:r>
      <w:r w:rsidRPr="000C156A">
        <w:rPr>
          <w:rFonts w:hint="eastAsia"/>
          <w:lang w:val="en-US" w:eastAsia="zh-CN"/>
        </w:rPr>
        <w:t>，而</w:t>
      </w:r>
      <w:r w:rsidRPr="000C156A">
        <w:rPr>
          <w:rFonts w:hint="eastAsia"/>
          <w:lang w:val="en-US" w:eastAsia="zh-CN"/>
        </w:rPr>
        <w:t>20</w:t>
      </w:r>
      <w:r w:rsidR="005172B0">
        <w:rPr>
          <w:lang w:val="en-US" w:eastAsia="zh-CN"/>
        </w:rPr>
        <w:t>20</w:t>
      </w:r>
      <w:r w:rsidRPr="000C156A">
        <w:rPr>
          <w:rFonts w:hint="eastAsia"/>
          <w:lang w:val="en-US" w:eastAsia="zh-CN"/>
        </w:rPr>
        <w:t>年为</w:t>
      </w:r>
      <w:bookmarkStart w:id="936" w:name="_Hlk109900755"/>
      <w:r w:rsidRPr="000C156A">
        <w:rPr>
          <w:rFonts w:hint="eastAsia"/>
          <w:lang w:val="en-US" w:eastAsia="zh-CN"/>
        </w:rPr>
        <w:t>1</w:t>
      </w:r>
      <w:r w:rsidRPr="000C156A">
        <w:rPr>
          <w:lang w:val="en-US" w:eastAsia="zh-CN"/>
        </w:rPr>
        <w:t xml:space="preserve"> </w:t>
      </w:r>
      <w:r w:rsidR="005172B0">
        <w:rPr>
          <w:lang w:val="en-US" w:eastAsia="zh-CN"/>
        </w:rPr>
        <w:t>271</w:t>
      </w:r>
      <w:r w:rsidRPr="000C156A">
        <w:rPr>
          <w:rFonts w:hint="eastAsia"/>
          <w:lang w:val="en-US" w:eastAsia="zh-CN"/>
        </w:rPr>
        <w:t>万瑞郎</w:t>
      </w:r>
      <w:bookmarkEnd w:id="936"/>
      <w:r w:rsidRPr="000C156A">
        <w:rPr>
          <w:rFonts w:hint="eastAsia"/>
          <w:lang w:val="en-US" w:eastAsia="zh-CN"/>
        </w:rPr>
        <w:t>。</w:t>
      </w:r>
      <w:r w:rsidR="005C60DC" w:rsidRPr="005C60DC">
        <w:rPr>
          <w:rFonts w:hint="eastAsia"/>
          <w:lang w:val="en-US" w:eastAsia="zh-CN"/>
        </w:rPr>
        <w:t>该准备金的资金来源为扣除职员</w:t>
      </w:r>
      <w:r w:rsidR="005C60DC" w:rsidRPr="005C60DC">
        <w:rPr>
          <w:rFonts w:hint="eastAsia"/>
          <w:lang w:val="en-US" w:eastAsia="zh-CN"/>
        </w:rPr>
        <w:t>1%</w:t>
      </w:r>
      <w:r w:rsidR="005C60DC" w:rsidRPr="005C60DC">
        <w:rPr>
          <w:rFonts w:hint="eastAsia"/>
          <w:lang w:val="en-US" w:eastAsia="zh-CN"/>
        </w:rPr>
        <w:t>的薪酬，专门为大会及其它短期</w:t>
      </w:r>
      <w:r w:rsidR="00187A35">
        <w:rPr>
          <w:rFonts w:hint="eastAsia"/>
          <w:lang w:val="en-US" w:eastAsia="zh-CN"/>
        </w:rPr>
        <w:t>服务雇用</w:t>
      </w:r>
      <w:r w:rsidR="00187A35" w:rsidRPr="005C60DC">
        <w:rPr>
          <w:rFonts w:hint="eastAsia"/>
          <w:lang w:val="en-US" w:eastAsia="zh-CN"/>
        </w:rPr>
        <w:t>的职员</w:t>
      </w:r>
      <w:r w:rsidR="005C60DC" w:rsidRPr="005C60DC">
        <w:rPr>
          <w:rFonts w:hint="eastAsia"/>
          <w:lang w:val="en-US" w:eastAsia="zh-CN"/>
        </w:rPr>
        <w:t>除外。</w:t>
      </w:r>
    </w:p>
    <w:p w14:paraId="1F4532F3" w14:textId="77777777" w:rsidR="0085433F" w:rsidRPr="000C156A" w:rsidRDefault="0085433F" w:rsidP="0085433F">
      <w:pPr>
        <w:ind w:firstLineChars="200" w:firstLine="480"/>
        <w:rPr>
          <w:lang w:eastAsia="zh-CN"/>
        </w:rPr>
      </w:pPr>
      <w:r w:rsidRPr="000C156A">
        <w:rPr>
          <w:rFonts w:hint="eastAsia"/>
          <w:lang w:eastAsia="zh-CN"/>
        </w:rPr>
        <w:t>每年由一家独立咨询公司进行符合</w:t>
      </w:r>
      <w:r w:rsidRPr="000C156A">
        <w:rPr>
          <w:lang w:eastAsia="zh-CN"/>
        </w:rPr>
        <w:t>IPSAS</w:t>
      </w:r>
      <w:r w:rsidRPr="000C156A">
        <w:rPr>
          <w:rFonts w:hint="eastAsia"/>
          <w:lang w:eastAsia="zh-CN"/>
        </w:rPr>
        <w:t>的精算估值。</w:t>
      </w:r>
    </w:p>
    <w:p w14:paraId="3CC06114" w14:textId="77777777" w:rsidR="0085433F" w:rsidRPr="009A7108" w:rsidRDefault="0085433F" w:rsidP="009A7108">
      <w:pPr>
        <w:pStyle w:val="Heading3"/>
        <w:rPr>
          <w:rFonts w:eastAsia="STKaiti"/>
          <w:b w:val="0"/>
          <w:i w:val="0"/>
          <w:lang w:eastAsia="zh-CN"/>
        </w:rPr>
      </w:pPr>
      <w:bookmarkStart w:id="937" w:name="_Toc41905890"/>
      <w:bookmarkStart w:id="938" w:name="_Toc73518708"/>
      <w:bookmarkStart w:id="939" w:name="_Toc73518855"/>
      <w:bookmarkStart w:id="940" w:name="_Toc73519255"/>
      <w:bookmarkStart w:id="941" w:name="_Toc73636294"/>
      <w:bookmarkStart w:id="942" w:name="_Toc110264012"/>
      <w:bookmarkStart w:id="943" w:name="_Toc110264091"/>
      <w:bookmarkStart w:id="944" w:name="_Toc110265264"/>
      <w:bookmarkStart w:id="945" w:name="_Toc110265730"/>
      <w:bookmarkStart w:id="946" w:name="_Toc110330100"/>
      <w:bookmarkStart w:id="947" w:name="_Toc110330265"/>
      <w:r w:rsidRPr="009A7108">
        <w:rPr>
          <w:rFonts w:eastAsia="STKaiti"/>
          <w:b w:val="0"/>
          <w:i w:val="0"/>
          <w:lang w:eastAsia="zh-CN"/>
        </w:rPr>
        <w:t>17.2.6</w:t>
      </w:r>
      <w:r w:rsidRPr="009A7108">
        <w:rPr>
          <w:rFonts w:eastAsia="STKaiti"/>
          <w:b w:val="0"/>
          <w:i w:val="0"/>
          <w:lang w:eastAsia="zh-CN"/>
        </w:rPr>
        <w:tab/>
      </w:r>
      <w:r w:rsidRPr="009A7108">
        <w:rPr>
          <w:rFonts w:eastAsia="STKaiti" w:hint="eastAsia"/>
          <w:b w:val="0"/>
          <w:i w:val="0"/>
          <w:lang w:eastAsia="zh-CN"/>
        </w:rPr>
        <w:t>职员按照联合国职员养恤金计划享受的福利</w:t>
      </w:r>
      <w:bookmarkEnd w:id="937"/>
      <w:bookmarkEnd w:id="938"/>
      <w:bookmarkEnd w:id="939"/>
      <w:bookmarkEnd w:id="940"/>
      <w:bookmarkEnd w:id="941"/>
      <w:bookmarkEnd w:id="942"/>
      <w:bookmarkEnd w:id="943"/>
      <w:bookmarkEnd w:id="944"/>
      <w:bookmarkEnd w:id="945"/>
      <w:bookmarkEnd w:id="946"/>
      <w:bookmarkEnd w:id="947"/>
    </w:p>
    <w:p w14:paraId="3B591D13" w14:textId="77777777" w:rsidR="0085433F" w:rsidRPr="000C156A" w:rsidRDefault="0085433F" w:rsidP="0085433F">
      <w:pPr>
        <w:ind w:firstLineChars="200" w:firstLine="480"/>
        <w:rPr>
          <w:lang w:eastAsia="zh-CN"/>
        </w:rPr>
      </w:pPr>
      <w:r w:rsidRPr="000C156A">
        <w:rPr>
          <w:rFonts w:hint="eastAsia"/>
          <w:lang w:eastAsia="zh-CN"/>
        </w:rPr>
        <w:t>国际电联是联合国大会设立的“联合国职员联合养恤基金”（简称基金）的成员组织，该基金的目的是为职员提供退休、亡故、伤残及相关福利。该基金是一个由多雇主出资的固定收益计划。《基金条例》第</w:t>
      </w:r>
      <w:r w:rsidRPr="000C156A">
        <w:rPr>
          <w:rFonts w:hint="eastAsia"/>
          <w:lang w:eastAsia="zh-CN"/>
        </w:rPr>
        <w:t>3</w:t>
      </w:r>
      <w:r w:rsidRPr="000C156A">
        <w:rPr>
          <w:lang w:eastAsia="zh-CN"/>
        </w:rPr>
        <w:t>(b)</w:t>
      </w:r>
      <w:r w:rsidRPr="000C156A">
        <w:rPr>
          <w:rFonts w:hint="eastAsia"/>
          <w:lang w:eastAsia="zh-CN"/>
        </w:rPr>
        <w:t>条规定，基金成员资格须向专门机构和参加联合国专门机构薪金、津贴和其他服务条件共同制度的任何其他国际和政府间组织开放。</w:t>
      </w:r>
    </w:p>
    <w:p w14:paraId="64BD2F74" w14:textId="5547012A" w:rsidR="0085433F" w:rsidRPr="000C156A" w:rsidRDefault="008E32F0" w:rsidP="0085433F">
      <w:pPr>
        <w:ind w:firstLineChars="200" w:firstLine="480"/>
        <w:rPr>
          <w:rFonts w:cs="Calibri"/>
          <w:lang w:eastAsia="zh-CN"/>
        </w:rPr>
      </w:pPr>
      <w:r w:rsidRPr="008E32F0">
        <w:rPr>
          <w:rFonts w:hint="eastAsia"/>
          <w:lang w:eastAsia="zh-CN"/>
        </w:rPr>
        <w:t>基金使成员组织面临与参加基金的其他组织现有和原有职员相关的精算风险，因此，向参加计划的各组织分配承付款项、计划资产和成本缺乏统一和可靠的</w:t>
      </w:r>
      <w:r>
        <w:rPr>
          <w:rFonts w:hint="eastAsia"/>
          <w:lang w:eastAsia="zh-CN"/>
        </w:rPr>
        <w:t>依据</w:t>
      </w:r>
      <w:r w:rsidRPr="008E32F0">
        <w:rPr>
          <w:rFonts w:hint="eastAsia"/>
          <w:lang w:eastAsia="zh-CN"/>
        </w:rPr>
        <w:t>。</w:t>
      </w:r>
      <w:r w:rsidRPr="008E32F0">
        <w:rPr>
          <w:rFonts w:hint="eastAsia"/>
          <w:lang w:eastAsia="zh-CN"/>
        </w:rPr>
        <w:t>[</w:t>
      </w:r>
      <w:r w:rsidRPr="008E32F0">
        <w:rPr>
          <w:rFonts w:hint="eastAsia"/>
          <w:lang w:eastAsia="zh-CN"/>
        </w:rPr>
        <w:t>机构</w:t>
      </w:r>
      <w:r w:rsidRPr="008E32F0">
        <w:rPr>
          <w:rFonts w:hint="eastAsia"/>
          <w:lang w:eastAsia="zh-CN"/>
        </w:rPr>
        <w:t>]</w:t>
      </w:r>
      <w:r w:rsidRPr="008E32F0">
        <w:rPr>
          <w:rFonts w:hint="eastAsia"/>
          <w:lang w:eastAsia="zh-CN"/>
        </w:rPr>
        <w:t>和该基金与其他参加基金的组织一样，均无法</w:t>
      </w:r>
      <w:r>
        <w:rPr>
          <w:rFonts w:hint="eastAsia"/>
          <w:lang w:eastAsia="zh-CN"/>
        </w:rPr>
        <w:t>在</w:t>
      </w:r>
      <w:r w:rsidRPr="008E32F0">
        <w:rPr>
          <w:rFonts w:hint="eastAsia"/>
          <w:lang w:eastAsia="zh-CN"/>
        </w:rPr>
        <w:t>充分保证会计可靠性的情况</w:t>
      </w:r>
      <w:r>
        <w:rPr>
          <w:rFonts w:hint="eastAsia"/>
          <w:lang w:eastAsia="zh-CN"/>
        </w:rPr>
        <w:t>下，</w:t>
      </w:r>
      <w:r w:rsidRPr="008E32F0">
        <w:rPr>
          <w:rFonts w:hint="eastAsia"/>
          <w:lang w:eastAsia="zh-CN"/>
        </w:rPr>
        <w:t>确定国际电联在固定收益承付款项、计划资产和计划相关成本中的相应份额。因此，国际电联按照</w:t>
      </w:r>
      <w:r w:rsidRPr="008E32F0">
        <w:rPr>
          <w:rFonts w:hint="eastAsia"/>
          <w:lang w:eastAsia="zh-CN"/>
        </w:rPr>
        <w:t>IPSAS 39</w:t>
      </w:r>
      <w:r w:rsidRPr="008E32F0">
        <w:rPr>
          <w:rFonts w:hint="eastAsia"/>
          <w:lang w:eastAsia="zh-CN"/>
        </w:rPr>
        <w:t>的职员福利要求，</w:t>
      </w:r>
      <w:r w:rsidR="00377FE3">
        <w:rPr>
          <w:rFonts w:hint="eastAsia"/>
          <w:lang w:eastAsia="zh-CN"/>
        </w:rPr>
        <w:t>将该</w:t>
      </w:r>
      <w:r w:rsidRPr="008E32F0">
        <w:rPr>
          <w:rFonts w:hint="eastAsia"/>
          <w:lang w:eastAsia="zh-CN"/>
        </w:rPr>
        <w:t>计划</w:t>
      </w:r>
      <w:r w:rsidR="00377FE3">
        <w:rPr>
          <w:rFonts w:hint="eastAsia"/>
          <w:lang w:eastAsia="zh-CN"/>
        </w:rPr>
        <w:t>视为</w:t>
      </w:r>
      <w:r w:rsidRPr="008E32F0">
        <w:rPr>
          <w:rFonts w:hint="eastAsia"/>
          <w:lang w:eastAsia="zh-CN"/>
        </w:rPr>
        <w:t>固定供款计划。国际电联在相关财务期内为该基金的缴款在财务业绩报表中被确定为</w:t>
      </w:r>
      <w:r w:rsidR="00377FE3">
        <w:rPr>
          <w:rFonts w:hint="eastAsia"/>
          <w:lang w:eastAsia="zh-CN"/>
        </w:rPr>
        <w:t>支出</w:t>
      </w:r>
      <w:r w:rsidRPr="008E32F0">
        <w:rPr>
          <w:rFonts w:hint="eastAsia"/>
          <w:lang w:eastAsia="zh-CN"/>
        </w:rPr>
        <w:t>。</w:t>
      </w:r>
      <w:r w:rsidR="009D1C1D" w:rsidRPr="000C156A">
        <w:rPr>
          <w:rFonts w:cs="Calibri"/>
          <w:lang w:eastAsia="zh-CN"/>
        </w:rPr>
        <w:t xml:space="preserve"> </w:t>
      </w:r>
    </w:p>
    <w:p w14:paraId="48D24EE8" w14:textId="77777777" w:rsidR="0085433F" w:rsidRPr="000C156A" w:rsidRDefault="0085433F" w:rsidP="0085433F">
      <w:pPr>
        <w:ind w:firstLineChars="200" w:firstLine="480"/>
        <w:rPr>
          <w:rFonts w:cs="Calibri"/>
          <w:lang w:eastAsia="zh-CN"/>
        </w:rPr>
      </w:pPr>
      <w:r w:rsidRPr="000C156A">
        <w:rPr>
          <w:rFonts w:cs="Calibri" w:hint="eastAsia"/>
          <w:lang w:eastAsia="zh-CN"/>
        </w:rPr>
        <w:t>基金规则指出，养恤金委员会至少每三年须请咨询精算机构对基金进行精算估值。养恤金委员会一直采取的做法是通过开放基金方式每两年进行一次精算估值。精算估值的主要目的是确定该基金目前和未来的估算资产是否能够满足其债务需求。</w:t>
      </w:r>
    </w:p>
    <w:p w14:paraId="4729E4FC" w14:textId="20049E32" w:rsidR="0085433F" w:rsidRPr="000C156A" w:rsidRDefault="0085433F" w:rsidP="0085433F">
      <w:pPr>
        <w:ind w:firstLineChars="200" w:firstLine="480"/>
        <w:rPr>
          <w:rFonts w:cs="Calibri"/>
          <w:lang w:eastAsia="zh-CN"/>
        </w:rPr>
      </w:pPr>
      <w:r w:rsidRPr="000C156A">
        <w:rPr>
          <w:rFonts w:cs="Calibri" w:hint="eastAsia"/>
          <w:lang w:eastAsia="zh-CN"/>
        </w:rPr>
        <w:t>国际电联对该基金的承付款项包括按照联合国大会确定的费率缴纳的规定缴费（目前参与人为</w:t>
      </w:r>
      <w:r w:rsidRPr="000C156A">
        <w:rPr>
          <w:rFonts w:cs="Calibri"/>
          <w:lang w:eastAsia="zh-CN"/>
        </w:rPr>
        <w:t>7.9%</w:t>
      </w:r>
      <w:r w:rsidRPr="000C156A">
        <w:rPr>
          <w:rFonts w:cs="Calibri" w:hint="eastAsia"/>
          <w:lang w:eastAsia="zh-CN"/>
        </w:rPr>
        <w:t>，成员组织为</w:t>
      </w:r>
      <w:r w:rsidRPr="000C156A">
        <w:rPr>
          <w:rFonts w:cs="Calibri"/>
          <w:lang w:eastAsia="zh-CN"/>
        </w:rPr>
        <w:t>15.8%</w:t>
      </w:r>
      <w:r w:rsidRPr="000C156A">
        <w:rPr>
          <w:rFonts w:cs="Calibri" w:hint="eastAsia"/>
          <w:lang w:eastAsia="zh-CN"/>
        </w:rPr>
        <w:t>）</w:t>
      </w:r>
      <w:r w:rsidR="00CE3089">
        <w:rPr>
          <w:rFonts w:cs="Calibri" w:hint="eastAsia"/>
          <w:lang w:eastAsia="zh-CN"/>
        </w:rPr>
        <w:t>，</w:t>
      </w:r>
      <w:r w:rsidRPr="000C156A">
        <w:rPr>
          <w:rFonts w:cs="Calibri" w:hint="eastAsia"/>
          <w:lang w:eastAsia="zh-CN"/>
        </w:rPr>
        <w:t>以及根据《养恤基金管理办法》第</w:t>
      </w:r>
      <w:r w:rsidRPr="000C156A">
        <w:rPr>
          <w:rFonts w:cs="Calibri" w:hint="eastAsia"/>
          <w:lang w:eastAsia="zh-CN"/>
        </w:rPr>
        <w:t>26</w:t>
      </w:r>
      <w:r w:rsidRPr="000C156A">
        <w:rPr>
          <w:rFonts w:cs="Calibri" w:hint="eastAsia"/>
          <w:lang w:eastAsia="zh-CN"/>
        </w:rPr>
        <w:t>条确定的精算亏空支付的份额。在根据估值日对精算亏空的评估的基础上确定确实需要亏空支付后，</w:t>
      </w:r>
      <w:r w:rsidR="00CE3089">
        <w:rPr>
          <w:rFonts w:cs="Calibri" w:hint="eastAsia"/>
          <w:lang w:eastAsia="zh-CN"/>
        </w:rPr>
        <w:t>一旦和</w:t>
      </w:r>
      <w:r w:rsidRPr="000C156A">
        <w:rPr>
          <w:rFonts w:cs="Calibri" w:hint="eastAsia"/>
          <w:lang w:eastAsia="zh-CN"/>
        </w:rPr>
        <w:t>如果联合国大会启动第</w:t>
      </w:r>
      <w:r w:rsidRPr="000C156A">
        <w:rPr>
          <w:rFonts w:cs="Calibri"/>
          <w:lang w:eastAsia="zh-CN"/>
        </w:rPr>
        <w:t>26</w:t>
      </w:r>
      <w:r w:rsidRPr="000C156A">
        <w:rPr>
          <w:rFonts w:cs="Calibri" w:hint="eastAsia"/>
          <w:lang w:eastAsia="zh-CN"/>
        </w:rPr>
        <w:t>条的规定，才可以进行此类亏空支付。</w:t>
      </w:r>
      <w:r w:rsidR="00CE3089" w:rsidRPr="000C156A">
        <w:rPr>
          <w:rFonts w:cs="Calibri" w:hint="eastAsia"/>
          <w:lang w:eastAsia="zh-CN"/>
        </w:rPr>
        <w:t>各成员组织对此赤字缴纳的金额</w:t>
      </w:r>
      <w:r w:rsidR="00CE3089">
        <w:rPr>
          <w:rFonts w:cs="Calibri" w:hint="eastAsia"/>
          <w:lang w:eastAsia="zh-CN"/>
        </w:rPr>
        <w:t>，</w:t>
      </w:r>
      <w:r w:rsidR="00CE3089" w:rsidRPr="000C156A">
        <w:rPr>
          <w:rFonts w:cs="Calibri" w:hint="eastAsia"/>
          <w:lang w:eastAsia="zh-CN"/>
        </w:rPr>
        <w:t>与其在估值日之前三年内所缴金额在总额中的比例相当。</w:t>
      </w:r>
    </w:p>
    <w:p w14:paraId="2D42750F" w14:textId="77E77915" w:rsidR="0085433F" w:rsidRPr="000C156A" w:rsidRDefault="00CE3089" w:rsidP="0085433F">
      <w:pPr>
        <w:ind w:firstLineChars="200" w:firstLine="480"/>
        <w:rPr>
          <w:rFonts w:asciiTheme="minorHAnsi" w:eastAsiaTheme="minorEastAsia" w:hAnsiTheme="minorHAnsi" w:cstheme="minorHAnsi"/>
          <w:sz w:val="22"/>
          <w:lang w:val="en-US" w:eastAsia="zh-CN"/>
        </w:rPr>
      </w:pPr>
      <w:r w:rsidRPr="00CE3089">
        <w:rPr>
          <w:rFonts w:hint="eastAsia"/>
          <w:lang w:eastAsia="zh-CN"/>
        </w:rPr>
        <w:t>最</w:t>
      </w:r>
      <w:r w:rsidR="005B756F">
        <w:rPr>
          <w:rFonts w:hint="eastAsia"/>
          <w:lang w:eastAsia="zh-CN"/>
        </w:rPr>
        <w:t>新一次</w:t>
      </w:r>
      <w:r w:rsidR="005B756F" w:rsidRPr="00CE3089">
        <w:rPr>
          <w:rFonts w:hint="eastAsia"/>
          <w:lang w:eastAsia="zh-CN"/>
        </w:rPr>
        <w:t>基金精算估值</w:t>
      </w:r>
      <w:r w:rsidR="005B756F">
        <w:rPr>
          <w:rFonts w:hint="eastAsia"/>
          <w:lang w:eastAsia="zh-CN"/>
        </w:rPr>
        <w:t>的截止时间为</w:t>
      </w:r>
      <w:r w:rsidR="00B8147C" w:rsidRPr="00CE3089">
        <w:rPr>
          <w:rFonts w:hint="eastAsia"/>
          <w:lang w:eastAsia="zh-CN"/>
        </w:rPr>
        <w:t>2019</w:t>
      </w:r>
      <w:r w:rsidR="00B8147C" w:rsidRPr="00CE3089">
        <w:rPr>
          <w:rFonts w:hint="eastAsia"/>
          <w:lang w:eastAsia="zh-CN"/>
        </w:rPr>
        <w:t>年</w:t>
      </w:r>
      <w:r w:rsidR="00B8147C" w:rsidRPr="00CE3089">
        <w:rPr>
          <w:rFonts w:hint="eastAsia"/>
          <w:lang w:eastAsia="zh-CN"/>
        </w:rPr>
        <w:t>12</w:t>
      </w:r>
      <w:r w:rsidR="00B8147C" w:rsidRPr="00CE3089">
        <w:rPr>
          <w:rFonts w:hint="eastAsia"/>
          <w:lang w:eastAsia="zh-CN"/>
        </w:rPr>
        <w:t>月</w:t>
      </w:r>
      <w:r w:rsidR="00B8147C" w:rsidRPr="00CE3089">
        <w:rPr>
          <w:rFonts w:hint="eastAsia"/>
          <w:lang w:eastAsia="zh-CN"/>
        </w:rPr>
        <w:t>31</w:t>
      </w:r>
      <w:r w:rsidR="00B8147C" w:rsidRPr="00CE3089">
        <w:rPr>
          <w:rFonts w:hint="eastAsia"/>
          <w:lang w:eastAsia="zh-CN"/>
        </w:rPr>
        <w:t>日</w:t>
      </w:r>
      <w:r w:rsidRPr="00CE3089">
        <w:rPr>
          <w:rFonts w:hint="eastAsia"/>
          <w:lang w:eastAsia="zh-CN"/>
        </w:rPr>
        <w:t>，</w:t>
      </w:r>
      <w:r w:rsidR="005B756F">
        <w:rPr>
          <w:rFonts w:hint="eastAsia"/>
          <w:lang w:eastAsia="zh-CN"/>
        </w:rPr>
        <w:t>而</w:t>
      </w:r>
      <w:r w:rsidRPr="00CE3089">
        <w:rPr>
          <w:rFonts w:hint="eastAsia"/>
          <w:lang w:eastAsia="zh-CN"/>
        </w:rPr>
        <w:t>截至</w:t>
      </w:r>
      <w:r w:rsidRPr="00CE3089">
        <w:rPr>
          <w:rFonts w:hint="eastAsia"/>
          <w:lang w:eastAsia="zh-CN"/>
        </w:rPr>
        <w:t>2021</w:t>
      </w:r>
      <w:r w:rsidRPr="00CE3089">
        <w:rPr>
          <w:rFonts w:hint="eastAsia"/>
          <w:lang w:eastAsia="zh-CN"/>
        </w:rPr>
        <w:t>年</w:t>
      </w:r>
      <w:r w:rsidRPr="00CE3089">
        <w:rPr>
          <w:rFonts w:hint="eastAsia"/>
          <w:lang w:eastAsia="zh-CN"/>
        </w:rPr>
        <w:t>12</w:t>
      </w:r>
      <w:r w:rsidRPr="00CE3089">
        <w:rPr>
          <w:rFonts w:hint="eastAsia"/>
          <w:lang w:eastAsia="zh-CN"/>
        </w:rPr>
        <w:t>月</w:t>
      </w:r>
      <w:r w:rsidRPr="00CE3089">
        <w:rPr>
          <w:rFonts w:hint="eastAsia"/>
          <w:lang w:eastAsia="zh-CN"/>
        </w:rPr>
        <w:t>31</w:t>
      </w:r>
      <w:r w:rsidRPr="00CE3089">
        <w:rPr>
          <w:rFonts w:hint="eastAsia"/>
          <w:lang w:eastAsia="zh-CN"/>
        </w:rPr>
        <w:t>日的估值正在进行。基金会在其</w:t>
      </w:r>
      <w:r w:rsidRPr="00CE3089">
        <w:rPr>
          <w:rFonts w:hint="eastAsia"/>
          <w:lang w:eastAsia="zh-CN"/>
        </w:rPr>
        <w:t>2020</w:t>
      </w:r>
      <w:r w:rsidRPr="00CE3089">
        <w:rPr>
          <w:rFonts w:hint="eastAsia"/>
          <w:lang w:eastAsia="zh-CN"/>
        </w:rPr>
        <w:t>年财务报表中</w:t>
      </w:r>
      <w:r w:rsidR="005B756F">
        <w:rPr>
          <w:rFonts w:hint="eastAsia"/>
          <w:lang w:eastAsia="zh-CN"/>
        </w:rPr>
        <w:t>，</w:t>
      </w:r>
      <w:r w:rsidRPr="00CE3089">
        <w:rPr>
          <w:rFonts w:hint="eastAsia"/>
          <w:lang w:eastAsia="zh-CN"/>
        </w:rPr>
        <w:t>将截至</w:t>
      </w:r>
      <w:r w:rsidRPr="00CE3089">
        <w:rPr>
          <w:rFonts w:hint="eastAsia"/>
          <w:lang w:eastAsia="zh-CN"/>
        </w:rPr>
        <w:t>2019</w:t>
      </w:r>
      <w:r w:rsidRPr="00CE3089">
        <w:rPr>
          <w:rFonts w:hint="eastAsia"/>
          <w:lang w:eastAsia="zh-CN"/>
        </w:rPr>
        <w:t>年</w:t>
      </w:r>
      <w:r w:rsidRPr="00CE3089">
        <w:rPr>
          <w:rFonts w:hint="eastAsia"/>
          <w:lang w:eastAsia="zh-CN"/>
        </w:rPr>
        <w:t>12</w:t>
      </w:r>
      <w:r w:rsidRPr="00CE3089">
        <w:rPr>
          <w:rFonts w:hint="eastAsia"/>
          <w:lang w:eastAsia="zh-CN"/>
        </w:rPr>
        <w:t>月</w:t>
      </w:r>
      <w:r w:rsidRPr="00CE3089">
        <w:rPr>
          <w:rFonts w:hint="eastAsia"/>
          <w:lang w:eastAsia="zh-CN"/>
        </w:rPr>
        <w:t>31</w:t>
      </w:r>
      <w:r w:rsidRPr="00CE3089">
        <w:rPr>
          <w:rFonts w:hint="eastAsia"/>
          <w:lang w:eastAsia="zh-CN"/>
        </w:rPr>
        <w:t>日的参与数据前滚至</w:t>
      </w:r>
      <w:r w:rsidRPr="00CE3089">
        <w:rPr>
          <w:rFonts w:hint="eastAsia"/>
          <w:lang w:eastAsia="zh-CN"/>
        </w:rPr>
        <w:t>2020</w:t>
      </w:r>
      <w:r w:rsidRPr="00CE3089">
        <w:rPr>
          <w:rFonts w:hint="eastAsia"/>
          <w:lang w:eastAsia="zh-CN"/>
        </w:rPr>
        <w:t>年</w:t>
      </w:r>
      <w:r w:rsidRPr="00CE3089">
        <w:rPr>
          <w:rFonts w:hint="eastAsia"/>
          <w:lang w:eastAsia="zh-CN"/>
        </w:rPr>
        <w:t>12</w:t>
      </w:r>
      <w:r w:rsidRPr="00CE3089">
        <w:rPr>
          <w:rFonts w:hint="eastAsia"/>
          <w:lang w:eastAsia="zh-CN"/>
        </w:rPr>
        <w:t>月</w:t>
      </w:r>
      <w:r w:rsidRPr="00CE3089">
        <w:rPr>
          <w:rFonts w:hint="eastAsia"/>
          <w:lang w:eastAsia="zh-CN"/>
        </w:rPr>
        <w:t>31</w:t>
      </w:r>
      <w:r w:rsidRPr="00CE3089">
        <w:rPr>
          <w:rFonts w:hint="eastAsia"/>
          <w:lang w:eastAsia="zh-CN"/>
        </w:rPr>
        <w:t>日。</w:t>
      </w:r>
    </w:p>
    <w:p w14:paraId="69918E4C" w14:textId="061D0029" w:rsidR="0085433F" w:rsidRPr="000C156A" w:rsidRDefault="005B756F" w:rsidP="0085433F">
      <w:pPr>
        <w:ind w:firstLineChars="200" w:firstLine="480"/>
        <w:rPr>
          <w:rFonts w:asciiTheme="minorHAnsi" w:eastAsiaTheme="minorEastAsia" w:hAnsiTheme="minorHAnsi" w:cstheme="minorHAnsi"/>
          <w:lang w:eastAsia="zh-CN"/>
        </w:rPr>
      </w:pPr>
      <w:r w:rsidRPr="005B756F">
        <w:rPr>
          <w:rFonts w:hint="eastAsia"/>
          <w:lang w:eastAsia="zh-CN"/>
        </w:rPr>
        <w:lastRenderedPageBreak/>
        <w:t>假设未来不对养恤金</w:t>
      </w:r>
      <w:r>
        <w:rPr>
          <w:rFonts w:hint="eastAsia"/>
          <w:lang w:eastAsia="zh-CN"/>
        </w:rPr>
        <w:t>做出</w:t>
      </w:r>
      <w:r w:rsidRPr="005B756F">
        <w:rPr>
          <w:rFonts w:hint="eastAsia"/>
          <w:lang w:eastAsia="zh-CN"/>
        </w:rPr>
        <w:t>调整，截至</w:t>
      </w:r>
      <w:r w:rsidRPr="005B756F">
        <w:rPr>
          <w:rFonts w:hint="eastAsia"/>
          <w:lang w:eastAsia="zh-CN"/>
        </w:rPr>
        <w:t>2019</w:t>
      </w:r>
      <w:r w:rsidRPr="005B756F">
        <w:rPr>
          <w:rFonts w:hint="eastAsia"/>
          <w:lang w:eastAsia="zh-CN"/>
        </w:rPr>
        <w:t>年</w:t>
      </w:r>
      <w:r w:rsidRPr="005B756F">
        <w:rPr>
          <w:rFonts w:hint="eastAsia"/>
          <w:lang w:eastAsia="zh-CN"/>
        </w:rPr>
        <w:t>12</w:t>
      </w:r>
      <w:r w:rsidRPr="005B756F">
        <w:rPr>
          <w:rFonts w:hint="eastAsia"/>
          <w:lang w:eastAsia="zh-CN"/>
        </w:rPr>
        <w:t>月</w:t>
      </w:r>
      <w:r w:rsidRPr="005B756F">
        <w:rPr>
          <w:rFonts w:hint="eastAsia"/>
          <w:lang w:eastAsia="zh-CN"/>
        </w:rPr>
        <w:t>31</w:t>
      </w:r>
      <w:r w:rsidRPr="005B756F">
        <w:rPr>
          <w:rFonts w:hint="eastAsia"/>
          <w:lang w:eastAsia="zh-CN"/>
        </w:rPr>
        <w:t>日的精算估值产生的精算资产与精算负债的资金比</w:t>
      </w:r>
      <w:r w:rsidR="003A7F9D">
        <w:rPr>
          <w:rFonts w:hint="eastAsia"/>
          <w:lang w:eastAsia="zh-CN"/>
        </w:rPr>
        <w:t>率</w:t>
      </w:r>
      <w:r w:rsidRPr="005B756F">
        <w:rPr>
          <w:rFonts w:hint="eastAsia"/>
          <w:lang w:eastAsia="zh-CN"/>
        </w:rPr>
        <w:t>为</w:t>
      </w:r>
      <w:r w:rsidRPr="005B756F">
        <w:rPr>
          <w:rFonts w:hint="eastAsia"/>
          <w:lang w:eastAsia="zh-CN"/>
        </w:rPr>
        <w:t>144.4%</w:t>
      </w:r>
      <w:r w:rsidRPr="005B756F">
        <w:rPr>
          <w:rFonts w:hint="eastAsia"/>
          <w:lang w:eastAsia="zh-CN"/>
        </w:rPr>
        <w:t>。如考虑到现行的养恤金调整系统，资金比率为</w:t>
      </w:r>
      <w:r w:rsidRPr="005B756F">
        <w:rPr>
          <w:rFonts w:hint="eastAsia"/>
          <w:lang w:eastAsia="zh-CN"/>
        </w:rPr>
        <w:t>107.1%</w:t>
      </w:r>
      <w:r w:rsidRPr="005B756F">
        <w:rPr>
          <w:rFonts w:hint="eastAsia"/>
          <w:lang w:eastAsia="zh-CN"/>
        </w:rPr>
        <w:t>。</w:t>
      </w:r>
    </w:p>
    <w:p w14:paraId="100CEF40" w14:textId="77777777" w:rsidR="0085433F" w:rsidRPr="000C156A" w:rsidRDefault="0085433F" w:rsidP="0085433F">
      <w:pPr>
        <w:ind w:firstLineChars="200" w:firstLine="480"/>
        <w:rPr>
          <w:spacing w:val="4"/>
          <w:lang w:eastAsia="zh-CN"/>
        </w:rPr>
      </w:pPr>
      <w:r w:rsidRPr="000C156A">
        <w:rPr>
          <w:rFonts w:hint="eastAsia"/>
          <w:lang w:eastAsia="zh-CN"/>
        </w:rPr>
        <w:t>咨询精算师在评估了基金的精算充分性之后得出结论，截至</w:t>
      </w:r>
      <w:r w:rsidRPr="000C156A">
        <w:rPr>
          <w:rFonts w:hint="eastAsia"/>
          <w:lang w:eastAsia="zh-CN"/>
        </w:rPr>
        <w:t>201</w:t>
      </w:r>
      <w:r w:rsidRPr="000C156A">
        <w:rPr>
          <w:lang w:eastAsia="zh-CN"/>
        </w:rPr>
        <w:t>9</w:t>
      </w:r>
      <w:r w:rsidRPr="000C156A">
        <w:rPr>
          <w:rFonts w:hint="eastAsia"/>
          <w:lang w:eastAsia="zh-CN"/>
        </w:rPr>
        <w:t>年</w:t>
      </w:r>
      <w:r w:rsidRPr="000C156A">
        <w:rPr>
          <w:rFonts w:hint="eastAsia"/>
          <w:lang w:eastAsia="zh-CN"/>
        </w:rPr>
        <w:t>12</w:t>
      </w:r>
      <w:r w:rsidRPr="000C156A">
        <w:rPr>
          <w:rFonts w:hint="eastAsia"/>
          <w:lang w:eastAsia="zh-CN"/>
        </w:rPr>
        <w:t>月</w:t>
      </w:r>
      <w:r w:rsidRPr="000C156A">
        <w:rPr>
          <w:rFonts w:hint="eastAsia"/>
          <w:lang w:eastAsia="zh-CN"/>
        </w:rPr>
        <w:t>31</w:t>
      </w:r>
      <w:r w:rsidRPr="000C156A">
        <w:rPr>
          <w:rFonts w:hint="eastAsia"/>
          <w:lang w:eastAsia="zh-CN"/>
        </w:rPr>
        <w:t>日，没有根据《养恤基金管理办法》第</w:t>
      </w:r>
      <w:r w:rsidRPr="000C156A">
        <w:rPr>
          <w:lang w:eastAsia="zh-CN"/>
        </w:rPr>
        <w:t>26</w:t>
      </w:r>
      <w:r w:rsidRPr="000C156A">
        <w:rPr>
          <w:rFonts w:hint="eastAsia"/>
          <w:lang w:eastAsia="zh-CN"/>
        </w:rPr>
        <w:t>条进行亏空补贴的需求，因为</w:t>
      </w:r>
      <w:r w:rsidRPr="000C156A">
        <w:rPr>
          <w:lang w:eastAsia="zh-CN"/>
        </w:rPr>
        <w:t>资产的精算价</w:t>
      </w:r>
      <w:r w:rsidRPr="000C156A">
        <w:rPr>
          <w:rFonts w:hint="eastAsia"/>
          <w:lang w:eastAsia="zh-CN"/>
        </w:rPr>
        <w:t>值超出了养恤</w:t>
      </w:r>
      <w:r w:rsidRPr="000C156A">
        <w:rPr>
          <w:rFonts w:hint="eastAsia"/>
          <w:spacing w:val="4"/>
          <w:lang w:eastAsia="zh-CN"/>
        </w:rPr>
        <w:t>金计划所有</w:t>
      </w:r>
      <w:r w:rsidRPr="000C156A">
        <w:rPr>
          <w:spacing w:val="4"/>
          <w:lang w:eastAsia="zh-CN"/>
        </w:rPr>
        <w:t>应计负债的精算价</w:t>
      </w:r>
      <w:r w:rsidRPr="000C156A">
        <w:rPr>
          <w:rFonts w:hint="eastAsia"/>
          <w:spacing w:val="4"/>
          <w:lang w:eastAsia="zh-CN"/>
        </w:rPr>
        <w:t>值。此外，资产市值亦超出了估值日</w:t>
      </w:r>
      <w:r w:rsidRPr="000C156A">
        <w:rPr>
          <w:spacing w:val="4"/>
          <w:lang w:eastAsia="zh-CN"/>
        </w:rPr>
        <w:t>所有应计负债的精算价</w:t>
      </w:r>
      <w:r w:rsidRPr="000C156A">
        <w:rPr>
          <w:rFonts w:hint="eastAsia"/>
          <w:spacing w:val="4"/>
          <w:lang w:eastAsia="zh-CN"/>
        </w:rPr>
        <w:t>值。在起草本报告时，联合国大会尚未启动第</w:t>
      </w:r>
      <w:r w:rsidRPr="000C156A">
        <w:rPr>
          <w:spacing w:val="4"/>
          <w:lang w:eastAsia="zh-CN"/>
        </w:rPr>
        <w:t>26</w:t>
      </w:r>
      <w:r w:rsidRPr="000C156A">
        <w:rPr>
          <w:rFonts w:hint="eastAsia"/>
          <w:spacing w:val="4"/>
          <w:lang w:eastAsia="zh-CN"/>
        </w:rPr>
        <w:t>条的规定。</w:t>
      </w:r>
    </w:p>
    <w:p w14:paraId="5B432478" w14:textId="5604874B" w:rsidR="0085433F" w:rsidRPr="000C156A" w:rsidRDefault="0085433F" w:rsidP="0085433F">
      <w:pPr>
        <w:tabs>
          <w:tab w:val="num" w:pos="1080"/>
        </w:tabs>
        <w:ind w:firstLineChars="200" w:firstLine="480"/>
        <w:rPr>
          <w:lang w:eastAsia="zh-CN"/>
        </w:rPr>
      </w:pPr>
      <w:r w:rsidRPr="000C156A">
        <w:rPr>
          <w:rFonts w:hint="eastAsia"/>
          <w:lang w:eastAsia="zh-CN"/>
        </w:rPr>
        <w:t>如果由于精算亏空而启动第</w:t>
      </w:r>
      <w:r w:rsidRPr="000C156A">
        <w:rPr>
          <w:rFonts w:hint="eastAsia"/>
          <w:lang w:eastAsia="zh-CN"/>
        </w:rPr>
        <w:t>26</w:t>
      </w:r>
      <w:r w:rsidRPr="000C156A">
        <w:rPr>
          <w:rFonts w:hint="eastAsia"/>
          <w:lang w:eastAsia="zh-CN"/>
        </w:rPr>
        <w:t>条，无论是在该基金运行期间还是在其终止之后，每个成员组织所需支付的亏空均应以估值日之前三年中的成员组织缴费与基金总缴费的占比为基础进行计算。前三年（</w:t>
      </w:r>
      <w:r w:rsidRPr="000C156A">
        <w:rPr>
          <w:rFonts w:hint="eastAsia"/>
          <w:lang w:eastAsia="zh-CN"/>
        </w:rPr>
        <w:t>201</w:t>
      </w:r>
      <w:r w:rsidR="007C26E9">
        <w:rPr>
          <w:lang w:eastAsia="zh-CN"/>
        </w:rPr>
        <w:t>8</w:t>
      </w:r>
      <w:r w:rsidRPr="000C156A">
        <w:rPr>
          <w:rFonts w:hint="eastAsia"/>
          <w:lang w:eastAsia="zh-CN"/>
        </w:rPr>
        <w:t>、</w:t>
      </w:r>
      <w:r w:rsidRPr="000C156A">
        <w:rPr>
          <w:rFonts w:hint="eastAsia"/>
          <w:lang w:eastAsia="zh-CN"/>
        </w:rPr>
        <w:t>201</w:t>
      </w:r>
      <w:r w:rsidR="007C26E9">
        <w:rPr>
          <w:lang w:eastAsia="zh-CN"/>
        </w:rPr>
        <w:t>9</w:t>
      </w:r>
      <w:r w:rsidRPr="000C156A">
        <w:rPr>
          <w:rFonts w:hint="eastAsia"/>
          <w:lang w:eastAsia="zh-CN"/>
        </w:rPr>
        <w:t>和</w:t>
      </w:r>
      <w:r w:rsidRPr="000C156A">
        <w:rPr>
          <w:rFonts w:hint="eastAsia"/>
          <w:lang w:eastAsia="zh-CN"/>
        </w:rPr>
        <w:t>20</w:t>
      </w:r>
      <w:r w:rsidR="007C26E9">
        <w:rPr>
          <w:lang w:eastAsia="zh-CN"/>
        </w:rPr>
        <w:t>20</w:t>
      </w:r>
      <w:r w:rsidRPr="000C156A">
        <w:rPr>
          <w:rFonts w:hint="eastAsia"/>
          <w:lang w:eastAsia="zh-CN"/>
        </w:rPr>
        <w:t>年）中该基金的总缴费为</w:t>
      </w:r>
      <w:r w:rsidRPr="000C156A">
        <w:rPr>
          <w:rFonts w:hint="eastAsia"/>
          <w:lang w:eastAsia="zh-CN"/>
        </w:rPr>
        <w:t>7</w:t>
      </w:r>
      <w:r w:rsidR="007C26E9">
        <w:rPr>
          <w:lang w:eastAsia="zh-CN"/>
        </w:rPr>
        <w:t>9</w:t>
      </w:r>
      <w:r w:rsidRPr="000C156A">
        <w:rPr>
          <w:rFonts w:hint="eastAsia"/>
          <w:lang w:eastAsia="zh-CN"/>
        </w:rPr>
        <w:t>.</w:t>
      </w:r>
      <w:r w:rsidR="007C26E9">
        <w:rPr>
          <w:lang w:eastAsia="zh-CN"/>
        </w:rPr>
        <w:t>9315</w:t>
      </w:r>
      <w:r w:rsidRPr="000C156A">
        <w:rPr>
          <w:rFonts w:hint="eastAsia"/>
          <w:lang w:eastAsia="zh-CN"/>
        </w:rPr>
        <w:t>亿美元，其中国际电联缴费占</w:t>
      </w:r>
      <w:r w:rsidRPr="000C156A">
        <w:rPr>
          <w:lang w:eastAsia="zh-CN"/>
        </w:rPr>
        <w:t>0.35</w:t>
      </w:r>
      <w:r w:rsidRPr="000C156A">
        <w:rPr>
          <w:rFonts w:hint="eastAsia"/>
          <w:lang w:eastAsia="zh-CN"/>
        </w:rPr>
        <w:t>%</w:t>
      </w:r>
      <w:r w:rsidRPr="000C156A">
        <w:rPr>
          <w:rFonts w:hint="eastAsia"/>
          <w:lang w:eastAsia="zh-CN"/>
        </w:rPr>
        <w:t>。</w:t>
      </w:r>
    </w:p>
    <w:p w14:paraId="39DAEE9B" w14:textId="1C6A0196" w:rsidR="0085433F" w:rsidRPr="000C156A" w:rsidRDefault="0085433F" w:rsidP="0085433F">
      <w:pPr>
        <w:tabs>
          <w:tab w:val="num" w:pos="1080"/>
        </w:tabs>
        <w:ind w:firstLineChars="200" w:firstLine="480"/>
        <w:rPr>
          <w:lang w:eastAsia="zh-CN"/>
        </w:rPr>
      </w:pPr>
      <w:r w:rsidRPr="000C156A">
        <w:rPr>
          <w:rFonts w:hint="eastAsia"/>
          <w:lang w:eastAsia="zh-CN"/>
        </w:rPr>
        <w:t>202</w:t>
      </w:r>
      <w:r w:rsidR="007C26E9">
        <w:rPr>
          <w:lang w:eastAsia="zh-CN"/>
        </w:rPr>
        <w:t>1</w:t>
      </w:r>
      <w:r w:rsidRPr="000C156A">
        <w:rPr>
          <w:rFonts w:hint="eastAsia"/>
          <w:lang w:eastAsia="zh-CN"/>
        </w:rPr>
        <w:t>年间，支付给该基金的缴费为</w:t>
      </w:r>
      <w:r w:rsidRPr="000C156A">
        <w:rPr>
          <w:rFonts w:hint="eastAsia"/>
          <w:lang w:eastAsia="zh-CN"/>
        </w:rPr>
        <w:t>2</w:t>
      </w:r>
      <w:r w:rsidRPr="000C156A">
        <w:rPr>
          <w:lang w:eastAsia="zh-CN"/>
        </w:rPr>
        <w:t xml:space="preserve"> </w:t>
      </w:r>
      <w:r w:rsidR="007C26E9">
        <w:rPr>
          <w:lang w:eastAsia="zh-CN"/>
        </w:rPr>
        <w:t>780</w:t>
      </w:r>
      <w:r w:rsidRPr="000C156A">
        <w:rPr>
          <w:rFonts w:hint="eastAsia"/>
          <w:lang w:eastAsia="zh-CN"/>
        </w:rPr>
        <w:t>万美元（</w:t>
      </w:r>
      <w:r w:rsidRPr="000C156A">
        <w:rPr>
          <w:rFonts w:hint="eastAsia"/>
          <w:lang w:eastAsia="zh-CN"/>
        </w:rPr>
        <w:t>20</w:t>
      </w:r>
      <w:r w:rsidR="007C26E9">
        <w:rPr>
          <w:lang w:eastAsia="zh-CN"/>
        </w:rPr>
        <w:t>20</w:t>
      </w:r>
      <w:r w:rsidRPr="000C156A">
        <w:rPr>
          <w:rFonts w:hint="eastAsia"/>
          <w:lang w:eastAsia="zh-CN"/>
        </w:rPr>
        <w:t>年为</w:t>
      </w:r>
      <w:r w:rsidRPr="000C156A">
        <w:rPr>
          <w:rFonts w:hint="eastAsia"/>
          <w:lang w:eastAsia="zh-CN"/>
        </w:rPr>
        <w:t>2</w:t>
      </w:r>
      <w:r w:rsidRPr="000C156A">
        <w:rPr>
          <w:lang w:eastAsia="zh-CN"/>
        </w:rPr>
        <w:t xml:space="preserve"> </w:t>
      </w:r>
      <w:r w:rsidR="007C26E9">
        <w:rPr>
          <w:lang w:eastAsia="zh-CN"/>
        </w:rPr>
        <w:t>67</w:t>
      </w:r>
      <w:r w:rsidRPr="000C156A">
        <w:rPr>
          <w:rFonts w:hint="eastAsia"/>
          <w:lang w:eastAsia="zh-CN"/>
        </w:rPr>
        <w:t>0</w:t>
      </w:r>
      <w:r w:rsidRPr="000C156A">
        <w:rPr>
          <w:rFonts w:hint="eastAsia"/>
          <w:lang w:eastAsia="zh-CN"/>
        </w:rPr>
        <w:t>万美元）。</w:t>
      </w:r>
      <w:r w:rsidRPr="000C156A">
        <w:rPr>
          <w:rFonts w:hint="eastAsia"/>
          <w:lang w:eastAsia="zh-CN"/>
        </w:rPr>
        <w:t>20</w:t>
      </w:r>
      <w:r w:rsidRPr="000C156A">
        <w:rPr>
          <w:lang w:eastAsia="zh-CN"/>
        </w:rPr>
        <w:t>2</w:t>
      </w:r>
      <w:r w:rsidR="007C26E9">
        <w:rPr>
          <w:lang w:eastAsia="zh-CN"/>
        </w:rPr>
        <w:t>2</w:t>
      </w:r>
      <w:r w:rsidRPr="000C156A">
        <w:rPr>
          <w:rFonts w:hint="eastAsia"/>
          <w:lang w:eastAsia="zh-CN"/>
        </w:rPr>
        <w:t>年预计待缴费约</w:t>
      </w:r>
      <w:r w:rsidRPr="000C156A">
        <w:rPr>
          <w:rFonts w:hint="eastAsia"/>
          <w:lang w:eastAsia="zh-CN"/>
        </w:rPr>
        <w:t>2</w:t>
      </w:r>
      <w:r w:rsidRPr="000C156A">
        <w:rPr>
          <w:lang w:eastAsia="zh-CN"/>
        </w:rPr>
        <w:t xml:space="preserve"> </w:t>
      </w:r>
      <w:r w:rsidR="007C26E9">
        <w:rPr>
          <w:lang w:eastAsia="zh-CN"/>
        </w:rPr>
        <w:t>8</w:t>
      </w:r>
      <w:r w:rsidRPr="000C156A">
        <w:rPr>
          <w:rFonts w:hint="eastAsia"/>
          <w:lang w:eastAsia="zh-CN"/>
        </w:rPr>
        <w:t>00</w:t>
      </w:r>
      <w:r w:rsidRPr="000C156A">
        <w:rPr>
          <w:rFonts w:hint="eastAsia"/>
          <w:lang w:eastAsia="zh-CN"/>
        </w:rPr>
        <w:t>万美元。</w:t>
      </w:r>
    </w:p>
    <w:p w14:paraId="1F007013" w14:textId="77777777" w:rsidR="0085433F" w:rsidRPr="000C156A" w:rsidRDefault="0085433F" w:rsidP="0085433F">
      <w:pPr>
        <w:tabs>
          <w:tab w:val="num" w:pos="1080"/>
        </w:tabs>
        <w:ind w:firstLineChars="200" w:firstLine="480"/>
        <w:jc w:val="both"/>
        <w:rPr>
          <w:lang w:eastAsia="zh-CN"/>
        </w:rPr>
      </w:pPr>
      <w:r w:rsidRPr="000C156A">
        <w:rPr>
          <w:rFonts w:hint="eastAsia"/>
          <w:lang w:eastAsia="zh-CN"/>
        </w:rPr>
        <w:t>联合国大会可根据养恤金委员会的建议，决定终止某组织的基金成员资格。根据该组织与基金商定的安排，基金须在终止日按基金总资产的一定比例向前成员组织返还养恤金，专门用于当日仍为基金成员的该组织的职员福利。返还金额将由联合国合办职员养恤金委员会根据终止日的资产和负债的精算估值确定；任何超出负债的资产不含在此金额中。</w:t>
      </w:r>
    </w:p>
    <w:p w14:paraId="6ED8527B" w14:textId="71960F7B" w:rsidR="0085433F" w:rsidRPr="000C156A" w:rsidRDefault="0085433F" w:rsidP="0085433F">
      <w:pPr>
        <w:ind w:firstLineChars="200" w:firstLine="480"/>
        <w:rPr>
          <w:lang w:eastAsia="zh-CN"/>
        </w:rPr>
      </w:pPr>
      <w:r w:rsidRPr="000C156A">
        <w:rPr>
          <w:rFonts w:hint="eastAsia"/>
          <w:lang w:eastAsia="zh-CN"/>
        </w:rPr>
        <w:t>联合国审计委员会每年对该基金进行年度审计并向养恤金委员会和联合国大会提交审计报告。该基金每季度发表投资报告，可通过</w:t>
      </w:r>
      <w:hyperlink r:id="rId39" w:history="1">
        <w:r w:rsidRPr="000C156A">
          <w:rPr>
            <w:rStyle w:val="Hyperlink"/>
            <w:lang w:eastAsia="zh-CN"/>
          </w:rPr>
          <w:t>www.unjspf.org</w:t>
        </w:r>
      </w:hyperlink>
      <w:r w:rsidRPr="000C156A">
        <w:rPr>
          <w:rFonts w:hint="eastAsia"/>
          <w:lang w:eastAsia="zh-CN"/>
        </w:rPr>
        <w:t>查阅。</w:t>
      </w:r>
    </w:p>
    <w:p w14:paraId="7BE120C1" w14:textId="77777777" w:rsidR="0085433F" w:rsidRPr="000C156A" w:rsidRDefault="0085433F" w:rsidP="0085433F">
      <w:pPr>
        <w:spacing w:after="240"/>
        <w:ind w:firstLineChars="200" w:firstLine="480"/>
        <w:rPr>
          <w:lang w:eastAsia="zh-CN"/>
        </w:rPr>
      </w:pPr>
      <w:r w:rsidRPr="000C156A">
        <w:rPr>
          <w:rFonts w:hint="eastAsia"/>
          <w:lang w:eastAsia="zh-CN"/>
        </w:rPr>
        <w:t>这些数字来自国际电联的文件和账目。</w:t>
      </w:r>
    </w:p>
    <w:p w14:paraId="06B297DC" w14:textId="3D9ED88C" w:rsidR="0085433F" w:rsidRPr="000C156A" w:rsidRDefault="0085433F" w:rsidP="0085433F">
      <w:pPr>
        <w:pStyle w:val="TableTitle0"/>
        <w:rPr>
          <w:lang w:val="en-GB" w:eastAsia="zh-CN"/>
        </w:rPr>
      </w:pPr>
      <w:r w:rsidRPr="000C156A">
        <w:rPr>
          <w:rFonts w:ascii="SimSun" w:hAnsi="SimSun" w:cs="SimSun" w:hint="eastAsia"/>
          <w:lang w:eastAsia="zh-CN"/>
        </w:rPr>
        <w:t>截至</w:t>
      </w:r>
      <w:r w:rsidRPr="000C156A">
        <w:rPr>
          <w:lang w:val="en-GB" w:eastAsia="zh-CN"/>
        </w:rPr>
        <w:t>202</w:t>
      </w:r>
      <w:r w:rsidR="007C26E9">
        <w:rPr>
          <w:lang w:val="en-GB" w:eastAsia="zh-CN"/>
        </w:rPr>
        <w:t>1</w:t>
      </w:r>
      <w:r w:rsidRPr="000C156A">
        <w:rPr>
          <w:rFonts w:ascii="SimSun" w:hAnsi="SimSun" w:cs="SimSun" w:hint="eastAsia"/>
          <w:lang w:eastAsia="zh-CN"/>
        </w:rPr>
        <w:t>年</w:t>
      </w:r>
      <w:r w:rsidRPr="000C156A">
        <w:rPr>
          <w:lang w:val="en-GB" w:eastAsia="zh-CN"/>
        </w:rPr>
        <w:t>12</w:t>
      </w:r>
      <w:r w:rsidRPr="000C156A">
        <w:rPr>
          <w:rFonts w:ascii="SimSun" w:hAnsi="SimSun" w:cs="SimSun" w:hint="eastAsia"/>
          <w:lang w:eastAsia="zh-CN"/>
        </w:rPr>
        <w:t>月</w:t>
      </w:r>
      <w:r w:rsidRPr="000C156A">
        <w:rPr>
          <w:lang w:val="en-GB" w:eastAsia="zh-CN"/>
        </w:rPr>
        <w:t>31</w:t>
      </w:r>
      <w:r w:rsidRPr="000C156A">
        <w:rPr>
          <w:rFonts w:ascii="SimSun" w:hAnsi="SimSun" w:cs="SimSun" w:hint="eastAsia"/>
          <w:lang w:eastAsia="zh-CN"/>
        </w:rPr>
        <w:t>日的状况</w:t>
      </w:r>
      <w:r w:rsidRPr="000C156A">
        <w:rPr>
          <w:lang w:val="en-GB" w:eastAsia="zh-CN"/>
        </w:rPr>
        <w:br/>
      </w:r>
      <w:r w:rsidRPr="000C156A">
        <w:rPr>
          <w:rFonts w:ascii="SimSun" w:hAnsi="SimSun" w:cs="SimSun" w:hint="eastAsia"/>
          <w:lang w:eastAsia="zh-CN"/>
        </w:rPr>
        <w:t>截至</w:t>
      </w:r>
      <w:r w:rsidRPr="000C156A">
        <w:rPr>
          <w:lang w:val="en-GB" w:eastAsia="zh-CN"/>
        </w:rPr>
        <w:t>202</w:t>
      </w:r>
      <w:r w:rsidR="007C26E9">
        <w:rPr>
          <w:lang w:val="en-GB" w:eastAsia="zh-CN"/>
        </w:rPr>
        <w:t>1</w:t>
      </w:r>
      <w:r w:rsidRPr="000C156A">
        <w:rPr>
          <w:rFonts w:ascii="SimSun" w:hAnsi="SimSun" w:cs="SimSun" w:hint="eastAsia"/>
          <w:lang w:eastAsia="zh-CN"/>
        </w:rPr>
        <w:t>年</w:t>
      </w:r>
      <w:r w:rsidRPr="000C156A">
        <w:rPr>
          <w:lang w:val="en-GB" w:eastAsia="zh-CN"/>
        </w:rPr>
        <w:t>12</w:t>
      </w:r>
      <w:r w:rsidRPr="000C156A">
        <w:rPr>
          <w:rFonts w:ascii="SimSun" w:hAnsi="SimSun" w:cs="SimSun" w:hint="eastAsia"/>
          <w:lang w:eastAsia="zh-CN"/>
        </w:rPr>
        <w:t>月</w:t>
      </w:r>
      <w:r w:rsidRPr="000C156A">
        <w:rPr>
          <w:lang w:val="en-GB" w:eastAsia="zh-CN"/>
        </w:rPr>
        <w:t>31</w:t>
      </w:r>
      <w:r w:rsidRPr="000C156A">
        <w:rPr>
          <w:rFonts w:ascii="SimSun" w:hAnsi="SimSun" w:cs="SimSun" w:hint="eastAsia"/>
          <w:lang w:eastAsia="zh-CN"/>
        </w:rPr>
        <w:t>日的参加人数</w:t>
      </w:r>
    </w:p>
    <w:tbl>
      <w:tblPr>
        <w:tblW w:w="4958" w:type="pct"/>
        <w:jc w:val="center"/>
        <w:tblLook w:val="04A0" w:firstRow="1" w:lastRow="0" w:firstColumn="1" w:lastColumn="0" w:noHBand="0" w:noVBand="1"/>
      </w:tblPr>
      <w:tblGrid>
        <w:gridCol w:w="1666"/>
        <w:gridCol w:w="1506"/>
        <w:gridCol w:w="1506"/>
        <w:gridCol w:w="1511"/>
        <w:gridCol w:w="1687"/>
        <w:gridCol w:w="1666"/>
      </w:tblGrid>
      <w:tr w:rsidR="0085433F" w:rsidRPr="000C156A" w14:paraId="2A3B66DA" w14:textId="77777777" w:rsidTr="003A64C9">
        <w:trPr>
          <w:cantSplit/>
          <w:trHeight w:val="409"/>
          <w:jc w:val="center"/>
        </w:trPr>
        <w:tc>
          <w:tcPr>
            <w:tcW w:w="873" w:type="pct"/>
            <w:vMerge w:val="restart"/>
            <w:tcBorders>
              <w:top w:val="single" w:sz="6" w:space="0" w:color="auto"/>
              <w:left w:val="single" w:sz="6" w:space="0" w:color="auto"/>
              <w:bottom w:val="single" w:sz="6" w:space="0" w:color="auto"/>
              <w:right w:val="single" w:sz="6" w:space="0" w:color="auto"/>
            </w:tcBorders>
            <w:hideMark/>
          </w:tcPr>
          <w:p w14:paraId="0C787D43" w14:textId="35B5EA9E" w:rsidR="0085433F" w:rsidRPr="000C156A" w:rsidRDefault="0085433F" w:rsidP="003A64C9">
            <w:pPr>
              <w:pStyle w:val="Tablehead"/>
              <w:rPr>
                <w:szCs w:val="22"/>
                <w:lang w:eastAsia="zh-CN"/>
              </w:rPr>
            </w:pPr>
            <w:r w:rsidRPr="000C156A">
              <w:rPr>
                <w:rFonts w:hint="eastAsia"/>
                <w:szCs w:val="22"/>
                <w:lang w:eastAsia="zh-CN"/>
              </w:rPr>
              <w:t>截至</w:t>
            </w:r>
            <w:r w:rsidRPr="000C156A">
              <w:rPr>
                <w:szCs w:val="22"/>
                <w:lang w:eastAsia="zh-CN"/>
              </w:rPr>
              <w:t>20</w:t>
            </w:r>
            <w:r w:rsidR="007C26E9">
              <w:rPr>
                <w:szCs w:val="22"/>
                <w:lang w:eastAsia="zh-CN"/>
              </w:rPr>
              <w:t>20</w:t>
            </w:r>
            <w:r w:rsidRPr="000C156A">
              <w:rPr>
                <w:rFonts w:hint="eastAsia"/>
                <w:szCs w:val="22"/>
                <w:lang w:eastAsia="zh-CN"/>
              </w:rPr>
              <w:t>年</w:t>
            </w:r>
            <w:r w:rsidRPr="000C156A">
              <w:rPr>
                <w:szCs w:val="22"/>
                <w:lang w:eastAsia="zh-CN"/>
              </w:rPr>
              <w:br/>
              <w:t>12</w:t>
            </w:r>
            <w:r w:rsidRPr="000C156A">
              <w:rPr>
                <w:rFonts w:hint="eastAsia"/>
                <w:szCs w:val="22"/>
                <w:lang w:eastAsia="zh-CN"/>
              </w:rPr>
              <w:t>月</w:t>
            </w:r>
            <w:r w:rsidRPr="000C156A">
              <w:rPr>
                <w:szCs w:val="22"/>
                <w:lang w:eastAsia="zh-CN"/>
              </w:rPr>
              <w:t>31</w:t>
            </w:r>
            <w:r w:rsidRPr="000C156A">
              <w:rPr>
                <w:rFonts w:hint="eastAsia"/>
                <w:szCs w:val="22"/>
                <w:lang w:eastAsia="zh-CN"/>
              </w:rPr>
              <w:t>日的</w:t>
            </w:r>
            <w:r w:rsidRPr="000C156A">
              <w:rPr>
                <w:szCs w:val="22"/>
                <w:lang w:eastAsia="zh-CN"/>
              </w:rPr>
              <w:br/>
            </w:r>
            <w:r w:rsidRPr="000C156A">
              <w:rPr>
                <w:rFonts w:hint="eastAsia"/>
                <w:szCs w:val="22"/>
                <w:lang w:eastAsia="zh-CN"/>
              </w:rPr>
              <w:t>参加人数</w:t>
            </w:r>
          </w:p>
        </w:tc>
        <w:tc>
          <w:tcPr>
            <w:tcW w:w="789" w:type="pct"/>
            <w:vMerge w:val="restart"/>
            <w:tcBorders>
              <w:top w:val="single" w:sz="6" w:space="0" w:color="auto"/>
              <w:left w:val="single" w:sz="6" w:space="0" w:color="auto"/>
              <w:bottom w:val="single" w:sz="6" w:space="0" w:color="auto"/>
              <w:right w:val="single" w:sz="6" w:space="0" w:color="auto"/>
            </w:tcBorders>
            <w:vAlign w:val="center"/>
            <w:hideMark/>
          </w:tcPr>
          <w:p w14:paraId="056A1882" w14:textId="77777777" w:rsidR="0085433F" w:rsidRPr="000C156A" w:rsidRDefault="0085433F" w:rsidP="003A64C9">
            <w:pPr>
              <w:pStyle w:val="Tablehead"/>
              <w:rPr>
                <w:szCs w:val="22"/>
                <w:lang w:eastAsia="zh-CN"/>
              </w:rPr>
            </w:pPr>
            <w:r w:rsidRPr="000C156A">
              <w:rPr>
                <w:rFonts w:hint="eastAsia"/>
                <w:szCs w:val="22"/>
                <w:lang w:eastAsia="zh-CN"/>
              </w:rPr>
              <w:t>新参加人</w:t>
            </w:r>
          </w:p>
        </w:tc>
        <w:tc>
          <w:tcPr>
            <w:tcW w:w="1581" w:type="pct"/>
            <w:gridSpan w:val="2"/>
            <w:tcBorders>
              <w:top w:val="single" w:sz="6" w:space="0" w:color="auto"/>
              <w:left w:val="single" w:sz="6" w:space="0" w:color="auto"/>
              <w:bottom w:val="single" w:sz="6" w:space="0" w:color="auto"/>
              <w:right w:val="single" w:sz="6" w:space="0" w:color="auto"/>
            </w:tcBorders>
            <w:hideMark/>
          </w:tcPr>
          <w:p w14:paraId="523AEA4C" w14:textId="77777777" w:rsidR="0085433F" w:rsidRPr="000C156A" w:rsidRDefault="0085433F" w:rsidP="003A64C9">
            <w:pPr>
              <w:pStyle w:val="Tablehead"/>
              <w:rPr>
                <w:szCs w:val="22"/>
                <w:lang w:eastAsia="zh-CN"/>
              </w:rPr>
            </w:pPr>
            <w:r w:rsidRPr="000C156A">
              <w:rPr>
                <w:rFonts w:hint="eastAsia"/>
                <w:szCs w:val="22"/>
                <w:lang w:eastAsia="zh-CN"/>
              </w:rPr>
              <w:t>调动</w:t>
            </w:r>
          </w:p>
        </w:tc>
        <w:tc>
          <w:tcPr>
            <w:tcW w:w="884" w:type="pct"/>
            <w:tcBorders>
              <w:top w:val="single" w:sz="6" w:space="0" w:color="auto"/>
              <w:left w:val="single" w:sz="6" w:space="0" w:color="auto"/>
              <w:bottom w:val="nil"/>
              <w:right w:val="single" w:sz="6" w:space="0" w:color="auto"/>
            </w:tcBorders>
          </w:tcPr>
          <w:p w14:paraId="393B52DB" w14:textId="77777777" w:rsidR="0085433F" w:rsidRPr="000C156A" w:rsidRDefault="0085433F" w:rsidP="003A64C9">
            <w:pPr>
              <w:pStyle w:val="Tablehead"/>
              <w:rPr>
                <w:szCs w:val="22"/>
                <w:lang w:eastAsia="zh-CN"/>
              </w:rPr>
            </w:pPr>
          </w:p>
        </w:tc>
        <w:tc>
          <w:tcPr>
            <w:tcW w:w="873" w:type="pct"/>
            <w:vMerge w:val="restart"/>
            <w:tcBorders>
              <w:top w:val="single" w:sz="6" w:space="0" w:color="auto"/>
              <w:left w:val="single" w:sz="6" w:space="0" w:color="auto"/>
              <w:bottom w:val="single" w:sz="6" w:space="0" w:color="auto"/>
              <w:right w:val="single" w:sz="6" w:space="0" w:color="auto"/>
            </w:tcBorders>
            <w:hideMark/>
          </w:tcPr>
          <w:p w14:paraId="33E66EF4" w14:textId="72E4BBDD" w:rsidR="0085433F" w:rsidRPr="000C156A" w:rsidRDefault="0085433F" w:rsidP="003A64C9">
            <w:pPr>
              <w:pStyle w:val="Tablehead"/>
              <w:rPr>
                <w:szCs w:val="22"/>
                <w:lang w:eastAsia="zh-CN"/>
              </w:rPr>
            </w:pPr>
            <w:r w:rsidRPr="000C156A">
              <w:rPr>
                <w:rFonts w:hint="eastAsia"/>
                <w:szCs w:val="22"/>
                <w:lang w:eastAsia="zh-CN"/>
              </w:rPr>
              <w:t>截至</w:t>
            </w:r>
            <w:r w:rsidRPr="000C156A">
              <w:rPr>
                <w:szCs w:val="22"/>
                <w:lang w:eastAsia="zh-CN"/>
              </w:rPr>
              <w:t>202</w:t>
            </w:r>
            <w:r w:rsidR="007C26E9">
              <w:rPr>
                <w:szCs w:val="22"/>
                <w:lang w:eastAsia="zh-CN"/>
              </w:rPr>
              <w:t>1</w:t>
            </w:r>
            <w:r w:rsidRPr="000C156A">
              <w:rPr>
                <w:rFonts w:hint="eastAsia"/>
                <w:szCs w:val="22"/>
                <w:lang w:eastAsia="zh-CN"/>
              </w:rPr>
              <w:t>年</w:t>
            </w:r>
            <w:r w:rsidRPr="000C156A">
              <w:rPr>
                <w:szCs w:val="22"/>
                <w:lang w:eastAsia="zh-CN"/>
              </w:rPr>
              <w:br/>
              <w:t>12</w:t>
            </w:r>
            <w:r w:rsidRPr="000C156A">
              <w:rPr>
                <w:rFonts w:hint="eastAsia"/>
                <w:szCs w:val="22"/>
                <w:lang w:eastAsia="zh-CN"/>
              </w:rPr>
              <w:t>月</w:t>
            </w:r>
            <w:r w:rsidRPr="000C156A">
              <w:rPr>
                <w:szCs w:val="22"/>
                <w:lang w:eastAsia="zh-CN"/>
              </w:rPr>
              <w:t>31</w:t>
            </w:r>
            <w:r w:rsidRPr="000C156A">
              <w:rPr>
                <w:rFonts w:hint="eastAsia"/>
                <w:szCs w:val="22"/>
                <w:lang w:eastAsia="zh-CN"/>
              </w:rPr>
              <w:t>日的</w:t>
            </w:r>
            <w:r w:rsidRPr="000C156A">
              <w:rPr>
                <w:szCs w:val="22"/>
                <w:lang w:eastAsia="zh-CN"/>
              </w:rPr>
              <w:br/>
            </w:r>
            <w:r w:rsidRPr="000C156A">
              <w:rPr>
                <w:rFonts w:hint="eastAsia"/>
                <w:szCs w:val="22"/>
                <w:lang w:eastAsia="zh-CN"/>
              </w:rPr>
              <w:t>参加人数</w:t>
            </w:r>
          </w:p>
        </w:tc>
      </w:tr>
      <w:tr w:rsidR="0085433F" w:rsidRPr="000C156A" w14:paraId="004976F7" w14:textId="77777777" w:rsidTr="003A64C9">
        <w:trPr>
          <w:cantSplit/>
          <w:trHeight w:val="65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3E5755D" w14:textId="77777777" w:rsidR="0085433F" w:rsidRPr="000C156A" w:rsidRDefault="0085433F" w:rsidP="003A64C9">
            <w:pPr>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D44527" w14:textId="77777777" w:rsidR="0085433F" w:rsidRPr="000C156A" w:rsidRDefault="0085433F" w:rsidP="003A64C9">
            <w:pPr>
              <w:overflowPunct/>
              <w:adjustRightInd/>
              <w:spacing w:before="0"/>
              <w:rPr>
                <w:b/>
                <w:sz w:val="22"/>
                <w:szCs w:val="22"/>
                <w:lang w:eastAsia="zh-CN"/>
              </w:rPr>
            </w:pPr>
          </w:p>
        </w:tc>
        <w:tc>
          <w:tcPr>
            <w:tcW w:w="789" w:type="pct"/>
            <w:tcBorders>
              <w:top w:val="single" w:sz="6" w:space="0" w:color="auto"/>
              <w:left w:val="single" w:sz="6" w:space="0" w:color="auto"/>
              <w:bottom w:val="single" w:sz="6" w:space="0" w:color="auto"/>
              <w:right w:val="single" w:sz="6" w:space="0" w:color="auto"/>
            </w:tcBorders>
            <w:vAlign w:val="center"/>
            <w:hideMark/>
          </w:tcPr>
          <w:p w14:paraId="6E6DD73C" w14:textId="77777777" w:rsidR="0085433F" w:rsidRPr="000C156A" w:rsidRDefault="0085433F" w:rsidP="003A64C9">
            <w:pPr>
              <w:pStyle w:val="Tablehead"/>
              <w:rPr>
                <w:szCs w:val="22"/>
                <w:lang w:eastAsia="zh-CN"/>
              </w:rPr>
            </w:pPr>
            <w:r w:rsidRPr="000C156A">
              <w:rPr>
                <w:rFonts w:hint="eastAsia"/>
                <w:szCs w:val="22"/>
                <w:lang w:eastAsia="zh-CN"/>
              </w:rPr>
              <w:t>至国际电联</w:t>
            </w:r>
          </w:p>
        </w:tc>
        <w:tc>
          <w:tcPr>
            <w:tcW w:w="792" w:type="pct"/>
            <w:tcBorders>
              <w:top w:val="single" w:sz="6" w:space="0" w:color="auto"/>
              <w:left w:val="single" w:sz="6" w:space="0" w:color="auto"/>
              <w:bottom w:val="single" w:sz="6" w:space="0" w:color="auto"/>
              <w:right w:val="single" w:sz="6" w:space="0" w:color="auto"/>
            </w:tcBorders>
            <w:vAlign w:val="center"/>
            <w:hideMark/>
          </w:tcPr>
          <w:p w14:paraId="06E7127C" w14:textId="77777777" w:rsidR="0085433F" w:rsidRPr="000C156A" w:rsidRDefault="0085433F" w:rsidP="003A64C9">
            <w:pPr>
              <w:pStyle w:val="Tablehead"/>
              <w:rPr>
                <w:szCs w:val="22"/>
                <w:lang w:eastAsia="zh-CN"/>
              </w:rPr>
            </w:pPr>
            <w:r w:rsidRPr="000C156A">
              <w:rPr>
                <w:rFonts w:hint="eastAsia"/>
                <w:szCs w:val="22"/>
                <w:lang w:eastAsia="zh-CN"/>
              </w:rPr>
              <w:t>至其他组织</w:t>
            </w:r>
          </w:p>
        </w:tc>
        <w:tc>
          <w:tcPr>
            <w:tcW w:w="884" w:type="pct"/>
            <w:tcBorders>
              <w:top w:val="nil"/>
              <w:left w:val="single" w:sz="6" w:space="0" w:color="auto"/>
              <w:bottom w:val="single" w:sz="6" w:space="0" w:color="auto"/>
              <w:right w:val="single" w:sz="6" w:space="0" w:color="auto"/>
            </w:tcBorders>
            <w:hideMark/>
          </w:tcPr>
          <w:p w14:paraId="69BCD1EC" w14:textId="77777777" w:rsidR="0085433F" w:rsidRPr="000C156A" w:rsidRDefault="0085433F" w:rsidP="003A64C9">
            <w:pPr>
              <w:pStyle w:val="Tablehead"/>
              <w:rPr>
                <w:szCs w:val="22"/>
                <w:lang w:eastAsia="zh-CN"/>
              </w:rPr>
            </w:pPr>
            <w:r w:rsidRPr="000C156A">
              <w:rPr>
                <w:rFonts w:hint="eastAsia"/>
                <w:szCs w:val="22"/>
                <w:lang w:eastAsia="zh-CN"/>
              </w:rPr>
              <w:t>服务结束</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BCE3164" w14:textId="77777777" w:rsidR="0085433F" w:rsidRPr="000C156A" w:rsidRDefault="0085433F" w:rsidP="003A64C9">
            <w:pPr>
              <w:overflowPunct/>
              <w:adjustRightInd/>
              <w:spacing w:before="0"/>
              <w:rPr>
                <w:b/>
                <w:sz w:val="22"/>
                <w:szCs w:val="22"/>
                <w:lang w:eastAsia="zh-CN"/>
              </w:rPr>
            </w:pPr>
          </w:p>
        </w:tc>
      </w:tr>
      <w:tr w:rsidR="007C26E9" w:rsidRPr="000C156A" w14:paraId="0C55D327" w14:textId="77777777" w:rsidTr="003A64C9">
        <w:trPr>
          <w:cantSplit/>
          <w:trHeight w:val="238"/>
          <w:jc w:val="center"/>
        </w:trPr>
        <w:tc>
          <w:tcPr>
            <w:tcW w:w="873" w:type="pct"/>
            <w:tcBorders>
              <w:top w:val="single" w:sz="6" w:space="0" w:color="auto"/>
              <w:left w:val="single" w:sz="6" w:space="0" w:color="auto"/>
              <w:bottom w:val="single" w:sz="6" w:space="0" w:color="auto"/>
              <w:right w:val="single" w:sz="6" w:space="0" w:color="auto"/>
            </w:tcBorders>
            <w:vAlign w:val="center"/>
            <w:hideMark/>
          </w:tcPr>
          <w:p w14:paraId="1D658699" w14:textId="1A42448D" w:rsidR="007C26E9" w:rsidRPr="000C156A" w:rsidRDefault="007C26E9" w:rsidP="007C26E9">
            <w:pPr>
              <w:pStyle w:val="TableText0"/>
              <w:jc w:val="center"/>
              <w:rPr>
                <w:rFonts w:ascii="Calibri" w:hAnsi="Calibri"/>
                <w:szCs w:val="22"/>
                <w:lang w:val="en-US"/>
              </w:rPr>
            </w:pPr>
            <w:r>
              <w:rPr>
                <w:rFonts w:ascii="Calibri" w:hAnsi="Calibri"/>
                <w:szCs w:val="22"/>
                <w:lang w:val="en-US"/>
              </w:rPr>
              <w:t>727</w:t>
            </w:r>
          </w:p>
        </w:tc>
        <w:tc>
          <w:tcPr>
            <w:tcW w:w="789" w:type="pct"/>
            <w:tcBorders>
              <w:top w:val="single" w:sz="6" w:space="0" w:color="auto"/>
              <w:left w:val="single" w:sz="6" w:space="0" w:color="auto"/>
              <w:bottom w:val="single" w:sz="6" w:space="0" w:color="auto"/>
              <w:right w:val="single" w:sz="6" w:space="0" w:color="auto"/>
            </w:tcBorders>
            <w:vAlign w:val="center"/>
            <w:hideMark/>
          </w:tcPr>
          <w:p w14:paraId="5AE95D25" w14:textId="44BA2EF4" w:rsidR="007C26E9" w:rsidRPr="000C156A" w:rsidRDefault="007C26E9" w:rsidP="007C26E9">
            <w:pPr>
              <w:pStyle w:val="TableText0"/>
              <w:jc w:val="center"/>
              <w:rPr>
                <w:rFonts w:ascii="Calibri" w:hAnsi="Calibri"/>
                <w:szCs w:val="22"/>
                <w:lang w:val="en-US"/>
              </w:rPr>
            </w:pPr>
            <w:r>
              <w:rPr>
                <w:rFonts w:ascii="Calibri" w:hAnsi="Calibri"/>
                <w:szCs w:val="22"/>
                <w:lang w:val="en-US"/>
              </w:rPr>
              <w:t>64</w:t>
            </w:r>
          </w:p>
        </w:tc>
        <w:tc>
          <w:tcPr>
            <w:tcW w:w="789" w:type="pct"/>
            <w:tcBorders>
              <w:top w:val="single" w:sz="6" w:space="0" w:color="auto"/>
              <w:left w:val="single" w:sz="6" w:space="0" w:color="auto"/>
              <w:bottom w:val="single" w:sz="6" w:space="0" w:color="auto"/>
              <w:right w:val="single" w:sz="6" w:space="0" w:color="auto"/>
            </w:tcBorders>
            <w:vAlign w:val="center"/>
            <w:hideMark/>
          </w:tcPr>
          <w:p w14:paraId="45A73A32" w14:textId="0F90CDBC" w:rsidR="007C26E9" w:rsidRPr="000C156A" w:rsidRDefault="007C26E9" w:rsidP="007C26E9">
            <w:pPr>
              <w:pStyle w:val="TableText0"/>
              <w:jc w:val="center"/>
              <w:rPr>
                <w:rFonts w:ascii="Calibri" w:hAnsi="Calibri"/>
                <w:szCs w:val="22"/>
                <w:lang w:val="en-US"/>
              </w:rPr>
            </w:pPr>
            <w:r>
              <w:rPr>
                <w:rFonts w:ascii="Calibri" w:hAnsi="Calibri"/>
                <w:szCs w:val="22"/>
                <w:lang w:val="en-US"/>
              </w:rPr>
              <w:t>2</w:t>
            </w:r>
          </w:p>
        </w:tc>
        <w:tc>
          <w:tcPr>
            <w:tcW w:w="792" w:type="pct"/>
            <w:tcBorders>
              <w:top w:val="single" w:sz="6" w:space="0" w:color="auto"/>
              <w:left w:val="single" w:sz="6" w:space="0" w:color="auto"/>
              <w:bottom w:val="single" w:sz="6" w:space="0" w:color="auto"/>
              <w:right w:val="single" w:sz="6" w:space="0" w:color="auto"/>
            </w:tcBorders>
            <w:vAlign w:val="center"/>
            <w:hideMark/>
          </w:tcPr>
          <w:p w14:paraId="3B705D44" w14:textId="20241334" w:rsidR="007C26E9" w:rsidRPr="000C156A" w:rsidRDefault="007C26E9" w:rsidP="007C26E9">
            <w:pPr>
              <w:pStyle w:val="TableText0"/>
              <w:jc w:val="center"/>
              <w:rPr>
                <w:rFonts w:ascii="Calibri" w:hAnsi="Calibri"/>
                <w:szCs w:val="22"/>
                <w:lang w:val="en-US"/>
              </w:rPr>
            </w:pPr>
            <w:r>
              <w:rPr>
                <w:rFonts w:ascii="Calibri" w:hAnsi="Calibri"/>
                <w:szCs w:val="22"/>
                <w:lang w:val="en-US"/>
              </w:rPr>
              <w:t>1</w:t>
            </w:r>
          </w:p>
        </w:tc>
        <w:tc>
          <w:tcPr>
            <w:tcW w:w="884" w:type="pct"/>
            <w:tcBorders>
              <w:top w:val="single" w:sz="6" w:space="0" w:color="auto"/>
              <w:left w:val="single" w:sz="6" w:space="0" w:color="auto"/>
              <w:bottom w:val="single" w:sz="6" w:space="0" w:color="auto"/>
              <w:right w:val="single" w:sz="6" w:space="0" w:color="auto"/>
            </w:tcBorders>
            <w:vAlign w:val="center"/>
            <w:hideMark/>
          </w:tcPr>
          <w:p w14:paraId="60B6D005" w14:textId="09FBFD68" w:rsidR="007C26E9" w:rsidRPr="000C156A" w:rsidRDefault="007C26E9" w:rsidP="007C26E9">
            <w:pPr>
              <w:pStyle w:val="TableText0"/>
              <w:jc w:val="center"/>
              <w:rPr>
                <w:rFonts w:ascii="Calibri" w:hAnsi="Calibri"/>
                <w:szCs w:val="22"/>
                <w:lang w:val="en-US"/>
              </w:rPr>
            </w:pPr>
            <w:r>
              <w:rPr>
                <w:rFonts w:ascii="Calibri" w:hAnsi="Calibri"/>
                <w:szCs w:val="22"/>
                <w:lang w:val="en-US"/>
              </w:rPr>
              <w:t>46</w:t>
            </w:r>
          </w:p>
        </w:tc>
        <w:tc>
          <w:tcPr>
            <w:tcW w:w="873" w:type="pct"/>
            <w:tcBorders>
              <w:top w:val="single" w:sz="6" w:space="0" w:color="auto"/>
              <w:left w:val="single" w:sz="6" w:space="0" w:color="auto"/>
              <w:bottom w:val="single" w:sz="6" w:space="0" w:color="auto"/>
              <w:right w:val="single" w:sz="6" w:space="0" w:color="auto"/>
            </w:tcBorders>
            <w:vAlign w:val="center"/>
            <w:hideMark/>
          </w:tcPr>
          <w:p w14:paraId="6057333F" w14:textId="4C12116C" w:rsidR="007C26E9" w:rsidRPr="000C156A" w:rsidRDefault="007C26E9" w:rsidP="007C26E9">
            <w:pPr>
              <w:pStyle w:val="TableText0"/>
              <w:jc w:val="center"/>
              <w:rPr>
                <w:rFonts w:ascii="Calibri" w:hAnsi="Calibri"/>
                <w:szCs w:val="22"/>
                <w:lang w:val="en-US"/>
              </w:rPr>
            </w:pPr>
            <w:r>
              <w:rPr>
                <w:rFonts w:ascii="Calibri" w:hAnsi="Calibri"/>
                <w:szCs w:val="22"/>
                <w:lang w:val="en-US"/>
              </w:rPr>
              <w:t>745</w:t>
            </w:r>
          </w:p>
        </w:tc>
      </w:tr>
    </w:tbl>
    <w:p w14:paraId="53923BC9" w14:textId="77777777" w:rsidR="0085433F" w:rsidRPr="000C156A" w:rsidRDefault="0085433F" w:rsidP="0085433F">
      <w:pPr>
        <w:pStyle w:val="TableTitle0"/>
        <w:spacing w:before="240" w:after="240"/>
        <w:rPr>
          <w:rFonts w:ascii="SimSun" w:hAnsi="SimSun" w:cs="SimSun"/>
          <w:lang w:val="en-GB" w:eastAsia="zh-CN"/>
        </w:rPr>
      </w:pPr>
      <w:r w:rsidRPr="000C156A">
        <w:rPr>
          <w:lang w:val="en-GB" w:eastAsia="zh-CN"/>
        </w:rPr>
        <w:t>2020</w:t>
      </w:r>
      <w:r w:rsidRPr="000C156A">
        <w:rPr>
          <w:rFonts w:ascii="SimSun" w:hAnsi="SimSun" w:cs="SimSun" w:hint="eastAsia"/>
          <w:lang w:eastAsia="zh-CN"/>
        </w:rPr>
        <w:t>年</w:t>
      </w:r>
      <w:r w:rsidRPr="000C156A">
        <w:rPr>
          <w:lang w:val="en-GB" w:eastAsia="zh-CN"/>
        </w:rPr>
        <w:t>12</w:t>
      </w:r>
      <w:r w:rsidRPr="000C156A">
        <w:rPr>
          <w:rFonts w:ascii="SimSun" w:hAnsi="SimSun" w:cs="SimSun" w:hint="eastAsia"/>
          <w:lang w:eastAsia="zh-CN"/>
        </w:rPr>
        <w:t>月</w:t>
      </w:r>
      <w:r w:rsidRPr="000C156A">
        <w:rPr>
          <w:lang w:val="en-GB" w:eastAsia="zh-CN"/>
        </w:rPr>
        <w:t>31</w:t>
      </w:r>
      <w:r w:rsidRPr="000C156A">
        <w:rPr>
          <w:rFonts w:ascii="SimSun" w:hAnsi="SimSun" w:cs="SimSun" w:hint="eastAsia"/>
          <w:lang w:eastAsia="zh-CN"/>
        </w:rPr>
        <w:t>日结束的财年支付的福利</w:t>
      </w:r>
    </w:p>
    <w:tbl>
      <w:tblPr>
        <w:tblW w:w="4972" w:type="pct"/>
        <w:jc w:val="center"/>
        <w:tblCellMar>
          <w:left w:w="79" w:type="dxa"/>
          <w:right w:w="79" w:type="dxa"/>
        </w:tblCellMar>
        <w:tblLook w:val="04A0" w:firstRow="1" w:lastRow="0" w:firstColumn="1" w:lastColumn="0" w:noHBand="0" w:noVBand="1"/>
      </w:tblPr>
      <w:tblGrid>
        <w:gridCol w:w="1417"/>
        <w:gridCol w:w="1417"/>
        <w:gridCol w:w="1416"/>
        <w:gridCol w:w="1416"/>
        <w:gridCol w:w="1416"/>
        <w:gridCol w:w="1343"/>
        <w:gridCol w:w="1144"/>
      </w:tblGrid>
      <w:tr w:rsidR="0085433F" w:rsidRPr="000C156A" w14:paraId="5E2608C8" w14:textId="77777777" w:rsidTr="003A64C9">
        <w:trPr>
          <w:cantSplit/>
          <w:trHeight w:val="506"/>
          <w:jc w:val="center"/>
        </w:trPr>
        <w:tc>
          <w:tcPr>
            <w:tcW w:w="740" w:type="pct"/>
            <w:vMerge w:val="restart"/>
            <w:tcBorders>
              <w:top w:val="single" w:sz="6" w:space="0" w:color="auto"/>
              <w:left w:val="single" w:sz="6" w:space="0" w:color="auto"/>
              <w:bottom w:val="single" w:sz="6" w:space="0" w:color="auto"/>
              <w:right w:val="single" w:sz="6" w:space="0" w:color="auto"/>
            </w:tcBorders>
            <w:vAlign w:val="center"/>
            <w:hideMark/>
          </w:tcPr>
          <w:p w14:paraId="2C0C65D6" w14:textId="77777777" w:rsidR="0085433F" w:rsidRPr="000C156A" w:rsidRDefault="0085433F" w:rsidP="003A64C9">
            <w:pPr>
              <w:pStyle w:val="Tablehead"/>
              <w:rPr>
                <w:szCs w:val="22"/>
                <w:lang w:eastAsia="zh-CN"/>
              </w:rPr>
            </w:pPr>
            <w:r w:rsidRPr="000C156A">
              <w:rPr>
                <w:rFonts w:hint="eastAsia"/>
                <w:szCs w:val="22"/>
                <w:lang w:eastAsia="zh-CN"/>
              </w:rPr>
              <w:t>退休金</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14:paraId="72AB9815" w14:textId="77777777" w:rsidR="0085433F" w:rsidRPr="000C156A" w:rsidRDefault="0085433F" w:rsidP="003A64C9">
            <w:pPr>
              <w:pStyle w:val="Tablehead"/>
              <w:rPr>
                <w:szCs w:val="22"/>
                <w:lang w:eastAsia="zh-CN"/>
              </w:rPr>
            </w:pPr>
            <w:r w:rsidRPr="000C156A">
              <w:rPr>
                <w:rFonts w:hint="eastAsia"/>
                <w:szCs w:val="22"/>
                <w:lang w:eastAsia="zh-CN"/>
              </w:rPr>
              <w:t>残疾津贴</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14:paraId="3BF65990" w14:textId="77777777" w:rsidR="0085433F" w:rsidRPr="000C156A" w:rsidRDefault="0085433F" w:rsidP="003A64C9">
            <w:pPr>
              <w:pStyle w:val="Tablehead"/>
              <w:rPr>
                <w:szCs w:val="22"/>
                <w:lang w:eastAsia="zh-CN"/>
              </w:rPr>
            </w:pPr>
            <w:r w:rsidRPr="000C156A">
              <w:rPr>
                <w:rFonts w:hint="eastAsia"/>
                <w:szCs w:val="22"/>
                <w:lang w:eastAsia="zh-CN"/>
              </w:rPr>
              <w:t>遗属福利</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14:paraId="74D6AD92" w14:textId="77777777" w:rsidR="0085433F" w:rsidRPr="000C156A" w:rsidRDefault="0085433F" w:rsidP="003A64C9">
            <w:pPr>
              <w:pStyle w:val="Tablehead"/>
              <w:rPr>
                <w:szCs w:val="22"/>
                <w:lang w:eastAsia="zh-CN"/>
              </w:rPr>
            </w:pPr>
            <w:r w:rsidRPr="000C156A">
              <w:rPr>
                <w:rFonts w:hint="eastAsia"/>
                <w:szCs w:val="22"/>
                <w:lang w:eastAsia="zh-CN"/>
              </w:rPr>
              <w:t>子女津贴</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14:paraId="6ACDA615" w14:textId="77777777" w:rsidR="0085433F" w:rsidRPr="000C156A" w:rsidRDefault="0085433F" w:rsidP="003A64C9">
            <w:pPr>
              <w:pStyle w:val="Tablehead"/>
              <w:rPr>
                <w:szCs w:val="22"/>
                <w:lang w:eastAsia="zh-CN"/>
              </w:rPr>
            </w:pPr>
            <w:r w:rsidRPr="000C156A">
              <w:rPr>
                <w:rFonts w:hint="eastAsia"/>
                <w:szCs w:val="22"/>
                <w:lang w:eastAsia="zh-CN"/>
              </w:rPr>
              <w:t>其它福利</w:t>
            </w:r>
          </w:p>
        </w:tc>
        <w:tc>
          <w:tcPr>
            <w:tcW w:w="1300" w:type="pct"/>
            <w:gridSpan w:val="2"/>
            <w:tcBorders>
              <w:top w:val="single" w:sz="6" w:space="0" w:color="auto"/>
              <w:left w:val="single" w:sz="6" w:space="0" w:color="auto"/>
              <w:bottom w:val="single" w:sz="6" w:space="0" w:color="auto"/>
              <w:right w:val="single" w:sz="6" w:space="0" w:color="auto"/>
            </w:tcBorders>
          </w:tcPr>
          <w:p w14:paraId="6E697122" w14:textId="77777777" w:rsidR="0085433F" w:rsidRPr="000C156A" w:rsidRDefault="0085433F" w:rsidP="003A64C9">
            <w:pPr>
              <w:pStyle w:val="Tablehead"/>
              <w:rPr>
                <w:bCs/>
                <w:szCs w:val="22"/>
                <w:lang w:eastAsia="zh-CN"/>
              </w:rPr>
            </w:pPr>
          </w:p>
        </w:tc>
      </w:tr>
      <w:tr w:rsidR="0085433F" w:rsidRPr="000C156A" w14:paraId="6499B319" w14:textId="77777777" w:rsidTr="003A64C9">
        <w:trPr>
          <w:cantSplit/>
          <w:trHeight w:val="1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42BBBFE" w14:textId="77777777" w:rsidR="0085433F" w:rsidRPr="000C156A" w:rsidRDefault="0085433F" w:rsidP="003A64C9">
            <w:pPr>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D7E939" w14:textId="77777777" w:rsidR="0085433F" w:rsidRPr="000C156A" w:rsidRDefault="0085433F" w:rsidP="003A64C9">
            <w:pPr>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1B038E" w14:textId="77777777" w:rsidR="0085433F" w:rsidRPr="000C156A" w:rsidRDefault="0085433F" w:rsidP="003A64C9">
            <w:pPr>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1641BE1" w14:textId="77777777" w:rsidR="0085433F" w:rsidRPr="000C156A" w:rsidRDefault="0085433F" w:rsidP="003A64C9">
            <w:pPr>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8E508A" w14:textId="77777777" w:rsidR="0085433F" w:rsidRPr="000C156A" w:rsidRDefault="0085433F" w:rsidP="003A64C9">
            <w:pPr>
              <w:overflowPunct/>
              <w:adjustRightInd/>
              <w:spacing w:before="0"/>
              <w:rPr>
                <w:b/>
                <w:sz w:val="22"/>
                <w:szCs w:val="22"/>
                <w:lang w:eastAsia="zh-CN"/>
              </w:rPr>
            </w:pPr>
          </w:p>
        </w:tc>
        <w:tc>
          <w:tcPr>
            <w:tcW w:w="702" w:type="pct"/>
            <w:tcBorders>
              <w:top w:val="single" w:sz="6" w:space="0" w:color="auto"/>
              <w:left w:val="single" w:sz="6" w:space="0" w:color="auto"/>
              <w:bottom w:val="single" w:sz="6" w:space="0" w:color="auto"/>
              <w:right w:val="single" w:sz="6" w:space="0" w:color="auto"/>
            </w:tcBorders>
            <w:hideMark/>
          </w:tcPr>
          <w:p w14:paraId="36B4BB1D" w14:textId="77777777" w:rsidR="0085433F" w:rsidRPr="000C156A" w:rsidRDefault="0085433F" w:rsidP="003A64C9">
            <w:pPr>
              <w:pStyle w:val="Tablehead"/>
              <w:rPr>
                <w:szCs w:val="22"/>
                <w:lang w:eastAsia="zh-CN"/>
              </w:rPr>
            </w:pPr>
            <w:r w:rsidRPr="000C156A">
              <w:rPr>
                <w:rFonts w:hint="eastAsia"/>
                <w:szCs w:val="22"/>
                <w:lang w:eastAsia="zh-CN"/>
              </w:rPr>
              <w:t>递延年金</w:t>
            </w:r>
          </w:p>
        </w:tc>
        <w:tc>
          <w:tcPr>
            <w:tcW w:w="598" w:type="pct"/>
            <w:tcBorders>
              <w:top w:val="single" w:sz="6" w:space="0" w:color="auto"/>
              <w:left w:val="single" w:sz="6" w:space="0" w:color="auto"/>
              <w:bottom w:val="single" w:sz="6" w:space="0" w:color="auto"/>
              <w:right w:val="single" w:sz="6" w:space="0" w:color="auto"/>
            </w:tcBorders>
            <w:hideMark/>
          </w:tcPr>
          <w:p w14:paraId="4E7B2079" w14:textId="77777777" w:rsidR="0085433F" w:rsidRPr="000C156A" w:rsidRDefault="0085433F" w:rsidP="003A64C9">
            <w:pPr>
              <w:pStyle w:val="Tablehead"/>
              <w:rPr>
                <w:szCs w:val="22"/>
                <w:lang w:eastAsia="zh-CN"/>
              </w:rPr>
            </w:pPr>
            <w:r w:rsidRPr="000C156A">
              <w:rPr>
                <w:rFonts w:hint="eastAsia"/>
                <w:szCs w:val="22"/>
                <w:lang w:eastAsia="zh-CN"/>
              </w:rPr>
              <w:t>合计</w:t>
            </w:r>
          </w:p>
        </w:tc>
      </w:tr>
      <w:tr w:rsidR="007C26E9" w:rsidRPr="000C156A" w14:paraId="4B84C216" w14:textId="77777777" w:rsidTr="003A64C9">
        <w:trPr>
          <w:cantSplit/>
          <w:trHeight w:val="332"/>
          <w:jc w:val="center"/>
        </w:trPr>
        <w:tc>
          <w:tcPr>
            <w:tcW w:w="740" w:type="pct"/>
            <w:tcBorders>
              <w:top w:val="single" w:sz="6" w:space="0" w:color="auto"/>
              <w:left w:val="single" w:sz="6" w:space="0" w:color="auto"/>
              <w:bottom w:val="single" w:sz="6" w:space="0" w:color="auto"/>
              <w:right w:val="single" w:sz="6" w:space="0" w:color="auto"/>
            </w:tcBorders>
            <w:vAlign w:val="center"/>
            <w:hideMark/>
          </w:tcPr>
          <w:p w14:paraId="7778AA8F" w14:textId="77FBF93B" w:rsidR="007C26E9" w:rsidRPr="000C156A" w:rsidRDefault="007C26E9" w:rsidP="007C26E9">
            <w:pPr>
              <w:pStyle w:val="TableText0"/>
              <w:jc w:val="center"/>
              <w:rPr>
                <w:rFonts w:ascii="Calibri" w:hAnsi="Calibri"/>
                <w:szCs w:val="22"/>
                <w:lang w:val="en-US"/>
              </w:rPr>
            </w:pPr>
            <w:r>
              <w:rPr>
                <w:rFonts w:ascii="Calibri" w:hAnsi="Calibri"/>
                <w:szCs w:val="22"/>
                <w:lang w:val="en-US"/>
              </w:rPr>
              <w:t>809</w:t>
            </w:r>
          </w:p>
        </w:tc>
        <w:tc>
          <w:tcPr>
            <w:tcW w:w="740" w:type="pct"/>
            <w:tcBorders>
              <w:top w:val="single" w:sz="6" w:space="0" w:color="auto"/>
              <w:left w:val="single" w:sz="6" w:space="0" w:color="auto"/>
              <w:bottom w:val="single" w:sz="6" w:space="0" w:color="auto"/>
              <w:right w:val="single" w:sz="6" w:space="0" w:color="auto"/>
            </w:tcBorders>
            <w:vAlign w:val="center"/>
            <w:hideMark/>
          </w:tcPr>
          <w:p w14:paraId="6B34200A" w14:textId="30C6F0B1" w:rsidR="007C26E9" w:rsidRPr="000C156A" w:rsidRDefault="007C26E9" w:rsidP="007C26E9">
            <w:pPr>
              <w:pStyle w:val="TableText0"/>
              <w:jc w:val="center"/>
              <w:rPr>
                <w:rFonts w:ascii="Calibri" w:hAnsi="Calibri"/>
                <w:szCs w:val="22"/>
                <w:lang w:val="en-US"/>
              </w:rPr>
            </w:pPr>
            <w:r>
              <w:rPr>
                <w:rFonts w:ascii="Calibri" w:hAnsi="Calibri"/>
                <w:szCs w:val="22"/>
                <w:lang w:val="en-US"/>
              </w:rPr>
              <w:t>42</w:t>
            </w:r>
          </w:p>
        </w:tc>
        <w:tc>
          <w:tcPr>
            <w:tcW w:w="740" w:type="pct"/>
            <w:tcBorders>
              <w:top w:val="single" w:sz="6" w:space="0" w:color="auto"/>
              <w:left w:val="single" w:sz="6" w:space="0" w:color="auto"/>
              <w:bottom w:val="single" w:sz="6" w:space="0" w:color="auto"/>
              <w:right w:val="single" w:sz="6" w:space="0" w:color="auto"/>
            </w:tcBorders>
            <w:vAlign w:val="center"/>
            <w:hideMark/>
          </w:tcPr>
          <w:p w14:paraId="49BE15A5" w14:textId="0781DA9D" w:rsidR="007C26E9" w:rsidRPr="000C156A" w:rsidRDefault="007C26E9" w:rsidP="007C26E9">
            <w:pPr>
              <w:pStyle w:val="TableText0"/>
              <w:jc w:val="center"/>
              <w:rPr>
                <w:rFonts w:ascii="Calibri" w:hAnsi="Calibri"/>
                <w:szCs w:val="22"/>
                <w:lang w:val="en-US"/>
              </w:rPr>
            </w:pPr>
            <w:r>
              <w:rPr>
                <w:rFonts w:ascii="Calibri" w:hAnsi="Calibri"/>
                <w:szCs w:val="22"/>
                <w:lang w:val="en-US"/>
              </w:rPr>
              <w:t>196</w:t>
            </w:r>
          </w:p>
        </w:tc>
        <w:tc>
          <w:tcPr>
            <w:tcW w:w="740" w:type="pct"/>
            <w:tcBorders>
              <w:top w:val="single" w:sz="6" w:space="0" w:color="auto"/>
              <w:left w:val="single" w:sz="6" w:space="0" w:color="auto"/>
              <w:bottom w:val="single" w:sz="6" w:space="0" w:color="auto"/>
              <w:right w:val="single" w:sz="6" w:space="0" w:color="auto"/>
            </w:tcBorders>
            <w:vAlign w:val="center"/>
            <w:hideMark/>
          </w:tcPr>
          <w:p w14:paraId="1C513814" w14:textId="412A8AFF" w:rsidR="007C26E9" w:rsidRPr="000C156A" w:rsidRDefault="007C26E9" w:rsidP="007C26E9">
            <w:pPr>
              <w:pStyle w:val="TableText0"/>
              <w:jc w:val="center"/>
              <w:rPr>
                <w:rFonts w:ascii="Calibri" w:hAnsi="Calibri"/>
                <w:szCs w:val="22"/>
                <w:lang w:val="en-US"/>
              </w:rPr>
            </w:pPr>
            <w:r>
              <w:rPr>
                <w:rFonts w:ascii="Calibri" w:hAnsi="Calibri"/>
                <w:szCs w:val="22"/>
                <w:lang w:val="en-US"/>
              </w:rPr>
              <w:t>72</w:t>
            </w:r>
          </w:p>
        </w:tc>
        <w:tc>
          <w:tcPr>
            <w:tcW w:w="740" w:type="pct"/>
            <w:tcBorders>
              <w:top w:val="single" w:sz="6" w:space="0" w:color="auto"/>
              <w:left w:val="single" w:sz="6" w:space="0" w:color="auto"/>
              <w:bottom w:val="single" w:sz="6" w:space="0" w:color="auto"/>
              <w:right w:val="single" w:sz="6" w:space="0" w:color="auto"/>
            </w:tcBorders>
            <w:vAlign w:val="center"/>
            <w:hideMark/>
          </w:tcPr>
          <w:p w14:paraId="72E128A3" w14:textId="162108DA" w:rsidR="007C26E9" w:rsidRPr="000C156A" w:rsidRDefault="007C26E9" w:rsidP="007C26E9">
            <w:pPr>
              <w:pStyle w:val="TableText0"/>
              <w:jc w:val="center"/>
              <w:rPr>
                <w:rFonts w:ascii="Calibri" w:hAnsi="Calibri"/>
                <w:szCs w:val="22"/>
                <w:lang w:val="en-US"/>
              </w:rPr>
            </w:pPr>
            <w:r w:rsidRPr="008B436A">
              <w:rPr>
                <w:rFonts w:ascii="Calibri" w:hAnsi="Calibri"/>
                <w:szCs w:val="22"/>
                <w:lang w:val="en-US"/>
              </w:rPr>
              <w:t>0</w:t>
            </w:r>
          </w:p>
        </w:tc>
        <w:tc>
          <w:tcPr>
            <w:tcW w:w="702" w:type="pct"/>
            <w:tcBorders>
              <w:top w:val="single" w:sz="6" w:space="0" w:color="auto"/>
              <w:left w:val="single" w:sz="6" w:space="0" w:color="auto"/>
              <w:bottom w:val="single" w:sz="6" w:space="0" w:color="auto"/>
              <w:right w:val="single" w:sz="6" w:space="0" w:color="auto"/>
            </w:tcBorders>
            <w:vAlign w:val="center"/>
            <w:hideMark/>
          </w:tcPr>
          <w:p w14:paraId="42E0D918" w14:textId="74E53E31" w:rsidR="007C26E9" w:rsidRPr="000C156A" w:rsidRDefault="007C26E9" w:rsidP="007C26E9">
            <w:pPr>
              <w:pStyle w:val="TableText0"/>
              <w:jc w:val="center"/>
              <w:rPr>
                <w:rFonts w:ascii="Calibri" w:hAnsi="Calibri"/>
                <w:szCs w:val="22"/>
                <w:lang w:val="en-US"/>
              </w:rPr>
            </w:pPr>
            <w:r>
              <w:rPr>
                <w:rFonts w:ascii="Calibri" w:hAnsi="Calibri"/>
                <w:szCs w:val="22"/>
                <w:lang w:val="en-US"/>
              </w:rPr>
              <w:t>101</w:t>
            </w:r>
          </w:p>
        </w:tc>
        <w:tc>
          <w:tcPr>
            <w:tcW w:w="598" w:type="pct"/>
            <w:tcBorders>
              <w:top w:val="single" w:sz="6" w:space="0" w:color="auto"/>
              <w:left w:val="single" w:sz="6" w:space="0" w:color="auto"/>
              <w:bottom w:val="single" w:sz="6" w:space="0" w:color="auto"/>
              <w:right w:val="single" w:sz="6" w:space="0" w:color="auto"/>
            </w:tcBorders>
            <w:vAlign w:val="center"/>
            <w:hideMark/>
          </w:tcPr>
          <w:p w14:paraId="46F54C81" w14:textId="3E16CBC4" w:rsidR="007C26E9" w:rsidRPr="000C156A" w:rsidRDefault="007C26E9" w:rsidP="007C26E9">
            <w:pPr>
              <w:pStyle w:val="TableText0"/>
              <w:jc w:val="center"/>
              <w:rPr>
                <w:rFonts w:ascii="Calibri" w:hAnsi="Calibri"/>
                <w:szCs w:val="22"/>
                <w:lang w:val="en-US"/>
              </w:rPr>
            </w:pPr>
            <w:r>
              <w:rPr>
                <w:rFonts w:ascii="Calibri" w:hAnsi="Calibri"/>
                <w:szCs w:val="22"/>
                <w:lang w:val="en-US"/>
              </w:rPr>
              <w:t>1220</w:t>
            </w:r>
          </w:p>
        </w:tc>
      </w:tr>
    </w:tbl>
    <w:p w14:paraId="3F169BEF" w14:textId="4480481C" w:rsidR="0085433F" w:rsidRPr="000C156A" w:rsidRDefault="0085433F" w:rsidP="0085433F">
      <w:pPr>
        <w:pStyle w:val="TableTitle0"/>
        <w:spacing w:before="240"/>
        <w:rPr>
          <w:b w:val="0"/>
          <w:bCs/>
          <w:sz w:val="20"/>
          <w:lang w:val="en-GB" w:eastAsia="zh-CN"/>
        </w:rPr>
      </w:pPr>
      <w:r w:rsidRPr="000C156A">
        <w:rPr>
          <w:lang w:val="en-GB" w:eastAsia="zh-CN"/>
        </w:rPr>
        <w:t>202</w:t>
      </w:r>
      <w:r w:rsidR="007C26E9">
        <w:rPr>
          <w:lang w:val="en-GB" w:eastAsia="zh-CN"/>
        </w:rPr>
        <w:t>1</w:t>
      </w:r>
      <w:r w:rsidRPr="000C156A">
        <w:rPr>
          <w:rFonts w:ascii="SimSun" w:hAnsi="SimSun" w:cs="SimSun" w:hint="eastAsia"/>
          <w:lang w:eastAsia="zh-CN"/>
        </w:rPr>
        <w:t>年</w:t>
      </w:r>
      <w:r w:rsidRPr="000C156A">
        <w:rPr>
          <w:lang w:val="en-GB" w:eastAsia="zh-CN"/>
        </w:rPr>
        <w:t>1</w:t>
      </w:r>
      <w:r w:rsidRPr="000C156A">
        <w:rPr>
          <w:rFonts w:ascii="SimSun" w:hAnsi="SimSun" w:cs="SimSun" w:hint="eastAsia"/>
          <w:lang w:eastAsia="zh-CN"/>
        </w:rPr>
        <w:t>月</w:t>
      </w:r>
      <w:r w:rsidRPr="000C156A">
        <w:rPr>
          <w:lang w:val="en-GB" w:eastAsia="zh-CN"/>
        </w:rPr>
        <w:t>1</w:t>
      </w:r>
      <w:r w:rsidRPr="000C156A">
        <w:rPr>
          <w:rFonts w:ascii="SimSun" w:hAnsi="SimSun" w:cs="SimSun" w:hint="eastAsia"/>
          <w:lang w:eastAsia="zh-CN"/>
        </w:rPr>
        <w:t>日至</w:t>
      </w:r>
      <w:r w:rsidRPr="000C156A">
        <w:rPr>
          <w:lang w:val="en-GB" w:eastAsia="zh-CN"/>
        </w:rPr>
        <w:t>12</w:t>
      </w:r>
      <w:r w:rsidRPr="000C156A">
        <w:rPr>
          <w:rFonts w:ascii="SimSun" w:hAnsi="SimSun" w:cs="SimSun" w:hint="eastAsia"/>
          <w:lang w:eastAsia="zh-CN"/>
        </w:rPr>
        <w:t>月</w:t>
      </w:r>
      <w:r w:rsidRPr="000C156A">
        <w:rPr>
          <w:lang w:val="en-GB" w:eastAsia="zh-CN"/>
        </w:rPr>
        <w:t>31</w:t>
      </w:r>
      <w:r w:rsidRPr="000C156A">
        <w:rPr>
          <w:rFonts w:ascii="SimSun" w:hAnsi="SimSun" w:cs="SimSun" w:hint="eastAsia"/>
          <w:lang w:eastAsia="zh-CN"/>
        </w:rPr>
        <w:t>日向该基金缴纳款项概述</w:t>
      </w:r>
      <w:r w:rsidRPr="000C156A">
        <w:rPr>
          <w:lang w:val="en-GB" w:eastAsia="zh-CN"/>
        </w:rPr>
        <w:br/>
        <w:t xml:space="preserve">– </w:t>
      </w:r>
      <w:r w:rsidRPr="000C156A">
        <w:rPr>
          <w:rFonts w:ascii="SimSun" w:hAnsi="SimSun" w:cs="SimSun" w:hint="eastAsia"/>
          <w:lang w:eastAsia="zh-CN"/>
        </w:rPr>
        <w:t>美元</w:t>
      </w:r>
      <w:r w:rsidRPr="000C156A">
        <w:rPr>
          <w:rFonts w:hint="eastAsia"/>
          <w:lang w:val="en-GB" w:eastAsia="zh-CN"/>
        </w:rPr>
        <w:t xml:space="preserve"> </w:t>
      </w:r>
      <w:r w:rsidRPr="000C156A">
        <w:rPr>
          <w:lang w:val="en-GB" w:eastAsia="zh-CN"/>
        </w:rPr>
        <w:t>–</w:t>
      </w: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2643"/>
        <w:gridCol w:w="1596"/>
        <w:gridCol w:w="1993"/>
        <w:gridCol w:w="1700"/>
        <w:gridCol w:w="1697"/>
      </w:tblGrid>
      <w:tr w:rsidR="0085433F" w:rsidRPr="000C156A" w14:paraId="7C57AC03" w14:textId="77777777" w:rsidTr="003A64C9">
        <w:trPr>
          <w:cantSplit/>
          <w:trHeight w:val="216"/>
          <w:jc w:val="center"/>
        </w:trPr>
        <w:tc>
          <w:tcPr>
            <w:tcW w:w="1372" w:type="pct"/>
            <w:vAlign w:val="center"/>
            <w:hideMark/>
          </w:tcPr>
          <w:p w14:paraId="616906C6" w14:textId="77777777" w:rsidR="0085433F" w:rsidRPr="000C156A" w:rsidRDefault="0085433F" w:rsidP="003A64C9">
            <w:pPr>
              <w:pStyle w:val="Tablehead"/>
              <w:rPr>
                <w:szCs w:val="22"/>
              </w:rPr>
            </w:pPr>
            <w:r w:rsidRPr="000C156A">
              <w:rPr>
                <w:rFonts w:hint="eastAsia"/>
                <w:szCs w:val="22"/>
              </w:rPr>
              <w:t>缴费性质</w:t>
            </w:r>
          </w:p>
        </w:tc>
        <w:tc>
          <w:tcPr>
            <w:tcW w:w="829" w:type="pct"/>
            <w:vAlign w:val="center"/>
            <w:hideMark/>
          </w:tcPr>
          <w:p w14:paraId="1535C9CD" w14:textId="77777777" w:rsidR="0085433F" w:rsidRPr="000C156A" w:rsidRDefault="0085433F" w:rsidP="003A64C9">
            <w:pPr>
              <w:pStyle w:val="Tablehead"/>
              <w:rPr>
                <w:szCs w:val="22"/>
              </w:rPr>
            </w:pPr>
            <w:r w:rsidRPr="000C156A">
              <w:rPr>
                <w:rFonts w:hint="eastAsia"/>
                <w:szCs w:val="22"/>
              </w:rPr>
              <w:t>正常缴费</w:t>
            </w:r>
          </w:p>
        </w:tc>
        <w:tc>
          <w:tcPr>
            <w:tcW w:w="1035" w:type="pct"/>
            <w:vAlign w:val="center"/>
            <w:hideMark/>
          </w:tcPr>
          <w:p w14:paraId="4B8B7837" w14:textId="0D548EEC" w:rsidR="0085433F" w:rsidRPr="000C156A" w:rsidRDefault="0085433F" w:rsidP="003A64C9">
            <w:pPr>
              <w:pStyle w:val="Tablehead"/>
              <w:rPr>
                <w:szCs w:val="22"/>
              </w:rPr>
            </w:pPr>
            <w:r w:rsidRPr="000C156A">
              <w:rPr>
                <w:rFonts w:hint="eastAsia"/>
                <w:szCs w:val="22"/>
              </w:rPr>
              <w:t>服务生效缴费</w:t>
            </w:r>
            <w:r w:rsidR="00357E27" w:rsidRPr="00357E27">
              <w:rPr>
                <w:rFonts w:cs="Calibri" w:hint="eastAsia"/>
                <w:bCs/>
                <w:szCs w:val="22"/>
                <w:lang w:eastAsia="en-GB"/>
              </w:rPr>
              <w:t>/</w:t>
            </w:r>
            <w:r w:rsidR="00357E27" w:rsidRPr="00357E27">
              <w:rPr>
                <w:rFonts w:cs="Calibri" w:hint="eastAsia"/>
                <w:bCs/>
                <w:szCs w:val="22"/>
                <w:lang w:eastAsia="en-GB"/>
              </w:rPr>
              <w:t>补偿</w:t>
            </w:r>
          </w:p>
        </w:tc>
        <w:tc>
          <w:tcPr>
            <w:tcW w:w="883" w:type="pct"/>
          </w:tcPr>
          <w:p w14:paraId="408FBF68" w14:textId="77777777" w:rsidR="0085433F" w:rsidRPr="000C156A" w:rsidRDefault="0085433F" w:rsidP="003A64C9">
            <w:pPr>
              <w:pStyle w:val="Tablehead"/>
              <w:rPr>
                <w:szCs w:val="22"/>
              </w:rPr>
            </w:pPr>
            <w:r w:rsidRPr="000C156A">
              <w:rPr>
                <w:rFonts w:hint="eastAsia"/>
                <w:szCs w:val="22"/>
                <w:lang w:eastAsia="zh-CN"/>
              </w:rPr>
              <w:t>自愿缴费</w:t>
            </w:r>
          </w:p>
        </w:tc>
        <w:tc>
          <w:tcPr>
            <w:tcW w:w="881" w:type="pct"/>
            <w:vAlign w:val="center"/>
            <w:hideMark/>
          </w:tcPr>
          <w:p w14:paraId="65AEC20F" w14:textId="77777777" w:rsidR="0085433F" w:rsidRPr="000C156A" w:rsidRDefault="0085433F" w:rsidP="003A64C9">
            <w:pPr>
              <w:pStyle w:val="Tablehead"/>
              <w:rPr>
                <w:szCs w:val="22"/>
              </w:rPr>
            </w:pPr>
            <w:r w:rsidRPr="000C156A">
              <w:rPr>
                <w:rFonts w:hint="eastAsia"/>
                <w:szCs w:val="22"/>
              </w:rPr>
              <w:t>合计</w:t>
            </w:r>
          </w:p>
        </w:tc>
      </w:tr>
      <w:tr w:rsidR="007C26E9" w:rsidRPr="000C156A" w14:paraId="1E3E3D72" w14:textId="77777777" w:rsidTr="003A64C9">
        <w:trPr>
          <w:cantSplit/>
          <w:trHeight w:val="193"/>
          <w:jc w:val="center"/>
        </w:trPr>
        <w:tc>
          <w:tcPr>
            <w:tcW w:w="1372" w:type="pct"/>
            <w:vAlign w:val="center"/>
            <w:hideMark/>
          </w:tcPr>
          <w:p w14:paraId="4A6EE4E0" w14:textId="77777777" w:rsidR="007C26E9" w:rsidRPr="000C156A" w:rsidRDefault="007C26E9" w:rsidP="007C26E9">
            <w:pPr>
              <w:pStyle w:val="TableText0"/>
              <w:rPr>
                <w:szCs w:val="22"/>
              </w:rPr>
            </w:pPr>
            <w:r w:rsidRPr="000C156A">
              <w:rPr>
                <w:rFonts w:ascii="SimSun" w:hAnsi="SimSun" w:cs="SimSun" w:hint="eastAsia"/>
                <w:szCs w:val="22"/>
              </w:rPr>
              <w:t>参加人的缴费</w:t>
            </w:r>
          </w:p>
        </w:tc>
        <w:tc>
          <w:tcPr>
            <w:tcW w:w="829" w:type="pct"/>
            <w:shd w:val="clear" w:color="auto" w:fill="auto"/>
            <w:vAlign w:val="center"/>
            <w:hideMark/>
          </w:tcPr>
          <w:p w14:paraId="1B4F53E6" w14:textId="75A85154"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9</w:t>
            </w:r>
            <w:r>
              <w:rPr>
                <w:rFonts w:cs="Calibri"/>
                <w:sz w:val="22"/>
                <w:szCs w:val="22"/>
                <w:lang w:eastAsia="en-GB"/>
              </w:rPr>
              <w:t> </w:t>
            </w:r>
            <w:r w:rsidRPr="00227481">
              <w:rPr>
                <w:rFonts w:cs="Calibri"/>
                <w:sz w:val="22"/>
                <w:szCs w:val="22"/>
                <w:lang w:eastAsia="en-GB"/>
              </w:rPr>
              <w:t>160</w:t>
            </w:r>
            <w:r>
              <w:rPr>
                <w:rFonts w:cs="Calibri"/>
                <w:sz w:val="22"/>
                <w:szCs w:val="22"/>
                <w:lang w:eastAsia="en-GB"/>
              </w:rPr>
              <w:t> </w:t>
            </w:r>
            <w:r w:rsidRPr="00227481">
              <w:rPr>
                <w:rFonts w:cs="Calibri"/>
                <w:sz w:val="22"/>
                <w:szCs w:val="22"/>
                <w:lang w:eastAsia="en-GB"/>
              </w:rPr>
              <w:t xml:space="preserve">255 </w:t>
            </w:r>
          </w:p>
        </w:tc>
        <w:tc>
          <w:tcPr>
            <w:tcW w:w="1035" w:type="pct"/>
            <w:shd w:val="clear" w:color="auto" w:fill="auto"/>
            <w:vAlign w:val="center"/>
            <w:hideMark/>
          </w:tcPr>
          <w:p w14:paraId="4D524EF5" w14:textId="58242380"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 </w:t>
            </w:r>
          </w:p>
        </w:tc>
        <w:tc>
          <w:tcPr>
            <w:tcW w:w="883" w:type="pct"/>
            <w:shd w:val="clear" w:color="auto" w:fill="auto"/>
            <w:vAlign w:val="center"/>
          </w:tcPr>
          <w:p w14:paraId="69ABF3E1" w14:textId="524AEB6C"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107</w:t>
            </w:r>
            <w:r>
              <w:rPr>
                <w:rFonts w:cs="Calibri"/>
                <w:sz w:val="22"/>
                <w:szCs w:val="22"/>
                <w:lang w:eastAsia="en-GB"/>
              </w:rPr>
              <w:t> </w:t>
            </w:r>
            <w:r w:rsidRPr="00227481">
              <w:rPr>
                <w:rFonts w:cs="Calibri"/>
                <w:sz w:val="22"/>
                <w:szCs w:val="22"/>
                <w:lang w:eastAsia="en-GB"/>
              </w:rPr>
              <w:t xml:space="preserve">066 </w:t>
            </w:r>
          </w:p>
        </w:tc>
        <w:tc>
          <w:tcPr>
            <w:tcW w:w="881" w:type="pct"/>
            <w:shd w:val="clear" w:color="auto" w:fill="auto"/>
            <w:vAlign w:val="center"/>
            <w:hideMark/>
          </w:tcPr>
          <w:p w14:paraId="04B7E7A4" w14:textId="72E960DA"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9</w:t>
            </w:r>
            <w:r>
              <w:rPr>
                <w:rFonts w:cs="Calibri"/>
                <w:sz w:val="22"/>
                <w:szCs w:val="22"/>
                <w:lang w:eastAsia="en-GB"/>
              </w:rPr>
              <w:t> </w:t>
            </w:r>
            <w:r w:rsidRPr="00227481">
              <w:rPr>
                <w:rFonts w:cs="Calibri"/>
                <w:sz w:val="22"/>
                <w:szCs w:val="22"/>
                <w:lang w:eastAsia="en-GB"/>
              </w:rPr>
              <w:t>267</w:t>
            </w:r>
            <w:r>
              <w:rPr>
                <w:rFonts w:cs="Calibri"/>
                <w:sz w:val="22"/>
                <w:szCs w:val="22"/>
                <w:lang w:eastAsia="en-GB"/>
              </w:rPr>
              <w:t> </w:t>
            </w:r>
            <w:r w:rsidRPr="00227481">
              <w:rPr>
                <w:rFonts w:cs="Calibri"/>
                <w:sz w:val="22"/>
                <w:szCs w:val="22"/>
                <w:lang w:eastAsia="en-GB"/>
              </w:rPr>
              <w:t xml:space="preserve">321 </w:t>
            </w:r>
          </w:p>
        </w:tc>
      </w:tr>
      <w:tr w:rsidR="007C26E9" w:rsidRPr="000C156A" w14:paraId="66296317" w14:textId="77777777" w:rsidTr="003A64C9">
        <w:trPr>
          <w:cantSplit/>
          <w:trHeight w:val="390"/>
          <w:jc w:val="center"/>
        </w:trPr>
        <w:tc>
          <w:tcPr>
            <w:tcW w:w="1372" w:type="pct"/>
            <w:vAlign w:val="center"/>
            <w:hideMark/>
          </w:tcPr>
          <w:p w14:paraId="54C80119" w14:textId="77777777" w:rsidR="007C26E9" w:rsidRPr="000C156A" w:rsidRDefault="007C26E9" w:rsidP="007C26E9">
            <w:pPr>
              <w:pStyle w:val="xl93"/>
              <w:autoSpaceDE w:val="0"/>
              <w:autoSpaceDN w:val="0"/>
              <w:rPr>
                <w:sz w:val="22"/>
                <w:szCs w:val="22"/>
              </w:rPr>
            </w:pPr>
            <w:r w:rsidRPr="000C156A">
              <w:rPr>
                <w:rFonts w:ascii="SimSun" w:hAnsi="SimSun" w:cs="SimSun" w:hint="eastAsia"/>
                <w:sz w:val="22"/>
                <w:szCs w:val="22"/>
              </w:rPr>
              <w:t>国际电联的缴费</w:t>
            </w:r>
          </w:p>
        </w:tc>
        <w:tc>
          <w:tcPr>
            <w:tcW w:w="829" w:type="pct"/>
            <w:shd w:val="clear" w:color="auto" w:fill="auto"/>
            <w:vAlign w:val="center"/>
            <w:hideMark/>
          </w:tcPr>
          <w:p w14:paraId="17DF0F40" w14:textId="57E2DAB2"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18</w:t>
            </w:r>
            <w:r>
              <w:rPr>
                <w:rFonts w:cs="Calibri"/>
                <w:sz w:val="22"/>
                <w:szCs w:val="22"/>
                <w:lang w:eastAsia="en-GB"/>
              </w:rPr>
              <w:t> </w:t>
            </w:r>
            <w:r w:rsidRPr="00227481">
              <w:rPr>
                <w:rFonts w:cs="Calibri"/>
                <w:sz w:val="22"/>
                <w:szCs w:val="22"/>
                <w:lang w:eastAsia="en-GB"/>
              </w:rPr>
              <w:t>320</w:t>
            </w:r>
            <w:r>
              <w:rPr>
                <w:rFonts w:cs="Calibri"/>
                <w:sz w:val="22"/>
                <w:szCs w:val="22"/>
                <w:lang w:eastAsia="en-GB"/>
              </w:rPr>
              <w:t> </w:t>
            </w:r>
            <w:r w:rsidRPr="00227481">
              <w:rPr>
                <w:rFonts w:cs="Calibri"/>
                <w:sz w:val="22"/>
                <w:szCs w:val="22"/>
                <w:lang w:eastAsia="en-GB"/>
              </w:rPr>
              <w:t xml:space="preserve">510 </w:t>
            </w:r>
          </w:p>
        </w:tc>
        <w:tc>
          <w:tcPr>
            <w:tcW w:w="1035" w:type="pct"/>
            <w:shd w:val="clear" w:color="auto" w:fill="auto"/>
            <w:vAlign w:val="center"/>
            <w:hideMark/>
          </w:tcPr>
          <w:p w14:paraId="6358C4B1" w14:textId="50C50478"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 </w:t>
            </w:r>
          </w:p>
        </w:tc>
        <w:tc>
          <w:tcPr>
            <w:tcW w:w="883" w:type="pct"/>
            <w:shd w:val="clear" w:color="auto" w:fill="auto"/>
            <w:vAlign w:val="center"/>
          </w:tcPr>
          <w:p w14:paraId="5F7EAE37" w14:textId="7988B1DC"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214</w:t>
            </w:r>
            <w:r>
              <w:rPr>
                <w:rFonts w:cs="Calibri"/>
                <w:sz w:val="22"/>
                <w:szCs w:val="22"/>
                <w:lang w:eastAsia="en-GB"/>
              </w:rPr>
              <w:t> </w:t>
            </w:r>
            <w:r w:rsidRPr="00227481">
              <w:rPr>
                <w:rFonts w:cs="Calibri"/>
                <w:sz w:val="22"/>
                <w:szCs w:val="22"/>
                <w:lang w:eastAsia="en-GB"/>
              </w:rPr>
              <w:t xml:space="preserve">132 </w:t>
            </w:r>
          </w:p>
        </w:tc>
        <w:tc>
          <w:tcPr>
            <w:tcW w:w="881" w:type="pct"/>
            <w:shd w:val="clear" w:color="auto" w:fill="auto"/>
            <w:vAlign w:val="center"/>
            <w:hideMark/>
          </w:tcPr>
          <w:p w14:paraId="19EE4DBF" w14:textId="021B8728"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18</w:t>
            </w:r>
            <w:r>
              <w:rPr>
                <w:rFonts w:cs="Calibri"/>
                <w:sz w:val="22"/>
                <w:szCs w:val="22"/>
                <w:lang w:eastAsia="en-GB"/>
              </w:rPr>
              <w:t> </w:t>
            </w:r>
            <w:r w:rsidRPr="00227481">
              <w:rPr>
                <w:rFonts w:cs="Calibri"/>
                <w:sz w:val="22"/>
                <w:szCs w:val="22"/>
                <w:lang w:eastAsia="en-GB"/>
              </w:rPr>
              <w:t>534</w:t>
            </w:r>
            <w:r>
              <w:rPr>
                <w:rFonts w:cs="Calibri"/>
                <w:sz w:val="22"/>
                <w:szCs w:val="22"/>
                <w:lang w:eastAsia="en-GB"/>
              </w:rPr>
              <w:t> </w:t>
            </w:r>
            <w:r w:rsidRPr="00227481">
              <w:rPr>
                <w:rFonts w:cs="Calibri"/>
                <w:sz w:val="22"/>
                <w:szCs w:val="22"/>
                <w:lang w:eastAsia="en-GB"/>
              </w:rPr>
              <w:t xml:space="preserve">642 </w:t>
            </w:r>
          </w:p>
        </w:tc>
      </w:tr>
      <w:tr w:rsidR="007C26E9" w:rsidRPr="000C156A" w14:paraId="2100645D" w14:textId="77777777" w:rsidTr="003A64C9">
        <w:trPr>
          <w:cantSplit/>
          <w:trHeight w:val="390"/>
          <w:jc w:val="center"/>
        </w:trPr>
        <w:tc>
          <w:tcPr>
            <w:tcW w:w="1372" w:type="pct"/>
            <w:vAlign w:val="center"/>
          </w:tcPr>
          <w:p w14:paraId="5CCB46DD" w14:textId="77777777" w:rsidR="007C26E9" w:rsidRPr="000C156A" w:rsidRDefault="007C26E9" w:rsidP="007C26E9">
            <w:pPr>
              <w:pStyle w:val="xl93"/>
              <w:autoSpaceDE w:val="0"/>
              <w:autoSpaceDN w:val="0"/>
              <w:rPr>
                <w:rFonts w:ascii="SimSun" w:hAnsi="SimSun" w:cs="SimSun"/>
                <w:sz w:val="22"/>
                <w:szCs w:val="22"/>
              </w:rPr>
            </w:pPr>
            <w:r w:rsidRPr="000C156A">
              <w:rPr>
                <w:rFonts w:ascii="SimSun" w:hAnsi="SimSun" w:cs="SimSun" w:hint="eastAsia"/>
                <w:color w:val="auto"/>
                <w:sz w:val="22"/>
                <w:szCs w:val="22"/>
                <w:lang w:val="en-GB"/>
              </w:rPr>
              <w:lastRenderedPageBreak/>
              <w:t>其他缴款</w:t>
            </w:r>
          </w:p>
        </w:tc>
        <w:tc>
          <w:tcPr>
            <w:tcW w:w="829" w:type="pct"/>
            <w:shd w:val="clear" w:color="auto" w:fill="auto"/>
            <w:vAlign w:val="center"/>
          </w:tcPr>
          <w:p w14:paraId="7D6A807F" w14:textId="26C814F0"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 </w:t>
            </w:r>
          </w:p>
        </w:tc>
        <w:tc>
          <w:tcPr>
            <w:tcW w:w="1035" w:type="pct"/>
            <w:shd w:val="clear" w:color="auto" w:fill="auto"/>
            <w:vAlign w:val="center"/>
          </w:tcPr>
          <w:p w14:paraId="79D07DC5" w14:textId="64D80E48"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 </w:t>
            </w:r>
          </w:p>
        </w:tc>
        <w:tc>
          <w:tcPr>
            <w:tcW w:w="883" w:type="pct"/>
            <w:shd w:val="clear" w:color="auto" w:fill="auto"/>
            <w:vAlign w:val="center"/>
          </w:tcPr>
          <w:p w14:paraId="4E75F5A9" w14:textId="6A6C28D2"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58</w:t>
            </w:r>
            <w:r>
              <w:rPr>
                <w:rFonts w:cs="Calibri"/>
                <w:sz w:val="22"/>
                <w:szCs w:val="22"/>
                <w:lang w:eastAsia="en-GB"/>
              </w:rPr>
              <w:t> </w:t>
            </w:r>
            <w:r w:rsidRPr="00227481">
              <w:rPr>
                <w:rFonts w:cs="Calibri"/>
                <w:sz w:val="22"/>
                <w:szCs w:val="22"/>
                <w:lang w:eastAsia="en-GB"/>
              </w:rPr>
              <w:t xml:space="preserve">747 </w:t>
            </w:r>
          </w:p>
        </w:tc>
        <w:tc>
          <w:tcPr>
            <w:tcW w:w="881" w:type="pct"/>
            <w:shd w:val="clear" w:color="auto" w:fill="auto"/>
            <w:vAlign w:val="center"/>
          </w:tcPr>
          <w:p w14:paraId="1E5E416B" w14:textId="533782B4" w:rsidR="007C26E9" w:rsidRPr="000C156A" w:rsidRDefault="007C26E9" w:rsidP="007C26E9">
            <w:pPr>
              <w:overflowPunct/>
              <w:autoSpaceDE/>
              <w:autoSpaceDN/>
              <w:adjustRightInd/>
              <w:spacing w:before="0"/>
              <w:jc w:val="right"/>
              <w:textAlignment w:val="auto"/>
              <w:rPr>
                <w:bCs/>
                <w:sz w:val="22"/>
                <w:szCs w:val="22"/>
              </w:rPr>
            </w:pPr>
            <w:r w:rsidRPr="00227481">
              <w:rPr>
                <w:rFonts w:cs="Calibri"/>
                <w:sz w:val="22"/>
                <w:szCs w:val="22"/>
                <w:lang w:eastAsia="en-GB"/>
              </w:rPr>
              <w:t>58</w:t>
            </w:r>
            <w:r>
              <w:rPr>
                <w:rFonts w:cs="Calibri"/>
                <w:sz w:val="22"/>
                <w:szCs w:val="22"/>
                <w:lang w:eastAsia="en-GB"/>
              </w:rPr>
              <w:t> </w:t>
            </w:r>
            <w:r w:rsidRPr="00227481">
              <w:rPr>
                <w:rFonts w:cs="Calibri"/>
                <w:sz w:val="22"/>
                <w:szCs w:val="22"/>
                <w:lang w:eastAsia="en-GB"/>
              </w:rPr>
              <w:t xml:space="preserve">747 </w:t>
            </w:r>
          </w:p>
        </w:tc>
      </w:tr>
      <w:tr w:rsidR="007C26E9" w:rsidRPr="000C156A" w14:paraId="31A12862" w14:textId="77777777" w:rsidTr="003A64C9">
        <w:trPr>
          <w:cantSplit/>
          <w:trHeight w:val="405"/>
          <w:jc w:val="center"/>
        </w:trPr>
        <w:tc>
          <w:tcPr>
            <w:tcW w:w="1372" w:type="pct"/>
            <w:vAlign w:val="center"/>
            <w:hideMark/>
          </w:tcPr>
          <w:p w14:paraId="271709FF" w14:textId="77777777" w:rsidR="007C26E9" w:rsidRPr="000C156A" w:rsidRDefault="007C26E9" w:rsidP="007C26E9">
            <w:pPr>
              <w:pStyle w:val="xl93"/>
              <w:autoSpaceDE w:val="0"/>
              <w:autoSpaceDN w:val="0"/>
              <w:rPr>
                <w:b/>
                <w:bCs/>
                <w:sz w:val="22"/>
                <w:szCs w:val="22"/>
              </w:rPr>
            </w:pPr>
            <w:r w:rsidRPr="000C156A">
              <w:rPr>
                <w:rFonts w:ascii="SimSun" w:hAnsi="SimSun" w:cs="SimSun" w:hint="eastAsia"/>
                <w:b/>
                <w:bCs/>
                <w:sz w:val="22"/>
                <w:szCs w:val="22"/>
              </w:rPr>
              <w:t>合计</w:t>
            </w:r>
          </w:p>
        </w:tc>
        <w:tc>
          <w:tcPr>
            <w:tcW w:w="829" w:type="pct"/>
            <w:shd w:val="clear" w:color="auto" w:fill="auto"/>
            <w:vAlign w:val="center"/>
            <w:hideMark/>
          </w:tcPr>
          <w:p w14:paraId="39E736AE" w14:textId="3F951AB2" w:rsidR="007C26E9" w:rsidRPr="000C156A" w:rsidRDefault="007C26E9" w:rsidP="007C26E9">
            <w:pPr>
              <w:overflowPunct/>
              <w:autoSpaceDE/>
              <w:autoSpaceDN/>
              <w:adjustRightInd/>
              <w:spacing w:before="0"/>
              <w:jc w:val="right"/>
              <w:textAlignment w:val="auto"/>
              <w:rPr>
                <w:b/>
                <w:sz w:val="22"/>
                <w:szCs w:val="22"/>
              </w:rPr>
            </w:pPr>
            <w:r w:rsidRPr="00227481">
              <w:rPr>
                <w:rFonts w:cs="Calibri"/>
                <w:sz w:val="22"/>
                <w:szCs w:val="22"/>
                <w:lang w:eastAsia="en-GB"/>
              </w:rPr>
              <w:t>27</w:t>
            </w:r>
            <w:r>
              <w:rPr>
                <w:rFonts w:cs="Calibri"/>
                <w:sz w:val="22"/>
                <w:szCs w:val="22"/>
                <w:lang w:eastAsia="en-GB"/>
              </w:rPr>
              <w:t> </w:t>
            </w:r>
            <w:r w:rsidRPr="00227481">
              <w:rPr>
                <w:rFonts w:cs="Calibri"/>
                <w:sz w:val="22"/>
                <w:szCs w:val="22"/>
                <w:lang w:eastAsia="en-GB"/>
              </w:rPr>
              <w:t>480</w:t>
            </w:r>
            <w:r>
              <w:rPr>
                <w:rFonts w:cs="Calibri"/>
                <w:sz w:val="22"/>
                <w:szCs w:val="22"/>
                <w:lang w:eastAsia="en-GB"/>
              </w:rPr>
              <w:t> </w:t>
            </w:r>
            <w:r w:rsidRPr="00227481">
              <w:rPr>
                <w:rFonts w:cs="Calibri"/>
                <w:sz w:val="22"/>
                <w:szCs w:val="22"/>
                <w:lang w:eastAsia="en-GB"/>
              </w:rPr>
              <w:t xml:space="preserve">766 </w:t>
            </w:r>
          </w:p>
        </w:tc>
        <w:tc>
          <w:tcPr>
            <w:tcW w:w="1035" w:type="pct"/>
            <w:shd w:val="clear" w:color="auto" w:fill="auto"/>
            <w:vAlign w:val="center"/>
            <w:hideMark/>
          </w:tcPr>
          <w:p w14:paraId="76299024" w14:textId="00D83682" w:rsidR="007C26E9" w:rsidRPr="000C156A" w:rsidRDefault="007C26E9" w:rsidP="007C26E9">
            <w:pPr>
              <w:overflowPunct/>
              <w:autoSpaceDE/>
              <w:autoSpaceDN/>
              <w:adjustRightInd/>
              <w:spacing w:before="0"/>
              <w:jc w:val="right"/>
              <w:textAlignment w:val="auto"/>
              <w:rPr>
                <w:b/>
                <w:sz w:val="22"/>
                <w:szCs w:val="22"/>
              </w:rPr>
            </w:pPr>
            <w:r w:rsidRPr="00227481">
              <w:rPr>
                <w:rFonts w:cs="Calibri"/>
                <w:sz w:val="22"/>
                <w:szCs w:val="22"/>
                <w:lang w:eastAsia="en-GB"/>
              </w:rPr>
              <w:t xml:space="preserve">-   </w:t>
            </w:r>
          </w:p>
        </w:tc>
        <w:tc>
          <w:tcPr>
            <w:tcW w:w="883" w:type="pct"/>
            <w:shd w:val="clear" w:color="auto" w:fill="auto"/>
            <w:vAlign w:val="center"/>
          </w:tcPr>
          <w:p w14:paraId="338BBA9A" w14:textId="395064D1" w:rsidR="007C26E9" w:rsidRPr="000C156A" w:rsidRDefault="007C26E9" w:rsidP="007C26E9">
            <w:pPr>
              <w:overflowPunct/>
              <w:autoSpaceDE/>
              <w:autoSpaceDN/>
              <w:adjustRightInd/>
              <w:spacing w:before="0"/>
              <w:jc w:val="right"/>
              <w:textAlignment w:val="auto"/>
              <w:rPr>
                <w:b/>
                <w:sz w:val="22"/>
                <w:szCs w:val="22"/>
              </w:rPr>
            </w:pPr>
            <w:r w:rsidRPr="00227481">
              <w:rPr>
                <w:rFonts w:cs="Calibri"/>
                <w:sz w:val="22"/>
                <w:szCs w:val="22"/>
                <w:lang w:eastAsia="en-GB"/>
              </w:rPr>
              <w:t>379</w:t>
            </w:r>
            <w:r>
              <w:rPr>
                <w:rFonts w:cs="Calibri"/>
                <w:sz w:val="22"/>
                <w:szCs w:val="22"/>
                <w:lang w:eastAsia="en-GB"/>
              </w:rPr>
              <w:t> </w:t>
            </w:r>
            <w:r w:rsidRPr="00227481">
              <w:rPr>
                <w:rFonts w:cs="Calibri"/>
                <w:sz w:val="22"/>
                <w:szCs w:val="22"/>
                <w:lang w:eastAsia="en-GB"/>
              </w:rPr>
              <w:t xml:space="preserve">945 </w:t>
            </w:r>
          </w:p>
        </w:tc>
        <w:tc>
          <w:tcPr>
            <w:tcW w:w="881" w:type="pct"/>
            <w:shd w:val="clear" w:color="auto" w:fill="auto"/>
            <w:vAlign w:val="center"/>
            <w:hideMark/>
          </w:tcPr>
          <w:p w14:paraId="128273CD" w14:textId="5ADA6433" w:rsidR="007C26E9" w:rsidRPr="000C156A" w:rsidRDefault="007C26E9" w:rsidP="007C26E9">
            <w:pPr>
              <w:overflowPunct/>
              <w:autoSpaceDE/>
              <w:autoSpaceDN/>
              <w:adjustRightInd/>
              <w:spacing w:before="0"/>
              <w:jc w:val="right"/>
              <w:textAlignment w:val="auto"/>
              <w:rPr>
                <w:b/>
                <w:sz w:val="22"/>
                <w:szCs w:val="22"/>
              </w:rPr>
            </w:pPr>
            <w:r w:rsidRPr="00227481">
              <w:rPr>
                <w:rFonts w:cs="Calibri"/>
                <w:sz w:val="22"/>
                <w:szCs w:val="22"/>
                <w:lang w:eastAsia="en-GB"/>
              </w:rPr>
              <w:t>27</w:t>
            </w:r>
            <w:r>
              <w:rPr>
                <w:rFonts w:cs="Calibri"/>
                <w:sz w:val="22"/>
                <w:szCs w:val="22"/>
                <w:lang w:eastAsia="en-GB"/>
              </w:rPr>
              <w:t> </w:t>
            </w:r>
            <w:r w:rsidRPr="00227481">
              <w:rPr>
                <w:rFonts w:cs="Calibri"/>
                <w:sz w:val="22"/>
                <w:szCs w:val="22"/>
                <w:lang w:eastAsia="en-GB"/>
              </w:rPr>
              <w:t>860</w:t>
            </w:r>
            <w:r>
              <w:rPr>
                <w:rFonts w:cs="Calibri"/>
                <w:sz w:val="22"/>
                <w:szCs w:val="22"/>
                <w:lang w:eastAsia="en-GB"/>
              </w:rPr>
              <w:t> </w:t>
            </w:r>
            <w:r w:rsidRPr="00227481">
              <w:rPr>
                <w:rFonts w:cs="Calibri"/>
                <w:sz w:val="22"/>
                <w:szCs w:val="22"/>
                <w:lang w:eastAsia="en-GB"/>
              </w:rPr>
              <w:t xml:space="preserve">711 </w:t>
            </w:r>
          </w:p>
        </w:tc>
      </w:tr>
    </w:tbl>
    <w:p w14:paraId="0E971830" w14:textId="77777777" w:rsidR="0085433F" w:rsidRPr="000C156A" w:rsidRDefault="0085433F" w:rsidP="0085433F">
      <w:pPr>
        <w:keepNext/>
        <w:keepLines/>
        <w:spacing w:before="240"/>
        <w:rPr>
          <w:u w:val="single"/>
          <w:lang w:eastAsia="zh-CN"/>
        </w:rPr>
      </w:pPr>
      <w:r w:rsidRPr="000C156A">
        <w:rPr>
          <w:rFonts w:hint="eastAsia"/>
          <w:u w:val="single"/>
          <w:lang w:eastAsia="zh-CN"/>
        </w:rPr>
        <w:t>有关职员其它福利的承付款项</w:t>
      </w:r>
    </w:p>
    <w:p w14:paraId="5587A215" w14:textId="77777777" w:rsidR="0085433F" w:rsidRPr="000C156A" w:rsidRDefault="0085433F" w:rsidP="0085433F">
      <w:pPr>
        <w:ind w:firstLineChars="200" w:firstLine="480"/>
        <w:rPr>
          <w:lang w:eastAsia="zh-CN"/>
        </w:rPr>
      </w:pPr>
      <w:r w:rsidRPr="000C156A">
        <w:rPr>
          <w:rFonts w:hint="eastAsia"/>
          <w:lang w:eastAsia="zh-CN"/>
        </w:rPr>
        <w:t>在</w:t>
      </w:r>
      <w:r w:rsidRPr="000C156A">
        <w:rPr>
          <w:lang w:eastAsia="zh-CN"/>
        </w:rPr>
        <w:t>UNJSPF</w:t>
      </w:r>
      <w:r w:rsidRPr="000C156A">
        <w:rPr>
          <w:rFonts w:hint="eastAsia"/>
          <w:lang w:eastAsia="zh-CN"/>
        </w:rPr>
        <w:t>和</w:t>
      </w:r>
      <w:r w:rsidRPr="000C156A">
        <w:rPr>
          <w:lang w:eastAsia="zh-CN"/>
        </w:rPr>
        <w:t>SHIF</w:t>
      </w:r>
      <w:r w:rsidRPr="000C156A">
        <w:rPr>
          <w:rFonts w:hint="eastAsia"/>
          <w:lang w:eastAsia="zh-CN"/>
        </w:rPr>
        <w:t>成立以及国际电联加入这两项基金之前，国际电联已设立了相关基金，为其职员提供退休、亡故、残疾和健康保险等福利。自国际电联加入上述基金后，其此前设立的基金目前作为封闭基金运作，其承付款项现已显示为长期负债。国际电联已与其基金签署了协议，确保后者具有资金来源。</w:t>
      </w:r>
    </w:p>
    <w:p w14:paraId="4F61E5C1" w14:textId="554FACCB" w:rsidR="0085433F" w:rsidRPr="000C156A" w:rsidRDefault="0085433F" w:rsidP="0085433F">
      <w:pPr>
        <w:ind w:firstLineChars="200" w:firstLine="480"/>
        <w:rPr>
          <w:lang w:eastAsia="zh-CN"/>
        </w:rPr>
      </w:pPr>
      <w:r w:rsidRPr="000C156A">
        <w:rPr>
          <w:lang w:eastAsia="zh-CN"/>
        </w:rPr>
        <w:t>202</w:t>
      </w:r>
      <w:r w:rsidR="00412265">
        <w:rPr>
          <w:lang w:eastAsia="zh-CN"/>
        </w:rPr>
        <w:t>1</w:t>
      </w:r>
      <w:r w:rsidRPr="000C156A">
        <w:rPr>
          <w:rFonts w:hint="eastAsia"/>
          <w:lang w:eastAsia="zh-CN"/>
        </w:rPr>
        <w:t>年，国际电联认为没有必要要求对国际电联职员退休和福利基金进行新的精算研究。截至</w:t>
      </w:r>
      <w:r w:rsidRPr="000C156A">
        <w:rPr>
          <w:lang w:eastAsia="zh-CN"/>
        </w:rPr>
        <w:t>202</w:t>
      </w:r>
      <w:r w:rsidR="00412265">
        <w:rPr>
          <w:lang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日，目前支付给参加国际电联职员退休和福利基金前职员的承付款项准备金没有变化，</w:t>
      </w:r>
      <w:r w:rsidRPr="000C156A">
        <w:rPr>
          <w:lang w:eastAsia="zh-CN"/>
        </w:rPr>
        <w:t>2010</w:t>
      </w:r>
      <w:r w:rsidRPr="000C156A">
        <w:rPr>
          <w:rFonts w:hint="eastAsia"/>
          <w:lang w:eastAsia="zh-CN"/>
        </w:rPr>
        <w:t>年的数额为</w:t>
      </w:r>
      <w:r w:rsidRPr="000C156A">
        <w:rPr>
          <w:rFonts w:hint="eastAsia"/>
          <w:lang w:eastAsia="zh-CN"/>
        </w:rPr>
        <w:t>54</w:t>
      </w:r>
      <w:r w:rsidRPr="000C156A">
        <w:rPr>
          <w:lang w:eastAsia="zh-CN"/>
        </w:rPr>
        <w:t xml:space="preserve"> 000</w:t>
      </w:r>
      <w:r w:rsidRPr="000C156A">
        <w:rPr>
          <w:rFonts w:hint="eastAsia"/>
          <w:lang w:eastAsia="zh-CN"/>
        </w:rPr>
        <w:t>瑞郎的准备金。</w:t>
      </w:r>
    </w:p>
    <w:p w14:paraId="26FAB331" w14:textId="77777777" w:rsidR="00B56A7B" w:rsidRPr="000C156A" w:rsidRDefault="00B56A7B" w:rsidP="00B56A7B">
      <w:pPr>
        <w:pStyle w:val="Heading1"/>
        <w:spacing w:before="240" w:after="120"/>
        <w:rPr>
          <w:sz w:val="24"/>
          <w:szCs w:val="24"/>
          <w:lang w:eastAsia="zh-CN"/>
        </w:rPr>
      </w:pPr>
      <w:bookmarkStart w:id="948" w:name="_Toc304406447"/>
      <w:bookmarkStart w:id="949" w:name="_Toc482892578"/>
      <w:bookmarkStart w:id="950" w:name="_Toc482870843"/>
      <w:bookmarkStart w:id="951" w:name="_Toc329165794"/>
      <w:bookmarkStart w:id="952" w:name="_Toc305594752"/>
      <w:bookmarkStart w:id="953" w:name="_Toc511813762"/>
      <w:bookmarkStart w:id="954" w:name="_Toc511817845"/>
      <w:bookmarkStart w:id="955" w:name="_Toc520280745"/>
      <w:bookmarkStart w:id="956" w:name="_Toc10536840"/>
      <w:bookmarkStart w:id="957" w:name="_Toc41905891"/>
      <w:bookmarkStart w:id="958" w:name="_Toc41906912"/>
      <w:bookmarkStart w:id="959" w:name="_Toc41907993"/>
      <w:bookmarkStart w:id="960" w:name="_Toc41908061"/>
      <w:bookmarkStart w:id="961" w:name="_Toc73518709"/>
      <w:bookmarkStart w:id="962" w:name="_Toc73518856"/>
      <w:bookmarkStart w:id="963" w:name="_Toc73519256"/>
      <w:bookmarkStart w:id="964" w:name="_Toc110264013"/>
      <w:bookmarkStart w:id="965" w:name="_Toc110264092"/>
      <w:bookmarkStart w:id="966" w:name="_Toc110265731"/>
      <w:bookmarkStart w:id="967" w:name="_Toc110330101"/>
      <w:bookmarkStart w:id="968" w:name="_Toc110330266"/>
      <w:bookmarkEnd w:id="25"/>
      <w:bookmarkEnd w:id="26"/>
      <w:r w:rsidRPr="000C156A">
        <w:rPr>
          <w:rFonts w:cs="Microsoft YaHei" w:hint="eastAsia"/>
          <w:sz w:val="24"/>
          <w:szCs w:val="24"/>
          <w:lang w:val="fr-FR" w:eastAsia="zh-CN"/>
        </w:rPr>
        <w:t>说明</w:t>
      </w:r>
      <w:r w:rsidRPr="000C156A">
        <w:rPr>
          <w:sz w:val="24"/>
          <w:szCs w:val="24"/>
          <w:lang w:eastAsia="zh-CN"/>
        </w:rPr>
        <w:t>18</w:t>
      </w:r>
      <w:r w:rsidRPr="000C156A">
        <w:rPr>
          <w:sz w:val="24"/>
          <w:szCs w:val="24"/>
          <w:lang w:eastAsia="zh-CN"/>
        </w:rPr>
        <w:tab/>
      </w:r>
      <w:bookmarkEnd w:id="948"/>
      <w:r w:rsidRPr="000C156A">
        <w:rPr>
          <w:rFonts w:cs="Microsoft YaHei" w:hint="eastAsia"/>
          <w:sz w:val="24"/>
          <w:szCs w:val="24"/>
          <w:lang w:val="fr-FR" w:eastAsia="zh-CN"/>
        </w:rPr>
        <w:t>准备金</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7AB925E8" w14:textId="77777777" w:rsidR="00B56A7B" w:rsidRPr="000C156A" w:rsidRDefault="00B56A7B" w:rsidP="00B56A7B">
      <w:pPr>
        <w:ind w:firstLineChars="200" w:firstLine="480"/>
        <w:rPr>
          <w:lang w:eastAsia="zh-CN"/>
        </w:rPr>
      </w:pPr>
      <w:r w:rsidRPr="000C156A">
        <w:rPr>
          <w:rFonts w:hint="eastAsia"/>
          <w:lang w:eastAsia="zh-CN"/>
        </w:rPr>
        <w:t>风险和费用准备金包括诉讼准备金，该准备金是对与一过去事件相关的未来承付款项结账日期时的估值（国际电联是各事件争议所涉方之一），但亦包括向仲裁法庭提交每项诉讼所支付的行政费用的平均成本。</w:t>
      </w:r>
    </w:p>
    <w:p w14:paraId="2BF01D95" w14:textId="77777777" w:rsidR="00B56A7B" w:rsidRPr="000C156A" w:rsidRDefault="00B56A7B" w:rsidP="00B56A7B">
      <w:pPr>
        <w:spacing w:after="240"/>
        <w:ind w:firstLineChars="200" w:firstLine="480"/>
        <w:rPr>
          <w:lang w:eastAsia="zh-CN"/>
        </w:rPr>
      </w:pPr>
      <w:r w:rsidRPr="000C156A">
        <w:rPr>
          <w:rFonts w:hint="eastAsia"/>
          <w:lang w:eastAsia="zh-CN"/>
        </w:rPr>
        <w:t>卫星网络申报（</w:t>
      </w:r>
      <w:r w:rsidRPr="000C156A">
        <w:rPr>
          <w:lang w:eastAsia="zh-CN"/>
        </w:rPr>
        <w:t>SNF</w:t>
      </w:r>
      <w:r w:rsidRPr="000C156A">
        <w:rPr>
          <w:rFonts w:hint="eastAsia"/>
          <w:lang w:eastAsia="zh-CN"/>
        </w:rPr>
        <w:t>）准备金包括与运营商有权要求在任何一年免费公布资料相对应的数额。在本财务期内这一准备金已全部使用。</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601"/>
        <w:gridCol w:w="2100"/>
        <w:gridCol w:w="1797"/>
        <w:gridCol w:w="11"/>
      </w:tblGrid>
      <w:tr w:rsidR="00B56A7B" w:rsidRPr="000C156A" w14:paraId="24C33657" w14:textId="77777777" w:rsidTr="00CC47BD">
        <w:trPr>
          <w:jc w:val="center"/>
        </w:trPr>
        <w:tc>
          <w:tcPr>
            <w:tcW w:w="4244" w:type="dxa"/>
            <w:tcBorders>
              <w:top w:val="single" w:sz="4" w:space="0" w:color="000000"/>
              <w:left w:val="single" w:sz="4" w:space="0" w:color="000000"/>
              <w:bottom w:val="single" w:sz="4" w:space="0" w:color="000000"/>
              <w:right w:val="nil"/>
            </w:tcBorders>
            <w:vAlign w:val="center"/>
          </w:tcPr>
          <w:p w14:paraId="35ABB0FA" w14:textId="77777777" w:rsidR="00B56A7B" w:rsidRPr="000C156A" w:rsidRDefault="00B56A7B" w:rsidP="00CC47BD">
            <w:pPr>
              <w:pStyle w:val="Tablehead"/>
              <w:rPr>
                <w:lang w:eastAsia="zh-CN"/>
              </w:rPr>
            </w:pPr>
          </w:p>
        </w:tc>
        <w:tc>
          <w:tcPr>
            <w:tcW w:w="5509" w:type="dxa"/>
            <w:gridSpan w:val="4"/>
            <w:tcBorders>
              <w:top w:val="single" w:sz="4" w:space="0" w:color="000000"/>
              <w:left w:val="nil"/>
              <w:bottom w:val="single" w:sz="4" w:space="0" w:color="000000"/>
              <w:right w:val="single" w:sz="4" w:space="0" w:color="000000"/>
            </w:tcBorders>
            <w:vAlign w:val="center"/>
          </w:tcPr>
          <w:p w14:paraId="16B1241D" w14:textId="77777777" w:rsidR="00B56A7B" w:rsidRPr="000C156A" w:rsidRDefault="00B56A7B" w:rsidP="00CC47BD">
            <w:pPr>
              <w:keepNext/>
              <w:spacing w:after="120"/>
              <w:jc w:val="center"/>
              <w:rPr>
                <w:b/>
                <w:sz w:val="22"/>
                <w:szCs w:val="22"/>
                <w:lang w:val="en-US"/>
              </w:rPr>
            </w:pPr>
            <w:r w:rsidRPr="000C156A">
              <w:rPr>
                <w:rFonts w:hint="eastAsia"/>
                <w:b/>
                <w:sz w:val="22"/>
                <w:szCs w:val="22"/>
                <w:lang w:val="en-US" w:eastAsia="zh-CN"/>
              </w:rPr>
              <w:t>准备金</w:t>
            </w:r>
          </w:p>
        </w:tc>
      </w:tr>
      <w:tr w:rsidR="00B56A7B" w:rsidRPr="000C156A" w14:paraId="6BDD17CA" w14:textId="77777777" w:rsidTr="00CC47BD">
        <w:trPr>
          <w:gridAfter w:val="1"/>
          <w:wAfter w:w="11" w:type="dxa"/>
          <w:jc w:val="center"/>
        </w:trPr>
        <w:tc>
          <w:tcPr>
            <w:tcW w:w="4244" w:type="dxa"/>
            <w:tcBorders>
              <w:top w:val="single" w:sz="4" w:space="0" w:color="000000"/>
              <w:left w:val="single" w:sz="4" w:space="0" w:color="auto"/>
              <w:bottom w:val="single" w:sz="4" w:space="0" w:color="auto"/>
              <w:right w:val="single" w:sz="4" w:space="0" w:color="auto"/>
            </w:tcBorders>
            <w:vAlign w:val="center"/>
            <w:hideMark/>
          </w:tcPr>
          <w:p w14:paraId="70087E38" w14:textId="77777777" w:rsidR="00B56A7B" w:rsidRPr="00344609" w:rsidRDefault="00B56A7B" w:rsidP="00CC47BD">
            <w:pPr>
              <w:pStyle w:val="Tablehead"/>
            </w:pPr>
            <w:r w:rsidRPr="00344609">
              <w:rPr>
                <w:rFonts w:hint="eastAsia"/>
              </w:rPr>
              <w:t>单位：千瑞郎</w:t>
            </w:r>
          </w:p>
        </w:tc>
        <w:tc>
          <w:tcPr>
            <w:tcW w:w="1601" w:type="dxa"/>
            <w:tcBorders>
              <w:top w:val="single" w:sz="4" w:space="0" w:color="000000"/>
              <w:left w:val="single" w:sz="4" w:space="0" w:color="auto"/>
              <w:bottom w:val="single" w:sz="4" w:space="0" w:color="auto"/>
              <w:right w:val="single" w:sz="4" w:space="0" w:color="auto"/>
            </w:tcBorders>
            <w:vAlign w:val="center"/>
            <w:hideMark/>
          </w:tcPr>
          <w:p w14:paraId="10DF29A6" w14:textId="77777777" w:rsidR="00B56A7B" w:rsidRPr="000C156A" w:rsidRDefault="00B56A7B" w:rsidP="00CC47BD">
            <w:pPr>
              <w:keepNext/>
              <w:spacing w:after="120"/>
              <w:jc w:val="center"/>
              <w:rPr>
                <w:b/>
                <w:sz w:val="22"/>
                <w:szCs w:val="22"/>
                <w:lang w:val="en-US" w:eastAsia="zh-CN"/>
              </w:rPr>
            </w:pPr>
            <w:r w:rsidRPr="000C156A">
              <w:rPr>
                <w:b/>
                <w:sz w:val="22"/>
                <w:szCs w:val="22"/>
                <w:lang w:val="en-US" w:eastAsia="zh-CN"/>
              </w:rPr>
              <w:t>SNF</w:t>
            </w:r>
          </w:p>
        </w:tc>
        <w:tc>
          <w:tcPr>
            <w:tcW w:w="2100" w:type="dxa"/>
            <w:tcBorders>
              <w:top w:val="single" w:sz="4" w:space="0" w:color="000000"/>
              <w:left w:val="single" w:sz="4" w:space="0" w:color="auto"/>
              <w:bottom w:val="single" w:sz="4" w:space="0" w:color="auto"/>
              <w:right w:val="single" w:sz="4" w:space="0" w:color="auto"/>
            </w:tcBorders>
            <w:vAlign w:val="center"/>
            <w:hideMark/>
          </w:tcPr>
          <w:p w14:paraId="5C4D9028" w14:textId="77777777" w:rsidR="00B56A7B" w:rsidRPr="000C156A" w:rsidRDefault="00B56A7B" w:rsidP="00CC47BD">
            <w:pPr>
              <w:keepNext/>
              <w:spacing w:after="120"/>
              <w:jc w:val="center"/>
              <w:rPr>
                <w:b/>
                <w:sz w:val="22"/>
                <w:szCs w:val="22"/>
                <w:lang w:val="en-US" w:eastAsia="zh-CN"/>
              </w:rPr>
            </w:pPr>
            <w:r w:rsidRPr="000C156A">
              <w:rPr>
                <w:rFonts w:hint="eastAsia"/>
                <w:b/>
                <w:sz w:val="22"/>
                <w:szCs w:val="22"/>
                <w:lang w:val="en-US" w:eastAsia="zh-CN"/>
              </w:rPr>
              <w:t>诉讼</w:t>
            </w:r>
          </w:p>
        </w:tc>
        <w:tc>
          <w:tcPr>
            <w:tcW w:w="1797" w:type="dxa"/>
            <w:tcBorders>
              <w:top w:val="single" w:sz="4" w:space="0" w:color="000000"/>
              <w:left w:val="single" w:sz="4" w:space="0" w:color="auto"/>
              <w:bottom w:val="single" w:sz="4" w:space="0" w:color="auto"/>
              <w:right w:val="single" w:sz="4" w:space="0" w:color="auto"/>
            </w:tcBorders>
            <w:vAlign w:val="center"/>
            <w:hideMark/>
          </w:tcPr>
          <w:p w14:paraId="26A039FB" w14:textId="77777777" w:rsidR="00B56A7B" w:rsidRPr="000C156A" w:rsidRDefault="00B56A7B" w:rsidP="00CC47BD">
            <w:pPr>
              <w:keepNext/>
              <w:spacing w:after="120"/>
              <w:jc w:val="center"/>
              <w:rPr>
                <w:b/>
                <w:sz w:val="22"/>
                <w:szCs w:val="22"/>
                <w:lang w:val="en-US"/>
              </w:rPr>
            </w:pPr>
            <w:r w:rsidRPr="000C156A">
              <w:rPr>
                <w:rFonts w:hint="eastAsia"/>
                <w:b/>
                <w:sz w:val="22"/>
                <w:szCs w:val="22"/>
                <w:lang w:val="en-US"/>
              </w:rPr>
              <w:t>合计</w:t>
            </w:r>
          </w:p>
        </w:tc>
      </w:tr>
      <w:tr w:rsidR="00B56A7B" w:rsidRPr="000C156A" w14:paraId="3BB14D90" w14:textId="77777777" w:rsidTr="00CC47BD">
        <w:trPr>
          <w:gridAfter w:val="1"/>
          <w:wAfter w:w="11" w:type="dxa"/>
          <w:jc w:val="center"/>
        </w:trPr>
        <w:tc>
          <w:tcPr>
            <w:tcW w:w="4244" w:type="dxa"/>
            <w:tcBorders>
              <w:top w:val="single" w:sz="4" w:space="0" w:color="auto"/>
              <w:left w:val="single" w:sz="4" w:space="0" w:color="auto"/>
              <w:bottom w:val="nil"/>
              <w:right w:val="single" w:sz="4" w:space="0" w:color="auto"/>
            </w:tcBorders>
            <w:hideMark/>
          </w:tcPr>
          <w:p w14:paraId="1BE696C6" w14:textId="77777777" w:rsidR="00B56A7B" w:rsidRPr="00344609" w:rsidRDefault="00B56A7B" w:rsidP="00CC47BD">
            <w:pPr>
              <w:pStyle w:val="Tablehead"/>
            </w:pPr>
            <w:r w:rsidRPr="00344609">
              <w:rPr>
                <w:rFonts w:hint="eastAsia"/>
              </w:rPr>
              <w:t>期初余额</w:t>
            </w:r>
          </w:p>
        </w:tc>
        <w:tc>
          <w:tcPr>
            <w:tcW w:w="1601" w:type="dxa"/>
            <w:tcBorders>
              <w:top w:val="nil"/>
              <w:left w:val="nil"/>
              <w:bottom w:val="nil"/>
              <w:right w:val="single" w:sz="4" w:space="0" w:color="auto"/>
            </w:tcBorders>
            <w:shd w:val="clear" w:color="auto" w:fill="auto"/>
            <w:vAlign w:val="center"/>
            <w:hideMark/>
          </w:tcPr>
          <w:p w14:paraId="7832DD1A" w14:textId="77777777" w:rsidR="00B56A7B" w:rsidRPr="000C156A" w:rsidRDefault="00B56A7B" w:rsidP="00CC47BD">
            <w:pPr>
              <w:keepNext/>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530</w:t>
            </w:r>
          </w:p>
        </w:tc>
        <w:tc>
          <w:tcPr>
            <w:tcW w:w="2100" w:type="dxa"/>
            <w:tcBorders>
              <w:top w:val="nil"/>
              <w:left w:val="nil"/>
              <w:bottom w:val="nil"/>
              <w:right w:val="single" w:sz="4" w:space="0" w:color="auto"/>
            </w:tcBorders>
            <w:shd w:val="clear" w:color="auto" w:fill="auto"/>
            <w:vAlign w:val="center"/>
            <w:hideMark/>
          </w:tcPr>
          <w:p w14:paraId="525930F8" w14:textId="69EBA2E4" w:rsidR="00B56A7B" w:rsidRPr="000C156A" w:rsidRDefault="00B56A7B" w:rsidP="00CC47BD">
            <w:pPr>
              <w:keepNext/>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57</w:t>
            </w:r>
            <w:r w:rsidR="00EC26EC">
              <w:rPr>
                <w:rFonts w:cs="Arial"/>
                <w:b/>
                <w:bCs/>
                <w:color w:val="000000"/>
                <w:sz w:val="22"/>
                <w:szCs w:val="22"/>
                <w:lang w:val="en-US" w:eastAsia="zh-CN"/>
              </w:rPr>
              <w:t>4</w:t>
            </w:r>
          </w:p>
        </w:tc>
        <w:tc>
          <w:tcPr>
            <w:tcW w:w="1797" w:type="dxa"/>
            <w:tcBorders>
              <w:top w:val="nil"/>
              <w:left w:val="nil"/>
              <w:bottom w:val="nil"/>
              <w:right w:val="single" w:sz="4" w:space="0" w:color="auto"/>
            </w:tcBorders>
            <w:shd w:val="clear" w:color="auto" w:fill="auto"/>
            <w:vAlign w:val="center"/>
            <w:hideMark/>
          </w:tcPr>
          <w:p w14:paraId="42B8841E" w14:textId="7865CA23" w:rsidR="00B56A7B" w:rsidRPr="000C156A" w:rsidRDefault="00B56A7B" w:rsidP="00CC47BD">
            <w:pPr>
              <w:keepNext/>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1</w:t>
            </w:r>
            <w:r w:rsidR="00EC26EC">
              <w:rPr>
                <w:rFonts w:cs="Arial"/>
                <w:b/>
                <w:bCs/>
                <w:color w:val="000000"/>
                <w:sz w:val="22"/>
                <w:szCs w:val="22"/>
                <w:lang w:val="en-US" w:eastAsia="zh-CN"/>
              </w:rPr>
              <w:t> </w:t>
            </w:r>
            <w:r>
              <w:rPr>
                <w:rFonts w:cs="Arial"/>
                <w:b/>
                <w:bCs/>
                <w:color w:val="000000"/>
                <w:sz w:val="22"/>
                <w:szCs w:val="22"/>
                <w:lang w:val="en-US" w:eastAsia="zh-CN"/>
              </w:rPr>
              <w:t>105</w:t>
            </w:r>
          </w:p>
        </w:tc>
      </w:tr>
      <w:tr w:rsidR="00B56A7B" w:rsidRPr="000C156A" w14:paraId="16B5ABF3" w14:textId="77777777" w:rsidTr="00CC47BD">
        <w:trPr>
          <w:gridAfter w:val="1"/>
          <w:wAfter w:w="11" w:type="dxa"/>
          <w:jc w:val="center"/>
        </w:trPr>
        <w:tc>
          <w:tcPr>
            <w:tcW w:w="4244" w:type="dxa"/>
            <w:tcBorders>
              <w:top w:val="nil"/>
              <w:left w:val="single" w:sz="4" w:space="0" w:color="auto"/>
              <w:bottom w:val="nil"/>
              <w:right w:val="single" w:sz="4" w:space="0" w:color="auto"/>
            </w:tcBorders>
            <w:hideMark/>
          </w:tcPr>
          <w:p w14:paraId="1BF95EE9" w14:textId="77777777" w:rsidR="00B56A7B" w:rsidRPr="000C156A" w:rsidRDefault="00B56A7B" w:rsidP="00CC47BD">
            <w:pPr>
              <w:pStyle w:val="Tabletext"/>
            </w:pPr>
            <w:r w:rsidRPr="000C156A">
              <w:rPr>
                <w:rFonts w:hint="eastAsia"/>
              </w:rPr>
              <w:t>增长</w:t>
            </w:r>
          </w:p>
        </w:tc>
        <w:tc>
          <w:tcPr>
            <w:tcW w:w="1601" w:type="dxa"/>
            <w:tcBorders>
              <w:top w:val="nil"/>
              <w:left w:val="nil"/>
              <w:bottom w:val="nil"/>
              <w:right w:val="single" w:sz="4" w:space="0" w:color="auto"/>
            </w:tcBorders>
            <w:shd w:val="clear" w:color="auto" w:fill="auto"/>
            <w:vAlign w:val="bottom"/>
            <w:hideMark/>
          </w:tcPr>
          <w:p w14:paraId="48BAE311"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279</w:t>
            </w:r>
          </w:p>
        </w:tc>
        <w:tc>
          <w:tcPr>
            <w:tcW w:w="2100" w:type="dxa"/>
            <w:tcBorders>
              <w:top w:val="nil"/>
              <w:left w:val="nil"/>
              <w:bottom w:val="nil"/>
              <w:right w:val="single" w:sz="4" w:space="0" w:color="auto"/>
            </w:tcBorders>
            <w:shd w:val="clear" w:color="auto" w:fill="auto"/>
            <w:vAlign w:val="bottom"/>
            <w:hideMark/>
          </w:tcPr>
          <w:p w14:paraId="44A5D586"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565</w:t>
            </w:r>
          </w:p>
        </w:tc>
        <w:tc>
          <w:tcPr>
            <w:tcW w:w="1797" w:type="dxa"/>
            <w:tcBorders>
              <w:top w:val="nil"/>
              <w:left w:val="nil"/>
              <w:bottom w:val="nil"/>
              <w:right w:val="single" w:sz="4" w:space="0" w:color="auto"/>
            </w:tcBorders>
            <w:shd w:val="clear" w:color="auto" w:fill="auto"/>
            <w:vAlign w:val="bottom"/>
            <w:hideMark/>
          </w:tcPr>
          <w:p w14:paraId="28FD410F"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844</w:t>
            </w:r>
          </w:p>
        </w:tc>
      </w:tr>
      <w:tr w:rsidR="00B56A7B" w:rsidRPr="000C156A" w14:paraId="7E9FFE6C" w14:textId="77777777" w:rsidTr="00CC47BD">
        <w:trPr>
          <w:gridAfter w:val="1"/>
          <w:wAfter w:w="11" w:type="dxa"/>
          <w:jc w:val="center"/>
        </w:trPr>
        <w:tc>
          <w:tcPr>
            <w:tcW w:w="4244" w:type="dxa"/>
            <w:tcBorders>
              <w:top w:val="nil"/>
              <w:left w:val="single" w:sz="4" w:space="0" w:color="auto"/>
              <w:bottom w:val="nil"/>
              <w:right w:val="single" w:sz="4" w:space="0" w:color="auto"/>
            </w:tcBorders>
            <w:hideMark/>
          </w:tcPr>
          <w:p w14:paraId="52925867" w14:textId="77777777" w:rsidR="00B56A7B" w:rsidRPr="000C156A" w:rsidRDefault="00B56A7B" w:rsidP="00CC47BD">
            <w:pPr>
              <w:pStyle w:val="Tabletext"/>
              <w:rPr>
                <w:rFonts w:asciiTheme="minorHAnsi" w:eastAsiaTheme="majorEastAsia" w:hAnsiTheme="minorHAnsi" w:cstheme="minorHAnsi"/>
                <w:szCs w:val="22"/>
              </w:rPr>
            </w:pPr>
            <w:r w:rsidRPr="000C156A">
              <w:rPr>
                <w:rFonts w:asciiTheme="minorHAnsi" w:eastAsiaTheme="majorEastAsia" w:hAnsiTheme="minorHAnsi" w:cstheme="minorHAnsi" w:hint="eastAsia"/>
                <w:szCs w:val="22"/>
              </w:rPr>
              <w:t>年内使用</w:t>
            </w:r>
          </w:p>
        </w:tc>
        <w:tc>
          <w:tcPr>
            <w:tcW w:w="1601" w:type="dxa"/>
            <w:tcBorders>
              <w:top w:val="nil"/>
              <w:left w:val="nil"/>
              <w:bottom w:val="nil"/>
              <w:right w:val="single" w:sz="4" w:space="0" w:color="auto"/>
            </w:tcBorders>
            <w:shd w:val="clear" w:color="auto" w:fill="auto"/>
            <w:vAlign w:val="bottom"/>
            <w:hideMark/>
          </w:tcPr>
          <w:p w14:paraId="53563A10"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w:t>
            </w:r>
            <w:r>
              <w:rPr>
                <w:rFonts w:cs="Arial"/>
                <w:color w:val="000000"/>
                <w:sz w:val="22"/>
                <w:szCs w:val="22"/>
                <w:lang w:val="en-US" w:eastAsia="zh-CN"/>
              </w:rPr>
              <w:t>89</w:t>
            </w:r>
          </w:p>
        </w:tc>
        <w:tc>
          <w:tcPr>
            <w:tcW w:w="2100" w:type="dxa"/>
            <w:tcBorders>
              <w:top w:val="nil"/>
              <w:left w:val="nil"/>
              <w:bottom w:val="nil"/>
              <w:right w:val="single" w:sz="4" w:space="0" w:color="auto"/>
            </w:tcBorders>
            <w:shd w:val="clear" w:color="auto" w:fill="auto"/>
            <w:vAlign w:val="bottom"/>
            <w:hideMark/>
          </w:tcPr>
          <w:p w14:paraId="2DFE5F11"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w:t>
            </w:r>
            <w:r>
              <w:rPr>
                <w:rFonts w:cs="Arial"/>
                <w:color w:val="000000"/>
                <w:sz w:val="22"/>
                <w:szCs w:val="22"/>
                <w:lang w:val="en-US" w:eastAsia="zh-CN"/>
              </w:rPr>
              <w:t>51</w:t>
            </w:r>
          </w:p>
        </w:tc>
        <w:tc>
          <w:tcPr>
            <w:tcW w:w="1797" w:type="dxa"/>
            <w:tcBorders>
              <w:top w:val="nil"/>
              <w:left w:val="nil"/>
              <w:bottom w:val="nil"/>
              <w:right w:val="single" w:sz="4" w:space="0" w:color="auto"/>
            </w:tcBorders>
            <w:shd w:val="clear" w:color="auto" w:fill="auto"/>
            <w:vAlign w:val="bottom"/>
            <w:hideMark/>
          </w:tcPr>
          <w:p w14:paraId="1291CE32"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-141</w:t>
            </w:r>
          </w:p>
        </w:tc>
      </w:tr>
      <w:tr w:rsidR="00B56A7B" w:rsidRPr="000C156A" w14:paraId="2CC1A28B" w14:textId="77777777" w:rsidTr="00CC47BD">
        <w:trPr>
          <w:gridAfter w:val="1"/>
          <w:wAfter w:w="11" w:type="dxa"/>
          <w:jc w:val="center"/>
        </w:trPr>
        <w:tc>
          <w:tcPr>
            <w:tcW w:w="4244" w:type="dxa"/>
            <w:tcBorders>
              <w:top w:val="nil"/>
              <w:left w:val="single" w:sz="4" w:space="0" w:color="auto"/>
              <w:bottom w:val="nil"/>
              <w:right w:val="single" w:sz="4" w:space="0" w:color="auto"/>
            </w:tcBorders>
            <w:hideMark/>
          </w:tcPr>
          <w:p w14:paraId="5AF06028" w14:textId="77777777" w:rsidR="00B56A7B" w:rsidRPr="000C156A" w:rsidRDefault="00B56A7B" w:rsidP="00CC47BD">
            <w:pPr>
              <w:pStyle w:val="Tabletext"/>
              <w:rPr>
                <w:rFonts w:asciiTheme="minorHAnsi" w:eastAsiaTheme="majorEastAsia" w:hAnsiTheme="minorHAnsi" w:cstheme="minorHAnsi"/>
                <w:szCs w:val="22"/>
              </w:rPr>
            </w:pPr>
            <w:r w:rsidRPr="000C156A">
              <w:rPr>
                <w:rFonts w:asciiTheme="minorHAnsi" w:eastAsiaTheme="majorEastAsia" w:hAnsiTheme="minorHAnsi" w:cstheme="minorHAnsi" w:hint="eastAsia"/>
                <w:szCs w:val="22"/>
              </w:rPr>
              <w:t>减免</w:t>
            </w:r>
          </w:p>
        </w:tc>
        <w:tc>
          <w:tcPr>
            <w:tcW w:w="1601" w:type="dxa"/>
            <w:tcBorders>
              <w:top w:val="nil"/>
              <w:left w:val="nil"/>
              <w:bottom w:val="nil"/>
              <w:right w:val="single" w:sz="4" w:space="0" w:color="auto"/>
            </w:tcBorders>
            <w:shd w:val="clear" w:color="auto" w:fill="auto"/>
            <w:vAlign w:val="bottom"/>
            <w:hideMark/>
          </w:tcPr>
          <w:p w14:paraId="52A5C029"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r w:rsidRPr="00D178D3">
              <w:rPr>
                <w:rFonts w:cs="Arial"/>
                <w:color w:val="000000"/>
                <w:sz w:val="22"/>
                <w:szCs w:val="22"/>
                <w:lang w:val="en-US" w:eastAsia="zh-CN"/>
              </w:rPr>
              <w:t>-</w:t>
            </w:r>
            <w:r>
              <w:rPr>
                <w:rFonts w:cs="Arial"/>
                <w:color w:val="000000"/>
                <w:sz w:val="22"/>
                <w:szCs w:val="22"/>
                <w:lang w:val="en-US" w:eastAsia="zh-CN"/>
              </w:rPr>
              <w:t>441</w:t>
            </w:r>
          </w:p>
        </w:tc>
        <w:tc>
          <w:tcPr>
            <w:tcW w:w="2100" w:type="dxa"/>
            <w:tcBorders>
              <w:top w:val="nil"/>
              <w:left w:val="nil"/>
              <w:bottom w:val="nil"/>
              <w:right w:val="single" w:sz="4" w:space="0" w:color="auto"/>
            </w:tcBorders>
            <w:shd w:val="clear" w:color="auto" w:fill="auto"/>
            <w:vAlign w:val="bottom"/>
            <w:hideMark/>
          </w:tcPr>
          <w:p w14:paraId="3BC9D8BC"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p>
        </w:tc>
        <w:tc>
          <w:tcPr>
            <w:tcW w:w="1797" w:type="dxa"/>
            <w:tcBorders>
              <w:top w:val="nil"/>
              <w:left w:val="nil"/>
              <w:bottom w:val="nil"/>
              <w:right w:val="single" w:sz="4" w:space="0" w:color="auto"/>
            </w:tcBorders>
            <w:shd w:val="clear" w:color="auto" w:fill="auto"/>
            <w:vAlign w:val="bottom"/>
            <w:hideMark/>
          </w:tcPr>
          <w:p w14:paraId="498C7718"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-441</w:t>
            </w:r>
          </w:p>
        </w:tc>
      </w:tr>
      <w:tr w:rsidR="00B56A7B" w:rsidRPr="000C156A" w14:paraId="3B9B1B04" w14:textId="77777777" w:rsidTr="00CC47BD">
        <w:trPr>
          <w:gridAfter w:val="1"/>
          <w:wAfter w:w="11" w:type="dxa"/>
          <w:jc w:val="center"/>
        </w:trPr>
        <w:tc>
          <w:tcPr>
            <w:tcW w:w="4244" w:type="dxa"/>
            <w:tcBorders>
              <w:top w:val="nil"/>
              <w:left w:val="single" w:sz="4" w:space="0" w:color="auto"/>
              <w:bottom w:val="nil"/>
              <w:right w:val="single" w:sz="4" w:space="0" w:color="auto"/>
            </w:tcBorders>
          </w:tcPr>
          <w:p w14:paraId="1B858BA2" w14:textId="77777777" w:rsidR="00B56A7B" w:rsidRPr="000C156A" w:rsidRDefault="00B56A7B" w:rsidP="00CC47BD">
            <w:pPr>
              <w:pStyle w:val="Tabletext"/>
              <w:rPr>
                <w:rFonts w:asciiTheme="minorHAnsi" w:eastAsiaTheme="majorEastAsia" w:hAnsiTheme="minorHAnsi" w:cstheme="minorHAnsi"/>
                <w:szCs w:val="22"/>
              </w:rPr>
            </w:pPr>
            <w:r w:rsidRPr="000C156A">
              <w:rPr>
                <w:rFonts w:asciiTheme="minorEastAsia" w:eastAsiaTheme="minorEastAsia" w:hAnsiTheme="minorEastAsia" w:cs="Arial" w:hint="eastAsia"/>
                <w:color w:val="000000"/>
                <w:szCs w:val="22"/>
              </w:rPr>
              <w:t>转账</w:t>
            </w:r>
          </w:p>
        </w:tc>
        <w:tc>
          <w:tcPr>
            <w:tcW w:w="1601" w:type="dxa"/>
            <w:tcBorders>
              <w:top w:val="nil"/>
              <w:left w:val="single" w:sz="4" w:space="0" w:color="auto"/>
              <w:bottom w:val="nil"/>
              <w:right w:val="single" w:sz="4" w:space="0" w:color="auto"/>
            </w:tcBorders>
            <w:vAlign w:val="bottom"/>
          </w:tcPr>
          <w:p w14:paraId="6D4A9739"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p>
        </w:tc>
        <w:tc>
          <w:tcPr>
            <w:tcW w:w="2100" w:type="dxa"/>
            <w:tcBorders>
              <w:top w:val="nil"/>
              <w:left w:val="single" w:sz="4" w:space="0" w:color="auto"/>
              <w:bottom w:val="nil"/>
              <w:right w:val="single" w:sz="4" w:space="0" w:color="auto"/>
            </w:tcBorders>
            <w:vAlign w:val="bottom"/>
          </w:tcPr>
          <w:p w14:paraId="61984996"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p>
        </w:tc>
        <w:tc>
          <w:tcPr>
            <w:tcW w:w="1797" w:type="dxa"/>
            <w:tcBorders>
              <w:top w:val="nil"/>
              <w:left w:val="single" w:sz="4" w:space="0" w:color="auto"/>
              <w:bottom w:val="nil"/>
              <w:right w:val="single" w:sz="4" w:space="0" w:color="auto"/>
            </w:tcBorders>
            <w:vAlign w:val="bottom"/>
          </w:tcPr>
          <w:p w14:paraId="2A4BDE47"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p>
        </w:tc>
      </w:tr>
      <w:tr w:rsidR="00B56A7B" w:rsidRPr="000C156A" w14:paraId="4E52DBBD" w14:textId="77777777" w:rsidTr="00CC47BD">
        <w:trPr>
          <w:gridAfter w:val="1"/>
          <w:wAfter w:w="11" w:type="dxa"/>
          <w:jc w:val="center"/>
        </w:trPr>
        <w:tc>
          <w:tcPr>
            <w:tcW w:w="4244" w:type="dxa"/>
            <w:tcBorders>
              <w:top w:val="nil"/>
              <w:left w:val="single" w:sz="4" w:space="0" w:color="auto"/>
              <w:bottom w:val="single" w:sz="4" w:space="0" w:color="auto"/>
              <w:right w:val="single" w:sz="4" w:space="0" w:color="auto"/>
            </w:tcBorders>
            <w:hideMark/>
          </w:tcPr>
          <w:p w14:paraId="48683E65" w14:textId="77777777" w:rsidR="00B56A7B" w:rsidRPr="000C156A" w:rsidRDefault="00B56A7B" w:rsidP="00CC47BD">
            <w:pPr>
              <w:pStyle w:val="Tabletext"/>
              <w:rPr>
                <w:rFonts w:asciiTheme="minorHAnsi" w:eastAsiaTheme="majorEastAsia" w:hAnsiTheme="minorHAnsi" w:cstheme="minorHAnsi"/>
                <w:szCs w:val="22"/>
              </w:rPr>
            </w:pPr>
            <w:r w:rsidRPr="000C156A">
              <w:rPr>
                <w:rFonts w:asciiTheme="minorHAnsi" w:eastAsiaTheme="majorEastAsia" w:hAnsiTheme="minorHAnsi" w:cstheme="minorHAnsi" w:hint="eastAsia"/>
                <w:szCs w:val="22"/>
              </w:rPr>
              <w:t>未实现的兑换收益</w:t>
            </w:r>
          </w:p>
        </w:tc>
        <w:tc>
          <w:tcPr>
            <w:tcW w:w="1601" w:type="dxa"/>
            <w:tcBorders>
              <w:top w:val="nil"/>
              <w:left w:val="single" w:sz="4" w:space="0" w:color="auto"/>
              <w:bottom w:val="single" w:sz="4" w:space="0" w:color="auto"/>
              <w:right w:val="single" w:sz="4" w:space="0" w:color="auto"/>
            </w:tcBorders>
            <w:vAlign w:val="bottom"/>
          </w:tcPr>
          <w:p w14:paraId="622E8FA4"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p>
        </w:tc>
        <w:tc>
          <w:tcPr>
            <w:tcW w:w="2100" w:type="dxa"/>
            <w:tcBorders>
              <w:top w:val="nil"/>
              <w:left w:val="single" w:sz="4" w:space="0" w:color="auto"/>
              <w:bottom w:val="single" w:sz="4" w:space="0" w:color="auto"/>
              <w:right w:val="single" w:sz="4" w:space="0" w:color="auto"/>
            </w:tcBorders>
            <w:vAlign w:val="bottom"/>
            <w:hideMark/>
          </w:tcPr>
          <w:p w14:paraId="2F497673"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w:t>
            </w:r>
          </w:p>
        </w:tc>
        <w:tc>
          <w:tcPr>
            <w:tcW w:w="1797" w:type="dxa"/>
            <w:tcBorders>
              <w:top w:val="nil"/>
              <w:left w:val="single" w:sz="4" w:space="0" w:color="auto"/>
              <w:bottom w:val="single" w:sz="4" w:space="0" w:color="auto"/>
              <w:right w:val="single" w:sz="4" w:space="0" w:color="auto"/>
            </w:tcBorders>
            <w:vAlign w:val="bottom"/>
            <w:hideMark/>
          </w:tcPr>
          <w:p w14:paraId="3051D486" w14:textId="77777777" w:rsidR="00B56A7B" w:rsidRPr="000C156A" w:rsidRDefault="00B56A7B" w:rsidP="00CC47BD">
            <w:pPr>
              <w:keepNext/>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w:t>
            </w:r>
          </w:p>
        </w:tc>
      </w:tr>
      <w:tr w:rsidR="00B56A7B" w:rsidRPr="000C156A" w14:paraId="6C36B293" w14:textId="77777777" w:rsidTr="00CC47BD">
        <w:trPr>
          <w:gridAfter w:val="1"/>
          <w:wAfter w:w="11" w:type="dxa"/>
          <w:jc w:val="center"/>
        </w:trPr>
        <w:tc>
          <w:tcPr>
            <w:tcW w:w="4244" w:type="dxa"/>
            <w:tcBorders>
              <w:top w:val="single" w:sz="4" w:space="0" w:color="auto"/>
              <w:left w:val="single" w:sz="4" w:space="0" w:color="auto"/>
              <w:bottom w:val="single" w:sz="4" w:space="0" w:color="auto"/>
              <w:right w:val="single" w:sz="4" w:space="0" w:color="auto"/>
            </w:tcBorders>
            <w:hideMark/>
          </w:tcPr>
          <w:p w14:paraId="5BC4D14D" w14:textId="77777777" w:rsidR="00B56A7B" w:rsidRPr="000C156A" w:rsidRDefault="00B56A7B" w:rsidP="00CC47BD">
            <w:pPr>
              <w:spacing w:before="60" w:after="60"/>
              <w:rPr>
                <w:sz w:val="22"/>
                <w:szCs w:val="22"/>
                <w:lang w:val="en-US" w:eastAsia="zh-CN"/>
              </w:rPr>
            </w:pPr>
            <w:r w:rsidRPr="000C156A">
              <w:rPr>
                <w:rFonts w:hint="eastAsia"/>
                <w:b/>
                <w:bCs/>
                <w:sz w:val="22"/>
                <w:szCs w:val="22"/>
                <w:lang w:val="en-US" w:eastAsia="zh-CN"/>
              </w:rPr>
              <w:t>期终余额</w:t>
            </w:r>
          </w:p>
        </w:tc>
        <w:tc>
          <w:tcPr>
            <w:tcW w:w="1601" w:type="dxa"/>
            <w:tcBorders>
              <w:top w:val="single" w:sz="4" w:space="0" w:color="auto"/>
              <w:left w:val="single" w:sz="4" w:space="0" w:color="auto"/>
              <w:bottom w:val="single" w:sz="4" w:space="0" w:color="auto"/>
              <w:right w:val="single" w:sz="4" w:space="0" w:color="auto"/>
            </w:tcBorders>
            <w:vAlign w:val="center"/>
            <w:hideMark/>
          </w:tcPr>
          <w:p w14:paraId="289E698A" w14:textId="77777777" w:rsidR="00B56A7B" w:rsidRPr="000C156A" w:rsidRDefault="00B56A7B" w:rsidP="00CC47BD">
            <w:pPr>
              <w:keepNext/>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279</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043A28E" w14:textId="0A76C4AC" w:rsidR="00B56A7B" w:rsidRPr="000C156A" w:rsidRDefault="00B56A7B" w:rsidP="00CC47BD">
            <w:pPr>
              <w:keepNext/>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1</w:t>
            </w:r>
            <w:r w:rsidR="00EC26EC">
              <w:rPr>
                <w:rFonts w:cs="Arial"/>
                <w:b/>
                <w:bCs/>
                <w:color w:val="000000"/>
                <w:sz w:val="22"/>
                <w:szCs w:val="22"/>
                <w:lang w:val="en-US" w:eastAsia="zh-CN"/>
              </w:rPr>
              <w:t> </w:t>
            </w:r>
            <w:r>
              <w:rPr>
                <w:rFonts w:cs="Arial"/>
                <w:b/>
                <w:bCs/>
                <w:color w:val="000000"/>
                <w:sz w:val="22"/>
                <w:szCs w:val="22"/>
                <w:lang w:val="en-US" w:eastAsia="zh-CN"/>
              </w:rPr>
              <w:t>093</w:t>
            </w:r>
          </w:p>
        </w:tc>
        <w:tc>
          <w:tcPr>
            <w:tcW w:w="1797" w:type="dxa"/>
            <w:tcBorders>
              <w:top w:val="single" w:sz="4" w:space="0" w:color="auto"/>
              <w:left w:val="single" w:sz="4" w:space="0" w:color="auto"/>
              <w:bottom w:val="single" w:sz="4" w:space="0" w:color="auto"/>
              <w:right w:val="single" w:sz="4" w:space="0" w:color="auto"/>
            </w:tcBorders>
            <w:vAlign w:val="center"/>
            <w:hideMark/>
          </w:tcPr>
          <w:p w14:paraId="1DC0101C" w14:textId="4DBFA2F0" w:rsidR="00B56A7B" w:rsidRPr="000C156A" w:rsidRDefault="00B56A7B" w:rsidP="00CC47BD">
            <w:pPr>
              <w:keepNext/>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1</w:t>
            </w:r>
            <w:r w:rsidR="00EC26EC">
              <w:rPr>
                <w:rFonts w:cs="Arial"/>
                <w:b/>
                <w:bCs/>
                <w:color w:val="000000"/>
                <w:sz w:val="22"/>
                <w:szCs w:val="22"/>
                <w:lang w:val="en-US" w:eastAsia="zh-CN"/>
              </w:rPr>
              <w:t> </w:t>
            </w:r>
            <w:r>
              <w:rPr>
                <w:rFonts w:cs="Arial"/>
                <w:b/>
                <w:bCs/>
                <w:color w:val="000000"/>
                <w:sz w:val="22"/>
                <w:szCs w:val="22"/>
                <w:lang w:val="en-US" w:eastAsia="zh-CN"/>
              </w:rPr>
              <w:t>372</w:t>
            </w:r>
          </w:p>
        </w:tc>
      </w:tr>
    </w:tbl>
    <w:p w14:paraId="096D9848" w14:textId="77777777" w:rsidR="00B56A7B" w:rsidRPr="000C156A" w:rsidRDefault="00B56A7B" w:rsidP="00B56A7B">
      <w:pPr>
        <w:pStyle w:val="Heading1"/>
        <w:spacing w:before="240" w:after="240"/>
        <w:rPr>
          <w:rFonts w:cs="Microsoft YaHei"/>
          <w:sz w:val="24"/>
          <w:szCs w:val="24"/>
          <w:lang w:val="fr-FR"/>
        </w:rPr>
      </w:pPr>
      <w:bookmarkStart w:id="969" w:name="_Toc482892579"/>
      <w:bookmarkStart w:id="970" w:name="_Toc482870844"/>
      <w:bookmarkStart w:id="971" w:name="_Toc329165795"/>
      <w:bookmarkStart w:id="972" w:name="_Toc305594753"/>
      <w:bookmarkStart w:id="973" w:name="_Toc511813763"/>
      <w:bookmarkStart w:id="974" w:name="_Toc511817846"/>
      <w:bookmarkStart w:id="975" w:name="_Toc520280746"/>
      <w:bookmarkStart w:id="976" w:name="_Toc10536841"/>
      <w:bookmarkStart w:id="977" w:name="_Toc41905892"/>
      <w:bookmarkStart w:id="978" w:name="_Toc41906913"/>
      <w:bookmarkStart w:id="979" w:name="_Toc41907994"/>
      <w:bookmarkStart w:id="980" w:name="_Toc41908062"/>
      <w:bookmarkStart w:id="981" w:name="_Toc73518710"/>
      <w:bookmarkStart w:id="982" w:name="_Toc73518857"/>
      <w:bookmarkStart w:id="983" w:name="_Toc73519257"/>
      <w:bookmarkStart w:id="984" w:name="_Toc110264014"/>
      <w:bookmarkStart w:id="985" w:name="_Toc110264093"/>
      <w:bookmarkStart w:id="986" w:name="_Toc110265732"/>
      <w:bookmarkStart w:id="987" w:name="_Toc110330102"/>
      <w:bookmarkStart w:id="988" w:name="_Toc110330267"/>
      <w:r w:rsidRPr="000C156A">
        <w:rPr>
          <w:rFonts w:cs="Microsoft YaHei" w:hint="eastAsia"/>
          <w:sz w:val="24"/>
          <w:szCs w:val="24"/>
          <w:lang w:val="fr-FR"/>
        </w:rPr>
        <w:t>说明</w:t>
      </w:r>
      <w:r w:rsidRPr="000C156A">
        <w:rPr>
          <w:rFonts w:cs="Microsoft YaHei"/>
          <w:sz w:val="24"/>
          <w:szCs w:val="24"/>
          <w:lang w:val="fr-FR"/>
        </w:rPr>
        <w:t>19</w:t>
      </w:r>
      <w:r w:rsidRPr="000C156A">
        <w:rPr>
          <w:rFonts w:cs="Microsoft YaHei"/>
          <w:sz w:val="24"/>
          <w:szCs w:val="24"/>
          <w:lang w:val="fr-FR"/>
        </w:rPr>
        <w:tab/>
      </w:r>
      <w:r w:rsidRPr="000C156A">
        <w:rPr>
          <w:rFonts w:cs="Microsoft YaHei" w:hint="eastAsia"/>
          <w:sz w:val="24"/>
          <w:szCs w:val="24"/>
          <w:lang w:val="fr-FR"/>
        </w:rPr>
        <w:t>其它债务</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tbl>
      <w:tblPr>
        <w:tblW w:w="9781" w:type="dxa"/>
        <w:jc w:val="center"/>
        <w:tblLayout w:type="fixed"/>
        <w:tblLook w:val="04A0" w:firstRow="1" w:lastRow="0" w:firstColumn="1" w:lastColumn="0" w:noHBand="0" w:noVBand="1"/>
      </w:tblPr>
      <w:tblGrid>
        <w:gridCol w:w="5382"/>
        <w:gridCol w:w="2220"/>
        <w:gridCol w:w="2179"/>
      </w:tblGrid>
      <w:tr w:rsidR="00B56A7B" w:rsidRPr="000C156A" w14:paraId="4127A0B9" w14:textId="77777777" w:rsidTr="00CC47BD">
        <w:trPr>
          <w:trHeight w:val="499"/>
          <w:jc w:val="center"/>
        </w:trPr>
        <w:tc>
          <w:tcPr>
            <w:tcW w:w="5382" w:type="dxa"/>
            <w:tcBorders>
              <w:top w:val="single" w:sz="4" w:space="0" w:color="auto"/>
              <w:left w:val="single" w:sz="4" w:space="0" w:color="auto"/>
              <w:bottom w:val="single" w:sz="4" w:space="0" w:color="auto"/>
              <w:right w:val="single" w:sz="4" w:space="0" w:color="auto"/>
            </w:tcBorders>
            <w:noWrap/>
            <w:vAlign w:val="center"/>
            <w:hideMark/>
          </w:tcPr>
          <w:p w14:paraId="4C77C4C4" w14:textId="77777777" w:rsidR="00B56A7B" w:rsidRPr="000C156A" w:rsidRDefault="00B56A7B" w:rsidP="00CC47BD">
            <w:pPr>
              <w:keepNext/>
              <w:keepLines/>
              <w:spacing w:after="120"/>
              <w:rPr>
                <w:b/>
                <w:sz w:val="22"/>
                <w:szCs w:val="22"/>
                <w:lang w:val="en-US"/>
              </w:rPr>
            </w:pPr>
            <w:bookmarkStart w:id="989" w:name="_MON_1402745955"/>
            <w:bookmarkEnd w:id="989"/>
            <w:r w:rsidRPr="000C156A">
              <w:rPr>
                <w:rFonts w:ascii="SimSun" w:hAnsi="SimSun" w:cs="SimSun" w:hint="eastAsia"/>
                <w:b/>
                <w:sz w:val="22"/>
                <w:szCs w:val="22"/>
                <w:lang w:val="en-US"/>
              </w:rPr>
              <w:t>单位：千瑞郎</w:t>
            </w:r>
          </w:p>
        </w:tc>
        <w:tc>
          <w:tcPr>
            <w:tcW w:w="2220" w:type="dxa"/>
            <w:tcBorders>
              <w:top w:val="single" w:sz="4" w:space="0" w:color="auto"/>
              <w:left w:val="nil"/>
              <w:bottom w:val="single" w:sz="4" w:space="0" w:color="auto"/>
              <w:right w:val="single" w:sz="4" w:space="0" w:color="auto"/>
            </w:tcBorders>
            <w:noWrap/>
            <w:vAlign w:val="center"/>
            <w:hideMark/>
          </w:tcPr>
          <w:p w14:paraId="29C47F67" w14:textId="77777777" w:rsidR="00B56A7B" w:rsidRPr="000C156A" w:rsidRDefault="00B56A7B" w:rsidP="00CC47BD">
            <w:pPr>
              <w:spacing w:after="120"/>
              <w:jc w:val="center"/>
              <w:rPr>
                <w:b/>
                <w:sz w:val="22"/>
                <w:szCs w:val="22"/>
                <w:lang w:val="en-US"/>
              </w:rPr>
            </w:pPr>
            <w:r w:rsidRPr="000C156A">
              <w:rPr>
                <w:b/>
                <w:sz w:val="22"/>
                <w:szCs w:val="22"/>
                <w:lang w:val="en-US"/>
              </w:rPr>
              <w:t>202</w:t>
            </w:r>
            <w:r>
              <w:rPr>
                <w:b/>
                <w:sz w:val="22"/>
                <w:szCs w:val="22"/>
                <w:lang w:val="en-US"/>
              </w:rPr>
              <w:t>1</w:t>
            </w:r>
            <w:r w:rsidRPr="000C156A">
              <w:rPr>
                <w:rFonts w:ascii="SimSun" w:hAnsi="SimSun" w:cs="SimSun" w:hint="eastAsia"/>
                <w:b/>
                <w:sz w:val="22"/>
                <w:szCs w:val="22"/>
                <w:lang w:val="en-US"/>
              </w:rPr>
              <w:t>年</w:t>
            </w:r>
            <w:r w:rsidRPr="000C156A">
              <w:rPr>
                <w:b/>
                <w:sz w:val="22"/>
                <w:szCs w:val="22"/>
                <w:lang w:val="en-US"/>
              </w:rPr>
              <w:t>12</w:t>
            </w:r>
            <w:r w:rsidRPr="000C156A">
              <w:rPr>
                <w:rFonts w:ascii="SimSun" w:hAnsi="SimSun" w:cs="SimSun" w:hint="eastAsia"/>
                <w:b/>
                <w:sz w:val="22"/>
                <w:szCs w:val="22"/>
                <w:lang w:val="en-US"/>
              </w:rPr>
              <w:t>月</w:t>
            </w:r>
            <w:r w:rsidRPr="000C156A">
              <w:rPr>
                <w:b/>
                <w:sz w:val="22"/>
                <w:szCs w:val="22"/>
                <w:lang w:val="en-US"/>
              </w:rPr>
              <w:t>31</w:t>
            </w:r>
            <w:r w:rsidRPr="000C156A">
              <w:rPr>
                <w:rFonts w:ascii="SimSun" w:hAnsi="SimSun" w:cs="SimSun" w:hint="eastAsia"/>
                <w:b/>
                <w:sz w:val="22"/>
                <w:szCs w:val="22"/>
                <w:lang w:val="en-US"/>
              </w:rPr>
              <w:t>日</w:t>
            </w:r>
          </w:p>
        </w:tc>
        <w:tc>
          <w:tcPr>
            <w:tcW w:w="2179" w:type="dxa"/>
            <w:tcBorders>
              <w:top w:val="single" w:sz="4" w:space="0" w:color="auto"/>
              <w:left w:val="nil"/>
              <w:bottom w:val="single" w:sz="4" w:space="0" w:color="auto"/>
              <w:right w:val="single" w:sz="4" w:space="0" w:color="auto"/>
            </w:tcBorders>
            <w:vAlign w:val="center"/>
            <w:hideMark/>
          </w:tcPr>
          <w:p w14:paraId="725850FB" w14:textId="77777777" w:rsidR="00B56A7B" w:rsidRPr="000C156A" w:rsidRDefault="00B56A7B" w:rsidP="00CC47BD">
            <w:pPr>
              <w:spacing w:after="120"/>
              <w:jc w:val="center"/>
              <w:rPr>
                <w:b/>
                <w:sz w:val="22"/>
                <w:szCs w:val="22"/>
                <w:lang w:val="en-US"/>
              </w:rPr>
            </w:pPr>
            <w:r>
              <w:rPr>
                <w:b/>
                <w:sz w:val="22"/>
                <w:szCs w:val="22"/>
                <w:lang w:val="en-US"/>
              </w:rPr>
              <w:t>2020</w:t>
            </w:r>
            <w:r w:rsidRPr="000C156A">
              <w:rPr>
                <w:rFonts w:ascii="SimSun" w:hAnsi="SimSun" w:cs="SimSun" w:hint="eastAsia"/>
                <w:b/>
                <w:sz w:val="22"/>
                <w:szCs w:val="22"/>
                <w:lang w:val="en-US"/>
              </w:rPr>
              <w:t>年</w:t>
            </w:r>
            <w:r w:rsidRPr="000C156A">
              <w:rPr>
                <w:b/>
                <w:sz w:val="22"/>
                <w:szCs w:val="22"/>
                <w:lang w:val="en-US"/>
              </w:rPr>
              <w:t>12</w:t>
            </w:r>
            <w:r w:rsidRPr="000C156A">
              <w:rPr>
                <w:rFonts w:ascii="SimSun" w:hAnsi="SimSun" w:cs="SimSun" w:hint="eastAsia"/>
                <w:b/>
                <w:sz w:val="22"/>
                <w:szCs w:val="22"/>
                <w:lang w:val="en-US"/>
              </w:rPr>
              <w:t>月</w:t>
            </w:r>
            <w:r w:rsidRPr="000C156A">
              <w:rPr>
                <w:b/>
                <w:sz w:val="22"/>
                <w:szCs w:val="22"/>
                <w:lang w:val="en-US"/>
              </w:rPr>
              <w:t>31</w:t>
            </w:r>
            <w:r w:rsidRPr="000C156A">
              <w:rPr>
                <w:rFonts w:ascii="SimSun" w:hAnsi="SimSun" w:cs="SimSun" w:hint="eastAsia"/>
                <w:b/>
                <w:sz w:val="22"/>
                <w:szCs w:val="22"/>
                <w:lang w:val="en-US"/>
              </w:rPr>
              <w:t>日</w:t>
            </w:r>
          </w:p>
        </w:tc>
      </w:tr>
      <w:tr w:rsidR="00B56A7B" w:rsidRPr="000C156A" w14:paraId="14C62492" w14:textId="77777777" w:rsidTr="00CC47BD">
        <w:trPr>
          <w:trHeight w:val="255"/>
          <w:jc w:val="center"/>
        </w:trPr>
        <w:tc>
          <w:tcPr>
            <w:tcW w:w="5382" w:type="dxa"/>
            <w:tcBorders>
              <w:left w:val="single" w:sz="4" w:space="0" w:color="auto"/>
              <w:bottom w:val="nil"/>
              <w:right w:val="single" w:sz="4" w:space="0" w:color="auto"/>
            </w:tcBorders>
            <w:noWrap/>
            <w:vAlign w:val="bottom"/>
            <w:hideMark/>
          </w:tcPr>
          <w:p w14:paraId="284DB6A5" w14:textId="77777777" w:rsidR="00B56A7B" w:rsidRPr="000C156A" w:rsidRDefault="00B56A7B" w:rsidP="00CC47BD">
            <w:pPr>
              <w:spacing w:before="60" w:after="60"/>
              <w:rPr>
                <w:bCs/>
                <w:sz w:val="22"/>
                <w:szCs w:val="22"/>
                <w:lang w:val="en-US" w:eastAsia="zh-CN"/>
              </w:rPr>
            </w:pPr>
            <w:r w:rsidRPr="000C156A">
              <w:rPr>
                <w:rFonts w:hint="eastAsia"/>
                <w:bCs/>
                <w:sz w:val="22"/>
                <w:szCs w:val="22"/>
                <w:lang w:val="en-US" w:eastAsia="zh-CN"/>
              </w:rPr>
              <w:t>应付账款</w:t>
            </w:r>
          </w:p>
        </w:tc>
        <w:tc>
          <w:tcPr>
            <w:tcW w:w="2220" w:type="dxa"/>
            <w:tcBorders>
              <w:top w:val="nil"/>
              <w:left w:val="single" w:sz="4" w:space="0" w:color="auto"/>
              <w:bottom w:val="nil"/>
              <w:right w:val="single" w:sz="4" w:space="0" w:color="auto"/>
            </w:tcBorders>
            <w:shd w:val="clear" w:color="auto" w:fill="auto"/>
            <w:noWrap/>
            <w:vAlign w:val="bottom"/>
            <w:hideMark/>
          </w:tcPr>
          <w:p w14:paraId="48649ED3" w14:textId="20C8A73B"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w:t>
            </w:r>
            <w:r w:rsidR="00EC26EC">
              <w:rPr>
                <w:rFonts w:cs="Arial"/>
                <w:color w:val="000000"/>
                <w:sz w:val="22"/>
                <w:szCs w:val="22"/>
                <w:lang w:val="en-US" w:eastAsia="zh-CN"/>
              </w:rPr>
              <w:t> </w:t>
            </w:r>
            <w:r>
              <w:rPr>
                <w:rFonts w:cs="Arial"/>
                <w:color w:val="000000"/>
                <w:sz w:val="22"/>
                <w:szCs w:val="22"/>
                <w:lang w:val="en-US" w:eastAsia="zh-CN"/>
              </w:rPr>
              <w:t>688</w:t>
            </w:r>
          </w:p>
        </w:tc>
        <w:tc>
          <w:tcPr>
            <w:tcW w:w="2179" w:type="dxa"/>
            <w:tcBorders>
              <w:top w:val="nil"/>
              <w:left w:val="nil"/>
              <w:bottom w:val="nil"/>
              <w:right w:val="single" w:sz="4" w:space="0" w:color="auto"/>
            </w:tcBorders>
            <w:shd w:val="clear" w:color="auto" w:fill="auto"/>
            <w:noWrap/>
            <w:vAlign w:val="bottom"/>
            <w:hideMark/>
          </w:tcPr>
          <w:p w14:paraId="572DD80C" w14:textId="22824D36"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4</w:t>
            </w:r>
            <w:r w:rsidR="00EC26EC">
              <w:rPr>
                <w:rFonts w:cs="Arial"/>
                <w:color w:val="000000"/>
                <w:sz w:val="22"/>
                <w:szCs w:val="22"/>
                <w:lang w:val="en-US" w:eastAsia="zh-CN"/>
              </w:rPr>
              <w:t> </w:t>
            </w:r>
            <w:r>
              <w:rPr>
                <w:rFonts w:cs="Arial"/>
                <w:color w:val="000000"/>
                <w:sz w:val="22"/>
                <w:szCs w:val="22"/>
                <w:lang w:val="en-US" w:eastAsia="zh-CN"/>
              </w:rPr>
              <w:t>518</w:t>
            </w:r>
          </w:p>
        </w:tc>
      </w:tr>
      <w:tr w:rsidR="00B56A7B" w:rsidRPr="000C156A" w14:paraId="2780FDB3" w14:textId="77777777" w:rsidTr="00CC47BD">
        <w:trPr>
          <w:trHeight w:val="20"/>
          <w:jc w:val="center"/>
        </w:trPr>
        <w:tc>
          <w:tcPr>
            <w:tcW w:w="5382" w:type="dxa"/>
            <w:tcBorders>
              <w:top w:val="nil"/>
              <w:left w:val="single" w:sz="4" w:space="0" w:color="auto"/>
              <w:bottom w:val="nil"/>
              <w:right w:val="single" w:sz="4" w:space="0" w:color="auto"/>
            </w:tcBorders>
            <w:noWrap/>
            <w:vAlign w:val="center"/>
            <w:hideMark/>
          </w:tcPr>
          <w:p w14:paraId="1075B136" w14:textId="77777777" w:rsidR="00B56A7B" w:rsidRPr="000C156A" w:rsidRDefault="00B56A7B" w:rsidP="00CC47BD">
            <w:pPr>
              <w:spacing w:before="60" w:after="60"/>
              <w:rPr>
                <w:bCs/>
                <w:sz w:val="22"/>
                <w:szCs w:val="22"/>
                <w:lang w:val="en-US" w:eastAsia="zh-CN"/>
              </w:rPr>
            </w:pPr>
            <w:r w:rsidRPr="000C156A">
              <w:rPr>
                <w:rFonts w:hint="eastAsia"/>
                <w:bCs/>
                <w:sz w:val="22"/>
                <w:szCs w:val="22"/>
                <w:lang w:val="en-US" w:eastAsia="zh-CN"/>
              </w:rPr>
              <w:t>人员杂项</w:t>
            </w:r>
          </w:p>
        </w:tc>
        <w:tc>
          <w:tcPr>
            <w:tcW w:w="2220" w:type="dxa"/>
            <w:tcBorders>
              <w:top w:val="nil"/>
              <w:left w:val="single" w:sz="4" w:space="0" w:color="auto"/>
              <w:bottom w:val="nil"/>
              <w:right w:val="single" w:sz="4" w:space="0" w:color="auto"/>
            </w:tcBorders>
            <w:shd w:val="clear" w:color="auto" w:fill="auto"/>
            <w:noWrap/>
            <w:vAlign w:val="bottom"/>
            <w:hideMark/>
          </w:tcPr>
          <w:p w14:paraId="0E1C12A0" w14:textId="460FDC94"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w:t>
            </w:r>
            <w:r w:rsidR="00EC26EC">
              <w:rPr>
                <w:rFonts w:cs="Arial"/>
                <w:color w:val="000000"/>
                <w:sz w:val="22"/>
                <w:szCs w:val="22"/>
                <w:lang w:val="en-US" w:eastAsia="zh-CN"/>
              </w:rPr>
              <w:t> </w:t>
            </w:r>
            <w:r>
              <w:rPr>
                <w:rFonts w:cs="Arial"/>
                <w:color w:val="000000"/>
                <w:sz w:val="22"/>
                <w:szCs w:val="22"/>
                <w:lang w:val="en-US" w:eastAsia="zh-CN"/>
              </w:rPr>
              <w:t>617</w:t>
            </w:r>
          </w:p>
        </w:tc>
        <w:tc>
          <w:tcPr>
            <w:tcW w:w="2179" w:type="dxa"/>
            <w:tcBorders>
              <w:top w:val="nil"/>
              <w:left w:val="nil"/>
              <w:bottom w:val="nil"/>
              <w:right w:val="single" w:sz="4" w:space="0" w:color="auto"/>
            </w:tcBorders>
            <w:shd w:val="clear" w:color="auto" w:fill="auto"/>
            <w:noWrap/>
            <w:vAlign w:val="bottom"/>
            <w:hideMark/>
          </w:tcPr>
          <w:p w14:paraId="66034BD4" w14:textId="089032E9"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w:t>
            </w:r>
            <w:r w:rsidR="00EC26EC">
              <w:rPr>
                <w:rFonts w:cs="Arial"/>
                <w:color w:val="000000"/>
                <w:sz w:val="22"/>
                <w:szCs w:val="22"/>
                <w:lang w:val="en-US" w:eastAsia="zh-CN"/>
              </w:rPr>
              <w:t> </w:t>
            </w:r>
            <w:r>
              <w:rPr>
                <w:rFonts w:cs="Arial"/>
                <w:color w:val="000000"/>
                <w:sz w:val="22"/>
                <w:szCs w:val="22"/>
                <w:lang w:val="en-US" w:eastAsia="zh-CN"/>
              </w:rPr>
              <w:t>956</w:t>
            </w:r>
          </w:p>
        </w:tc>
      </w:tr>
      <w:tr w:rsidR="00B56A7B" w:rsidRPr="000C156A" w14:paraId="6BB21750" w14:textId="77777777" w:rsidTr="00CC47BD">
        <w:trPr>
          <w:trHeight w:val="20"/>
          <w:jc w:val="center"/>
        </w:trPr>
        <w:tc>
          <w:tcPr>
            <w:tcW w:w="5382" w:type="dxa"/>
            <w:tcBorders>
              <w:top w:val="nil"/>
              <w:left w:val="single" w:sz="4" w:space="0" w:color="auto"/>
              <w:bottom w:val="nil"/>
              <w:right w:val="single" w:sz="4" w:space="0" w:color="auto"/>
            </w:tcBorders>
            <w:noWrap/>
            <w:vAlign w:val="center"/>
            <w:hideMark/>
          </w:tcPr>
          <w:p w14:paraId="1A919545" w14:textId="77777777" w:rsidR="00B56A7B" w:rsidRPr="000C156A" w:rsidRDefault="00B56A7B" w:rsidP="00CC47BD">
            <w:pPr>
              <w:spacing w:before="60" w:after="60"/>
              <w:rPr>
                <w:bCs/>
                <w:sz w:val="22"/>
                <w:szCs w:val="22"/>
                <w:lang w:val="en-US"/>
              </w:rPr>
            </w:pPr>
            <w:r w:rsidRPr="000C156A">
              <w:rPr>
                <w:rFonts w:hint="eastAsia"/>
                <w:bCs/>
                <w:sz w:val="22"/>
                <w:szCs w:val="22"/>
                <w:lang w:val="en-US"/>
              </w:rPr>
              <w:t>物品收讫</w:t>
            </w:r>
            <w:r w:rsidRPr="000C156A">
              <w:rPr>
                <w:bCs/>
                <w:sz w:val="22"/>
                <w:szCs w:val="22"/>
                <w:lang w:val="en-US"/>
              </w:rPr>
              <w:t>/</w:t>
            </w:r>
            <w:r w:rsidRPr="000C156A">
              <w:rPr>
                <w:rFonts w:hint="eastAsia"/>
                <w:bCs/>
                <w:sz w:val="22"/>
                <w:szCs w:val="22"/>
                <w:lang w:val="en-US"/>
              </w:rPr>
              <w:t>发票收讫</w:t>
            </w:r>
          </w:p>
        </w:tc>
        <w:tc>
          <w:tcPr>
            <w:tcW w:w="2220" w:type="dxa"/>
            <w:tcBorders>
              <w:top w:val="nil"/>
              <w:left w:val="single" w:sz="4" w:space="0" w:color="auto"/>
              <w:bottom w:val="nil"/>
              <w:right w:val="single" w:sz="4" w:space="0" w:color="auto"/>
            </w:tcBorders>
            <w:shd w:val="clear" w:color="auto" w:fill="auto"/>
            <w:noWrap/>
            <w:vAlign w:val="bottom"/>
            <w:hideMark/>
          </w:tcPr>
          <w:p w14:paraId="5E18385A" w14:textId="77777777"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37</w:t>
            </w:r>
          </w:p>
        </w:tc>
        <w:tc>
          <w:tcPr>
            <w:tcW w:w="2179" w:type="dxa"/>
            <w:tcBorders>
              <w:top w:val="nil"/>
              <w:left w:val="nil"/>
              <w:bottom w:val="nil"/>
              <w:right w:val="single" w:sz="4" w:space="0" w:color="auto"/>
            </w:tcBorders>
            <w:shd w:val="clear" w:color="auto" w:fill="auto"/>
            <w:noWrap/>
            <w:vAlign w:val="bottom"/>
            <w:hideMark/>
          </w:tcPr>
          <w:p w14:paraId="6236CF0D" w14:textId="77777777"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16</w:t>
            </w:r>
          </w:p>
        </w:tc>
      </w:tr>
      <w:tr w:rsidR="00B56A7B" w:rsidRPr="000C156A" w14:paraId="07E9FD20" w14:textId="77777777" w:rsidTr="00CC47BD">
        <w:trPr>
          <w:trHeight w:val="20"/>
          <w:jc w:val="center"/>
        </w:trPr>
        <w:tc>
          <w:tcPr>
            <w:tcW w:w="5382" w:type="dxa"/>
            <w:tcBorders>
              <w:top w:val="nil"/>
              <w:left w:val="single" w:sz="4" w:space="0" w:color="auto"/>
              <w:right w:val="single" w:sz="4" w:space="0" w:color="auto"/>
            </w:tcBorders>
            <w:noWrap/>
            <w:vAlign w:val="center"/>
            <w:hideMark/>
          </w:tcPr>
          <w:p w14:paraId="2A353FFD" w14:textId="77777777" w:rsidR="00B56A7B" w:rsidRPr="000C156A" w:rsidRDefault="00B56A7B" w:rsidP="00CC47BD">
            <w:pPr>
              <w:spacing w:before="60" w:after="60"/>
              <w:rPr>
                <w:bCs/>
                <w:sz w:val="22"/>
                <w:szCs w:val="22"/>
                <w:lang w:val="en-US" w:eastAsia="zh-CN"/>
              </w:rPr>
            </w:pPr>
            <w:r w:rsidRPr="000C156A">
              <w:rPr>
                <w:rFonts w:hint="eastAsia"/>
                <w:bCs/>
                <w:sz w:val="22"/>
                <w:szCs w:val="22"/>
                <w:lang w:val="en-US" w:eastAsia="zh-CN"/>
              </w:rPr>
              <w:t>联合国开发计划署（</w:t>
            </w:r>
            <w:r w:rsidRPr="000C156A">
              <w:rPr>
                <w:bCs/>
                <w:sz w:val="22"/>
                <w:szCs w:val="22"/>
                <w:lang w:val="en-US" w:eastAsia="zh-CN"/>
              </w:rPr>
              <w:t>UNDP</w:t>
            </w:r>
            <w:r w:rsidRPr="000C156A">
              <w:rPr>
                <w:rFonts w:hint="eastAsia"/>
                <w:bCs/>
                <w:sz w:val="22"/>
                <w:szCs w:val="22"/>
                <w:lang w:val="en-US" w:eastAsia="zh-CN"/>
              </w:rPr>
              <w:t>）</w:t>
            </w: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7E4A45A" w14:textId="77777777"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2</w:t>
            </w:r>
          </w:p>
        </w:tc>
        <w:tc>
          <w:tcPr>
            <w:tcW w:w="2179" w:type="dxa"/>
            <w:tcBorders>
              <w:top w:val="nil"/>
              <w:left w:val="nil"/>
              <w:bottom w:val="nil"/>
              <w:right w:val="single" w:sz="4" w:space="0" w:color="auto"/>
            </w:tcBorders>
            <w:shd w:val="clear" w:color="auto" w:fill="auto"/>
            <w:noWrap/>
            <w:vAlign w:val="bottom"/>
            <w:hideMark/>
          </w:tcPr>
          <w:p w14:paraId="7981E98F" w14:textId="77777777"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3</w:t>
            </w:r>
          </w:p>
        </w:tc>
      </w:tr>
      <w:tr w:rsidR="00B56A7B" w:rsidRPr="000C156A" w14:paraId="4B179C41" w14:textId="77777777" w:rsidTr="00CC47BD">
        <w:trPr>
          <w:trHeight w:val="20"/>
          <w:jc w:val="center"/>
        </w:trPr>
        <w:tc>
          <w:tcPr>
            <w:tcW w:w="5382" w:type="dxa"/>
            <w:tcBorders>
              <w:top w:val="single" w:sz="4" w:space="0" w:color="auto"/>
              <w:left w:val="single" w:sz="4" w:space="0" w:color="auto"/>
              <w:bottom w:val="single" w:sz="4" w:space="0" w:color="auto"/>
              <w:right w:val="single" w:sz="4" w:space="0" w:color="auto"/>
            </w:tcBorders>
            <w:noWrap/>
            <w:vAlign w:val="center"/>
            <w:hideMark/>
          </w:tcPr>
          <w:p w14:paraId="36A076F0" w14:textId="77777777" w:rsidR="00B56A7B" w:rsidRPr="000C156A" w:rsidRDefault="00B56A7B" w:rsidP="00CC47BD">
            <w:pPr>
              <w:spacing w:before="60" w:after="60"/>
              <w:rPr>
                <w:b/>
                <w:sz w:val="22"/>
                <w:szCs w:val="22"/>
                <w:lang w:val="en-US"/>
              </w:rPr>
            </w:pPr>
            <w:r w:rsidRPr="000C156A">
              <w:rPr>
                <w:rFonts w:hint="eastAsia"/>
                <w:b/>
                <w:sz w:val="22"/>
                <w:szCs w:val="22"/>
                <w:lang w:val="en-US"/>
              </w:rPr>
              <w:t>其它债务</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FA583" w14:textId="0AF2C7EB"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6</w:t>
            </w:r>
            <w:r w:rsidR="00EC26EC">
              <w:rPr>
                <w:rFonts w:cs="Arial"/>
                <w:b/>
                <w:bCs/>
                <w:color w:val="000000"/>
                <w:sz w:val="22"/>
                <w:szCs w:val="22"/>
                <w:lang w:val="en-US" w:eastAsia="zh-CN"/>
              </w:rPr>
              <w:t> </w:t>
            </w:r>
            <w:r>
              <w:rPr>
                <w:rFonts w:cs="Arial"/>
                <w:b/>
                <w:bCs/>
                <w:color w:val="000000"/>
                <w:sz w:val="22"/>
                <w:szCs w:val="22"/>
                <w:lang w:val="en-US" w:eastAsia="zh-CN"/>
              </w:rPr>
              <w:t>343</w:t>
            </w:r>
          </w:p>
        </w:tc>
        <w:tc>
          <w:tcPr>
            <w:tcW w:w="2179" w:type="dxa"/>
            <w:tcBorders>
              <w:top w:val="single" w:sz="4" w:space="0" w:color="auto"/>
              <w:left w:val="nil"/>
              <w:bottom w:val="single" w:sz="4" w:space="0" w:color="auto"/>
              <w:right w:val="single" w:sz="4" w:space="0" w:color="auto"/>
            </w:tcBorders>
            <w:shd w:val="clear" w:color="auto" w:fill="auto"/>
            <w:noWrap/>
            <w:vAlign w:val="center"/>
            <w:hideMark/>
          </w:tcPr>
          <w:p w14:paraId="1E7D61A4" w14:textId="6617204C"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6</w:t>
            </w:r>
            <w:r w:rsidR="00EC26EC">
              <w:rPr>
                <w:rFonts w:cs="Arial"/>
                <w:b/>
                <w:bCs/>
                <w:color w:val="000000"/>
                <w:sz w:val="22"/>
                <w:szCs w:val="22"/>
                <w:lang w:val="en-US" w:eastAsia="zh-CN"/>
              </w:rPr>
              <w:t> </w:t>
            </w:r>
            <w:r>
              <w:rPr>
                <w:rFonts w:cs="Arial"/>
                <w:b/>
                <w:bCs/>
                <w:color w:val="000000"/>
                <w:sz w:val="22"/>
                <w:szCs w:val="22"/>
                <w:lang w:val="en-US" w:eastAsia="zh-CN"/>
              </w:rPr>
              <w:t>493</w:t>
            </w:r>
          </w:p>
        </w:tc>
      </w:tr>
    </w:tbl>
    <w:p w14:paraId="63D254FC" w14:textId="77777777" w:rsidR="00B56A7B" w:rsidRPr="000C156A" w:rsidRDefault="00B56A7B" w:rsidP="00B56A7B">
      <w:pPr>
        <w:pStyle w:val="Heading1"/>
        <w:spacing w:before="240" w:after="120"/>
        <w:rPr>
          <w:rFonts w:cs="Microsoft YaHei"/>
          <w:sz w:val="24"/>
          <w:szCs w:val="24"/>
          <w:lang w:eastAsia="zh-CN"/>
        </w:rPr>
      </w:pPr>
      <w:bookmarkStart w:id="990" w:name="_Toc482892580"/>
      <w:bookmarkStart w:id="991" w:name="_Toc482870845"/>
      <w:bookmarkStart w:id="992" w:name="_Toc329165796"/>
      <w:bookmarkStart w:id="993" w:name="_Toc305594754"/>
      <w:bookmarkStart w:id="994" w:name="_Toc304406449"/>
      <w:bookmarkStart w:id="995" w:name="_Toc511813764"/>
      <w:bookmarkStart w:id="996" w:name="_Toc511817847"/>
      <w:bookmarkStart w:id="997" w:name="_Toc520280747"/>
      <w:bookmarkStart w:id="998" w:name="_Toc10536842"/>
      <w:bookmarkStart w:id="999" w:name="_Toc41905893"/>
      <w:bookmarkStart w:id="1000" w:name="_Toc41906914"/>
      <w:bookmarkStart w:id="1001" w:name="_Toc41907995"/>
      <w:bookmarkStart w:id="1002" w:name="_Toc41908063"/>
      <w:bookmarkStart w:id="1003" w:name="_Toc73518711"/>
      <w:bookmarkStart w:id="1004" w:name="_Toc73518858"/>
      <w:bookmarkStart w:id="1005" w:name="_Toc73519258"/>
      <w:bookmarkStart w:id="1006" w:name="_Toc110264015"/>
      <w:bookmarkStart w:id="1007" w:name="_Toc110264094"/>
      <w:bookmarkStart w:id="1008" w:name="_Toc110265733"/>
      <w:bookmarkStart w:id="1009" w:name="_Toc110330103"/>
      <w:bookmarkStart w:id="1010" w:name="_Toc110330268"/>
      <w:r w:rsidRPr="000C156A">
        <w:rPr>
          <w:rFonts w:cs="Microsoft YaHei" w:hint="eastAsia"/>
          <w:sz w:val="24"/>
          <w:szCs w:val="24"/>
          <w:lang w:val="fr-FR" w:eastAsia="zh-CN"/>
        </w:rPr>
        <w:lastRenderedPageBreak/>
        <w:t>说明</w:t>
      </w:r>
      <w:r w:rsidRPr="000C156A">
        <w:rPr>
          <w:rFonts w:cs="Microsoft YaHei"/>
          <w:sz w:val="24"/>
          <w:szCs w:val="24"/>
          <w:lang w:eastAsia="zh-CN"/>
        </w:rPr>
        <w:t>20</w:t>
      </w:r>
      <w:r w:rsidRPr="000C156A">
        <w:rPr>
          <w:rFonts w:cs="Microsoft YaHei"/>
          <w:sz w:val="24"/>
          <w:szCs w:val="24"/>
          <w:lang w:eastAsia="zh-CN"/>
        </w:rPr>
        <w:tab/>
      </w:r>
      <w:r w:rsidRPr="000C156A">
        <w:rPr>
          <w:rFonts w:cs="Microsoft YaHei" w:hint="eastAsia"/>
          <w:sz w:val="24"/>
          <w:szCs w:val="24"/>
          <w:lang w:val="fr-FR" w:eastAsia="zh-CN"/>
        </w:rPr>
        <w:t>已分配和未分配预算外资金</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17132C8E" w14:textId="77777777" w:rsidR="00B56A7B" w:rsidRPr="000C156A" w:rsidRDefault="00B56A7B" w:rsidP="00B56A7B">
      <w:pPr>
        <w:spacing w:after="120"/>
        <w:ind w:firstLineChars="200" w:firstLine="480"/>
        <w:rPr>
          <w:lang w:eastAsia="zh-CN"/>
        </w:rPr>
      </w:pPr>
      <w:r w:rsidRPr="000C156A">
        <w:rPr>
          <w:rFonts w:hint="eastAsia"/>
          <w:lang w:eastAsia="zh-CN"/>
        </w:rPr>
        <w:t>按照</w:t>
      </w:r>
      <w:r w:rsidRPr="000C156A">
        <w:rPr>
          <w:lang w:eastAsia="zh-CN"/>
        </w:rPr>
        <w:t>IPSAS</w:t>
      </w:r>
      <w:r w:rsidRPr="000C156A">
        <w:rPr>
          <w:rFonts w:hint="eastAsia"/>
          <w:lang w:eastAsia="zh-CN"/>
        </w:rPr>
        <w:t>第</w:t>
      </w:r>
      <w:r w:rsidRPr="000C156A">
        <w:rPr>
          <w:lang w:eastAsia="zh-CN"/>
        </w:rPr>
        <w:t>23</w:t>
      </w:r>
      <w:r w:rsidRPr="000C156A">
        <w:rPr>
          <w:rFonts w:hint="eastAsia"/>
          <w:lang w:eastAsia="zh-CN"/>
        </w:rPr>
        <w:t>号要求，结账日的资金余额为已收到但尚未支出的资金。余额在资产负债表的相应行显示，而资金变动情况则如下表所示，该表说明资金是否已从第三方来源或国际电联分配给一项目。</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1417"/>
        <w:gridCol w:w="1418"/>
        <w:gridCol w:w="1848"/>
      </w:tblGrid>
      <w:tr w:rsidR="00B56A7B" w:rsidRPr="000C156A" w14:paraId="575491ED" w14:textId="77777777" w:rsidTr="00CC47BD">
        <w:trPr>
          <w:jc w:val="center"/>
        </w:trPr>
        <w:tc>
          <w:tcPr>
            <w:tcW w:w="2972" w:type="dxa"/>
            <w:tcBorders>
              <w:top w:val="single" w:sz="4" w:space="0" w:color="000000"/>
              <w:left w:val="single" w:sz="4" w:space="0" w:color="000000"/>
              <w:bottom w:val="single" w:sz="4" w:space="0" w:color="000000"/>
              <w:right w:val="single" w:sz="4" w:space="0" w:color="auto"/>
            </w:tcBorders>
            <w:vAlign w:val="center"/>
          </w:tcPr>
          <w:p w14:paraId="55A0F15E" w14:textId="77777777" w:rsidR="00B56A7B" w:rsidRPr="000C156A" w:rsidRDefault="00B56A7B" w:rsidP="00CC47BD">
            <w:pPr>
              <w:keepNext/>
              <w:keepLines/>
              <w:spacing w:before="20"/>
              <w:rPr>
                <w:b/>
                <w:sz w:val="22"/>
                <w:szCs w:val="22"/>
                <w:lang w:val="en-US" w:eastAsia="zh-CN"/>
              </w:rPr>
            </w:pPr>
            <w:r w:rsidRPr="000C156A">
              <w:rPr>
                <w:rFonts w:hint="eastAsia"/>
                <w:b/>
                <w:sz w:val="22"/>
                <w:szCs w:val="22"/>
                <w:lang w:val="en-US" w:eastAsia="zh-CN"/>
              </w:rPr>
              <w:t>单位：千瑞郎</w:t>
            </w:r>
          </w:p>
        </w:tc>
        <w:tc>
          <w:tcPr>
            <w:tcW w:w="1418" w:type="dxa"/>
            <w:tcBorders>
              <w:top w:val="single" w:sz="4" w:space="0" w:color="000000"/>
              <w:left w:val="single" w:sz="4" w:space="0" w:color="auto"/>
              <w:bottom w:val="single" w:sz="4" w:space="0" w:color="auto"/>
              <w:right w:val="single" w:sz="4" w:space="0" w:color="auto"/>
            </w:tcBorders>
            <w:vAlign w:val="center"/>
            <w:hideMark/>
          </w:tcPr>
          <w:p w14:paraId="1A587C51" w14:textId="77777777" w:rsidR="00B56A7B" w:rsidRPr="000C156A" w:rsidRDefault="00B56A7B" w:rsidP="00CC47BD">
            <w:pPr>
              <w:keepNext/>
              <w:keepLines/>
              <w:snapToGrid w:val="0"/>
              <w:spacing w:before="0"/>
              <w:jc w:val="center"/>
              <w:rPr>
                <w:bCs/>
                <w:sz w:val="22"/>
                <w:szCs w:val="22"/>
                <w:lang w:val="en-US" w:eastAsia="zh-CN"/>
              </w:rPr>
            </w:pPr>
            <w:r w:rsidRPr="000C156A">
              <w:rPr>
                <w:rFonts w:hint="eastAsia"/>
                <w:bCs/>
                <w:sz w:val="22"/>
                <w:szCs w:val="22"/>
                <w:lang w:val="en-US" w:eastAsia="zh-CN"/>
              </w:rPr>
              <w:t>已分配的</w:t>
            </w:r>
            <w:r w:rsidRPr="000C156A">
              <w:rPr>
                <w:bCs/>
                <w:sz w:val="22"/>
                <w:szCs w:val="22"/>
                <w:lang w:val="en-US" w:eastAsia="zh-CN"/>
              </w:rPr>
              <w:br/>
            </w:r>
            <w:r w:rsidRPr="000C156A">
              <w:rPr>
                <w:rFonts w:hint="eastAsia"/>
                <w:bCs/>
                <w:sz w:val="22"/>
                <w:szCs w:val="22"/>
                <w:lang w:val="en-US" w:eastAsia="zh-CN"/>
              </w:rPr>
              <w:t>第三方资金</w:t>
            </w:r>
          </w:p>
        </w:tc>
        <w:tc>
          <w:tcPr>
            <w:tcW w:w="1417" w:type="dxa"/>
            <w:tcBorders>
              <w:top w:val="single" w:sz="4" w:space="0" w:color="000000"/>
              <w:left w:val="single" w:sz="4" w:space="0" w:color="auto"/>
              <w:bottom w:val="single" w:sz="4" w:space="0" w:color="auto"/>
              <w:right w:val="single" w:sz="4" w:space="0" w:color="auto"/>
            </w:tcBorders>
            <w:vAlign w:val="center"/>
            <w:hideMark/>
          </w:tcPr>
          <w:p w14:paraId="4FA5E8BF" w14:textId="77777777" w:rsidR="00B56A7B" w:rsidRPr="000C156A" w:rsidRDefault="00B56A7B" w:rsidP="00CC47BD">
            <w:pPr>
              <w:keepNext/>
              <w:keepLines/>
              <w:snapToGrid w:val="0"/>
              <w:spacing w:before="0"/>
              <w:jc w:val="center"/>
              <w:rPr>
                <w:bCs/>
                <w:sz w:val="22"/>
                <w:szCs w:val="22"/>
                <w:lang w:val="en-US" w:eastAsia="zh-CN"/>
              </w:rPr>
            </w:pPr>
            <w:r w:rsidRPr="000C156A">
              <w:rPr>
                <w:rFonts w:hint="eastAsia"/>
                <w:bCs/>
                <w:sz w:val="22"/>
                <w:szCs w:val="22"/>
                <w:lang w:val="en-US" w:eastAsia="zh-CN"/>
              </w:rPr>
              <w:t>等待分配的第三方资金</w:t>
            </w:r>
          </w:p>
        </w:tc>
        <w:tc>
          <w:tcPr>
            <w:tcW w:w="1418" w:type="dxa"/>
            <w:tcBorders>
              <w:top w:val="single" w:sz="4" w:space="0" w:color="000000"/>
              <w:left w:val="single" w:sz="4" w:space="0" w:color="auto"/>
              <w:bottom w:val="single" w:sz="4" w:space="0" w:color="auto"/>
              <w:right w:val="single" w:sz="4" w:space="0" w:color="auto"/>
            </w:tcBorders>
            <w:vAlign w:val="center"/>
            <w:hideMark/>
          </w:tcPr>
          <w:p w14:paraId="2ADEBF81" w14:textId="77777777" w:rsidR="00B56A7B" w:rsidRPr="000C156A" w:rsidRDefault="00B56A7B" w:rsidP="00CC47BD">
            <w:pPr>
              <w:keepNext/>
              <w:keepLines/>
              <w:snapToGrid w:val="0"/>
              <w:spacing w:before="0"/>
              <w:jc w:val="center"/>
              <w:rPr>
                <w:b/>
                <w:sz w:val="22"/>
                <w:szCs w:val="22"/>
                <w:lang w:val="en-US" w:eastAsia="zh-CN"/>
              </w:rPr>
            </w:pPr>
            <w:r w:rsidRPr="000C156A">
              <w:rPr>
                <w:rFonts w:hint="eastAsia"/>
                <w:b/>
                <w:sz w:val="22"/>
                <w:szCs w:val="22"/>
                <w:lang w:val="en-US" w:eastAsia="zh-CN"/>
              </w:rPr>
              <w:t>第三方资金</w:t>
            </w:r>
            <w:r w:rsidRPr="000C156A">
              <w:rPr>
                <w:b/>
                <w:sz w:val="22"/>
                <w:szCs w:val="22"/>
                <w:lang w:val="en-US" w:eastAsia="zh-CN"/>
              </w:rPr>
              <w:br/>
            </w:r>
            <w:r w:rsidRPr="000C156A">
              <w:rPr>
                <w:rFonts w:hint="eastAsia"/>
                <w:b/>
                <w:sz w:val="22"/>
                <w:szCs w:val="22"/>
                <w:lang w:val="en-US" w:eastAsia="zh-CN"/>
              </w:rPr>
              <w:t>合计</w:t>
            </w:r>
          </w:p>
        </w:tc>
        <w:tc>
          <w:tcPr>
            <w:tcW w:w="1848" w:type="dxa"/>
            <w:tcBorders>
              <w:top w:val="single" w:sz="4" w:space="0" w:color="000000"/>
              <w:left w:val="single" w:sz="4" w:space="0" w:color="auto"/>
              <w:bottom w:val="single" w:sz="4" w:space="0" w:color="auto"/>
              <w:right w:val="single" w:sz="4" w:space="0" w:color="000000"/>
            </w:tcBorders>
            <w:vAlign w:val="center"/>
            <w:hideMark/>
          </w:tcPr>
          <w:p w14:paraId="3E6582B8" w14:textId="77777777" w:rsidR="00B56A7B" w:rsidRPr="000C156A" w:rsidRDefault="00B56A7B" w:rsidP="00CC47BD">
            <w:pPr>
              <w:keepNext/>
              <w:keepLines/>
              <w:snapToGrid w:val="0"/>
              <w:spacing w:before="0"/>
              <w:jc w:val="center"/>
              <w:rPr>
                <w:b/>
                <w:sz w:val="22"/>
                <w:szCs w:val="22"/>
                <w:lang w:val="en-US" w:eastAsia="zh-CN"/>
              </w:rPr>
            </w:pPr>
            <w:r w:rsidRPr="000C156A">
              <w:rPr>
                <w:rFonts w:hint="eastAsia"/>
                <w:b/>
                <w:sz w:val="22"/>
                <w:szCs w:val="22"/>
                <w:lang w:val="en-US" w:eastAsia="zh-CN"/>
              </w:rPr>
              <w:t>分配给预算外项目的自有资金</w:t>
            </w:r>
          </w:p>
        </w:tc>
      </w:tr>
      <w:tr w:rsidR="00B56A7B" w:rsidRPr="000C156A" w14:paraId="59FC948D" w14:textId="77777777" w:rsidTr="00CC47BD">
        <w:trPr>
          <w:jc w:val="center"/>
        </w:trPr>
        <w:tc>
          <w:tcPr>
            <w:tcW w:w="2972" w:type="dxa"/>
            <w:tcBorders>
              <w:top w:val="single" w:sz="4" w:space="0" w:color="000000"/>
              <w:left w:val="single" w:sz="4" w:space="0" w:color="000000"/>
              <w:bottom w:val="nil"/>
              <w:right w:val="single" w:sz="4" w:space="0" w:color="auto"/>
            </w:tcBorders>
            <w:vAlign w:val="center"/>
            <w:hideMark/>
          </w:tcPr>
          <w:p w14:paraId="626F1D11" w14:textId="77777777" w:rsidR="00B56A7B" w:rsidRPr="000C156A" w:rsidRDefault="00B56A7B" w:rsidP="00CC47BD">
            <w:pPr>
              <w:pStyle w:val="Tablehead"/>
              <w:rPr>
                <w:lang w:eastAsia="fr-FR"/>
              </w:rPr>
            </w:pPr>
            <w:r w:rsidRPr="000C156A">
              <w:t>20</w:t>
            </w:r>
            <w:r>
              <w:t>20</w:t>
            </w:r>
            <w:r w:rsidRPr="000C156A">
              <w:rPr>
                <w:rFonts w:hint="eastAsia"/>
              </w:rPr>
              <w:t>年</w:t>
            </w:r>
            <w:r w:rsidRPr="000C156A">
              <w:t>12</w:t>
            </w:r>
            <w:r w:rsidRPr="000C156A">
              <w:rPr>
                <w:rFonts w:hint="eastAsia"/>
              </w:rPr>
              <w:t>月</w:t>
            </w:r>
            <w:r w:rsidRPr="000C156A">
              <w:rPr>
                <w:rFonts w:hint="eastAsia"/>
              </w:rPr>
              <w:t>3</w:t>
            </w:r>
            <w:r w:rsidRPr="000C156A">
              <w:t>1</w:t>
            </w:r>
            <w:r w:rsidRPr="000C156A">
              <w:rPr>
                <w:rFonts w:hint="eastAsia"/>
              </w:rPr>
              <w:t>日时的余额</w:t>
            </w:r>
          </w:p>
        </w:tc>
        <w:tc>
          <w:tcPr>
            <w:tcW w:w="1418" w:type="dxa"/>
            <w:hideMark/>
          </w:tcPr>
          <w:p w14:paraId="5BBB0B90" w14:textId="2871830D" w:rsidR="00B56A7B" w:rsidRPr="007033B1" w:rsidRDefault="00B56A7B" w:rsidP="00CC47BD">
            <w:pPr>
              <w:spacing w:before="0"/>
              <w:jc w:val="right"/>
              <w:rPr>
                <w:sz w:val="22"/>
                <w:szCs w:val="22"/>
              </w:rPr>
            </w:pPr>
            <w:r w:rsidRPr="007033B1">
              <w:rPr>
                <w:sz w:val="22"/>
                <w:szCs w:val="22"/>
              </w:rPr>
              <w:t>38</w:t>
            </w:r>
            <w:r w:rsidR="00EC26EC">
              <w:rPr>
                <w:sz w:val="22"/>
                <w:szCs w:val="22"/>
              </w:rPr>
              <w:t> </w:t>
            </w:r>
            <w:r w:rsidRPr="007033B1">
              <w:rPr>
                <w:sz w:val="22"/>
                <w:szCs w:val="22"/>
              </w:rPr>
              <w:t>430</w:t>
            </w:r>
          </w:p>
        </w:tc>
        <w:tc>
          <w:tcPr>
            <w:tcW w:w="1417" w:type="dxa"/>
            <w:hideMark/>
          </w:tcPr>
          <w:p w14:paraId="31B76CDA" w14:textId="6CE96542" w:rsidR="00B56A7B" w:rsidRPr="007033B1" w:rsidRDefault="00B56A7B" w:rsidP="00CC47BD">
            <w:pPr>
              <w:spacing w:before="0"/>
              <w:jc w:val="right"/>
              <w:rPr>
                <w:sz w:val="22"/>
                <w:szCs w:val="22"/>
              </w:rPr>
            </w:pPr>
            <w:r w:rsidRPr="007033B1">
              <w:rPr>
                <w:sz w:val="22"/>
                <w:szCs w:val="22"/>
              </w:rPr>
              <w:t>4</w:t>
            </w:r>
            <w:r w:rsidR="00EC26EC">
              <w:rPr>
                <w:sz w:val="22"/>
                <w:szCs w:val="22"/>
              </w:rPr>
              <w:t> </w:t>
            </w:r>
            <w:r w:rsidRPr="007033B1">
              <w:rPr>
                <w:sz w:val="22"/>
                <w:szCs w:val="22"/>
              </w:rPr>
              <w:t>353</w:t>
            </w:r>
          </w:p>
        </w:tc>
        <w:tc>
          <w:tcPr>
            <w:tcW w:w="1418" w:type="dxa"/>
            <w:hideMark/>
          </w:tcPr>
          <w:p w14:paraId="64D7C35B" w14:textId="0544A084" w:rsidR="00B56A7B" w:rsidRPr="007033B1" w:rsidRDefault="00B56A7B" w:rsidP="00CC47BD">
            <w:pPr>
              <w:spacing w:before="0"/>
              <w:jc w:val="right"/>
              <w:rPr>
                <w:b/>
                <w:bCs/>
                <w:sz w:val="22"/>
                <w:szCs w:val="22"/>
              </w:rPr>
            </w:pPr>
            <w:r w:rsidRPr="007033B1">
              <w:rPr>
                <w:b/>
                <w:bCs/>
                <w:sz w:val="22"/>
                <w:szCs w:val="22"/>
              </w:rPr>
              <w:t>42</w:t>
            </w:r>
            <w:r w:rsidR="00EC26EC">
              <w:rPr>
                <w:b/>
                <w:bCs/>
                <w:sz w:val="22"/>
                <w:szCs w:val="22"/>
              </w:rPr>
              <w:t> </w:t>
            </w:r>
            <w:r w:rsidRPr="007033B1">
              <w:rPr>
                <w:b/>
                <w:bCs/>
                <w:sz w:val="22"/>
                <w:szCs w:val="22"/>
              </w:rPr>
              <w:t>783</w:t>
            </w:r>
          </w:p>
        </w:tc>
        <w:tc>
          <w:tcPr>
            <w:tcW w:w="1848" w:type="dxa"/>
            <w:hideMark/>
          </w:tcPr>
          <w:p w14:paraId="446E63EF" w14:textId="73649131" w:rsidR="00B56A7B" w:rsidRPr="007033B1" w:rsidRDefault="00B56A7B" w:rsidP="00CC47BD">
            <w:pPr>
              <w:spacing w:before="0"/>
              <w:jc w:val="right"/>
              <w:rPr>
                <w:b/>
                <w:bCs/>
                <w:sz w:val="22"/>
                <w:szCs w:val="22"/>
              </w:rPr>
            </w:pPr>
            <w:r w:rsidRPr="007033B1">
              <w:rPr>
                <w:b/>
                <w:bCs/>
                <w:sz w:val="22"/>
                <w:szCs w:val="22"/>
              </w:rPr>
              <w:t>8</w:t>
            </w:r>
            <w:r w:rsidR="00EC26EC">
              <w:rPr>
                <w:b/>
                <w:bCs/>
                <w:sz w:val="22"/>
                <w:szCs w:val="22"/>
              </w:rPr>
              <w:t> </w:t>
            </w:r>
            <w:r w:rsidRPr="007033B1">
              <w:rPr>
                <w:b/>
                <w:bCs/>
                <w:sz w:val="22"/>
                <w:szCs w:val="22"/>
              </w:rPr>
              <w:t>008</w:t>
            </w:r>
          </w:p>
        </w:tc>
      </w:tr>
      <w:tr w:rsidR="00B56A7B" w:rsidRPr="000C156A" w14:paraId="0AFB96D2" w14:textId="77777777" w:rsidTr="00CC47BD">
        <w:trPr>
          <w:jc w:val="center"/>
        </w:trPr>
        <w:tc>
          <w:tcPr>
            <w:tcW w:w="2972" w:type="dxa"/>
            <w:tcBorders>
              <w:top w:val="single" w:sz="4" w:space="0" w:color="auto"/>
              <w:left w:val="single" w:sz="4" w:space="0" w:color="000000"/>
              <w:bottom w:val="single" w:sz="4" w:space="0" w:color="000000"/>
              <w:right w:val="single" w:sz="4" w:space="0" w:color="auto"/>
            </w:tcBorders>
            <w:vAlign w:val="center"/>
            <w:hideMark/>
          </w:tcPr>
          <w:p w14:paraId="49DBBF10" w14:textId="77777777" w:rsidR="00B56A7B" w:rsidRPr="007033B1" w:rsidRDefault="00B56A7B" w:rsidP="00CC47BD">
            <w:pPr>
              <w:pStyle w:val="TableText0"/>
            </w:pPr>
            <w:r w:rsidRPr="007033B1">
              <w:rPr>
                <w:rFonts w:hint="eastAsia"/>
              </w:rPr>
              <w:t>增长</w:t>
            </w:r>
          </w:p>
        </w:tc>
        <w:tc>
          <w:tcPr>
            <w:tcW w:w="1418" w:type="dxa"/>
            <w:hideMark/>
          </w:tcPr>
          <w:p w14:paraId="0E3D9A7D" w14:textId="7EE864A8" w:rsidR="00B56A7B" w:rsidRPr="007033B1" w:rsidRDefault="00B56A7B" w:rsidP="00CC47BD">
            <w:pPr>
              <w:spacing w:before="0"/>
              <w:jc w:val="right"/>
              <w:rPr>
                <w:sz w:val="22"/>
                <w:szCs w:val="22"/>
              </w:rPr>
            </w:pPr>
            <w:r w:rsidRPr="007033B1">
              <w:rPr>
                <w:sz w:val="22"/>
                <w:szCs w:val="22"/>
              </w:rPr>
              <w:t>20</w:t>
            </w:r>
            <w:r w:rsidR="00EC26EC">
              <w:rPr>
                <w:sz w:val="22"/>
                <w:szCs w:val="22"/>
              </w:rPr>
              <w:t> </w:t>
            </w:r>
            <w:r w:rsidRPr="007033B1">
              <w:rPr>
                <w:sz w:val="22"/>
                <w:szCs w:val="22"/>
              </w:rPr>
              <w:t>518</w:t>
            </w:r>
          </w:p>
        </w:tc>
        <w:tc>
          <w:tcPr>
            <w:tcW w:w="1417" w:type="dxa"/>
            <w:hideMark/>
          </w:tcPr>
          <w:p w14:paraId="6C5C606F" w14:textId="77777777" w:rsidR="00B56A7B" w:rsidRPr="007033B1" w:rsidRDefault="00B56A7B" w:rsidP="00CC47BD">
            <w:pPr>
              <w:spacing w:before="0"/>
              <w:jc w:val="right"/>
              <w:rPr>
                <w:sz w:val="22"/>
                <w:szCs w:val="22"/>
              </w:rPr>
            </w:pPr>
            <w:r w:rsidRPr="007033B1">
              <w:rPr>
                <w:sz w:val="22"/>
                <w:szCs w:val="22"/>
              </w:rPr>
              <w:t>470</w:t>
            </w:r>
          </w:p>
        </w:tc>
        <w:tc>
          <w:tcPr>
            <w:tcW w:w="1418" w:type="dxa"/>
            <w:hideMark/>
          </w:tcPr>
          <w:p w14:paraId="2EEC76EA" w14:textId="7296C771" w:rsidR="00B56A7B" w:rsidRPr="007033B1" w:rsidRDefault="00B56A7B" w:rsidP="00CC47BD">
            <w:pPr>
              <w:spacing w:before="0"/>
              <w:jc w:val="right"/>
              <w:rPr>
                <w:b/>
                <w:bCs/>
                <w:sz w:val="22"/>
                <w:szCs w:val="22"/>
              </w:rPr>
            </w:pPr>
            <w:r w:rsidRPr="007033B1">
              <w:rPr>
                <w:b/>
                <w:bCs/>
                <w:sz w:val="22"/>
                <w:szCs w:val="22"/>
              </w:rPr>
              <w:t>20</w:t>
            </w:r>
            <w:r w:rsidR="00EC26EC">
              <w:rPr>
                <w:b/>
                <w:bCs/>
                <w:sz w:val="22"/>
                <w:szCs w:val="22"/>
              </w:rPr>
              <w:t> </w:t>
            </w:r>
            <w:r w:rsidRPr="007033B1">
              <w:rPr>
                <w:b/>
                <w:bCs/>
                <w:sz w:val="22"/>
                <w:szCs w:val="22"/>
              </w:rPr>
              <w:t>989</w:t>
            </w:r>
          </w:p>
        </w:tc>
        <w:tc>
          <w:tcPr>
            <w:tcW w:w="1848" w:type="dxa"/>
            <w:hideMark/>
          </w:tcPr>
          <w:p w14:paraId="409ABAC3" w14:textId="25F1E1A4" w:rsidR="00B56A7B" w:rsidRPr="007033B1" w:rsidRDefault="00B56A7B" w:rsidP="00CC47BD">
            <w:pPr>
              <w:spacing w:before="0"/>
              <w:jc w:val="right"/>
              <w:rPr>
                <w:sz w:val="22"/>
                <w:szCs w:val="22"/>
              </w:rPr>
            </w:pPr>
            <w:r w:rsidRPr="007033B1">
              <w:rPr>
                <w:sz w:val="22"/>
                <w:szCs w:val="22"/>
              </w:rPr>
              <w:t>1</w:t>
            </w:r>
            <w:r w:rsidR="00EC26EC">
              <w:rPr>
                <w:sz w:val="22"/>
                <w:szCs w:val="22"/>
              </w:rPr>
              <w:t> </w:t>
            </w:r>
            <w:r w:rsidRPr="007033B1">
              <w:rPr>
                <w:sz w:val="22"/>
                <w:szCs w:val="22"/>
              </w:rPr>
              <w:t>989</w:t>
            </w:r>
          </w:p>
        </w:tc>
      </w:tr>
      <w:tr w:rsidR="00B56A7B" w:rsidRPr="000C156A" w14:paraId="789AA0A9" w14:textId="77777777" w:rsidTr="00CC47BD">
        <w:trPr>
          <w:jc w:val="center"/>
        </w:trPr>
        <w:tc>
          <w:tcPr>
            <w:tcW w:w="2972" w:type="dxa"/>
            <w:tcBorders>
              <w:top w:val="single" w:sz="4" w:space="0" w:color="000000"/>
              <w:left w:val="single" w:sz="4" w:space="0" w:color="000000"/>
              <w:bottom w:val="single" w:sz="4" w:space="0" w:color="000000"/>
              <w:right w:val="single" w:sz="4" w:space="0" w:color="auto"/>
            </w:tcBorders>
            <w:vAlign w:val="center"/>
            <w:hideMark/>
          </w:tcPr>
          <w:p w14:paraId="70D5B0CE" w14:textId="77777777" w:rsidR="00B56A7B" w:rsidRPr="007033B1" w:rsidRDefault="00B56A7B" w:rsidP="00CC47BD">
            <w:pPr>
              <w:pStyle w:val="TableText0"/>
            </w:pPr>
            <w:r w:rsidRPr="007033B1">
              <w:rPr>
                <w:rFonts w:hint="eastAsia"/>
              </w:rPr>
              <w:t>下降</w:t>
            </w:r>
          </w:p>
        </w:tc>
        <w:tc>
          <w:tcPr>
            <w:tcW w:w="1418" w:type="dxa"/>
            <w:hideMark/>
          </w:tcPr>
          <w:p w14:paraId="50ECC9B8" w14:textId="3DBCF82A" w:rsidR="00B56A7B" w:rsidRPr="007033B1" w:rsidRDefault="00B56A7B" w:rsidP="00CC47BD">
            <w:pPr>
              <w:spacing w:before="0"/>
              <w:jc w:val="right"/>
              <w:rPr>
                <w:sz w:val="22"/>
                <w:szCs w:val="22"/>
              </w:rPr>
            </w:pPr>
            <w:r w:rsidRPr="007033B1">
              <w:rPr>
                <w:sz w:val="22"/>
                <w:szCs w:val="22"/>
              </w:rPr>
              <w:t>-12</w:t>
            </w:r>
            <w:r w:rsidR="00EC26EC">
              <w:rPr>
                <w:sz w:val="22"/>
                <w:szCs w:val="22"/>
              </w:rPr>
              <w:t> </w:t>
            </w:r>
            <w:r w:rsidRPr="007033B1">
              <w:rPr>
                <w:sz w:val="22"/>
                <w:szCs w:val="22"/>
              </w:rPr>
              <w:t>613</w:t>
            </w:r>
          </w:p>
        </w:tc>
        <w:tc>
          <w:tcPr>
            <w:tcW w:w="1417" w:type="dxa"/>
            <w:hideMark/>
          </w:tcPr>
          <w:p w14:paraId="27036D7D" w14:textId="77777777" w:rsidR="00B56A7B" w:rsidRPr="007033B1" w:rsidRDefault="00B56A7B" w:rsidP="00CC47BD">
            <w:pPr>
              <w:spacing w:before="0"/>
              <w:jc w:val="right"/>
              <w:rPr>
                <w:sz w:val="22"/>
                <w:szCs w:val="22"/>
              </w:rPr>
            </w:pPr>
            <w:r w:rsidRPr="007033B1">
              <w:rPr>
                <w:sz w:val="22"/>
                <w:szCs w:val="22"/>
              </w:rPr>
              <w:t>-1.140</w:t>
            </w:r>
          </w:p>
        </w:tc>
        <w:tc>
          <w:tcPr>
            <w:tcW w:w="1418" w:type="dxa"/>
            <w:hideMark/>
          </w:tcPr>
          <w:p w14:paraId="498C1F7D" w14:textId="4A283A37" w:rsidR="00B56A7B" w:rsidRPr="007033B1" w:rsidRDefault="00B56A7B" w:rsidP="00CC47BD">
            <w:pPr>
              <w:spacing w:before="0"/>
              <w:jc w:val="right"/>
              <w:rPr>
                <w:b/>
                <w:bCs/>
                <w:sz w:val="22"/>
                <w:szCs w:val="22"/>
              </w:rPr>
            </w:pPr>
            <w:r w:rsidRPr="007033B1">
              <w:rPr>
                <w:b/>
                <w:bCs/>
                <w:sz w:val="22"/>
                <w:szCs w:val="22"/>
              </w:rPr>
              <w:t>-13</w:t>
            </w:r>
            <w:r w:rsidR="00EC26EC">
              <w:rPr>
                <w:b/>
                <w:bCs/>
                <w:sz w:val="22"/>
                <w:szCs w:val="22"/>
              </w:rPr>
              <w:t> </w:t>
            </w:r>
            <w:r w:rsidRPr="007033B1">
              <w:rPr>
                <w:b/>
                <w:bCs/>
                <w:sz w:val="22"/>
                <w:szCs w:val="22"/>
              </w:rPr>
              <w:t>753</w:t>
            </w:r>
          </w:p>
        </w:tc>
        <w:tc>
          <w:tcPr>
            <w:tcW w:w="1848" w:type="dxa"/>
            <w:hideMark/>
          </w:tcPr>
          <w:p w14:paraId="1FA0D867" w14:textId="455F5232" w:rsidR="00B56A7B" w:rsidRPr="007033B1" w:rsidRDefault="00B56A7B" w:rsidP="00CC47BD">
            <w:pPr>
              <w:spacing w:before="0"/>
              <w:jc w:val="right"/>
              <w:rPr>
                <w:sz w:val="22"/>
                <w:szCs w:val="22"/>
              </w:rPr>
            </w:pPr>
            <w:r w:rsidRPr="007033B1">
              <w:rPr>
                <w:sz w:val="22"/>
                <w:szCs w:val="22"/>
              </w:rPr>
              <w:t>-1</w:t>
            </w:r>
            <w:r w:rsidR="00EC26EC">
              <w:rPr>
                <w:sz w:val="22"/>
                <w:szCs w:val="22"/>
              </w:rPr>
              <w:t> </w:t>
            </w:r>
            <w:r w:rsidRPr="007033B1">
              <w:rPr>
                <w:sz w:val="22"/>
                <w:szCs w:val="22"/>
              </w:rPr>
              <w:t>895</w:t>
            </w:r>
          </w:p>
        </w:tc>
      </w:tr>
      <w:tr w:rsidR="00B56A7B" w:rsidRPr="000C156A" w14:paraId="119DDBE0" w14:textId="77777777" w:rsidTr="00CC47BD">
        <w:trPr>
          <w:jc w:val="center"/>
        </w:trPr>
        <w:tc>
          <w:tcPr>
            <w:tcW w:w="2972" w:type="dxa"/>
            <w:tcBorders>
              <w:top w:val="single" w:sz="4" w:space="0" w:color="000000"/>
              <w:left w:val="single" w:sz="4" w:space="0" w:color="000000"/>
              <w:bottom w:val="nil"/>
              <w:right w:val="single" w:sz="4" w:space="0" w:color="auto"/>
            </w:tcBorders>
            <w:vAlign w:val="center"/>
          </w:tcPr>
          <w:p w14:paraId="5F126AE7" w14:textId="77777777" w:rsidR="00B56A7B" w:rsidRPr="007033B1" w:rsidRDefault="00B56A7B" w:rsidP="00CC47BD">
            <w:pPr>
              <w:pStyle w:val="TableText0"/>
            </w:pPr>
          </w:p>
        </w:tc>
        <w:tc>
          <w:tcPr>
            <w:tcW w:w="1418" w:type="dxa"/>
            <w:hideMark/>
          </w:tcPr>
          <w:p w14:paraId="609C1554" w14:textId="77777777" w:rsidR="00B56A7B" w:rsidRPr="000C156A" w:rsidRDefault="00B56A7B" w:rsidP="00CC47BD">
            <w:pPr>
              <w:spacing w:before="0"/>
              <w:jc w:val="right"/>
              <w:rPr>
                <w:sz w:val="22"/>
                <w:szCs w:val="22"/>
              </w:rPr>
            </w:pPr>
          </w:p>
        </w:tc>
        <w:tc>
          <w:tcPr>
            <w:tcW w:w="1417" w:type="dxa"/>
            <w:hideMark/>
          </w:tcPr>
          <w:p w14:paraId="5EEB298E" w14:textId="77777777" w:rsidR="00B56A7B" w:rsidRPr="000C156A" w:rsidRDefault="00B56A7B" w:rsidP="00CC47BD">
            <w:pPr>
              <w:spacing w:before="0"/>
              <w:jc w:val="right"/>
              <w:rPr>
                <w:sz w:val="22"/>
                <w:szCs w:val="22"/>
              </w:rPr>
            </w:pPr>
          </w:p>
        </w:tc>
        <w:tc>
          <w:tcPr>
            <w:tcW w:w="1418" w:type="dxa"/>
            <w:hideMark/>
          </w:tcPr>
          <w:p w14:paraId="7EA617F4" w14:textId="77777777" w:rsidR="00B56A7B" w:rsidRPr="000C156A" w:rsidRDefault="00B56A7B" w:rsidP="00CC47BD">
            <w:pPr>
              <w:spacing w:before="0"/>
              <w:jc w:val="right"/>
              <w:rPr>
                <w:b/>
                <w:bCs/>
                <w:sz w:val="22"/>
                <w:szCs w:val="22"/>
              </w:rPr>
            </w:pPr>
          </w:p>
        </w:tc>
        <w:tc>
          <w:tcPr>
            <w:tcW w:w="1848" w:type="dxa"/>
            <w:hideMark/>
          </w:tcPr>
          <w:p w14:paraId="44F1F702" w14:textId="77777777" w:rsidR="00B56A7B" w:rsidRPr="000C156A" w:rsidRDefault="00B56A7B" w:rsidP="00CC47BD">
            <w:pPr>
              <w:spacing w:before="0"/>
              <w:jc w:val="right"/>
              <w:rPr>
                <w:b/>
                <w:bCs/>
                <w:sz w:val="22"/>
                <w:szCs w:val="22"/>
              </w:rPr>
            </w:pPr>
          </w:p>
        </w:tc>
      </w:tr>
      <w:tr w:rsidR="00B56A7B" w:rsidRPr="000C156A" w14:paraId="60FC23DE" w14:textId="77777777" w:rsidTr="00CC47BD">
        <w:trPr>
          <w:jc w:val="center"/>
        </w:trPr>
        <w:tc>
          <w:tcPr>
            <w:tcW w:w="2972" w:type="dxa"/>
            <w:tcBorders>
              <w:top w:val="single" w:sz="4" w:space="0" w:color="auto"/>
              <w:left w:val="single" w:sz="4" w:space="0" w:color="000000"/>
              <w:bottom w:val="single" w:sz="4" w:space="0" w:color="000000"/>
              <w:right w:val="single" w:sz="4" w:space="0" w:color="auto"/>
            </w:tcBorders>
            <w:vAlign w:val="center"/>
            <w:hideMark/>
          </w:tcPr>
          <w:p w14:paraId="7008D32C" w14:textId="77777777" w:rsidR="00B56A7B" w:rsidRPr="000C156A" w:rsidRDefault="00B56A7B" w:rsidP="00CC47BD">
            <w:pPr>
              <w:spacing w:before="20"/>
              <w:rPr>
                <w:b/>
                <w:bCs/>
                <w:sz w:val="22"/>
                <w:szCs w:val="22"/>
                <w:lang w:val="en-US" w:eastAsia="zh-CN"/>
              </w:rPr>
            </w:pPr>
            <w:r>
              <w:rPr>
                <w:b/>
                <w:bCs/>
                <w:sz w:val="22"/>
                <w:szCs w:val="22"/>
                <w:lang w:val="en-US" w:eastAsia="zh-CN"/>
              </w:rPr>
              <w:t>2021</w:t>
            </w:r>
            <w:r w:rsidRPr="000C156A">
              <w:rPr>
                <w:rFonts w:hint="eastAsia"/>
                <w:b/>
                <w:bCs/>
                <w:sz w:val="22"/>
                <w:szCs w:val="22"/>
                <w:lang w:val="en-US" w:eastAsia="zh-CN"/>
              </w:rPr>
              <w:t>年</w:t>
            </w:r>
            <w:r w:rsidRPr="000C156A">
              <w:rPr>
                <w:b/>
                <w:bCs/>
                <w:sz w:val="22"/>
                <w:szCs w:val="22"/>
                <w:lang w:val="en-US" w:eastAsia="zh-CN"/>
              </w:rPr>
              <w:t>12</w:t>
            </w:r>
            <w:r w:rsidRPr="000C156A">
              <w:rPr>
                <w:rFonts w:hint="eastAsia"/>
                <w:b/>
                <w:bCs/>
                <w:sz w:val="22"/>
                <w:szCs w:val="22"/>
                <w:lang w:val="en-US" w:eastAsia="zh-CN"/>
              </w:rPr>
              <w:t>月</w:t>
            </w:r>
            <w:r w:rsidRPr="000C156A">
              <w:rPr>
                <w:b/>
                <w:bCs/>
                <w:sz w:val="22"/>
                <w:szCs w:val="22"/>
                <w:lang w:val="en-US" w:eastAsia="zh-CN"/>
              </w:rPr>
              <w:t>31</w:t>
            </w:r>
            <w:r w:rsidRPr="000C156A">
              <w:rPr>
                <w:rFonts w:hint="eastAsia"/>
                <w:b/>
                <w:bCs/>
                <w:sz w:val="22"/>
                <w:szCs w:val="22"/>
                <w:lang w:val="en-US" w:eastAsia="zh-CN"/>
              </w:rPr>
              <w:t>日的期终余额</w:t>
            </w:r>
          </w:p>
        </w:tc>
        <w:tc>
          <w:tcPr>
            <w:tcW w:w="1418" w:type="dxa"/>
            <w:hideMark/>
          </w:tcPr>
          <w:p w14:paraId="1D9A4509" w14:textId="7A0247A1" w:rsidR="00B56A7B" w:rsidRPr="00F47686" w:rsidRDefault="00B56A7B" w:rsidP="00CC47BD">
            <w:pPr>
              <w:spacing w:before="0"/>
              <w:jc w:val="right"/>
              <w:rPr>
                <w:sz w:val="22"/>
                <w:szCs w:val="22"/>
              </w:rPr>
            </w:pPr>
            <w:r w:rsidRPr="00F47686">
              <w:rPr>
                <w:sz w:val="22"/>
                <w:szCs w:val="22"/>
              </w:rPr>
              <w:t>43</w:t>
            </w:r>
            <w:r w:rsidR="00EC26EC">
              <w:rPr>
                <w:sz w:val="22"/>
                <w:szCs w:val="22"/>
              </w:rPr>
              <w:t> </w:t>
            </w:r>
            <w:r w:rsidRPr="00F47686">
              <w:rPr>
                <w:sz w:val="22"/>
                <w:szCs w:val="22"/>
              </w:rPr>
              <w:t>336</w:t>
            </w:r>
          </w:p>
        </w:tc>
        <w:tc>
          <w:tcPr>
            <w:tcW w:w="1417" w:type="dxa"/>
            <w:hideMark/>
          </w:tcPr>
          <w:p w14:paraId="42571C19" w14:textId="6D313BB3" w:rsidR="00B56A7B" w:rsidRPr="00F47686" w:rsidRDefault="00B56A7B" w:rsidP="00CC47BD">
            <w:pPr>
              <w:spacing w:before="0"/>
              <w:jc w:val="right"/>
              <w:rPr>
                <w:sz w:val="22"/>
                <w:szCs w:val="22"/>
              </w:rPr>
            </w:pPr>
            <w:r w:rsidRPr="00F47686">
              <w:rPr>
                <w:sz w:val="22"/>
                <w:szCs w:val="22"/>
              </w:rPr>
              <w:t>3</w:t>
            </w:r>
            <w:r w:rsidR="00EC26EC">
              <w:rPr>
                <w:sz w:val="22"/>
                <w:szCs w:val="22"/>
              </w:rPr>
              <w:t> </w:t>
            </w:r>
            <w:r w:rsidRPr="00F47686">
              <w:rPr>
                <w:sz w:val="22"/>
                <w:szCs w:val="22"/>
              </w:rPr>
              <w:t>684</w:t>
            </w:r>
          </w:p>
        </w:tc>
        <w:tc>
          <w:tcPr>
            <w:tcW w:w="1418" w:type="dxa"/>
            <w:hideMark/>
          </w:tcPr>
          <w:p w14:paraId="22DDBCE8" w14:textId="7B4C40CB" w:rsidR="00B56A7B" w:rsidRPr="00F47686" w:rsidRDefault="00B56A7B" w:rsidP="00CC47BD">
            <w:pPr>
              <w:spacing w:before="0"/>
              <w:jc w:val="right"/>
              <w:rPr>
                <w:b/>
                <w:bCs/>
                <w:sz w:val="22"/>
                <w:szCs w:val="22"/>
              </w:rPr>
            </w:pPr>
            <w:r w:rsidRPr="00F47686">
              <w:rPr>
                <w:b/>
                <w:bCs/>
                <w:sz w:val="22"/>
                <w:szCs w:val="22"/>
              </w:rPr>
              <w:t>50</w:t>
            </w:r>
            <w:r w:rsidR="00EC26EC">
              <w:rPr>
                <w:b/>
                <w:bCs/>
                <w:sz w:val="22"/>
                <w:szCs w:val="22"/>
              </w:rPr>
              <w:t> </w:t>
            </w:r>
            <w:r w:rsidRPr="00F47686">
              <w:rPr>
                <w:b/>
                <w:bCs/>
                <w:sz w:val="22"/>
                <w:szCs w:val="22"/>
              </w:rPr>
              <w:t>020</w:t>
            </w:r>
          </w:p>
        </w:tc>
        <w:tc>
          <w:tcPr>
            <w:tcW w:w="1848" w:type="dxa"/>
            <w:hideMark/>
          </w:tcPr>
          <w:p w14:paraId="2FA4D13F" w14:textId="47C06689" w:rsidR="00B56A7B" w:rsidRPr="00F47686" w:rsidRDefault="00B56A7B" w:rsidP="00CC47BD">
            <w:pPr>
              <w:spacing w:before="0"/>
              <w:jc w:val="right"/>
              <w:rPr>
                <w:b/>
                <w:bCs/>
                <w:sz w:val="22"/>
                <w:szCs w:val="22"/>
              </w:rPr>
            </w:pPr>
            <w:r w:rsidRPr="00F47686">
              <w:rPr>
                <w:b/>
                <w:bCs/>
                <w:sz w:val="22"/>
                <w:szCs w:val="22"/>
              </w:rPr>
              <w:t>8</w:t>
            </w:r>
            <w:r w:rsidR="00EC26EC">
              <w:rPr>
                <w:b/>
                <w:bCs/>
                <w:sz w:val="22"/>
                <w:szCs w:val="22"/>
              </w:rPr>
              <w:t> </w:t>
            </w:r>
            <w:r w:rsidRPr="00F47686">
              <w:rPr>
                <w:b/>
                <w:bCs/>
                <w:sz w:val="22"/>
                <w:szCs w:val="22"/>
              </w:rPr>
              <w:t>102</w:t>
            </w:r>
          </w:p>
        </w:tc>
      </w:tr>
    </w:tbl>
    <w:p w14:paraId="43F8EE83" w14:textId="77777777" w:rsidR="00B56A7B" w:rsidRDefault="00B56A7B" w:rsidP="00B56A7B">
      <w:pPr>
        <w:ind w:firstLineChars="200" w:firstLine="480"/>
        <w:jc w:val="both"/>
        <w:rPr>
          <w:szCs w:val="24"/>
          <w:lang w:eastAsia="zh-CN"/>
        </w:rPr>
      </w:pPr>
      <w:bookmarkStart w:id="1011" w:name="_Toc305764103"/>
      <w:r w:rsidRPr="00357E27">
        <w:rPr>
          <w:rFonts w:hint="eastAsia"/>
          <w:szCs w:val="24"/>
          <w:lang w:eastAsia="zh-CN"/>
        </w:rPr>
        <w:t>与</w:t>
      </w:r>
      <w:r w:rsidRPr="00357E27">
        <w:rPr>
          <w:rFonts w:hint="eastAsia"/>
          <w:szCs w:val="24"/>
          <w:lang w:eastAsia="zh-CN"/>
        </w:rPr>
        <w:t>2020</w:t>
      </w:r>
      <w:r w:rsidRPr="00357E27">
        <w:rPr>
          <w:rFonts w:hint="eastAsia"/>
          <w:szCs w:val="24"/>
          <w:lang w:eastAsia="zh-CN"/>
        </w:rPr>
        <w:t>年相比，分配的第三方资金总额有所增加</w:t>
      </w:r>
      <w:r>
        <w:rPr>
          <w:rFonts w:hint="eastAsia"/>
          <w:szCs w:val="24"/>
          <w:lang w:eastAsia="zh-CN"/>
        </w:rPr>
        <w:t>（</w:t>
      </w:r>
      <w:r w:rsidRPr="00357E27">
        <w:rPr>
          <w:rFonts w:hint="eastAsia"/>
          <w:szCs w:val="24"/>
          <w:lang w:eastAsia="zh-CN"/>
        </w:rPr>
        <w:t>12%</w:t>
      </w:r>
      <w:r>
        <w:rPr>
          <w:rFonts w:hint="eastAsia"/>
          <w:szCs w:val="24"/>
          <w:lang w:eastAsia="zh-CN"/>
        </w:rPr>
        <w:t>）</w:t>
      </w:r>
      <w:r w:rsidRPr="00357E27">
        <w:rPr>
          <w:rFonts w:hint="eastAsia"/>
          <w:szCs w:val="24"/>
          <w:lang w:eastAsia="zh-CN"/>
        </w:rPr>
        <w:t>。许多已签署和支付</w:t>
      </w:r>
      <w:r>
        <w:rPr>
          <w:rFonts w:hint="eastAsia"/>
          <w:szCs w:val="24"/>
          <w:lang w:eastAsia="zh-CN"/>
        </w:rPr>
        <w:t>的</w:t>
      </w:r>
      <w:r w:rsidRPr="00357E27">
        <w:rPr>
          <w:rFonts w:hint="eastAsia"/>
          <w:szCs w:val="24"/>
          <w:lang w:eastAsia="zh-CN"/>
        </w:rPr>
        <w:t>新项目协议，正在落实当中。</w:t>
      </w:r>
    </w:p>
    <w:p w14:paraId="3FE302E3" w14:textId="77777777" w:rsidR="00B56A7B" w:rsidRPr="000C156A" w:rsidRDefault="00B56A7B" w:rsidP="00B56A7B">
      <w:pPr>
        <w:spacing w:before="240"/>
        <w:ind w:firstLineChars="200" w:firstLine="480"/>
        <w:rPr>
          <w:lang w:eastAsia="zh-CN"/>
        </w:rPr>
      </w:pPr>
      <w:r w:rsidRPr="00357E27">
        <w:rPr>
          <w:rFonts w:hint="eastAsia"/>
          <w:szCs w:val="24"/>
          <w:lang w:eastAsia="zh-CN"/>
        </w:rPr>
        <w:t>待分配的第三方资金的减少，也与越来越多新的和现有项目得到落实的趋势有关。</w:t>
      </w:r>
    </w:p>
    <w:p w14:paraId="02F29C81" w14:textId="77777777" w:rsidR="00B56A7B" w:rsidRPr="000C156A" w:rsidRDefault="00B56A7B" w:rsidP="00B56A7B">
      <w:pPr>
        <w:pStyle w:val="Heading1"/>
        <w:spacing w:before="240" w:after="120"/>
        <w:rPr>
          <w:rFonts w:cs="Microsoft YaHei"/>
          <w:sz w:val="24"/>
          <w:szCs w:val="24"/>
          <w:lang w:val="en-US" w:eastAsia="zh-CN"/>
        </w:rPr>
      </w:pPr>
      <w:bookmarkStart w:id="1012" w:name="_Toc329165797"/>
      <w:bookmarkStart w:id="1013" w:name="_Toc482892581"/>
      <w:bookmarkStart w:id="1014" w:name="_Toc482870846"/>
      <w:bookmarkStart w:id="1015" w:name="_Toc511817848"/>
      <w:bookmarkStart w:id="1016" w:name="_Toc520280748"/>
      <w:bookmarkStart w:id="1017" w:name="_Toc10536843"/>
      <w:bookmarkStart w:id="1018" w:name="_Toc41905894"/>
      <w:bookmarkStart w:id="1019" w:name="_Toc41906915"/>
      <w:bookmarkStart w:id="1020" w:name="_Toc41907996"/>
      <w:bookmarkStart w:id="1021" w:name="_Toc41908064"/>
      <w:bookmarkStart w:id="1022" w:name="_Toc73518712"/>
      <w:bookmarkStart w:id="1023" w:name="_Toc73518859"/>
      <w:bookmarkStart w:id="1024" w:name="_Toc73519259"/>
      <w:bookmarkStart w:id="1025" w:name="_Toc110264016"/>
      <w:bookmarkStart w:id="1026" w:name="_Toc110264095"/>
      <w:bookmarkStart w:id="1027" w:name="_Toc110265734"/>
      <w:bookmarkStart w:id="1028" w:name="_Toc110330104"/>
      <w:bookmarkStart w:id="1029" w:name="_Toc110330269"/>
      <w:bookmarkStart w:id="1030" w:name="_Toc329011648"/>
      <w:bookmarkStart w:id="1031" w:name="_Toc305778514"/>
      <w:bookmarkStart w:id="1032" w:name="_Toc305764104"/>
      <w:bookmarkEnd w:id="1011"/>
      <w:r w:rsidRPr="000C156A">
        <w:rPr>
          <w:rFonts w:cs="Microsoft YaHei" w:hint="eastAsia"/>
          <w:sz w:val="24"/>
          <w:szCs w:val="24"/>
          <w:lang w:val="fr-FR" w:eastAsia="zh-CN"/>
        </w:rPr>
        <w:t>说明</w:t>
      </w:r>
      <w:r w:rsidRPr="000C156A">
        <w:rPr>
          <w:rFonts w:cs="Microsoft YaHei"/>
          <w:sz w:val="24"/>
          <w:szCs w:val="24"/>
          <w:lang w:val="en-US" w:eastAsia="zh-CN"/>
        </w:rPr>
        <w:t>21</w:t>
      </w:r>
      <w:r w:rsidRPr="000C156A">
        <w:rPr>
          <w:rFonts w:cs="Microsoft YaHei"/>
          <w:sz w:val="24"/>
          <w:szCs w:val="24"/>
          <w:lang w:val="en-US" w:eastAsia="zh-CN"/>
        </w:rPr>
        <w:tab/>
      </w:r>
      <w:bookmarkEnd w:id="1012"/>
      <w:bookmarkEnd w:id="1013"/>
      <w:bookmarkEnd w:id="1014"/>
      <w:bookmarkEnd w:id="1015"/>
      <w:bookmarkEnd w:id="1016"/>
      <w:r w:rsidRPr="000C156A">
        <w:rPr>
          <w:rFonts w:cs="Microsoft YaHei" w:hint="eastAsia"/>
          <w:sz w:val="24"/>
          <w:szCs w:val="24"/>
          <w:lang w:val="fr-FR" w:eastAsia="zh-CN"/>
        </w:rPr>
        <w:t>分摊会费</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306AB2C4" w14:textId="77777777" w:rsidR="00B56A7B" w:rsidRPr="000C156A" w:rsidRDefault="00B56A7B" w:rsidP="00B56A7B">
      <w:pPr>
        <w:spacing w:after="240"/>
        <w:ind w:firstLineChars="200" w:firstLine="480"/>
        <w:rPr>
          <w:lang w:eastAsia="zh-CN"/>
        </w:rPr>
      </w:pPr>
      <w:r w:rsidRPr="000C156A">
        <w:rPr>
          <w:rFonts w:hint="eastAsia"/>
          <w:lang w:eastAsia="zh-CN"/>
        </w:rPr>
        <w:t>下表所示为在</w:t>
      </w:r>
      <w:r w:rsidRPr="000C156A">
        <w:rPr>
          <w:lang w:eastAsia="zh-CN"/>
        </w:rPr>
        <w:t>20</w:t>
      </w:r>
      <w:r>
        <w:rPr>
          <w:lang w:eastAsia="zh-CN"/>
        </w:rPr>
        <w:t>21</w:t>
      </w:r>
      <w:r w:rsidRPr="000C156A">
        <w:rPr>
          <w:rFonts w:hint="eastAsia"/>
          <w:lang w:eastAsia="zh-CN"/>
        </w:rPr>
        <w:t>年期间已实际过账的会费。</w:t>
      </w: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6"/>
        <w:gridCol w:w="1843"/>
        <w:gridCol w:w="2032"/>
      </w:tblGrid>
      <w:tr w:rsidR="00B56A7B" w:rsidRPr="000C156A" w14:paraId="279FDC69" w14:textId="77777777" w:rsidTr="00CC47BD">
        <w:trPr>
          <w:trHeight w:val="499"/>
          <w:jc w:val="center"/>
        </w:trPr>
        <w:tc>
          <w:tcPr>
            <w:tcW w:w="5896" w:type="dxa"/>
            <w:noWrap/>
            <w:vAlign w:val="center"/>
            <w:hideMark/>
          </w:tcPr>
          <w:p w14:paraId="0858E200" w14:textId="77777777" w:rsidR="00B56A7B" w:rsidRPr="000C156A" w:rsidRDefault="00B56A7B" w:rsidP="00CC47BD">
            <w:pPr>
              <w:keepNext/>
              <w:spacing w:before="20" w:after="20"/>
              <w:rPr>
                <w:b/>
                <w:sz w:val="22"/>
                <w:szCs w:val="22"/>
                <w:lang w:val="en-US"/>
              </w:rPr>
            </w:pPr>
            <w:r w:rsidRPr="000C156A">
              <w:rPr>
                <w:rFonts w:ascii="SimSun" w:hAnsi="SimSun" w:cs="SimSun" w:hint="eastAsia"/>
                <w:b/>
                <w:sz w:val="22"/>
                <w:szCs w:val="22"/>
                <w:lang w:val="en-US"/>
              </w:rPr>
              <w:t>单位：千瑞郎</w:t>
            </w:r>
          </w:p>
        </w:tc>
        <w:tc>
          <w:tcPr>
            <w:tcW w:w="1843" w:type="dxa"/>
            <w:vAlign w:val="center"/>
            <w:hideMark/>
          </w:tcPr>
          <w:p w14:paraId="54E2C77B" w14:textId="77777777" w:rsidR="00B56A7B" w:rsidRPr="000C156A" w:rsidRDefault="00B56A7B" w:rsidP="00CC47BD">
            <w:pPr>
              <w:keepNext/>
              <w:spacing w:before="20" w:after="20"/>
              <w:jc w:val="center"/>
              <w:rPr>
                <w:b/>
                <w:sz w:val="22"/>
                <w:szCs w:val="22"/>
                <w:lang w:val="en-US"/>
              </w:rPr>
            </w:pPr>
            <w:r w:rsidRPr="000C156A">
              <w:rPr>
                <w:b/>
                <w:sz w:val="22"/>
                <w:szCs w:val="22"/>
                <w:lang w:val="en-US"/>
              </w:rPr>
              <w:t>202</w:t>
            </w:r>
            <w:r>
              <w:rPr>
                <w:b/>
                <w:sz w:val="22"/>
                <w:szCs w:val="22"/>
                <w:lang w:val="en-US"/>
              </w:rPr>
              <w:t>1</w:t>
            </w:r>
            <w:r w:rsidRPr="000C156A">
              <w:rPr>
                <w:rFonts w:ascii="SimSun" w:hAnsi="SimSun" w:cs="SimSun" w:hint="eastAsia"/>
                <w:b/>
                <w:sz w:val="22"/>
                <w:szCs w:val="22"/>
                <w:lang w:val="en-US"/>
              </w:rPr>
              <w:t>年</w:t>
            </w:r>
          </w:p>
        </w:tc>
        <w:tc>
          <w:tcPr>
            <w:tcW w:w="2032" w:type="dxa"/>
            <w:vAlign w:val="center"/>
            <w:hideMark/>
          </w:tcPr>
          <w:p w14:paraId="1B0B9D57" w14:textId="77777777" w:rsidR="00B56A7B" w:rsidRPr="000C156A" w:rsidRDefault="00B56A7B" w:rsidP="00CC47BD">
            <w:pPr>
              <w:keepNext/>
              <w:spacing w:before="20" w:after="20"/>
              <w:jc w:val="center"/>
              <w:rPr>
                <w:b/>
                <w:sz w:val="22"/>
                <w:szCs w:val="22"/>
                <w:lang w:val="en-US"/>
              </w:rPr>
            </w:pPr>
            <w:r>
              <w:rPr>
                <w:b/>
                <w:sz w:val="22"/>
                <w:szCs w:val="22"/>
                <w:lang w:val="en-US"/>
              </w:rPr>
              <w:t>2020</w:t>
            </w:r>
            <w:r w:rsidRPr="000C156A">
              <w:rPr>
                <w:rFonts w:ascii="SimSun" w:hAnsi="SimSun" w:cs="SimSun" w:hint="eastAsia"/>
                <w:b/>
                <w:sz w:val="22"/>
                <w:szCs w:val="22"/>
                <w:lang w:val="en-US"/>
              </w:rPr>
              <w:t>年</w:t>
            </w:r>
          </w:p>
        </w:tc>
      </w:tr>
      <w:tr w:rsidR="00B56A7B" w:rsidRPr="000C156A" w14:paraId="3ED22CF4" w14:textId="77777777" w:rsidTr="00CC47BD">
        <w:trPr>
          <w:trHeight w:val="255"/>
          <w:jc w:val="center"/>
        </w:trPr>
        <w:tc>
          <w:tcPr>
            <w:tcW w:w="5896" w:type="dxa"/>
            <w:noWrap/>
            <w:vAlign w:val="bottom"/>
            <w:hideMark/>
          </w:tcPr>
          <w:p w14:paraId="3AD77EC3" w14:textId="77777777" w:rsidR="00B56A7B" w:rsidRPr="000C156A" w:rsidRDefault="00B56A7B" w:rsidP="00CC47BD">
            <w:pPr>
              <w:spacing w:before="20"/>
              <w:rPr>
                <w:bCs/>
                <w:sz w:val="22"/>
                <w:szCs w:val="22"/>
                <w:lang w:val="en-US" w:eastAsia="zh-CN"/>
              </w:rPr>
            </w:pPr>
            <w:r w:rsidRPr="000C156A">
              <w:rPr>
                <w:rFonts w:hint="eastAsia"/>
                <w:bCs/>
                <w:sz w:val="22"/>
                <w:szCs w:val="22"/>
                <w:lang w:val="en-US" w:eastAsia="zh-CN"/>
              </w:rPr>
              <w:t>成员国会费</w:t>
            </w:r>
          </w:p>
        </w:tc>
        <w:tc>
          <w:tcPr>
            <w:tcW w:w="1843" w:type="dxa"/>
            <w:noWrap/>
            <w:vAlign w:val="center"/>
            <w:hideMark/>
          </w:tcPr>
          <w:p w14:paraId="7826D7C7" w14:textId="3F8766F8" w:rsidR="00B56A7B" w:rsidRPr="000C156A" w:rsidRDefault="00B56A7B" w:rsidP="00CC47BD">
            <w:pPr>
              <w:spacing w:before="0"/>
              <w:jc w:val="right"/>
              <w:rPr>
                <w:sz w:val="22"/>
              </w:rPr>
            </w:pPr>
            <w:r w:rsidRPr="000C156A">
              <w:rPr>
                <w:sz w:val="22"/>
              </w:rPr>
              <w:t>109</w:t>
            </w:r>
            <w:r w:rsidR="00EC26EC">
              <w:rPr>
                <w:sz w:val="22"/>
              </w:rPr>
              <w:t> </w:t>
            </w:r>
            <w:r w:rsidRPr="000C156A">
              <w:rPr>
                <w:sz w:val="22"/>
              </w:rPr>
              <w:t>293</w:t>
            </w:r>
          </w:p>
        </w:tc>
        <w:tc>
          <w:tcPr>
            <w:tcW w:w="2032" w:type="dxa"/>
            <w:hideMark/>
          </w:tcPr>
          <w:p w14:paraId="0530DE70" w14:textId="5876A5FF" w:rsidR="00B56A7B" w:rsidRPr="000C156A" w:rsidRDefault="00B56A7B" w:rsidP="00CC47BD">
            <w:pPr>
              <w:spacing w:before="0"/>
              <w:jc w:val="right"/>
              <w:rPr>
                <w:sz w:val="22"/>
              </w:rPr>
            </w:pPr>
            <w:r w:rsidRPr="00704BBD">
              <w:rPr>
                <w:sz w:val="22"/>
              </w:rPr>
              <w:t>10</w:t>
            </w:r>
            <w:r>
              <w:rPr>
                <w:sz w:val="22"/>
              </w:rPr>
              <w:t>9</w:t>
            </w:r>
            <w:r w:rsidR="00EC26EC">
              <w:rPr>
                <w:sz w:val="22"/>
              </w:rPr>
              <w:t> </w:t>
            </w:r>
            <w:r>
              <w:rPr>
                <w:sz w:val="22"/>
              </w:rPr>
              <w:t>293</w:t>
            </w:r>
          </w:p>
        </w:tc>
      </w:tr>
      <w:tr w:rsidR="00B56A7B" w:rsidRPr="000C156A" w14:paraId="7A5A3E1E" w14:textId="77777777" w:rsidTr="00CC47BD">
        <w:trPr>
          <w:trHeight w:val="20"/>
          <w:jc w:val="center"/>
        </w:trPr>
        <w:tc>
          <w:tcPr>
            <w:tcW w:w="5896" w:type="dxa"/>
            <w:noWrap/>
            <w:vAlign w:val="center"/>
            <w:hideMark/>
          </w:tcPr>
          <w:p w14:paraId="2013644F" w14:textId="77777777" w:rsidR="00B56A7B" w:rsidRPr="000C156A" w:rsidRDefault="00B56A7B" w:rsidP="00CC47BD">
            <w:pPr>
              <w:spacing w:before="20"/>
              <w:rPr>
                <w:bCs/>
                <w:sz w:val="22"/>
                <w:szCs w:val="22"/>
                <w:lang w:val="en-US" w:eastAsia="zh-CN"/>
              </w:rPr>
            </w:pPr>
            <w:r w:rsidRPr="000C156A">
              <w:rPr>
                <w:rFonts w:hint="eastAsia"/>
                <w:sz w:val="22"/>
                <w:szCs w:val="22"/>
                <w:lang w:val="en-US" w:eastAsia="fr-FR"/>
              </w:rPr>
              <w:t>部门成员会费</w:t>
            </w:r>
          </w:p>
        </w:tc>
        <w:tc>
          <w:tcPr>
            <w:tcW w:w="1843" w:type="dxa"/>
            <w:noWrap/>
            <w:hideMark/>
          </w:tcPr>
          <w:p w14:paraId="22FBF21C" w14:textId="3CECC9FD" w:rsidR="00B56A7B" w:rsidRPr="000C156A" w:rsidRDefault="00B56A7B" w:rsidP="00CC47BD">
            <w:pPr>
              <w:spacing w:before="0"/>
              <w:jc w:val="right"/>
              <w:rPr>
                <w:sz w:val="22"/>
              </w:rPr>
            </w:pPr>
            <w:r w:rsidRPr="00704BBD">
              <w:rPr>
                <w:sz w:val="22"/>
              </w:rPr>
              <w:t>1</w:t>
            </w:r>
            <w:r>
              <w:rPr>
                <w:sz w:val="22"/>
              </w:rPr>
              <w:t>3</w:t>
            </w:r>
            <w:r w:rsidR="00EC26EC">
              <w:rPr>
                <w:sz w:val="22"/>
              </w:rPr>
              <w:t> </w:t>
            </w:r>
            <w:r>
              <w:rPr>
                <w:sz w:val="22"/>
              </w:rPr>
              <w:t>809</w:t>
            </w:r>
          </w:p>
        </w:tc>
        <w:tc>
          <w:tcPr>
            <w:tcW w:w="2032" w:type="dxa"/>
            <w:hideMark/>
          </w:tcPr>
          <w:p w14:paraId="3683D39F" w14:textId="2096998C" w:rsidR="00B56A7B" w:rsidRPr="000C156A" w:rsidRDefault="00B56A7B" w:rsidP="00CC47BD">
            <w:pPr>
              <w:spacing w:before="0"/>
              <w:jc w:val="right"/>
              <w:rPr>
                <w:sz w:val="22"/>
              </w:rPr>
            </w:pPr>
            <w:r w:rsidRPr="00704BBD">
              <w:rPr>
                <w:sz w:val="22"/>
              </w:rPr>
              <w:t>1</w:t>
            </w:r>
            <w:r>
              <w:rPr>
                <w:sz w:val="22"/>
              </w:rPr>
              <w:t>3</w:t>
            </w:r>
            <w:r w:rsidR="00EC26EC">
              <w:rPr>
                <w:sz w:val="22"/>
              </w:rPr>
              <w:t> </w:t>
            </w:r>
            <w:r>
              <w:rPr>
                <w:sz w:val="22"/>
              </w:rPr>
              <w:t>939</w:t>
            </w:r>
          </w:p>
        </w:tc>
      </w:tr>
      <w:tr w:rsidR="00B56A7B" w:rsidRPr="000C156A" w14:paraId="4470A774" w14:textId="77777777" w:rsidTr="00CC47BD">
        <w:trPr>
          <w:trHeight w:val="20"/>
          <w:jc w:val="center"/>
        </w:trPr>
        <w:tc>
          <w:tcPr>
            <w:tcW w:w="5896" w:type="dxa"/>
            <w:noWrap/>
            <w:vAlign w:val="center"/>
            <w:hideMark/>
          </w:tcPr>
          <w:p w14:paraId="730E106A" w14:textId="77777777" w:rsidR="00B56A7B" w:rsidRPr="000C156A" w:rsidRDefault="00B56A7B" w:rsidP="00CC47BD">
            <w:pPr>
              <w:spacing w:before="20"/>
              <w:rPr>
                <w:bCs/>
                <w:sz w:val="22"/>
                <w:szCs w:val="22"/>
                <w:lang w:val="en-US" w:eastAsia="zh-CN"/>
              </w:rPr>
            </w:pPr>
            <w:r w:rsidRPr="000C156A">
              <w:rPr>
                <w:rFonts w:hint="eastAsia"/>
                <w:sz w:val="22"/>
                <w:szCs w:val="22"/>
                <w:lang w:val="en-US" w:eastAsia="fr-FR"/>
              </w:rPr>
              <w:t>部门准成员会费</w:t>
            </w:r>
          </w:p>
        </w:tc>
        <w:tc>
          <w:tcPr>
            <w:tcW w:w="1843" w:type="dxa"/>
            <w:noWrap/>
            <w:hideMark/>
          </w:tcPr>
          <w:p w14:paraId="7D9894BC" w14:textId="6650DE64" w:rsidR="00B56A7B" w:rsidRPr="000C156A" w:rsidRDefault="00B56A7B" w:rsidP="00CC47BD">
            <w:pPr>
              <w:spacing w:before="0"/>
              <w:jc w:val="right"/>
              <w:rPr>
                <w:sz w:val="22"/>
              </w:rPr>
            </w:pPr>
            <w:r>
              <w:rPr>
                <w:sz w:val="22"/>
              </w:rPr>
              <w:t>2</w:t>
            </w:r>
            <w:r w:rsidR="00EC26EC">
              <w:rPr>
                <w:sz w:val="22"/>
              </w:rPr>
              <w:t> </w:t>
            </w:r>
            <w:r>
              <w:rPr>
                <w:sz w:val="22"/>
              </w:rPr>
              <w:t>120</w:t>
            </w:r>
          </w:p>
        </w:tc>
        <w:tc>
          <w:tcPr>
            <w:tcW w:w="2032" w:type="dxa"/>
            <w:hideMark/>
          </w:tcPr>
          <w:p w14:paraId="618EF598" w14:textId="425B03A7" w:rsidR="00B56A7B" w:rsidRPr="000C156A" w:rsidRDefault="00B56A7B" w:rsidP="00CC47BD">
            <w:pPr>
              <w:spacing w:before="0"/>
              <w:jc w:val="right"/>
              <w:rPr>
                <w:sz w:val="22"/>
              </w:rPr>
            </w:pPr>
            <w:r>
              <w:rPr>
                <w:sz w:val="22"/>
              </w:rPr>
              <w:t>2</w:t>
            </w:r>
            <w:r w:rsidR="00EC26EC">
              <w:rPr>
                <w:sz w:val="22"/>
              </w:rPr>
              <w:t> </w:t>
            </w:r>
            <w:r>
              <w:rPr>
                <w:sz w:val="22"/>
              </w:rPr>
              <w:t>111</w:t>
            </w:r>
          </w:p>
        </w:tc>
      </w:tr>
      <w:tr w:rsidR="00B56A7B" w:rsidRPr="000C156A" w14:paraId="60193883" w14:textId="77777777" w:rsidTr="00CC47BD">
        <w:trPr>
          <w:trHeight w:val="20"/>
          <w:jc w:val="center"/>
        </w:trPr>
        <w:tc>
          <w:tcPr>
            <w:tcW w:w="5896" w:type="dxa"/>
            <w:noWrap/>
            <w:vAlign w:val="center"/>
            <w:hideMark/>
          </w:tcPr>
          <w:p w14:paraId="30D4E1D0" w14:textId="77777777" w:rsidR="00B56A7B" w:rsidRPr="000C156A" w:rsidRDefault="00B56A7B" w:rsidP="00CC47BD">
            <w:pPr>
              <w:spacing w:before="20"/>
              <w:rPr>
                <w:bCs/>
                <w:sz w:val="22"/>
                <w:szCs w:val="22"/>
                <w:lang w:val="en-US" w:eastAsia="zh-CN"/>
              </w:rPr>
            </w:pPr>
            <w:r w:rsidRPr="000C156A">
              <w:rPr>
                <w:rFonts w:hint="eastAsia"/>
                <w:sz w:val="22"/>
                <w:szCs w:val="22"/>
                <w:lang w:val="en-US" w:eastAsia="fr-FR"/>
              </w:rPr>
              <w:t>学术成员会费</w:t>
            </w:r>
          </w:p>
        </w:tc>
        <w:tc>
          <w:tcPr>
            <w:tcW w:w="1843" w:type="dxa"/>
            <w:noWrap/>
            <w:hideMark/>
          </w:tcPr>
          <w:p w14:paraId="71E7A5C7" w14:textId="77777777" w:rsidR="00B56A7B" w:rsidRPr="000C156A" w:rsidRDefault="00B56A7B" w:rsidP="00CC47BD">
            <w:pPr>
              <w:spacing w:before="0"/>
              <w:jc w:val="right"/>
              <w:rPr>
                <w:sz w:val="22"/>
              </w:rPr>
            </w:pPr>
            <w:r w:rsidRPr="00704BBD">
              <w:rPr>
                <w:sz w:val="22"/>
              </w:rPr>
              <w:t>3</w:t>
            </w:r>
            <w:r>
              <w:rPr>
                <w:sz w:val="22"/>
              </w:rPr>
              <w:t>89</w:t>
            </w:r>
          </w:p>
        </w:tc>
        <w:tc>
          <w:tcPr>
            <w:tcW w:w="2032" w:type="dxa"/>
            <w:hideMark/>
          </w:tcPr>
          <w:p w14:paraId="5ECFAC7E" w14:textId="77777777" w:rsidR="00B56A7B" w:rsidRPr="000C156A" w:rsidRDefault="00B56A7B" w:rsidP="00CC47BD">
            <w:pPr>
              <w:spacing w:before="0"/>
              <w:jc w:val="right"/>
              <w:rPr>
                <w:sz w:val="22"/>
              </w:rPr>
            </w:pPr>
            <w:r w:rsidRPr="00704BBD">
              <w:rPr>
                <w:sz w:val="22"/>
              </w:rPr>
              <w:t>3</w:t>
            </w:r>
            <w:r>
              <w:rPr>
                <w:sz w:val="22"/>
              </w:rPr>
              <w:t>98</w:t>
            </w:r>
          </w:p>
        </w:tc>
      </w:tr>
      <w:tr w:rsidR="00B56A7B" w:rsidRPr="000C156A" w14:paraId="03F4F94E" w14:textId="77777777" w:rsidTr="00CC47BD">
        <w:trPr>
          <w:trHeight w:val="20"/>
          <w:jc w:val="center"/>
        </w:trPr>
        <w:tc>
          <w:tcPr>
            <w:tcW w:w="5896" w:type="dxa"/>
            <w:noWrap/>
            <w:vAlign w:val="center"/>
          </w:tcPr>
          <w:p w14:paraId="4299D228" w14:textId="77777777" w:rsidR="00B56A7B" w:rsidRPr="000C156A" w:rsidRDefault="00B56A7B" w:rsidP="00CC47BD">
            <w:pPr>
              <w:spacing w:before="20"/>
              <w:rPr>
                <w:sz w:val="22"/>
                <w:szCs w:val="22"/>
                <w:lang w:val="en-US" w:eastAsia="fr-FR"/>
              </w:rPr>
            </w:pPr>
            <w:r w:rsidRPr="000C156A">
              <w:rPr>
                <w:rFonts w:hint="eastAsia"/>
                <w:sz w:val="22"/>
                <w:lang w:eastAsia="zh-CN"/>
              </w:rPr>
              <w:t>大会会费</w:t>
            </w:r>
          </w:p>
        </w:tc>
        <w:tc>
          <w:tcPr>
            <w:tcW w:w="1843" w:type="dxa"/>
            <w:noWrap/>
          </w:tcPr>
          <w:p w14:paraId="222016D5" w14:textId="77777777" w:rsidR="00B56A7B" w:rsidRPr="000C156A" w:rsidRDefault="00B56A7B" w:rsidP="00CC47BD">
            <w:pPr>
              <w:spacing w:before="0"/>
              <w:jc w:val="right"/>
              <w:rPr>
                <w:sz w:val="22"/>
              </w:rPr>
            </w:pPr>
            <w:r>
              <w:rPr>
                <w:sz w:val="22"/>
              </w:rPr>
              <w:t>-</w:t>
            </w:r>
          </w:p>
        </w:tc>
        <w:tc>
          <w:tcPr>
            <w:tcW w:w="2032" w:type="dxa"/>
          </w:tcPr>
          <w:p w14:paraId="4418BC1A" w14:textId="77777777" w:rsidR="00B56A7B" w:rsidRPr="000C156A" w:rsidRDefault="00B56A7B" w:rsidP="00CC47BD">
            <w:pPr>
              <w:spacing w:before="0"/>
              <w:jc w:val="right"/>
              <w:rPr>
                <w:sz w:val="22"/>
              </w:rPr>
            </w:pPr>
            <w:r>
              <w:rPr>
                <w:sz w:val="22"/>
              </w:rPr>
              <w:t>-</w:t>
            </w:r>
          </w:p>
        </w:tc>
      </w:tr>
      <w:tr w:rsidR="00B56A7B" w:rsidRPr="000C156A" w14:paraId="21C2FBBD" w14:textId="77777777" w:rsidTr="00CC47BD">
        <w:trPr>
          <w:trHeight w:val="20"/>
          <w:jc w:val="center"/>
        </w:trPr>
        <w:tc>
          <w:tcPr>
            <w:tcW w:w="5896" w:type="dxa"/>
            <w:noWrap/>
            <w:vAlign w:val="center"/>
            <w:hideMark/>
          </w:tcPr>
          <w:p w14:paraId="680CE03A" w14:textId="77777777" w:rsidR="00B56A7B" w:rsidRPr="000C156A" w:rsidRDefault="00B56A7B" w:rsidP="00CC47BD">
            <w:pPr>
              <w:spacing w:before="20" w:after="20"/>
              <w:rPr>
                <w:b/>
                <w:sz w:val="22"/>
                <w:szCs w:val="22"/>
                <w:lang w:val="en-US" w:eastAsia="zh-CN"/>
              </w:rPr>
            </w:pPr>
            <w:r w:rsidRPr="000C156A">
              <w:rPr>
                <w:rFonts w:hint="eastAsia"/>
                <w:b/>
                <w:sz w:val="22"/>
                <w:szCs w:val="22"/>
                <w:lang w:val="en-US" w:eastAsia="zh-CN"/>
              </w:rPr>
              <w:t>分摊会费</w:t>
            </w:r>
          </w:p>
        </w:tc>
        <w:tc>
          <w:tcPr>
            <w:tcW w:w="1843" w:type="dxa"/>
            <w:noWrap/>
            <w:hideMark/>
          </w:tcPr>
          <w:p w14:paraId="5103086E" w14:textId="20A672B1" w:rsidR="00B56A7B" w:rsidRPr="000C156A" w:rsidRDefault="00B56A7B" w:rsidP="00CC47BD">
            <w:pPr>
              <w:spacing w:before="0"/>
              <w:jc w:val="right"/>
              <w:rPr>
                <w:b/>
                <w:bCs/>
                <w:sz w:val="22"/>
              </w:rPr>
            </w:pPr>
            <w:r w:rsidRPr="00704BBD">
              <w:rPr>
                <w:b/>
                <w:bCs/>
                <w:sz w:val="22"/>
              </w:rPr>
              <w:t>12</w:t>
            </w:r>
            <w:r>
              <w:rPr>
                <w:b/>
                <w:bCs/>
                <w:sz w:val="22"/>
              </w:rPr>
              <w:t>5</w:t>
            </w:r>
            <w:r w:rsidR="00EC26EC">
              <w:rPr>
                <w:b/>
                <w:bCs/>
                <w:sz w:val="22"/>
              </w:rPr>
              <w:t> </w:t>
            </w:r>
            <w:r>
              <w:rPr>
                <w:b/>
                <w:bCs/>
                <w:sz w:val="22"/>
              </w:rPr>
              <w:t>611</w:t>
            </w:r>
          </w:p>
        </w:tc>
        <w:tc>
          <w:tcPr>
            <w:tcW w:w="2032" w:type="dxa"/>
            <w:hideMark/>
          </w:tcPr>
          <w:p w14:paraId="7C674B5C" w14:textId="5FDC0264" w:rsidR="00B56A7B" w:rsidRPr="000C156A" w:rsidRDefault="00B56A7B" w:rsidP="00CC47BD">
            <w:pPr>
              <w:spacing w:before="0"/>
              <w:jc w:val="right"/>
              <w:rPr>
                <w:b/>
                <w:bCs/>
                <w:sz w:val="22"/>
              </w:rPr>
            </w:pPr>
            <w:r w:rsidRPr="00704BBD">
              <w:rPr>
                <w:b/>
                <w:bCs/>
                <w:sz w:val="22"/>
              </w:rPr>
              <w:t>12</w:t>
            </w:r>
            <w:r>
              <w:rPr>
                <w:b/>
                <w:bCs/>
                <w:sz w:val="22"/>
              </w:rPr>
              <w:t>5</w:t>
            </w:r>
            <w:r w:rsidR="00EC26EC">
              <w:rPr>
                <w:b/>
                <w:bCs/>
                <w:sz w:val="22"/>
              </w:rPr>
              <w:t> </w:t>
            </w:r>
            <w:r>
              <w:rPr>
                <w:b/>
                <w:bCs/>
                <w:sz w:val="22"/>
              </w:rPr>
              <w:t>741</w:t>
            </w:r>
          </w:p>
        </w:tc>
      </w:tr>
    </w:tbl>
    <w:p w14:paraId="50404A1D" w14:textId="77777777" w:rsidR="00B56A7B" w:rsidRPr="000C156A" w:rsidRDefault="00B56A7B" w:rsidP="00B56A7B">
      <w:pPr>
        <w:spacing w:before="240"/>
        <w:ind w:firstLineChars="200" w:firstLine="480"/>
        <w:rPr>
          <w:lang w:eastAsia="zh-CN"/>
        </w:rPr>
      </w:pPr>
      <w:r w:rsidRPr="000C156A">
        <w:rPr>
          <w:rFonts w:hint="eastAsia"/>
          <w:lang w:eastAsia="zh-CN"/>
        </w:rPr>
        <w:t>理事会在</w:t>
      </w:r>
      <w:r w:rsidRPr="000C156A">
        <w:rPr>
          <w:lang w:eastAsia="zh-CN"/>
        </w:rPr>
        <w:t>2019</w:t>
      </w:r>
      <w:r w:rsidRPr="000C156A">
        <w:rPr>
          <w:rFonts w:hint="eastAsia"/>
          <w:lang w:eastAsia="zh-CN"/>
        </w:rPr>
        <w:t>年会议上通过了第</w:t>
      </w:r>
      <w:r w:rsidRPr="000C156A">
        <w:rPr>
          <w:lang w:eastAsia="zh-CN"/>
        </w:rPr>
        <w:t>1396</w:t>
      </w:r>
      <w:r w:rsidRPr="000C156A">
        <w:rPr>
          <w:rFonts w:hint="eastAsia"/>
          <w:lang w:eastAsia="zh-CN"/>
        </w:rPr>
        <w:t>号决议，批准了国际电联</w:t>
      </w:r>
      <w:r w:rsidRPr="000C156A">
        <w:rPr>
          <w:lang w:val="en-US" w:eastAsia="zh-CN"/>
        </w:rPr>
        <w:t>2020-2021</w:t>
      </w:r>
      <w:r w:rsidRPr="000C156A">
        <w:rPr>
          <w:rFonts w:hint="eastAsia"/>
          <w:lang w:eastAsia="zh-CN"/>
        </w:rPr>
        <w:t>年期间的预算。</w:t>
      </w:r>
    </w:p>
    <w:p w14:paraId="4D682D2D" w14:textId="77777777" w:rsidR="00B56A7B" w:rsidRPr="000C156A" w:rsidRDefault="00B56A7B" w:rsidP="00B56A7B">
      <w:pPr>
        <w:ind w:firstLineChars="200" w:firstLine="480"/>
        <w:rPr>
          <w:lang w:eastAsia="zh-CN"/>
        </w:rPr>
      </w:pPr>
      <w:r w:rsidRPr="000C156A">
        <w:rPr>
          <w:rFonts w:hint="eastAsia"/>
          <w:lang w:eastAsia="zh-CN"/>
        </w:rPr>
        <w:t>理事会在</w:t>
      </w:r>
      <w:r w:rsidRPr="000C156A">
        <w:rPr>
          <w:lang w:eastAsia="zh-CN"/>
        </w:rPr>
        <w:t>343 11/16</w:t>
      </w:r>
      <w:r w:rsidRPr="000C156A">
        <w:rPr>
          <w:rFonts w:hint="eastAsia"/>
          <w:lang w:eastAsia="zh-CN"/>
        </w:rPr>
        <w:t>个会费单位基础上，将成员国</w:t>
      </w:r>
      <w:r>
        <w:rPr>
          <w:lang w:eastAsia="zh-CN"/>
        </w:rPr>
        <w:t>2020</w:t>
      </w:r>
      <w:r w:rsidRPr="000C156A">
        <w:rPr>
          <w:rFonts w:hint="eastAsia"/>
          <w:lang w:eastAsia="zh-CN"/>
        </w:rPr>
        <w:t>和</w:t>
      </w:r>
      <w:r>
        <w:rPr>
          <w:lang w:eastAsia="zh-CN"/>
        </w:rPr>
        <w:t>2021</w:t>
      </w:r>
      <w:r w:rsidRPr="000C156A">
        <w:rPr>
          <w:rFonts w:hint="eastAsia"/>
          <w:lang w:eastAsia="zh-CN"/>
        </w:rPr>
        <w:t>年的会费单位金额确定为</w:t>
      </w:r>
      <w:r w:rsidRPr="000C156A">
        <w:rPr>
          <w:lang w:eastAsia="zh-CN"/>
        </w:rPr>
        <w:t>318 000</w:t>
      </w:r>
      <w:r w:rsidRPr="000C156A">
        <w:rPr>
          <w:rFonts w:hint="eastAsia"/>
          <w:lang w:eastAsia="zh-CN"/>
        </w:rPr>
        <w:t>瑞郎。理事会还通过上述决议将部门成员</w:t>
      </w:r>
      <w:r w:rsidRPr="000C156A">
        <w:rPr>
          <w:lang w:eastAsia="zh-CN"/>
        </w:rPr>
        <w:t>2020</w:t>
      </w:r>
      <w:r w:rsidRPr="000C156A">
        <w:rPr>
          <w:rFonts w:hint="eastAsia"/>
          <w:lang w:eastAsia="zh-CN"/>
        </w:rPr>
        <w:t>和</w:t>
      </w:r>
      <w:r w:rsidRPr="000C156A">
        <w:rPr>
          <w:lang w:eastAsia="zh-CN"/>
        </w:rPr>
        <w:t>2021</w:t>
      </w:r>
      <w:r w:rsidRPr="000C156A">
        <w:rPr>
          <w:rFonts w:hint="eastAsia"/>
          <w:lang w:eastAsia="zh-CN"/>
        </w:rPr>
        <w:t>年的会费单位金额确定为</w:t>
      </w:r>
      <w:r w:rsidRPr="000C156A">
        <w:rPr>
          <w:lang w:eastAsia="zh-CN"/>
        </w:rPr>
        <w:t>63 600</w:t>
      </w:r>
      <w:r w:rsidRPr="000C156A">
        <w:rPr>
          <w:rFonts w:hint="eastAsia"/>
          <w:lang w:eastAsia="zh-CN"/>
        </w:rPr>
        <w:t>瑞郎，即成员国会费的</w:t>
      </w:r>
      <w:r w:rsidRPr="000C156A">
        <w:rPr>
          <w:lang w:eastAsia="zh-CN"/>
        </w:rPr>
        <w:t>1/5</w:t>
      </w:r>
      <w:r w:rsidRPr="000C156A">
        <w:rPr>
          <w:rFonts w:hint="eastAsia"/>
          <w:lang w:eastAsia="zh-CN"/>
        </w:rPr>
        <w:t>。部门准成员的会费确定如下：参加</w:t>
      </w:r>
      <w:r w:rsidRPr="000C156A">
        <w:rPr>
          <w:lang w:eastAsia="zh-CN"/>
        </w:rPr>
        <w:t>ITU-R</w:t>
      </w:r>
      <w:r w:rsidRPr="000C156A">
        <w:rPr>
          <w:rFonts w:hint="eastAsia"/>
          <w:lang w:eastAsia="zh-CN"/>
        </w:rPr>
        <w:t>和</w:t>
      </w:r>
      <w:r w:rsidRPr="000C156A">
        <w:rPr>
          <w:lang w:eastAsia="zh-CN"/>
        </w:rPr>
        <w:t>ITU-T</w:t>
      </w:r>
      <w:r w:rsidRPr="000C156A">
        <w:rPr>
          <w:rFonts w:hint="eastAsia"/>
          <w:lang w:eastAsia="zh-CN"/>
        </w:rPr>
        <w:t>工作的部门准成员的会费为</w:t>
      </w:r>
      <w:r w:rsidRPr="000C156A">
        <w:rPr>
          <w:lang w:eastAsia="zh-CN"/>
        </w:rPr>
        <w:t>10 600</w:t>
      </w:r>
      <w:r w:rsidRPr="000C156A">
        <w:rPr>
          <w:rFonts w:hint="eastAsia"/>
          <w:lang w:eastAsia="zh-CN"/>
        </w:rPr>
        <w:t>瑞郎；参加</w:t>
      </w:r>
      <w:r w:rsidRPr="000C156A">
        <w:rPr>
          <w:lang w:eastAsia="zh-CN"/>
        </w:rPr>
        <w:t>ITU-D</w:t>
      </w:r>
      <w:r w:rsidRPr="000C156A">
        <w:rPr>
          <w:rFonts w:hint="eastAsia"/>
          <w:lang w:eastAsia="zh-CN"/>
        </w:rPr>
        <w:t>工作的部门准成员的会费为</w:t>
      </w:r>
      <w:r w:rsidRPr="000C156A">
        <w:rPr>
          <w:lang w:eastAsia="zh-CN"/>
        </w:rPr>
        <w:t>3 975</w:t>
      </w:r>
      <w:r w:rsidRPr="000C156A">
        <w:rPr>
          <w:rFonts w:hint="eastAsia"/>
          <w:lang w:eastAsia="zh-CN"/>
        </w:rPr>
        <w:t>瑞郎；参加</w:t>
      </w:r>
      <w:r w:rsidRPr="000C156A">
        <w:rPr>
          <w:lang w:eastAsia="zh-CN"/>
        </w:rPr>
        <w:t>ITU-D</w:t>
      </w:r>
      <w:r w:rsidRPr="000C156A">
        <w:rPr>
          <w:rFonts w:hint="eastAsia"/>
          <w:lang w:eastAsia="zh-CN"/>
        </w:rPr>
        <w:t>工作的来自发展中国家的部门准成员的会费为</w:t>
      </w:r>
      <w:r w:rsidRPr="000C156A">
        <w:rPr>
          <w:lang w:eastAsia="zh-CN"/>
        </w:rPr>
        <w:t>1 987.50</w:t>
      </w:r>
      <w:r w:rsidRPr="000C156A">
        <w:rPr>
          <w:rFonts w:hint="eastAsia"/>
          <w:lang w:eastAsia="zh-CN"/>
        </w:rPr>
        <w:t>瑞郎。参加三个部门工作的学术成员（大学及其相关研究机构）的会费规定为</w:t>
      </w:r>
      <w:r w:rsidRPr="000C156A">
        <w:rPr>
          <w:lang w:eastAsia="zh-CN"/>
        </w:rPr>
        <w:t>3 975</w:t>
      </w:r>
      <w:r w:rsidRPr="000C156A">
        <w:rPr>
          <w:rFonts w:hint="eastAsia"/>
          <w:lang w:eastAsia="zh-CN"/>
        </w:rPr>
        <w:t>瑞郎（发达国家）和</w:t>
      </w:r>
      <w:r w:rsidRPr="000C156A">
        <w:rPr>
          <w:lang w:eastAsia="zh-CN"/>
        </w:rPr>
        <w:t>1</w:t>
      </w:r>
      <w:r w:rsidRPr="000C156A">
        <w:rPr>
          <w:lang w:val="en-US" w:eastAsia="zh-CN"/>
        </w:rPr>
        <w:t> </w:t>
      </w:r>
      <w:r w:rsidRPr="000C156A">
        <w:rPr>
          <w:lang w:eastAsia="zh-CN"/>
        </w:rPr>
        <w:t>978.50</w:t>
      </w:r>
      <w:r w:rsidRPr="000C156A">
        <w:rPr>
          <w:rFonts w:hint="eastAsia"/>
          <w:lang w:eastAsia="zh-CN"/>
        </w:rPr>
        <w:t>瑞郎（发展中国家）。</w:t>
      </w:r>
    </w:p>
    <w:p w14:paraId="3099EDBE" w14:textId="77777777" w:rsidR="00B56A7B" w:rsidRPr="000C156A" w:rsidRDefault="00B56A7B" w:rsidP="00B56A7B">
      <w:pPr>
        <w:ind w:firstLineChars="200" w:firstLine="480"/>
        <w:rPr>
          <w:lang w:eastAsia="zh-CN"/>
        </w:rPr>
      </w:pPr>
      <w:r>
        <w:rPr>
          <w:rFonts w:hint="eastAsia"/>
          <w:lang w:eastAsia="zh-CN"/>
        </w:rPr>
        <w:t>2021</w:t>
      </w:r>
      <w:r w:rsidRPr="000C156A">
        <w:rPr>
          <w:rFonts w:hint="eastAsia"/>
          <w:lang w:eastAsia="zh-CN"/>
        </w:rPr>
        <w:t>年来自成员国的收入符合在</w:t>
      </w:r>
      <w:r w:rsidRPr="000C156A">
        <w:rPr>
          <w:rFonts w:hint="eastAsia"/>
          <w:lang w:eastAsia="zh-CN"/>
        </w:rPr>
        <w:t>PP-18</w:t>
      </w:r>
      <w:r w:rsidRPr="000C156A">
        <w:rPr>
          <w:rFonts w:hint="eastAsia"/>
          <w:lang w:eastAsia="zh-CN"/>
        </w:rPr>
        <w:t>上介绍的财务规划。成员国的分摊会费以</w:t>
      </w:r>
      <w:r w:rsidRPr="000C156A">
        <w:rPr>
          <w:rFonts w:hint="eastAsia"/>
          <w:lang w:eastAsia="zh-CN"/>
        </w:rPr>
        <w:t>343</w:t>
      </w:r>
      <w:r w:rsidRPr="000C156A">
        <w:rPr>
          <w:lang w:val="en-US" w:eastAsia="zh-CN"/>
        </w:rPr>
        <w:t> </w:t>
      </w:r>
      <w:r w:rsidRPr="000C156A">
        <w:rPr>
          <w:rFonts w:hint="eastAsia"/>
          <w:lang w:eastAsia="zh-CN"/>
        </w:rPr>
        <w:t>11/16</w:t>
      </w:r>
      <w:r w:rsidRPr="000C156A">
        <w:rPr>
          <w:rFonts w:hint="eastAsia"/>
          <w:lang w:eastAsia="zh-CN"/>
        </w:rPr>
        <w:t>个单位为基础。</w:t>
      </w:r>
    </w:p>
    <w:p w14:paraId="1C425610" w14:textId="77777777" w:rsidR="00B56A7B" w:rsidRPr="0076544D" w:rsidRDefault="00B56A7B" w:rsidP="00B56A7B">
      <w:pPr>
        <w:pStyle w:val="Heading1"/>
        <w:spacing w:before="240" w:after="120"/>
        <w:rPr>
          <w:rFonts w:cs="Microsoft YaHei"/>
          <w:sz w:val="24"/>
          <w:szCs w:val="24"/>
          <w:lang w:eastAsia="zh-CN"/>
        </w:rPr>
      </w:pPr>
      <w:bookmarkStart w:id="1033" w:name="_Toc482892582"/>
      <w:bookmarkStart w:id="1034" w:name="_Toc482870847"/>
      <w:bookmarkStart w:id="1035" w:name="_Toc511817849"/>
      <w:bookmarkStart w:id="1036" w:name="_Toc520280749"/>
      <w:bookmarkStart w:id="1037" w:name="_Toc10536844"/>
      <w:bookmarkStart w:id="1038" w:name="_Toc41905895"/>
      <w:bookmarkStart w:id="1039" w:name="_Toc41906916"/>
      <w:bookmarkStart w:id="1040" w:name="_Toc41907997"/>
      <w:bookmarkStart w:id="1041" w:name="_Toc41908065"/>
      <w:bookmarkStart w:id="1042" w:name="_Toc73518713"/>
      <w:bookmarkStart w:id="1043" w:name="_Toc73518860"/>
      <w:bookmarkStart w:id="1044" w:name="_Toc73519260"/>
      <w:bookmarkStart w:id="1045" w:name="_Toc110264017"/>
      <w:bookmarkStart w:id="1046" w:name="_Toc110264096"/>
      <w:bookmarkStart w:id="1047" w:name="_Toc110265735"/>
      <w:bookmarkStart w:id="1048" w:name="_Toc110330105"/>
      <w:bookmarkStart w:id="1049" w:name="_Toc110330270"/>
      <w:r w:rsidRPr="000C156A">
        <w:rPr>
          <w:rFonts w:cs="Microsoft YaHei" w:hint="eastAsia"/>
          <w:sz w:val="24"/>
          <w:szCs w:val="24"/>
          <w:lang w:val="fr-FR" w:eastAsia="zh-CN"/>
        </w:rPr>
        <w:lastRenderedPageBreak/>
        <w:t>说明</w:t>
      </w:r>
      <w:r w:rsidRPr="0076544D">
        <w:rPr>
          <w:rFonts w:cs="Microsoft YaHei"/>
          <w:sz w:val="24"/>
          <w:szCs w:val="24"/>
          <w:lang w:eastAsia="zh-CN"/>
        </w:rPr>
        <w:t>22</w:t>
      </w:r>
      <w:r w:rsidRPr="0076544D">
        <w:rPr>
          <w:rFonts w:cs="Microsoft YaHei"/>
          <w:sz w:val="24"/>
          <w:szCs w:val="24"/>
          <w:lang w:eastAsia="zh-CN"/>
        </w:rPr>
        <w:tab/>
      </w:r>
      <w:r w:rsidRPr="000C156A">
        <w:rPr>
          <w:rFonts w:cs="Microsoft YaHei" w:hint="eastAsia"/>
          <w:sz w:val="24"/>
          <w:szCs w:val="24"/>
          <w:lang w:val="fr-FR" w:eastAsia="zh-CN"/>
        </w:rPr>
        <w:t>收入</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37EC5497" w14:textId="77777777" w:rsidR="00B56A7B" w:rsidRPr="0076544D" w:rsidRDefault="00B56A7B" w:rsidP="00B56A7B">
      <w:pPr>
        <w:pStyle w:val="Headingb"/>
        <w:rPr>
          <w:lang w:eastAsia="zh-CN"/>
        </w:rPr>
      </w:pPr>
      <w:bookmarkStart w:id="1050" w:name="_Toc73518714"/>
      <w:bookmarkStart w:id="1051" w:name="_Toc73518861"/>
      <w:bookmarkStart w:id="1052" w:name="_Toc73519261"/>
      <w:r w:rsidRPr="000C156A">
        <w:rPr>
          <w:rFonts w:hint="eastAsia"/>
          <w:lang w:eastAsia="zh-CN"/>
        </w:rPr>
        <w:t>自愿捐款</w:t>
      </w:r>
      <w:bookmarkEnd w:id="1050"/>
      <w:bookmarkEnd w:id="1051"/>
      <w:bookmarkEnd w:id="1052"/>
    </w:p>
    <w:bookmarkEnd w:id="1030"/>
    <w:bookmarkEnd w:id="1031"/>
    <w:bookmarkEnd w:id="1032"/>
    <w:p w14:paraId="00760837" w14:textId="77777777" w:rsidR="00B56A7B" w:rsidRPr="000C156A" w:rsidRDefault="00B56A7B" w:rsidP="00B56A7B">
      <w:pPr>
        <w:ind w:firstLineChars="200" w:firstLine="480"/>
        <w:rPr>
          <w:lang w:val="en-US" w:eastAsia="zh-CN"/>
        </w:rPr>
      </w:pPr>
      <w:r w:rsidRPr="000C156A">
        <w:rPr>
          <w:rFonts w:hint="eastAsia"/>
          <w:lang w:eastAsia="zh-CN"/>
        </w:rPr>
        <w:t>这是源自第三方的、旨在支持国际电联实施有利于联合国确定的最不发达国家发展项目的资金。</w:t>
      </w:r>
      <w:r>
        <w:rPr>
          <w:lang w:eastAsia="zh-CN"/>
        </w:rPr>
        <w:t>2021</w:t>
      </w:r>
      <w:r w:rsidRPr="000C156A">
        <w:rPr>
          <w:rFonts w:hint="eastAsia"/>
          <w:lang w:eastAsia="zh-CN"/>
        </w:rPr>
        <w:t>年自愿捐款金额达</w:t>
      </w:r>
      <w:r>
        <w:rPr>
          <w:lang w:eastAsia="zh-CN"/>
        </w:rPr>
        <w:t>1 35</w:t>
      </w:r>
      <w:r w:rsidRPr="000C156A">
        <w:rPr>
          <w:lang w:eastAsia="zh-CN"/>
        </w:rPr>
        <w:t>0</w:t>
      </w:r>
      <w:r w:rsidRPr="000C156A">
        <w:rPr>
          <w:rFonts w:hint="eastAsia"/>
          <w:lang w:eastAsia="zh-CN"/>
        </w:rPr>
        <w:t>万瑞郎（</w:t>
      </w:r>
      <w:r>
        <w:rPr>
          <w:lang w:eastAsia="zh-CN"/>
        </w:rPr>
        <w:t>2020</w:t>
      </w:r>
      <w:r w:rsidRPr="000C156A">
        <w:rPr>
          <w:rFonts w:hint="eastAsia"/>
          <w:lang w:eastAsia="zh-CN"/>
        </w:rPr>
        <w:t>年为</w:t>
      </w:r>
      <w:r>
        <w:rPr>
          <w:lang w:eastAsia="zh-CN"/>
        </w:rPr>
        <w:t>83</w:t>
      </w:r>
      <w:r w:rsidRPr="000C156A">
        <w:rPr>
          <w:lang w:eastAsia="zh-CN"/>
        </w:rPr>
        <w:t>0</w:t>
      </w:r>
      <w:r w:rsidRPr="000C156A">
        <w:rPr>
          <w:rFonts w:hint="eastAsia"/>
          <w:lang w:eastAsia="zh-CN"/>
        </w:rPr>
        <w:t>万瑞郎）</w:t>
      </w:r>
      <w:r w:rsidRPr="000C156A">
        <w:rPr>
          <w:rFonts w:hint="eastAsia"/>
          <w:lang w:val="en-US" w:eastAsia="zh-CN"/>
        </w:rPr>
        <w:t>。</w:t>
      </w:r>
    </w:p>
    <w:p w14:paraId="4B25D3E9" w14:textId="77777777" w:rsidR="00B56A7B" w:rsidRPr="000C156A" w:rsidRDefault="00B56A7B" w:rsidP="00B56A7B">
      <w:pPr>
        <w:pStyle w:val="Headingb"/>
        <w:spacing w:after="240"/>
        <w:rPr>
          <w:lang w:val="en-US" w:eastAsia="zh-CN"/>
        </w:rPr>
      </w:pPr>
      <w:bookmarkStart w:id="1053" w:name="_Toc73518715"/>
      <w:bookmarkStart w:id="1054" w:name="_Toc73518862"/>
      <w:bookmarkStart w:id="1055" w:name="_Toc73519262"/>
      <w:r w:rsidRPr="000C156A">
        <w:rPr>
          <w:rFonts w:hint="eastAsia"/>
          <w:lang w:eastAsia="zh-CN"/>
        </w:rPr>
        <w:t>其它营运收入</w:t>
      </w:r>
      <w:bookmarkEnd w:id="1053"/>
      <w:bookmarkEnd w:id="1054"/>
      <w:bookmarkEnd w:id="1055"/>
    </w:p>
    <w:tbl>
      <w:tblPr>
        <w:tblW w:w="9605" w:type="dxa"/>
        <w:jc w:val="center"/>
        <w:tblLook w:val="04A0" w:firstRow="1" w:lastRow="0" w:firstColumn="1" w:lastColumn="0" w:noHBand="0" w:noVBand="1"/>
      </w:tblPr>
      <w:tblGrid>
        <w:gridCol w:w="5938"/>
        <w:gridCol w:w="1843"/>
        <w:gridCol w:w="1824"/>
      </w:tblGrid>
      <w:tr w:rsidR="00B56A7B" w:rsidRPr="000C156A" w14:paraId="136FF243" w14:textId="77777777" w:rsidTr="00CC47BD">
        <w:trPr>
          <w:trHeight w:val="499"/>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14:paraId="053F78C0" w14:textId="77777777" w:rsidR="00B56A7B" w:rsidRPr="000C156A" w:rsidRDefault="00B56A7B" w:rsidP="00CC47BD">
            <w:pPr>
              <w:keepNext/>
              <w:spacing w:before="20" w:after="20"/>
              <w:rPr>
                <w:b/>
                <w:sz w:val="22"/>
                <w:szCs w:val="18"/>
                <w:lang w:val="en-US"/>
              </w:rPr>
            </w:pPr>
            <w:r w:rsidRPr="000C156A">
              <w:rPr>
                <w:rFonts w:ascii="SimSun" w:hAnsi="SimSun" w:cs="SimSun" w:hint="eastAsia"/>
                <w:b/>
                <w:sz w:val="22"/>
                <w:szCs w:val="18"/>
                <w:lang w:val="en-US"/>
              </w:rPr>
              <w:t>单位：千瑞郎</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081A4A" w14:textId="77777777" w:rsidR="00B56A7B" w:rsidRPr="000C156A" w:rsidRDefault="00B56A7B" w:rsidP="00CC47BD">
            <w:pPr>
              <w:keepNext/>
              <w:spacing w:before="20" w:after="20"/>
              <w:jc w:val="center"/>
              <w:rPr>
                <w:b/>
                <w:sz w:val="22"/>
                <w:szCs w:val="18"/>
                <w:lang w:val="en-US"/>
              </w:rPr>
            </w:pPr>
            <w:r w:rsidRPr="000C156A">
              <w:rPr>
                <w:b/>
                <w:sz w:val="22"/>
                <w:szCs w:val="18"/>
                <w:lang w:val="en-US"/>
              </w:rPr>
              <w:t>202</w:t>
            </w:r>
            <w:r>
              <w:rPr>
                <w:b/>
                <w:sz w:val="22"/>
                <w:szCs w:val="18"/>
                <w:lang w:val="en-US"/>
              </w:rPr>
              <w:t>1</w:t>
            </w:r>
            <w:r w:rsidRPr="000C156A">
              <w:rPr>
                <w:rFonts w:ascii="SimSun" w:hAnsi="SimSun" w:cs="SimSun" w:hint="eastAsia"/>
                <w:b/>
                <w:sz w:val="22"/>
                <w:szCs w:val="18"/>
                <w:lang w:val="en-US"/>
              </w:rPr>
              <w:t>年</w:t>
            </w:r>
          </w:p>
        </w:tc>
        <w:tc>
          <w:tcPr>
            <w:tcW w:w="1824" w:type="dxa"/>
            <w:tcBorders>
              <w:top w:val="single" w:sz="4" w:space="0" w:color="auto"/>
              <w:left w:val="single" w:sz="4" w:space="0" w:color="auto"/>
              <w:bottom w:val="single" w:sz="4" w:space="0" w:color="auto"/>
              <w:right w:val="single" w:sz="4" w:space="0" w:color="auto"/>
            </w:tcBorders>
            <w:vAlign w:val="center"/>
            <w:hideMark/>
          </w:tcPr>
          <w:p w14:paraId="24E58019" w14:textId="77777777" w:rsidR="00B56A7B" w:rsidRPr="000C156A" w:rsidRDefault="00B56A7B" w:rsidP="00CC47BD">
            <w:pPr>
              <w:keepNext/>
              <w:spacing w:before="20" w:after="20"/>
              <w:jc w:val="center"/>
              <w:rPr>
                <w:b/>
                <w:sz w:val="22"/>
                <w:szCs w:val="18"/>
                <w:lang w:val="en-US"/>
              </w:rPr>
            </w:pPr>
            <w:r>
              <w:rPr>
                <w:b/>
                <w:sz w:val="22"/>
                <w:szCs w:val="18"/>
                <w:lang w:val="en-US"/>
              </w:rPr>
              <w:t>2020</w:t>
            </w:r>
            <w:r w:rsidRPr="000C156A">
              <w:rPr>
                <w:rFonts w:ascii="SimSun" w:hAnsi="SimSun" w:cs="SimSun" w:hint="eastAsia"/>
                <w:b/>
                <w:sz w:val="22"/>
                <w:szCs w:val="18"/>
                <w:lang w:val="en-US"/>
              </w:rPr>
              <w:t>年</w:t>
            </w:r>
          </w:p>
        </w:tc>
      </w:tr>
      <w:tr w:rsidR="00B56A7B" w:rsidRPr="000C156A" w14:paraId="702D80F7" w14:textId="77777777" w:rsidTr="00CC47BD">
        <w:trPr>
          <w:trHeight w:val="255"/>
          <w:jc w:val="center"/>
        </w:trPr>
        <w:tc>
          <w:tcPr>
            <w:tcW w:w="5938" w:type="dxa"/>
            <w:tcBorders>
              <w:top w:val="single" w:sz="4" w:space="0" w:color="auto"/>
              <w:left w:val="single" w:sz="4" w:space="0" w:color="auto"/>
              <w:right w:val="single" w:sz="4" w:space="0" w:color="auto"/>
            </w:tcBorders>
            <w:noWrap/>
            <w:vAlign w:val="bottom"/>
          </w:tcPr>
          <w:p w14:paraId="48ADAA23" w14:textId="77777777" w:rsidR="00B56A7B" w:rsidRPr="000C156A" w:rsidRDefault="00B56A7B" w:rsidP="00CC47BD">
            <w:pPr>
              <w:spacing w:before="20" w:after="20"/>
              <w:rPr>
                <w:bCs/>
                <w:sz w:val="22"/>
                <w:szCs w:val="18"/>
                <w:lang w:val="en-US"/>
              </w:rPr>
            </w:pPr>
          </w:p>
        </w:tc>
        <w:tc>
          <w:tcPr>
            <w:tcW w:w="1843" w:type="dxa"/>
            <w:tcBorders>
              <w:top w:val="nil"/>
              <w:left w:val="single" w:sz="4" w:space="0" w:color="auto"/>
              <w:bottom w:val="nil"/>
              <w:right w:val="single" w:sz="4" w:space="0" w:color="auto"/>
            </w:tcBorders>
            <w:shd w:val="clear" w:color="auto" w:fill="auto"/>
            <w:vAlign w:val="bottom"/>
          </w:tcPr>
          <w:p w14:paraId="4964EA97"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p>
        </w:tc>
        <w:tc>
          <w:tcPr>
            <w:tcW w:w="1824" w:type="dxa"/>
            <w:tcBorders>
              <w:top w:val="nil"/>
              <w:left w:val="nil"/>
              <w:bottom w:val="nil"/>
              <w:right w:val="single" w:sz="4" w:space="0" w:color="auto"/>
            </w:tcBorders>
            <w:shd w:val="clear" w:color="auto" w:fill="auto"/>
            <w:noWrap/>
            <w:vAlign w:val="bottom"/>
          </w:tcPr>
          <w:p w14:paraId="3F886F95"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p>
        </w:tc>
      </w:tr>
      <w:tr w:rsidR="00B56A7B" w:rsidRPr="000C156A" w14:paraId="3BEB34F3" w14:textId="77777777" w:rsidTr="00CC47BD">
        <w:trPr>
          <w:trHeight w:val="255"/>
          <w:jc w:val="center"/>
        </w:trPr>
        <w:tc>
          <w:tcPr>
            <w:tcW w:w="5938" w:type="dxa"/>
            <w:tcBorders>
              <w:left w:val="single" w:sz="4" w:space="0" w:color="auto"/>
              <w:bottom w:val="nil"/>
              <w:right w:val="single" w:sz="4" w:space="0" w:color="auto"/>
            </w:tcBorders>
            <w:noWrap/>
            <w:vAlign w:val="bottom"/>
            <w:hideMark/>
          </w:tcPr>
          <w:p w14:paraId="1CB97BC5" w14:textId="77777777" w:rsidR="00B56A7B" w:rsidRPr="000C156A" w:rsidRDefault="00B56A7B" w:rsidP="00CC47BD">
            <w:pPr>
              <w:spacing w:before="20" w:after="20"/>
              <w:rPr>
                <w:bCs/>
                <w:sz w:val="22"/>
                <w:szCs w:val="18"/>
                <w:lang w:val="en-US"/>
              </w:rPr>
            </w:pPr>
            <w:r w:rsidRPr="000C156A">
              <w:rPr>
                <w:rFonts w:hint="eastAsia"/>
                <w:bCs/>
                <w:sz w:val="22"/>
                <w:szCs w:val="18"/>
                <w:lang w:val="en-US"/>
              </w:rPr>
              <w:t>预算外收入</w:t>
            </w:r>
          </w:p>
        </w:tc>
        <w:tc>
          <w:tcPr>
            <w:tcW w:w="1843" w:type="dxa"/>
            <w:tcBorders>
              <w:top w:val="nil"/>
              <w:left w:val="single" w:sz="4" w:space="0" w:color="auto"/>
              <w:bottom w:val="nil"/>
              <w:right w:val="single" w:sz="4" w:space="0" w:color="auto"/>
            </w:tcBorders>
            <w:shd w:val="clear" w:color="auto" w:fill="auto"/>
            <w:vAlign w:val="bottom"/>
            <w:hideMark/>
          </w:tcPr>
          <w:p w14:paraId="12CDE7BF"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rPr>
              <w:t>294</w:t>
            </w:r>
          </w:p>
        </w:tc>
        <w:tc>
          <w:tcPr>
            <w:tcW w:w="1824" w:type="dxa"/>
            <w:tcBorders>
              <w:top w:val="nil"/>
              <w:left w:val="nil"/>
              <w:bottom w:val="nil"/>
              <w:right w:val="single" w:sz="4" w:space="0" w:color="auto"/>
            </w:tcBorders>
            <w:shd w:val="clear" w:color="auto" w:fill="auto"/>
            <w:noWrap/>
            <w:vAlign w:val="bottom"/>
            <w:hideMark/>
          </w:tcPr>
          <w:p w14:paraId="00404030"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74</w:t>
            </w:r>
          </w:p>
        </w:tc>
      </w:tr>
      <w:tr w:rsidR="00B56A7B" w:rsidRPr="000C156A" w14:paraId="68AB0BB5" w14:textId="77777777" w:rsidTr="00CC47BD">
        <w:trPr>
          <w:trHeight w:val="20"/>
          <w:jc w:val="center"/>
        </w:trPr>
        <w:tc>
          <w:tcPr>
            <w:tcW w:w="5938" w:type="dxa"/>
            <w:tcBorders>
              <w:top w:val="nil"/>
              <w:left w:val="single" w:sz="4" w:space="0" w:color="auto"/>
              <w:bottom w:val="nil"/>
              <w:right w:val="single" w:sz="4" w:space="0" w:color="auto"/>
            </w:tcBorders>
            <w:noWrap/>
            <w:vAlign w:val="center"/>
            <w:hideMark/>
          </w:tcPr>
          <w:p w14:paraId="495B1B01" w14:textId="77777777" w:rsidR="00B56A7B" w:rsidRPr="000C156A" w:rsidRDefault="00B56A7B" w:rsidP="00CC47BD">
            <w:pPr>
              <w:spacing w:before="20" w:after="20"/>
              <w:rPr>
                <w:bCs/>
                <w:sz w:val="22"/>
                <w:szCs w:val="18"/>
                <w:lang w:val="en-US"/>
              </w:rPr>
            </w:pPr>
            <w:r w:rsidRPr="000C156A">
              <w:rPr>
                <w:rFonts w:hint="eastAsia"/>
                <w:bCs/>
                <w:sz w:val="22"/>
                <w:szCs w:val="18"/>
                <w:lang w:val="en-US"/>
              </w:rPr>
              <w:t>出版物销售</w:t>
            </w:r>
          </w:p>
        </w:tc>
        <w:tc>
          <w:tcPr>
            <w:tcW w:w="1843" w:type="dxa"/>
            <w:tcBorders>
              <w:top w:val="nil"/>
              <w:left w:val="single" w:sz="4" w:space="0" w:color="auto"/>
              <w:bottom w:val="nil"/>
              <w:right w:val="single" w:sz="4" w:space="0" w:color="auto"/>
            </w:tcBorders>
            <w:shd w:val="clear" w:color="auto" w:fill="auto"/>
            <w:vAlign w:val="bottom"/>
            <w:hideMark/>
          </w:tcPr>
          <w:p w14:paraId="4727DD97" w14:textId="487E6D03"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rPr>
              <w:t>19</w:t>
            </w:r>
            <w:r w:rsidR="00EC26EC">
              <w:rPr>
                <w:rFonts w:cs="Calibri"/>
                <w:color w:val="000000"/>
                <w:sz w:val="22"/>
                <w:szCs w:val="22"/>
              </w:rPr>
              <w:t> </w:t>
            </w:r>
            <w:r>
              <w:rPr>
                <w:rFonts w:cs="Calibri"/>
                <w:color w:val="000000"/>
                <w:sz w:val="22"/>
                <w:szCs w:val="22"/>
              </w:rPr>
              <w:t>411</w:t>
            </w:r>
          </w:p>
        </w:tc>
        <w:tc>
          <w:tcPr>
            <w:tcW w:w="1824" w:type="dxa"/>
            <w:tcBorders>
              <w:top w:val="nil"/>
              <w:left w:val="nil"/>
              <w:bottom w:val="nil"/>
              <w:right w:val="single" w:sz="4" w:space="0" w:color="auto"/>
            </w:tcBorders>
            <w:shd w:val="clear" w:color="auto" w:fill="auto"/>
            <w:noWrap/>
            <w:vAlign w:val="bottom"/>
            <w:hideMark/>
          </w:tcPr>
          <w:p w14:paraId="5F6CB6BB" w14:textId="7E236075"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17</w:t>
            </w:r>
            <w:r w:rsidR="00EC26EC">
              <w:rPr>
                <w:rFonts w:cs="Calibri"/>
                <w:color w:val="000000"/>
                <w:sz w:val="22"/>
                <w:szCs w:val="22"/>
                <w:lang w:val="en-US" w:eastAsia="zh-CN"/>
              </w:rPr>
              <w:t> </w:t>
            </w:r>
            <w:r>
              <w:rPr>
                <w:rFonts w:cs="Calibri"/>
                <w:color w:val="000000"/>
                <w:sz w:val="22"/>
                <w:szCs w:val="22"/>
                <w:lang w:val="en-US" w:eastAsia="zh-CN"/>
              </w:rPr>
              <w:t>116</w:t>
            </w:r>
          </w:p>
        </w:tc>
      </w:tr>
      <w:tr w:rsidR="00B56A7B" w:rsidRPr="000C156A" w14:paraId="5CA4A1FA" w14:textId="77777777" w:rsidTr="00CC47BD">
        <w:trPr>
          <w:trHeight w:val="20"/>
          <w:jc w:val="center"/>
        </w:trPr>
        <w:tc>
          <w:tcPr>
            <w:tcW w:w="5938" w:type="dxa"/>
            <w:tcBorders>
              <w:top w:val="nil"/>
              <w:left w:val="single" w:sz="4" w:space="0" w:color="auto"/>
              <w:bottom w:val="nil"/>
              <w:right w:val="single" w:sz="4" w:space="0" w:color="auto"/>
            </w:tcBorders>
            <w:noWrap/>
            <w:vAlign w:val="bottom"/>
            <w:hideMark/>
          </w:tcPr>
          <w:p w14:paraId="04ED0E8D" w14:textId="77777777" w:rsidR="00B56A7B" w:rsidRPr="000C156A" w:rsidRDefault="00B56A7B" w:rsidP="00CC47BD">
            <w:pPr>
              <w:spacing w:before="20" w:after="20"/>
              <w:rPr>
                <w:bCs/>
                <w:sz w:val="22"/>
                <w:szCs w:val="18"/>
                <w:lang w:val="en-US"/>
              </w:rPr>
            </w:pPr>
            <w:r w:rsidRPr="000C156A">
              <w:rPr>
                <w:rFonts w:hint="eastAsia"/>
                <w:bCs/>
                <w:sz w:val="22"/>
                <w:szCs w:val="18"/>
                <w:lang w:val="en-US"/>
              </w:rPr>
              <w:t>卫星网络申报</w:t>
            </w:r>
          </w:p>
        </w:tc>
        <w:tc>
          <w:tcPr>
            <w:tcW w:w="1843" w:type="dxa"/>
            <w:tcBorders>
              <w:top w:val="nil"/>
              <w:left w:val="single" w:sz="4" w:space="0" w:color="auto"/>
              <w:bottom w:val="nil"/>
              <w:right w:val="single" w:sz="4" w:space="0" w:color="auto"/>
            </w:tcBorders>
            <w:shd w:val="clear" w:color="auto" w:fill="auto"/>
            <w:vAlign w:val="bottom"/>
            <w:hideMark/>
          </w:tcPr>
          <w:p w14:paraId="1553EB00" w14:textId="41FC5D32"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rPr>
              <w:t>11</w:t>
            </w:r>
            <w:r w:rsidR="00EC26EC">
              <w:rPr>
                <w:rFonts w:cs="Calibri"/>
                <w:color w:val="000000"/>
                <w:sz w:val="22"/>
                <w:szCs w:val="22"/>
              </w:rPr>
              <w:t> </w:t>
            </w:r>
            <w:r>
              <w:rPr>
                <w:rFonts w:cs="Calibri"/>
                <w:color w:val="000000"/>
                <w:sz w:val="22"/>
                <w:szCs w:val="22"/>
              </w:rPr>
              <w:t>240</w:t>
            </w:r>
          </w:p>
        </w:tc>
        <w:tc>
          <w:tcPr>
            <w:tcW w:w="1824" w:type="dxa"/>
            <w:tcBorders>
              <w:top w:val="nil"/>
              <w:left w:val="nil"/>
              <w:bottom w:val="nil"/>
              <w:right w:val="single" w:sz="4" w:space="0" w:color="auto"/>
            </w:tcBorders>
            <w:shd w:val="clear" w:color="auto" w:fill="auto"/>
            <w:noWrap/>
            <w:vAlign w:val="bottom"/>
            <w:hideMark/>
          </w:tcPr>
          <w:p w14:paraId="4F6B262E" w14:textId="7843A10F"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13</w:t>
            </w:r>
            <w:r w:rsidR="00EC26EC">
              <w:rPr>
                <w:rFonts w:cs="Calibri"/>
                <w:color w:val="000000"/>
                <w:sz w:val="22"/>
                <w:szCs w:val="22"/>
                <w:lang w:val="en-US" w:eastAsia="zh-CN"/>
              </w:rPr>
              <w:t> </w:t>
            </w:r>
            <w:r>
              <w:rPr>
                <w:rFonts w:cs="Calibri"/>
                <w:color w:val="000000"/>
                <w:sz w:val="22"/>
                <w:szCs w:val="22"/>
                <w:lang w:val="en-US" w:eastAsia="zh-CN"/>
              </w:rPr>
              <w:t>631</w:t>
            </w:r>
          </w:p>
        </w:tc>
      </w:tr>
      <w:tr w:rsidR="00B56A7B" w:rsidRPr="000C156A" w14:paraId="6F086457" w14:textId="77777777" w:rsidTr="00CC47BD">
        <w:trPr>
          <w:trHeight w:val="20"/>
          <w:jc w:val="center"/>
        </w:trPr>
        <w:tc>
          <w:tcPr>
            <w:tcW w:w="5938" w:type="dxa"/>
            <w:tcBorders>
              <w:top w:val="nil"/>
              <w:left w:val="single" w:sz="4" w:space="0" w:color="auto"/>
              <w:bottom w:val="nil"/>
              <w:right w:val="single" w:sz="4" w:space="0" w:color="auto"/>
            </w:tcBorders>
            <w:noWrap/>
            <w:vAlign w:val="bottom"/>
            <w:hideMark/>
          </w:tcPr>
          <w:p w14:paraId="32E6E9E9" w14:textId="77777777" w:rsidR="00B56A7B" w:rsidRPr="000C156A" w:rsidRDefault="00B56A7B" w:rsidP="00CC47BD">
            <w:pPr>
              <w:spacing w:before="20" w:after="20"/>
              <w:rPr>
                <w:bCs/>
                <w:sz w:val="22"/>
                <w:szCs w:val="18"/>
                <w:lang w:val="en-US" w:eastAsia="zh-CN"/>
              </w:rPr>
            </w:pPr>
            <w:r w:rsidRPr="000C156A">
              <w:rPr>
                <w:bCs/>
                <w:sz w:val="22"/>
                <w:szCs w:val="18"/>
                <w:lang w:val="en-US" w:eastAsia="zh-CN"/>
              </w:rPr>
              <w:t>国际通用免费电话号码</w:t>
            </w:r>
            <w:r w:rsidRPr="000C156A">
              <w:rPr>
                <w:bCs/>
                <w:sz w:val="22"/>
                <w:szCs w:val="18"/>
                <w:lang w:val="en-US" w:eastAsia="zh-CN"/>
              </w:rPr>
              <w:t>/</w:t>
            </w:r>
            <w:r w:rsidRPr="000C156A">
              <w:rPr>
                <w:bCs/>
                <w:sz w:val="22"/>
                <w:szCs w:val="18"/>
                <w:lang w:val="en-US" w:eastAsia="zh-CN"/>
              </w:rPr>
              <w:t>国际通用加价特种服务号码</w:t>
            </w:r>
            <w:r w:rsidRPr="000C156A">
              <w:rPr>
                <w:rFonts w:hint="eastAsia"/>
                <w:bCs/>
                <w:sz w:val="22"/>
                <w:szCs w:val="18"/>
                <w:lang w:val="en-US" w:eastAsia="zh-CN"/>
              </w:rPr>
              <w:t>/</w:t>
            </w:r>
            <w:r w:rsidRPr="000C156A">
              <w:rPr>
                <w:bCs/>
                <w:sz w:val="22"/>
                <w:szCs w:val="18"/>
                <w:lang w:val="en-US" w:eastAsia="zh-CN"/>
              </w:rPr>
              <w:t>国际通用成本分摊号码</w:t>
            </w:r>
            <w:r w:rsidRPr="000C156A">
              <w:rPr>
                <w:rFonts w:ascii="Arial" w:hAnsi="Arial" w:cs="Arial" w:hint="eastAsia"/>
                <w:color w:val="000000"/>
                <w:sz w:val="20"/>
                <w:lang w:eastAsia="zh-CN"/>
              </w:rPr>
              <w:t>（</w:t>
            </w:r>
            <w:r w:rsidRPr="000C156A">
              <w:rPr>
                <w:rFonts w:ascii="Arial" w:hAnsi="Arial" w:cs="Arial"/>
                <w:color w:val="000000"/>
                <w:sz w:val="20"/>
                <w:lang w:val="en-US" w:eastAsia="zh-CN"/>
              </w:rPr>
              <w:t>UIFN/UIPRN-UISC</w:t>
            </w:r>
            <w:r w:rsidRPr="000C156A">
              <w:rPr>
                <w:rFonts w:ascii="Arial" w:hAnsi="Arial" w:cs="Arial" w:hint="eastAsia"/>
                <w:color w:val="000000"/>
                <w:sz w:val="20"/>
                <w:lang w:val="en-US" w:eastAsia="zh-CN"/>
              </w:rPr>
              <w:t>）</w:t>
            </w:r>
          </w:p>
        </w:tc>
        <w:tc>
          <w:tcPr>
            <w:tcW w:w="1843" w:type="dxa"/>
            <w:tcBorders>
              <w:top w:val="nil"/>
              <w:left w:val="single" w:sz="4" w:space="0" w:color="auto"/>
              <w:bottom w:val="nil"/>
              <w:right w:val="single" w:sz="4" w:space="0" w:color="auto"/>
            </w:tcBorders>
            <w:shd w:val="clear" w:color="auto" w:fill="auto"/>
            <w:vAlign w:val="bottom"/>
            <w:hideMark/>
          </w:tcPr>
          <w:p w14:paraId="5FA84D4F"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rPr>
              <w:t>313</w:t>
            </w:r>
          </w:p>
        </w:tc>
        <w:tc>
          <w:tcPr>
            <w:tcW w:w="1824" w:type="dxa"/>
            <w:tcBorders>
              <w:top w:val="nil"/>
              <w:left w:val="nil"/>
              <w:bottom w:val="nil"/>
              <w:right w:val="single" w:sz="4" w:space="0" w:color="auto"/>
            </w:tcBorders>
            <w:shd w:val="clear" w:color="auto" w:fill="auto"/>
            <w:noWrap/>
            <w:vAlign w:val="bottom"/>
            <w:hideMark/>
          </w:tcPr>
          <w:p w14:paraId="56AABC58"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254</w:t>
            </w:r>
          </w:p>
        </w:tc>
      </w:tr>
      <w:tr w:rsidR="00B56A7B" w:rsidRPr="000C156A" w14:paraId="2FEBDB48" w14:textId="77777777" w:rsidTr="00CC47BD">
        <w:trPr>
          <w:trHeight w:val="20"/>
          <w:jc w:val="center"/>
        </w:trPr>
        <w:tc>
          <w:tcPr>
            <w:tcW w:w="5938" w:type="dxa"/>
            <w:tcBorders>
              <w:top w:val="nil"/>
              <w:left w:val="single" w:sz="4" w:space="0" w:color="auto"/>
              <w:bottom w:val="nil"/>
              <w:right w:val="single" w:sz="4" w:space="0" w:color="auto"/>
            </w:tcBorders>
            <w:noWrap/>
            <w:vAlign w:val="bottom"/>
            <w:hideMark/>
          </w:tcPr>
          <w:p w14:paraId="2FFE5EC8" w14:textId="77777777" w:rsidR="00B56A7B" w:rsidRPr="000C156A" w:rsidRDefault="00B56A7B" w:rsidP="00CC47BD">
            <w:pPr>
              <w:spacing w:before="20" w:after="20"/>
              <w:rPr>
                <w:bCs/>
                <w:sz w:val="22"/>
                <w:szCs w:val="18"/>
                <w:lang w:val="en-US" w:eastAsia="zh-CN"/>
              </w:rPr>
            </w:pPr>
            <w:r w:rsidRPr="000C156A">
              <w:rPr>
                <w:rFonts w:hint="eastAsia"/>
                <w:bCs/>
                <w:sz w:val="22"/>
                <w:szCs w:val="18"/>
                <w:lang w:val="en-US" w:eastAsia="zh-CN"/>
              </w:rPr>
              <w:t>全球卫星个人移动通信系统</w:t>
            </w:r>
            <w:r w:rsidRPr="000C156A">
              <w:rPr>
                <w:bCs/>
                <w:sz w:val="22"/>
                <w:szCs w:val="18"/>
                <w:lang w:val="en-US" w:eastAsia="zh-CN"/>
              </w:rPr>
              <w:t xml:space="preserve"> – </w:t>
            </w:r>
            <w:r w:rsidRPr="000C156A">
              <w:rPr>
                <w:rFonts w:hint="eastAsia"/>
                <w:bCs/>
                <w:sz w:val="22"/>
                <w:szCs w:val="18"/>
                <w:lang w:val="en-US" w:eastAsia="zh-CN"/>
              </w:rPr>
              <w:t>备忘录（</w:t>
            </w:r>
            <w:r w:rsidRPr="000C156A">
              <w:rPr>
                <w:bCs/>
                <w:sz w:val="22"/>
                <w:szCs w:val="18"/>
                <w:lang w:val="en-US" w:eastAsia="zh-CN"/>
              </w:rPr>
              <w:t>GMPCS-MoU</w:t>
            </w:r>
            <w:r w:rsidRPr="000C156A">
              <w:rPr>
                <w:rFonts w:hint="eastAsia"/>
                <w:bCs/>
                <w:sz w:val="22"/>
                <w:szCs w:val="18"/>
                <w:lang w:val="en-US" w:eastAsia="zh-CN"/>
              </w:rPr>
              <w:t>）</w:t>
            </w:r>
          </w:p>
        </w:tc>
        <w:tc>
          <w:tcPr>
            <w:tcW w:w="1843" w:type="dxa"/>
            <w:tcBorders>
              <w:top w:val="nil"/>
              <w:left w:val="single" w:sz="4" w:space="0" w:color="auto"/>
              <w:bottom w:val="nil"/>
              <w:right w:val="single" w:sz="4" w:space="0" w:color="auto"/>
            </w:tcBorders>
            <w:shd w:val="clear" w:color="auto" w:fill="auto"/>
            <w:vAlign w:val="bottom"/>
            <w:hideMark/>
          </w:tcPr>
          <w:p w14:paraId="4C86FE30"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rPr>
              <w:t>-</w:t>
            </w:r>
          </w:p>
        </w:tc>
        <w:tc>
          <w:tcPr>
            <w:tcW w:w="1824" w:type="dxa"/>
            <w:tcBorders>
              <w:top w:val="nil"/>
              <w:left w:val="nil"/>
              <w:bottom w:val="nil"/>
              <w:right w:val="single" w:sz="4" w:space="0" w:color="auto"/>
            </w:tcBorders>
            <w:shd w:val="clear" w:color="auto" w:fill="auto"/>
            <w:noWrap/>
            <w:vAlign w:val="bottom"/>
            <w:hideMark/>
          </w:tcPr>
          <w:p w14:paraId="71D267FA"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19</w:t>
            </w:r>
          </w:p>
        </w:tc>
      </w:tr>
      <w:tr w:rsidR="00B56A7B" w:rsidRPr="000C156A" w14:paraId="2A58D897" w14:textId="77777777" w:rsidTr="00CC47BD">
        <w:trPr>
          <w:trHeight w:val="20"/>
          <w:jc w:val="center"/>
        </w:trPr>
        <w:tc>
          <w:tcPr>
            <w:tcW w:w="5938" w:type="dxa"/>
            <w:tcBorders>
              <w:top w:val="nil"/>
              <w:left w:val="single" w:sz="4" w:space="0" w:color="auto"/>
              <w:right w:val="single" w:sz="4" w:space="0" w:color="auto"/>
            </w:tcBorders>
            <w:noWrap/>
            <w:vAlign w:val="bottom"/>
            <w:hideMark/>
          </w:tcPr>
          <w:p w14:paraId="06481D92" w14:textId="77777777" w:rsidR="00B56A7B" w:rsidRPr="000C156A" w:rsidRDefault="00B56A7B" w:rsidP="00CC47BD">
            <w:pPr>
              <w:spacing w:before="20" w:after="20"/>
              <w:rPr>
                <w:bCs/>
                <w:sz w:val="22"/>
                <w:szCs w:val="18"/>
                <w:lang w:val="en-US" w:eastAsia="zh-CN"/>
              </w:rPr>
            </w:pPr>
            <w:r w:rsidRPr="000C156A">
              <w:rPr>
                <w:rFonts w:hint="eastAsia"/>
                <w:bCs/>
                <w:sz w:val="22"/>
                <w:szCs w:val="18"/>
                <w:lang w:val="en-US"/>
              </w:rPr>
              <w:t>回收</w:t>
            </w:r>
            <w:r w:rsidRPr="000C156A">
              <w:rPr>
                <w:bCs/>
                <w:sz w:val="22"/>
                <w:szCs w:val="18"/>
                <w:lang w:val="en-US" w:eastAsia="zh-CN"/>
              </w:rPr>
              <w:t xml:space="preserve"> </w:t>
            </w:r>
            <w:r w:rsidRPr="000C156A">
              <w:rPr>
                <w:bCs/>
                <w:sz w:val="22"/>
                <w:szCs w:val="18"/>
                <w:lang w:val="en-US"/>
              </w:rPr>
              <w:t>–</w:t>
            </w:r>
            <w:r w:rsidRPr="000C156A">
              <w:rPr>
                <w:bCs/>
                <w:sz w:val="22"/>
                <w:szCs w:val="18"/>
                <w:lang w:val="en-US" w:eastAsia="zh-CN"/>
              </w:rPr>
              <w:t xml:space="preserve"> </w:t>
            </w:r>
            <w:r w:rsidRPr="000C156A">
              <w:rPr>
                <w:rFonts w:hint="eastAsia"/>
                <w:bCs/>
                <w:sz w:val="22"/>
                <w:szCs w:val="18"/>
                <w:lang w:val="en-US" w:eastAsia="zh-CN"/>
              </w:rPr>
              <w:t>公布</w:t>
            </w:r>
          </w:p>
        </w:tc>
        <w:tc>
          <w:tcPr>
            <w:tcW w:w="1843" w:type="dxa"/>
            <w:tcBorders>
              <w:top w:val="nil"/>
              <w:left w:val="single" w:sz="4" w:space="0" w:color="auto"/>
              <w:bottom w:val="nil"/>
              <w:right w:val="single" w:sz="4" w:space="0" w:color="auto"/>
            </w:tcBorders>
            <w:shd w:val="clear" w:color="auto" w:fill="auto"/>
            <w:vAlign w:val="bottom"/>
            <w:hideMark/>
          </w:tcPr>
          <w:p w14:paraId="17A3174C"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rPr>
              <w:t>7</w:t>
            </w:r>
          </w:p>
        </w:tc>
        <w:tc>
          <w:tcPr>
            <w:tcW w:w="1824" w:type="dxa"/>
            <w:tcBorders>
              <w:top w:val="nil"/>
              <w:left w:val="nil"/>
              <w:bottom w:val="nil"/>
              <w:right w:val="single" w:sz="4" w:space="0" w:color="auto"/>
            </w:tcBorders>
            <w:shd w:val="clear" w:color="auto" w:fill="auto"/>
            <w:noWrap/>
            <w:vAlign w:val="bottom"/>
            <w:hideMark/>
          </w:tcPr>
          <w:p w14:paraId="66C18D5B"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15</w:t>
            </w:r>
          </w:p>
        </w:tc>
      </w:tr>
      <w:tr w:rsidR="00B56A7B" w:rsidRPr="000C156A" w14:paraId="2095DD52" w14:textId="77777777" w:rsidTr="00CC47BD">
        <w:trPr>
          <w:trHeight w:val="20"/>
          <w:jc w:val="center"/>
        </w:trPr>
        <w:tc>
          <w:tcPr>
            <w:tcW w:w="5938" w:type="dxa"/>
            <w:tcBorders>
              <w:top w:val="nil"/>
              <w:left w:val="single" w:sz="4" w:space="0" w:color="auto"/>
              <w:right w:val="single" w:sz="4" w:space="0" w:color="auto"/>
            </w:tcBorders>
            <w:noWrap/>
            <w:vAlign w:val="bottom"/>
            <w:hideMark/>
          </w:tcPr>
          <w:p w14:paraId="2D79EE5A" w14:textId="77777777" w:rsidR="00B56A7B" w:rsidRPr="000C156A" w:rsidRDefault="00B56A7B" w:rsidP="00CC47BD">
            <w:pPr>
              <w:spacing w:before="20" w:after="20"/>
              <w:rPr>
                <w:bCs/>
                <w:sz w:val="22"/>
                <w:szCs w:val="18"/>
                <w:lang w:val="en-US"/>
              </w:rPr>
            </w:pPr>
            <w:r w:rsidRPr="000C156A">
              <w:rPr>
                <w:rFonts w:hint="eastAsia"/>
                <w:bCs/>
                <w:sz w:val="22"/>
                <w:szCs w:val="18"/>
                <w:lang w:val="en-US"/>
              </w:rPr>
              <w:t>其它收入</w:t>
            </w:r>
          </w:p>
        </w:tc>
        <w:tc>
          <w:tcPr>
            <w:tcW w:w="1843" w:type="dxa"/>
            <w:tcBorders>
              <w:top w:val="nil"/>
              <w:left w:val="single" w:sz="4" w:space="0" w:color="auto"/>
              <w:bottom w:val="nil"/>
              <w:right w:val="single" w:sz="4" w:space="0" w:color="auto"/>
            </w:tcBorders>
            <w:shd w:val="clear" w:color="auto" w:fill="auto"/>
            <w:vAlign w:val="bottom"/>
            <w:hideMark/>
          </w:tcPr>
          <w:p w14:paraId="39B9AFD6" w14:textId="2CE085C4"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rPr>
              <w:t>1</w:t>
            </w:r>
            <w:r w:rsidR="00EC26EC">
              <w:rPr>
                <w:rFonts w:cs="Calibri"/>
                <w:color w:val="000000"/>
                <w:sz w:val="22"/>
                <w:szCs w:val="22"/>
              </w:rPr>
              <w:t> </w:t>
            </w:r>
            <w:r>
              <w:rPr>
                <w:rFonts w:cs="Calibri"/>
                <w:color w:val="000000"/>
                <w:sz w:val="22"/>
                <w:szCs w:val="22"/>
              </w:rPr>
              <w:t>509</w:t>
            </w:r>
          </w:p>
        </w:tc>
        <w:tc>
          <w:tcPr>
            <w:tcW w:w="1824" w:type="dxa"/>
            <w:tcBorders>
              <w:top w:val="nil"/>
              <w:left w:val="nil"/>
              <w:bottom w:val="nil"/>
              <w:right w:val="single" w:sz="4" w:space="0" w:color="auto"/>
            </w:tcBorders>
            <w:shd w:val="clear" w:color="auto" w:fill="auto"/>
            <w:noWrap/>
            <w:vAlign w:val="bottom"/>
            <w:hideMark/>
          </w:tcPr>
          <w:p w14:paraId="239B86FA" w14:textId="728EF0A1"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9</w:t>
            </w:r>
            <w:r w:rsidR="00EC26EC">
              <w:rPr>
                <w:rFonts w:cs="Calibri"/>
                <w:color w:val="000000"/>
                <w:sz w:val="22"/>
                <w:szCs w:val="22"/>
                <w:lang w:val="en-US" w:eastAsia="zh-CN"/>
              </w:rPr>
              <w:t> </w:t>
            </w:r>
            <w:r>
              <w:rPr>
                <w:rFonts w:cs="Calibri"/>
                <w:color w:val="000000"/>
                <w:sz w:val="22"/>
                <w:szCs w:val="22"/>
                <w:lang w:val="en-US" w:eastAsia="zh-CN"/>
              </w:rPr>
              <w:t>104</w:t>
            </w:r>
          </w:p>
        </w:tc>
      </w:tr>
      <w:tr w:rsidR="00B56A7B" w:rsidRPr="000C156A" w14:paraId="1048D678" w14:textId="77777777" w:rsidTr="00CC47BD">
        <w:trPr>
          <w:trHeight w:val="20"/>
          <w:jc w:val="center"/>
        </w:trPr>
        <w:tc>
          <w:tcPr>
            <w:tcW w:w="5938" w:type="dxa"/>
            <w:tcBorders>
              <w:left w:val="single" w:sz="4" w:space="0" w:color="auto"/>
              <w:bottom w:val="single" w:sz="4" w:space="0" w:color="auto"/>
              <w:right w:val="single" w:sz="4" w:space="0" w:color="auto"/>
            </w:tcBorders>
            <w:noWrap/>
            <w:vAlign w:val="bottom"/>
          </w:tcPr>
          <w:p w14:paraId="3058449E" w14:textId="77777777" w:rsidR="00B56A7B" w:rsidRPr="000C156A" w:rsidRDefault="00B56A7B" w:rsidP="00CC47BD">
            <w:pPr>
              <w:spacing w:before="20" w:after="20"/>
              <w:rPr>
                <w:bCs/>
                <w:sz w:val="22"/>
                <w:szCs w:val="18"/>
                <w:lang w:val="en-US"/>
              </w:rPr>
            </w:pPr>
          </w:p>
        </w:tc>
        <w:tc>
          <w:tcPr>
            <w:tcW w:w="1843" w:type="dxa"/>
            <w:tcBorders>
              <w:top w:val="nil"/>
              <w:left w:val="single" w:sz="4" w:space="0" w:color="auto"/>
              <w:bottom w:val="nil"/>
              <w:right w:val="single" w:sz="4" w:space="0" w:color="auto"/>
            </w:tcBorders>
            <w:shd w:val="clear" w:color="auto" w:fill="auto"/>
            <w:vAlign w:val="bottom"/>
          </w:tcPr>
          <w:p w14:paraId="454D3338"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p>
        </w:tc>
        <w:tc>
          <w:tcPr>
            <w:tcW w:w="1824" w:type="dxa"/>
            <w:tcBorders>
              <w:top w:val="nil"/>
              <w:left w:val="nil"/>
              <w:bottom w:val="single" w:sz="4" w:space="0" w:color="auto"/>
              <w:right w:val="single" w:sz="4" w:space="0" w:color="auto"/>
            </w:tcBorders>
            <w:shd w:val="clear" w:color="auto" w:fill="auto"/>
            <w:noWrap/>
            <w:vAlign w:val="bottom"/>
          </w:tcPr>
          <w:p w14:paraId="3DB2D2AC"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p>
        </w:tc>
      </w:tr>
      <w:tr w:rsidR="00B56A7B" w:rsidRPr="000C156A" w14:paraId="218410AE" w14:textId="77777777" w:rsidTr="00CC47BD">
        <w:trPr>
          <w:trHeight w:val="20"/>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14:paraId="55588618" w14:textId="77777777" w:rsidR="00B56A7B" w:rsidRPr="000C156A" w:rsidRDefault="00B56A7B" w:rsidP="00CC47BD">
            <w:pPr>
              <w:spacing w:before="20" w:after="20"/>
              <w:rPr>
                <w:b/>
                <w:sz w:val="22"/>
                <w:szCs w:val="18"/>
                <w:lang w:val="en-US"/>
              </w:rPr>
            </w:pPr>
            <w:r w:rsidRPr="000C156A">
              <w:rPr>
                <w:rFonts w:hint="eastAsia"/>
                <w:b/>
                <w:sz w:val="22"/>
                <w:szCs w:val="18"/>
                <w:lang w:val="en-US"/>
              </w:rPr>
              <w:t>其它营运收入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D3204" w14:textId="01C05FA5" w:rsidR="00B56A7B" w:rsidRPr="000C156A" w:rsidRDefault="00B56A7B" w:rsidP="00CC47BD">
            <w:pPr>
              <w:overflowPunct/>
              <w:autoSpaceDE/>
              <w:autoSpaceDN/>
              <w:adjustRightInd/>
              <w:spacing w:before="0"/>
              <w:jc w:val="right"/>
              <w:textAlignment w:val="auto"/>
              <w:rPr>
                <w:rFonts w:cs="Calibri"/>
                <w:b/>
                <w:bCs/>
                <w:color w:val="000000"/>
                <w:sz w:val="20"/>
                <w:lang w:val="en-US" w:eastAsia="zh-CN"/>
              </w:rPr>
            </w:pPr>
            <w:r>
              <w:rPr>
                <w:rFonts w:cs="Calibri"/>
                <w:b/>
                <w:bCs/>
                <w:color w:val="000000"/>
                <w:sz w:val="22"/>
                <w:szCs w:val="22"/>
                <w:lang w:val="en-US" w:eastAsia="zh-CN"/>
              </w:rPr>
              <w:t>32</w:t>
            </w:r>
            <w:r w:rsidR="00EC26EC">
              <w:rPr>
                <w:rFonts w:cs="Calibri"/>
                <w:b/>
                <w:bCs/>
                <w:color w:val="000000"/>
                <w:sz w:val="22"/>
                <w:szCs w:val="22"/>
                <w:lang w:val="en-US" w:eastAsia="zh-CN"/>
              </w:rPr>
              <w:t> </w:t>
            </w:r>
            <w:r>
              <w:rPr>
                <w:rFonts w:cs="Calibri"/>
                <w:b/>
                <w:bCs/>
                <w:color w:val="000000"/>
                <w:sz w:val="22"/>
                <w:szCs w:val="22"/>
                <w:lang w:val="en-US" w:eastAsia="zh-CN"/>
              </w:rPr>
              <w:t>774</w:t>
            </w:r>
          </w:p>
        </w:tc>
        <w:tc>
          <w:tcPr>
            <w:tcW w:w="1824" w:type="dxa"/>
            <w:tcBorders>
              <w:top w:val="nil"/>
              <w:left w:val="nil"/>
              <w:bottom w:val="single" w:sz="4" w:space="0" w:color="auto"/>
              <w:right w:val="single" w:sz="4" w:space="0" w:color="auto"/>
            </w:tcBorders>
            <w:shd w:val="clear" w:color="auto" w:fill="auto"/>
            <w:noWrap/>
            <w:vAlign w:val="center"/>
            <w:hideMark/>
          </w:tcPr>
          <w:p w14:paraId="3B14A17D" w14:textId="4B0BA1D3" w:rsidR="00B56A7B" w:rsidRPr="000C156A" w:rsidRDefault="00B56A7B" w:rsidP="00CC47BD">
            <w:pPr>
              <w:overflowPunct/>
              <w:autoSpaceDE/>
              <w:autoSpaceDN/>
              <w:adjustRightInd/>
              <w:spacing w:before="0"/>
              <w:jc w:val="right"/>
              <w:textAlignment w:val="auto"/>
              <w:rPr>
                <w:rFonts w:cs="Calibri"/>
                <w:b/>
                <w:bCs/>
                <w:color w:val="000000"/>
                <w:sz w:val="20"/>
                <w:lang w:val="en-US" w:eastAsia="zh-CN"/>
              </w:rPr>
            </w:pPr>
            <w:r>
              <w:rPr>
                <w:rFonts w:cs="Calibri"/>
                <w:b/>
                <w:bCs/>
                <w:color w:val="000000"/>
                <w:sz w:val="22"/>
                <w:szCs w:val="22"/>
                <w:lang w:val="en-US" w:eastAsia="zh-CN"/>
              </w:rPr>
              <w:t>40</w:t>
            </w:r>
            <w:r w:rsidR="00EC26EC">
              <w:rPr>
                <w:rFonts w:cs="Calibri"/>
                <w:b/>
                <w:bCs/>
                <w:color w:val="000000"/>
                <w:sz w:val="22"/>
                <w:szCs w:val="22"/>
                <w:lang w:val="en-US" w:eastAsia="zh-CN"/>
              </w:rPr>
              <w:t> </w:t>
            </w:r>
            <w:r>
              <w:rPr>
                <w:rFonts w:cs="Calibri"/>
                <w:b/>
                <w:bCs/>
                <w:color w:val="000000"/>
                <w:sz w:val="22"/>
                <w:szCs w:val="22"/>
                <w:lang w:val="en-US" w:eastAsia="zh-CN"/>
              </w:rPr>
              <w:t>213</w:t>
            </w:r>
          </w:p>
        </w:tc>
      </w:tr>
    </w:tbl>
    <w:p w14:paraId="628095A3" w14:textId="77777777" w:rsidR="00B56A7B" w:rsidRPr="000C156A" w:rsidRDefault="00B56A7B" w:rsidP="00B56A7B">
      <w:pPr>
        <w:spacing w:before="240"/>
        <w:ind w:firstLineChars="200" w:firstLine="480"/>
        <w:rPr>
          <w:lang w:eastAsia="zh-CN"/>
        </w:rPr>
      </w:pPr>
      <w:bookmarkStart w:id="1056" w:name="_MON_1402901008"/>
      <w:bookmarkStart w:id="1057" w:name="_MON_1402747191"/>
      <w:bookmarkStart w:id="1058" w:name="_MON_1402991021"/>
      <w:bookmarkStart w:id="1059" w:name="_MON_1402747319"/>
      <w:bookmarkStart w:id="1060" w:name="_MON_1402747346"/>
      <w:bookmarkStart w:id="1061" w:name="_MON_1402747436"/>
      <w:bookmarkStart w:id="1062" w:name="_MON_1401177845"/>
      <w:bookmarkEnd w:id="1056"/>
      <w:bookmarkEnd w:id="1057"/>
      <w:bookmarkEnd w:id="1058"/>
      <w:bookmarkEnd w:id="1059"/>
      <w:bookmarkEnd w:id="1060"/>
      <w:bookmarkEnd w:id="1061"/>
      <w:bookmarkEnd w:id="1062"/>
      <w:r w:rsidRPr="000C156A">
        <w:rPr>
          <w:rFonts w:hint="eastAsia"/>
          <w:lang w:eastAsia="zh-CN"/>
        </w:rPr>
        <w:t>其它营运收入主要包括成本回收活动。目前国际电联实行成本回收的产品和服务主要为国际通用免费电话号码的注册（</w:t>
      </w:r>
      <w:r w:rsidRPr="000C156A">
        <w:rPr>
          <w:lang w:eastAsia="zh-CN"/>
        </w:rPr>
        <w:t>UIFN</w:t>
      </w:r>
      <w:r w:rsidRPr="000C156A">
        <w:rPr>
          <w:rFonts w:hint="eastAsia"/>
          <w:lang w:eastAsia="zh-CN"/>
        </w:rPr>
        <w:t>）、全球卫星个人移动通信系统谅解备忘录（</w:t>
      </w:r>
      <w:r w:rsidRPr="000C156A">
        <w:rPr>
          <w:lang w:eastAsia="zh-CN"/>
        </w:rPr>
        <w:t>GMPCS-MoU</w:t>
      </w:r>
      <w:r w:rsidRPr="000C156A">
        <w:rPr>
          <w:rFonts w:hint="eastAsia"/>
          <w:lang w:eastAsia="zh-CN"/>
        </w:rPr>
        <w:t>）、出版物销售。项目支持收入纳入资金间冲销，以便为国际电联的财务业绩提供综合概貌。</w:t>
      </w:r>
    </w:p>
    <w:p w14:paraId="79F9716B" w14:textId="77777777" w:rsidR="00B56A7B" w:rsidRPr="000C156A" w:rsidRDefault="00B56A7B" w:rsidP="00B56A7B">
      <w:pPr>
        <w:ind w:firstLineChars="200" w:firstLine="480"/>
        <w:jc w:val="both"/>
        <w:rPr>
          <w:lang w:val="en-US" w:eastAsia="zh-CN"/>
        </w:rPr>
      </w:pPr>
      <w:bookmarkStart w:id="1063" w:name="_Hlk70599171"/>
      <w:r w:rsidRPr="002C09AF">
        <w:rPr>
          <w:rFonts w:hint="eastAsia"/>
          <w:lang w:val="en-US" w:eastAsia="zh-CN"/>
        </w:rPr>
        <w:t>2021</w:t>
      </w:r>
      <w:r w:rsidRPr="002C09AF">
        <w:rPr>
          <w:rFonts w:hint="eastAsia"/>
          <w:lang w:val="en-US" w:eastAsia="zh-CN"/>
        </w:rPr>
        <w:t>年，营运收入的总体下降可以归咎于其他收入的减少，而由于新</w:t>
      </w:r>
      <w:r>
        <w:rPr>
          <w:rFonts w:hint="eastAsia"/>
          <w:lang w:val="en-US" w:eastAsia="zh-CN"/>
        </w:rPr>
        <w:t>办公</w:t>
      </w:r>
      <w:r w:rsidRPr="002C09AF">
        <w:rPr>
          <w:rFonts w:hint="eastAsia"/>
          <w:lang w:val="en-US" w:eastAsia="zh-CN"/>
        </w:rPr>
        <w:t>楼赞助协议款项的支付，其他收入在</w:t>
      </w:r>
      <w:r w:rsidRPr="002C09AF">
        <w:rPr>
          <w:rFonts w:hint="eastAsia"/>
          <w:lang w:val="en-US" w:eastAsia="zh-CN"/>
        </w:rPr>
        <w:t>2020</w:t>
      </w:r>
      <w:r w:rsidRPr="002C09AF">
        <w:rPr>
          <w:rFonts w:hint="eastAsia"/>
          <w:lang w:val="en-US" w:eastAsia="zh-CN"/>
        </w:rPr>
        <w:t>年呈现异常增长。</w:t>
      </w:r>
    </w:p>
    <w:p w14:paraId="71810297" w14:textId="77777777" w:rsidR="00B56A7B" w:rsidRPr="000C156A" w:rsidRDefault="00B56A7B" w:rsidP="00B56A7B">
      <w:pPr>
        <w:pStyle w:val="Headingb"/>
        <w:spacing w:after="240"/>
        <w:rPr>
          <w:lang w:eastAsia="zh-CN"/>
        </w:rPr>
      </w:pPr>
      <w:bookmarkStart w:id="1064" w:name="_Toc73518716"/>
      <w:bookmarkStart w:id="1065" w:name="_Toc73518863"/>
      <w:bookmarkStart w:id="1066" w:name="_Toc73519263"/>
      <w:bookmarkStart w:id="1067" w:name="_Toc329011650"/>
      <w:bookmarkStart w:id="1068" w:name="_Toc305764107"/>
      <w:bookmarkEnd w:id="1063"/>
      <w:r w:rsidRPr="000C156A">
        <w:rPr>
          <w:rFonts w:hint="eastAsia"/>
          <w:lang w:eastAsia="zh-CN"/>
        </w:rPr>
        <w:t>理财收入</w:t>
      </w:r>
      <w:bookmarkEnd w:id="1064"/>
      <w:bookmarkEnd w:id="1065"/>
      <w:bookmarkEnd w:id="1066"/>
    </w:p>
    <w:tbl>
      <w:tblPr>
        <w:tblW w:w="9605" w:type="dxa"/>
        <w:jc w:val="center"/>
        <w:tblLayout w:type="fixed"/>
        <w:tblLook w:val="04A0" w:firstRow="1" w:lastRow="0" w:firstColumn="1" w:lastColumn="0" w:noHBand="0" w:noVBand="1"/>
      </w:tblPr>
      <w:tblGrid>
        <w:gridCol w:w="5938"/>
        <w:gridCol w:w="1843"/>
        <w:gridCol w:w="1824"/>
      </w:tblGrid>
      <w:tr w:rsidR="00B56A7B" w:rsidRPr="000C156A" w14:paraId="04B3D73D" w14:textId="77777777" w:rsidTr="00CC47BD">
        <w:trPr>
          <w:trHeight w:val="499"/>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bookmarkEnd w:id="1067"/>
          <w:bookmarkEnd w:id="1068"/>
          <w:p w14:paraId="7D4D4A45" w14:textId="77777777" w:rsidR="00B56A7B" w:rsidRPr="000C156A" w:rsidRDefault="00B56A7B" w:rsidP="00CC47BD">
            <w:pPr>
              <w:spacing w:before="20" w:after="20"/>
              <w:rPr>
                <w:b/>
                <w:sz w:val="22"/>
                <w:szCs w:val="18"/>
                <w:lang w:val="en-US"/>
              </w:rPr>
            </w:pPr>
            <w:r w:rsidRPr="000C156A">
              <w:rPr>
                <w:rFonts w:ascii="SimSun" w:hAnsi="SimSun" w:cs="SimSun" w:hint="eastAsia"/>
                <w:b/>
                <w:sz w:val="22"/>
                <w:szCs w:val="18"/>
                <w:lang w:val="en-US"/>
              </w:rPr>
              <w:t>单位：千瑞郎</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273D2B" w14:textId="77777777" w:rsidR="00B56A7B" w:rsidRPr="000C156A" w:rsidRDefault="00B56A7B" w:rsidP="00CC47BD">
            <w:pPr>
              <w:spacing w:before="20" w:after="20"/>
              <w:jc w:val="right"/>
              <w:rPr>
                <w:b/>
                <w:sz w:val="22"/>
                <w:szCs w:val="18"/>
                <w:lang w:val="en-US"/>
              </w:rPr>
            </w:pPr>
            <w:r w:rsidRPr="000C156A">
              <w:rPr>
                <w:b/>
                <w:sz w:val="22"/>
                <w:szCs w:val="18"/>
                <w:lang w:val="en-US"/>
              </w:rPr>
              <w:t>202</w:t>
            </w:r>
            <w:r>
              <w:rPr>
                <w:b/>
                <w:sz w:val="22"/>
                <w:szCs w:val="18"/>
                <w:lang w:val="en-US"/>
              </w:rPr>
              <w:t>1</w:t>
            </w:r>
            <w:r w:rsidRPr="000C156A">
              <w:rPr>
                <w:rFonts w:ascii="SimSun" w:hAnsi="SimSun" w:cs="SimSun" w:hint="eastAsia"/>
                <w:b/>
                <w:sz w:val="22"/>
                <w:szCs w:val="18"/>
                <w:lang w:val="en-US"/>
              </w:rPr>
              <w:t>年</w:t>
            </w:r>
          </w:p>
        </w:tc>
        <w:tc>
          <w:tcPr>
            <w:tcW w:w="1824" w:type="dxa"/>
            <w:tcBorders>
              <w:top w:val="single" w:sz="4" w:space="0" w:color="auto"/>
              <w:left w:val="single" w:sz="4" w:space="0" w:color="auto"/>
              <w:bottom w:val="single" w:sz="4" w:space="0" w:color="auto"/>
              <w:right w:val="single" w:sz="4" w:space="0" w:color="auto"/>
            </w:tcBorders>
            <w:vAlign w:val="center"/>
            <w:hideMark/>
          </w:tcPr>
          <w:p w14:paraId="11625717" w14:textId="77777777" w:rsidR="00B56A7B" w:rsidRPr="000C156A" w:rsidRDefault="00B56A7B" w:rsidP="00CC47BD">
            <w:pPr>
              <w:spacing w:before="20" w:after="20"/>
              <w:jc w:val="right"/>
              <w:rPr>
                <w:b/>
                <w:sz w:val="22"/>
                <w:szCs w:val="18"/>
                <w:lang w:val="en-US"/>
              </w:rPr>
            </w:pPr>
            <w:r>
              <w:rPr>
                <w:b/>
                <w:sz w:val="22"/>
                <w:szCs w:val="18"/>
                <w:lang w:val="en-US"/>
              </w:rPr>
              <w:t>2020</w:t>
            </w:r>
            <w:r w:rsidRPr="000C156A">
              <w:rPr>
                <w:rFonts w:ascii="SimSun" w:hAnsi="SimSun" w:cs="SimSun" w:hint="eastAsia"/>
                <w:b/>
                <w:sz w:val="22"/>
                <w:szCs w:val="18"/>
                <w:lang w:val="en-US"/>
              </w:rPr>
              <w:t>年</w:t>
            </w:r>
          </w:p>
        </w:tc>
      </w:tr>
      <w:tr w:rsidR="00B56A7B" w:rsidRPr="000C156A" w14:paraId="04A611EE" w14:textId="77777777" w:rsidTr="00CC47BD">
        <w:trPr>
          <w:trHeight w:val="20"/>
          <w:jc w:val="center"/>
        </w:trPr>
        <w:tc>
          <w:tcPr>
            <w:tcW w:w="5938" w:type="dxa"/>
            <w:tcBorders>
              <w:top w:val="single" w:sz="4" w:space="0" w:color="auto"/>
              <w:left w:val="single" w:sz="4" w:space="0" w:color="auto"/>
              <w:right w:val="single" w:sz="4" w:space="0" w:color="auto"/>
            </w:tcBorders>
            <w:noWrap/>
            <w:vAlign w:val="center"/>
          </w:tcPr>
          <w:p w14:paraId="0254F663" w14:textId="77777777" w:rsidR="00B56A7B" w:rsidRPr="000C156A" w:rsidRDefault="00B56A7B" w:rsidP="00CC47BD">
            <w:pPr>
              <w:spacing w:before="0"/>
              <w:rPr>
                <w:bCs/>
                <w:sz w:val="22"/>
                <w:szCs w:val="18"/>
                <w:lang w:val="en-US" w:eastAsia="zh-CN"/>
              </w:rPr>
            </w:pPr>
          </w:p>
        </w:tc>
        <w:tc>
          <w:tcPr>
            <w:tcW w:w="1843" w:type="dxa"/>
            <w:tcBorders>
              <w:top w:val="nil"/>
              <w:left w:val="single" w:sz="4" w:space="0" w:color="auto"/>
              <w:bottom w:val="nil"/>
              <w:right w:val="single" w:sz="4" w:space="0" w:color="auto"/>
            </w:tcBorders>
            <w:shd w:val="clear" w:color="auto" w:fill="auto"/>
            <w:vAlign w:val="bottom"/>
          </w:tcPr>
          <w:p w14:paraId="107CE26C"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p>
        </w:tc>
        <w:tc>
          <w:tcPr>
            <w:tcW w:w="1824" w:type="dxa"/>
            <w:tcBorders>
              <w:top w:val="nil"/>
              <w:left w:val="nil"/>
              <w:bottom w:val="nil"/>
              <w:right w:val="single" w:sz="4" w:space="0" w:color="auto"/>
            </w:tcBorders>
            <w:shd w:val="clear" w:color="auto" w:fill="auto"/>
            <w:noWrap/>
            <w:vAlign w:val="bottom"/>
          </w:tcPr>
          <w:p w14:paraId="22071464" w14:textId="77777777" w:rsidR="00B56A7B" w:rsidRPr="000C156A" w:rsidRDefault="00B56A7B" w:rsidP="00CC47BD">
            <w:pPr>
              <w:overflowPunct/>
              <w:autoSpaceDE/>
              <w:autoSpaceDN/>
              <w:adjustRightInd/>
              <w:spacing w:before="0"/>
              <w:jc w:val="right"/>
              <w:textAlignment w:val="auto"/>
              <w:rPr>
                <w:rFonts w:cs="Calibri"/>
                <w:color w:val="000000"/>
                <w:sz w:val="20"/>
                <w:lang w:val="en-US" w:eastAsia="zh-CN"/>
              </w:rPr>
            </w:pPr>
          </w:p>
        </w:tc>
      </w:tr>
      <w:tr w:rsidR="00B56A7B" w:rsidRPr="000C156A" w14:paraId="4A3D4E16" w14:textId="77777777" w:rsidTr="00CC47BD">
        <w:trPr>
          <w:trHeight w:val="20"/>
          <w:jc w:val="center"/>
        </w:trPr>
        <w:tc>
          <w:tcPr>
            <w:tcW w:w="5938" w:type="dxa"/>
            <w:tcBorders>
              <w:left w:val="single" w:sz="4" w:space="0" w:color="auto"/>
              <w:bottom w:val="nil"/>
              <w:right w:val="single" w:sz="4" w:space="0" w:color="auto"/>
            </w:tcBorders>
            <w:noWrap/>
            <w:vAlign w:val="center"/>
            <w:hideMark/>
          </w:tcPr>
          <w:p w14:paraId="720A8384" w14:textId="77777777" w:rsidR="00B56A7B" w:rsidRPr="000C156A" w:rsidRDefault="00B56A7B" w:rsidP="00CC47BD">
            <w:pPr>
              <w:spacing w:before="20" w:after="20"/>
              <w:rPr>
                <w:bCs/>
                <w:sz w:val="22"/>
                <w:szCs w:val="18"/>
                <w:lang w:val="en-US" w:eastAsia="zh-CN"/>
              </w:rPr>
            </w:pPr>
            <w:r w:rsidRPr="000C156A">
              <w:rPr>
                <w:rFonts w:hint="eastAsia"/>
                <w:bCs/>
                <w:sz w:val="22"/>
                <w:szCs w:val="18"/>
                <w:lang w:val="en-US" w:eastAsia="zh-CN"/>
              </w:rPr>
              <w:t>投资利息</w:t>
            </w:r>
          </w:p>
        </w:tc>
        <w:tc>
          <w:tcPr>
            <w:tcW w:w="1843" w:type="dxa"/>
            <w:tcBorders>
              <w:top w:val="nil"/>
              <w:left w:val="single" w:sz="4" w:space="0" w:color="auto"/>
              <w:bottom w:val="nil"/>
              <w:right w:val="single" w:sz="4" w:space="0" w:color="auto"/>
            </w:tcBorders>
            <w:shd w:val="clear" w:color="auto" w:fill="auto"/>
            <w:vAlign w:val="bottom"/>
            <w:hideMark/>
          </w:tcPr>
          <w:p w14:paraId="186457AA"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241</w:t>
            </w:r>
          </w:p>
        </w:tc>
        <w:tc>
          <w:tcPr>
            <w:tcW w:w="1824" w:type="dxa"/>
            <w:tcBorders>
              <w:top w:val="nil"/>
              <w:left w:val="nil"/>
              <w:bottom w:val="nil"/>
              <w:right w:val="single" w:sz="4" w:space="0" w:color="auto"/>
            </w:tcBorders>
            <w:shd w:val="clear" w:color="auto" w:fill="auto"/>
            <w:noWrap/>
            <w:vAlign w:val="bottom"/>
            <w:hideMark/>
          </w:tcPr>
          <w:p w14:paraId="5C83E036"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400</w:t>
            </w:r>
          </w:p>
        </w:tc>
      </w:tr>
      <w:tr w:rsidR="00B56A7B" w:rsidRPr="000C156A" w14:paraId="1F04069D" w14:textId="77777777" w:rsidTr="00CC47BD">
        <w:trPr>
          <w:trHeight w:val="20"/>
          <w:jc w:val="center"/>
        </w:trPr>
        <w:tc>
          <w:tcPr>
            <w:tcW w:w="5938" w:type="dxa"/>
            <w:tcBorders>
              <w:top w:val="nil"/>
              <w:left w:val="single" w:sz="4" w:space="0" w:color="auto"/>
              <w:bottom w:val="nil"/>
              <w:right w:val="single" w:sz="4" w:space="0" w:color="auto"/>
            </w:tcBorders>
            <w:noWrap/>
            <w:vAlign w:val="center"/>
            <w:hideMark/>
          </w:tcPr>
          <w:p w14:paraId="2CE96CFF" w14:textId="77777777" w:rsidR="00B56A7B" w:rsidRPr="000C156A" w:rsidRDefault="00B56A7B" w:rsidP="00CC47BD">
            <w:pPr>
              <w:spacing w:before="20" w:after="20"/>
              <w:rPr>
                <w:bCs/>
                <w:sz w:val="22"/>
                <w:szCs w:val="18"/>
                <w:lang w:val="en-US" w:eastAsia="zh-CN"/>
              </w:rPr>
            </w:pPr>
            <w:r w:rsidRPr="000C156A">
              <w:rPr>
                <w:rFonts w:hint="eastAsia"/>
                <w:bCs/>
                <w:sz w:val="22"/>
                <w:szCs w:val="18"/>
                <w:lang w:val="en-US" w:eastAsia="zh-CN"/>
              </w:rPr>
              <w:t>已实现的汇率收益</w:t>
            </w:r>
          </w:p>
        </w:tc>
        <w:tc>
          <w:tcPr>
            <w:tcW w:w="1843" w:type="dxa"/>
            <w:tcBorders>
              <w:top w:val="nil"/>
              <w:left w:val="single" w:sz="4" w:space="0" w:color="auto"/>
              <w:bottom w:val="nil"/>
              <w:right w:val="single" w:sz="4" w:space="0" w:color="auto"/>
            </w:tcBorders>
            <w:shd w:val="clear" w:color="auto" w:fill="auto"/>
            <w:vAlign w:val="bottom"/>
            <w:hideMark/>
          </w:tcPr>
          <w:p w14:paraId="120745A9"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126</w:t>
            </w:r>
          </w:p>
        </w:tc>
        <w:tc>
          <w:tcPr>
            <w:tcW w:w="1824" w:type="dxa"/>
            <w:tcBorders>
              <w:top w:val="nil"/>
              <w:left w:val="nil"/>
              <w:bottom w:val="nil"/>
              <w:right w:val="single" w:sz="4" w:space="0" w:color="auto"/>
            </w:tcBorders>
            <w:shd w:val="clear" w:color="auto" w:fill="auto"/>
            <w:noWrap/>
            <w:vAlign w:val="bottom"/>
            <w:hideMark/>
          </w:tcPr>
          <w:p w14:paraId="3C0821C3"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16</w:t>
            </w:r>
          </w:p>
        </w:tc>
      </w:tr>
      <w:tr w:rsidR="00B56A7B" w:rsidRPr="000C156A" w14:paraId="0FAE521B" w14:textId="77777777" w:rsidTr="00CC47BD">
        <w:trPr>
          <w:trHeight w:val="20"/>
          <w:jc w:val="center"/>
        </w:trPr>
        <w:tc>
          <w:tcPr>
            <w:tcW w:w="5938" w:type="dxa"/>
            <w:tcBorders>
              <w:top w:val="nil"/>
              <w:left w:val="single" w:sz="4" w:space="0" w:color="auto"/>
              <w:right w:val="single" w:sz="4" w:space="0" w:color="auto"/>
            </w:tcBorders>
            <w:noWrap/>
            <w:vAlign w:val="center"/>
            <w:hideMark/>
          </w:tcPr>
          <w:p w14:paraId="787E8787" w14:textId="77777777" w:rsidR="00B56A7B" w:rsidRPr="000C156A" w:rsidRDefault="00B56A7B" w:rsidP="00CC47BD">
            <w:pPr>
              <w:spacing w:before="20" w:after="20"/>
              <w:rPr>
                <w:bCs/>
                <w:sz w:val="22"/>
                <w:szCs w:val="18"/>
                <w:lang w:val="en-US" w:eastAsia="zh-CN"/>
              </w:rPr>
            </w:pPr>
            <w:r w:rsidRPr="000C156A">
              <w:rPr>
                <w:rFonts w:hint="eastAsia"/>
                <w:bCs/>
                <w:sz w:val="22"/>
                <w:szCs w:val="18"/>
                <w:lang w:val="en-US" w:eastAsia="zh-CN"/>
              </w:rPr>
              <w:t>未实现的汇率收益</w:t>
            </w:r>
          </w:p>
        </w:tc>
        <w:tc>
          <w:tcPr>
            <w:tcW w:w="1843" w:type="dxa"/>
            <w:tcBorders>
              <w:top w:val="nil"/>
              <w:left w:val="single" w:sz="4" w:space="0" w:color="auto"/>
              <w:bottom w:val="nil"/>
              <w:right w:val="single" w:sz="4" w:space="0" w:color="auto"/>
            </w:tcBorders>
            <w:shd w:val="clear" w:color="auto" w:fill="auto"/>
            <w:vAlign w:val="bottom"/>
            <w:hideMark/>
          </w:tcPr>
          <w:p w14:paraId="292245B9" w14:textId="34A5997D"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2</w:t>
            </w:r>
            <w:r w:rsidR="00EC26EC">
              <w:rPr>
                <w:rFonts w:cs="Calibri"/>
                <w:color w:val="000000"/>
                <w:sz w:val="22"/>
                <w:szCs w:val="22"/>
                <w:lang w:val="en-US" w:eastAsia="zh-CN"/>
              </w:rPr>
              <w:t> </w:t>
            </w:r>
            <w:r>
              <w:rPr>
                <w:rFonts w:cs="Calibri"/>
                <w:color w:val="000000"/>
                <w:sz w:val="22"/>
                <w:szCs w:val="22"/>
                <w:lang w:val="en-US" w:eastAsia="zh-CN"/>
              </w:rPr>
              <w:t>425</w:t>
            </w:r>
          </w:p>
        </w:tc>
        <w:tc>
          <w:tcPr>
            <w:tcW w:w="1824" w:type="dxa"/>
            <w:tcBorders>
              <w:top w:val="nil"/>
              <w:left w:val="nil"/>
              <w:bottom w:val="nil"/>
              <w:right w:val="single" w:sz="4" w:space="0" w:color="auto"/>
            </w:tcBorders>
            <w:shd w:val="clear" w:color="auto" w:fill="auto"/>
            <w:noWrap/>
            <w:vAlign w:val="bottom"/>
            <w:hideMark/>
          </w:tcPr>
          <w:p w14:paraId="22D99177" w14:textId="65AD3F2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-5</w:t>
            </w:r>
            <w:r w:rsidR="00EC26EC">
              <w:rPr>
                <w:rFonts w:cs="Calibri"/>
                <w:color w:val="000000"/>
                <w:sz w:val="22"/>
                <w:szCs w:val="22"/>
                <w:lang w:val="en-US" w:eastAsia="zh-CN"/>
              </w:rPr>
              <w:t> </w:t>
            </w:r>
            <w:r>
              <w:rPr>
                <w:rFonts w:cs="Calibri"/>
                <w:color w:val="000000"/>
                <w:sz w:val="22"/>
                <w:szCs w:val="22"/>
                <w:lang w:val="en-US" w:eastAsia="zh-CN"/>
              </w:rPr>
              <w:t>116</w:t>
            </w:r>
          </w:p>
        </w:tc>
      </w:tr>
      <w:tr w:rsidR="00B56A7B" w:rsidRPr="000C156A" w14:paraId="5E68D351" w14:textId="77777777" w:rsidTr="00CC47BD">
        <w:trPr>
          <w:trHeight w:val="20"/>
          <w:jc w:val="center"/>
        </w:trPr>
        <w:tc>
          <w:tcPr>
            <w:tcW w:w="5938" w:type="dxa"/>
            <w:tcBorders>
              <w:top w:val="nil"/>
              <w:left w:val="single" w:sz="4" w:space="0" w:color="auto"/>
              <w:bottom w:val="single" w:sz="4" w:space="0" w:color="auto"/>
              <w:right w:val="single" w:sz="4" w:space="0" w:color="auto"/>
            </w:tcBorders>
            <w:noWrap/>
            <w:vAlign w:val="center"/>
          </w:tcPr>
          <w:p w14:paraId="2D90A16A" w14:textId="77777777" w:rsidR="00B56A7B" w:rsidRPr="000C156A" w:rsidRDefault="00B56A7B" w:rsidP="00CC47BD">
            <w:pPr>
              <w:spacing w:before="0"/>
              <w:rPr>
                <w:bCs/>
                <w:sz w:val="22"/>
                <w:szCs w:val="18"/>
                <w:lang w:val="en-US" w:eastAsia="zh-CN"/>
              </w:rPr>
            </w:pPr>
          </w:p>
        </w:tc>
        <w:tc>
          <w:tcPr>
            <w:tcW w:w="1843" w:type="dxa"/>
            <w:tcBorders>
              <w:top w:val="nil"/>
              <w:left w:val="single" w:sz="4" w:space="0" w:color="auto"/>
              <w:bottom w:val="nil"/>
              <w:right w:val="single" w:sz="4" w:space="0" w:color="auto"/>
            </w:tcBorders>
            <w:shd w:val="clear" w:color="auto" w:fill="auto"/>
            <w:vAlign w:val="bottom"/>
          </w:tcPr>
          <w:p w14:paraId="208D1D8D"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p>
        </w:tc>
        <w:tc>
          <w:tcPr>
            <w:tcW w:w="1824" w:type="dxa"/>
            <w:tcBorders>
              <w:top w:val="nil"/>
              <w:left w:val="nil"/>
              <w:bottom w:val="single" w:sz="4" w:space="0" w:color="auto"/>
              <w:right w:val="single" w:sz="4" w:space="0" w:color="auto"/>
            </w:tcBorders>
            <w:shd w:val="clear" w:color="auto" w:fill="auto"/>
            <w:noWrap/>
            <w:vAlign w:val="bottom"/>
          </w:tcPr>
          <w:p w14:paraId="60B36CFB"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p>
        </w:tc>
      </w:tr>
      <w:tr w:rsidR="00B56A7B" w:rsidRPr="000C156A" w14:paraId="706078A1" w14:textId="77777777" w:rsidTr="00CC47BD">
        <w:trPr>
          <w:trHeight w:val="20"/>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14:paraId="767FA71C" w14:textId="77777777" w:rsidR="00B56A7B" w:rsidRPr="000C156A" w:rsidRDefault="00B56A7B" w:rsidP="00CC47BD">
            <w:pPr>
              <w:spacing w:before="20" w:after="20"/>
              <w:rPr>
                <w:b/>
                <w:sz w:val="22"/>
                <w:szCs w:val="18"/>
                <w:lang w:val="en-US" w:eastAsia="zh-CN"/>
              </w:rPr>
            </w:pPr>
            <w:r w:rsidRPr="000C156A">
              <w:rPr>
                <w:rFonts w:hint="eastAsia"/>
                <w:b/>
                <w:sz w:val="22"/>
                <w:szCs w:val="18"/>
                <w:lang w:val="en-US" w:eastAsia="zh-CN"/>
              </w:rPr>
              <w:t>财务收入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AD177" w14:textId="7606914D" w:rsidR="00B56A7B" w:rsidRPr="000C156A" w:rsidRDefault="00B56A7B" w:rsidP="00CC47BD">
            <w:pPr>
              <w:overflowPunct/>
              <w:autoSpaceDE/>
              <w:autoSpaceDN/>
              <w:adjustRightInd/>
              <w:spacing w:before="0"/>
              <w:jc w:val="right"/>
              <w:textAlignment w:val="auto"/>
              <w:rPr>
                <w:rFonts w:cs="Calibri"/>
                <w:b/>
                <w:bCs/>
                <w:color w:val="000000"/>
                <w:sz w:val="22"/>
                <w:szCs w:val="22"/>
                <w:lang w:val="en-US" w:eastAsia="zh-CN"/>
              </w:rPr>
            </w:pPr>
            <w:r>
              <w:rPr>
                <w:rFonts w:cs="Calibri"/>
                <w:b/>
                <w:bCs/>
                <w:color w:val="000000"/>
                <w:sz w:val="22"/>
                <w:szCs w:val="22"/>
                <w:lang w:val="en-US" w:eastAsia="zh-CN"/>
              </w:rPr>
              <w:t>2</w:t>
            </w:r>
            <w:r w:rsidR="00EC26EC">
              <w:rPr>
                <w:rFonts w:cs="Calibri"/>
                <w:b/>
                <w:bCs/>
                <w:color w:val="000000"/>
                <w:sz w:val="22"/>
                <w:szCs w:val="22"/>
                <w:lang w:val="en-US" w:eastAsia="zh-CN"/>
              </w:rPr>
              <w:t> </w:t>
            </w:r>
            <w:r>
              <w:rPr>
                <w:rFonts w:cs="Calibri"/>
                <w:b/>
                <w:bCs/>
                <w:color w:val="000000"/>
                <w:sz w:val="22"/>
                <w:szCs w:val="22"/>
                <w:lang w:val="en-US" w:eastAsia="zh-CN"/>
              </w:rPr>
              <w:t>792</w:t>
            </w:r>
          </w:p>
        </w:tc>
        <w:tc>
          <w:tcPr>
            <w:tcW w:w="1824" w:type="dxa"/>
            <w:tcBorders>
              <w:top w:val="nil"/>
              <w:left w:val="nil"/>
              <w:bottom w:val="single" w:sz="4" w:space="0" w:color="auto"/>
              <w:right w:val="single" w:sz="4" w:space="0" w:color="auto"/>
            </w:tcBorders>
            <w:shd w:val="clear" w:color="auto" w:fill="auto"/>
            <w:noWrap/>
            <w:vAlign w:val="center"/>
            <w:hideMark/>
          </w:tcPr>
          <w:p w14:paraId="5D82721C" w14:textId="4689DAE4" w:rsidR="00B56A7B" w:rsidRPr="000C156A" w:rsidRDefault="00B56A7B" w:rsidP="00CC47BD">
            <w:pPr>
              <w:overflowPunct/>
              <w:autoSpaceDE/>
              <w:autoSpaceDN/>
              <w:adjustRightInd/>
              <w:spacing w:before="0"/>
              <w:jc w:val="right"/>
              <w:textAlignment w:val="auto"/>
              <w:rPr>
                <w:rFonts w:cs="Calibri"/>
                <w:b/>
                <w:bCs/>
                <w:color w:val="000000"/>
                <w:sz w:val="22"/>
                <w:szCs w:val="22"/>
                <w:lang w:val="en-US" w:eastAsia="zh-CN"/>
              </w:rPr>
            </w:pPr>
            <w:r>
              <w:rPr>
                <w:rFonts w:cs="Calibri"/>
                <w:b/>
                <w:bCs/>
                <w:color w:val="000000"/>
                <w:sz w:val="22"/>
                <w:szCs w:val="22"/>
                <w:lang w:val="en-US" w:eastAsia="zh-CN"/>
              </w:rPr>
              <w:t>-4</w:t>
            </w:r>
            <w:r w:rsidR="00EC26EC">
              <w:rPr>
                <w:rFonts w:cs="Calibri"/>
                <w:b/>
                <w:bCs/>
                <w:color w:val="000000"/>
                <w:sz w:val="22"/>
                <w:szCs w:val="22"/>
                <w:lang w:val="en-US" w:eastAsia="zh-CN"/>
              </w:rPr>
              <w:t> </w:t>
            </w:r>
            <w:r>
              <w:rPr>
                <w:rFonts w:cs="Calibri"/>
                <w:b/>
                <w:bCs/>
                <w:color w:val="000000"/>
                <w:sz w:val="22"/>
                <w:szCs w:val="22"/>
                <w:lang w:val="en-US" w:eastAsia="zh-CN"/>
              </w:rPr>
              <w:t>700</w:t>
            </w:r>
          </w:p>
        </w:tc>
      </w:tr>
    </w:tbl>
    <w:p w14:paraId="4000BE3C" w14:textId="77777777" w:rsidR="00B56A7B" w:rsidRPr="000C156A" w:rsidRDefault="00B56A7B" w:rsidP="00B56A7B">
      <w:pPr>
        <w:spacing w:before="240"/>
        <w:ind w:firstLineChars="200" w:firstLine="480"/>
        <w:jc w:val="both"/>
        <w:rPr>
          <w:lang w:val="en-US" w:eastAsia="zh-CN"/>
        </w:rPr>
      </w:pPr>
      <w:r w:rsidRPr="00BF385B">
        <w:rPr>
          <w:rFonts w:hint="eastAsia"/>
          <w:lang w:val="en-US" w:eastAsia="zh-CN"/>
        </w:rPr>
        <w:t>金融市场上</w:t>
      </w:r>
      <w:r>
        <w:rPr>
          <w:rFonts w:hint="eastAsia"/>
          <w:lang w:val="en-US" w:eastAsia="zh-CN"/>
        </w:rPr>
        <w:t>与</w:t>
      </w:r>
      <w:r w:rsidRPr="00BF385B">
        <w:rPr>
          <w:rFonts w:hint="eastAsia"/>
          <w:lang w:val="en-US" w:eastAsia="zh-CN"/>
        </w:rPr>
        <w:t>瑞郎和欧元</w:t>
      </w:r>
      <w:r>
        <w:rPr>
          <w:rFonts w:hint="eastAsia"/>
          <w:lang w:val="en-US" w:eastAsia="zh-CN"/>
        </w:rPr>
        <w:t>相关</w:t>
      </w:r>
      <w:r w:rsidRPr="00BF385B">
        <w:rPr>
          <w:rFonts w:hint="eastAsia"/>
          <w:lang w:val="en-US" w:eastAsia="zh-CN"/>
        </w:rPr>
        <w:t>的情况依旧，而利率较低的美元</w:t>
      </w:r>
      <w:r>
        <w:rPr>
          <w:rFonts w:hint="eastAsia"/>
          <w:lang w:val="en-US" w:eastAsia="zh-CN"/>
        </w:rPr>
        <w:t>则</w:t>
      </w:r>
      <w:r w:rsidRPr="00BF385B">
        <w:rPr>
          <w:rFonts w:hint="eastAsia"/>
          <w:lang w:val="en-US" w:eastAsia="zh-CN"/>
        </w:rPr>
        <w:t>处境更为艰难，</w:t>
      </w:r>
      <w:r>
        <w:rPr>
          <w:rFonts w:hint="eastAsia"/>
          <w:lang w:val="en-US" w:eastAsia="zh-CN"/>
        </w:rPr>
        <w:t>这也是</w:t>
      </w:r>
      <w:r w:rsidRPr="00BF385B">
        <w:rPr>
          <w:rFonts w:hint="eastAsia"/>
          <w:lang w:val="en-US" w:eastAsia="zh-CN"/>
        </w:rPr>
        <w:t>2021</w:t>
      </w:r>
      <w:r w:rsidRPr="00BF385B">
        <w:rPr>
          <w:rFonts w:hint="eastAsia"/>
          <w:lang w:val="en-US" w:eastAsia="zh-CN"/>
        </w:rPr>
        <w:t>年利息</w:t>
      </w:r>
      <w:r>
        <w:rPr>
          <w:rFonts w:hint="eastAsia"/>
          <w:lang w:val="en-US" w:eastAsia="zh-CN"/>
        </w:rPr>
        <w:t>所得</w:t>
      </w:r>
      <w:r w:rsidRPr="00BF385B">
        <w:rPr>
          <w:rFonts w:hint="eastAsia"/>
          <w:lang w:val="en-US" w:eastAsia="zh-CN"/>
        </w:rPr>
        <w:t>处于低位的原因。未实现的汇兑收益未被视为预算收入，而是由于年底资产负债表重估所致。年度之间的差异可归结于汇率浮动。</w:t>
      </w:r>
    </w:p>
    <w:p w14:paraId="778EE679" w14:textId="77777777" w:rsidR="00B56A7B" w:rsidRPr="000C156A" w:rsidRDefault="00B56A7B" w:rsidP="00B56A7B">
      <w:pPr>
        <w:pStyle w:val="Heading1"/>
        <w:spacing w:before="240" w:after="120"/>
        <w:rPr>
          <w:rFonts w:cs="Microsoft YaHei"/>
          <w:sz w:val="24"/>
          <w:szCs w:val="24"/>
          <w:lang w:eastAsia="zh-CN"/>
        </w:rPr>
      </w:pPr>
      <w:bookmarkStart w:id="1069" w:name="_Toc482892583"/>
      <w:bookmarkStart w:id="1070" w:name="_Toc482870848"/>
      <w:bookmarkStart w:id="1071" w:name="_Toc511817850"/>
      <w:bookmarkStart w:id="1072" w:name="_Toc520280750"/>
      <w:bookmarkStart w:id="1073" w:name="_Toc10536845"/>
      <w:bookmarkStart w:id="1074" w:name="_Toc41905896"/>
      <w:bookmarkStart w:id="1075" w:name="_Toc41906917"/>
      <w:bookmarkStart w:id="1076" w:name="_Toc41907998"/>
      <w:bookmarkStart w:id="1077" w:name="_Toc41908066"/>
      <w:bookmarkStart w:id="1078" w:name="_Toc73518717"/>
      <w:bookmarkStart w:id="1079" w:name="_Toc73518864"/>
      <w:bookmarkStart w:id="1080" w:name="_Toc73519264"/>
      <w:bookmarkStart w:id="1081" w:name="_Toc110264018"/>
      <w:bookmarkStart w:id="1082" w:name="_Toc110264097"/>
      <w:bookmarkStart w:id="1083" w:name="_Toc110265736"/>
      <w:bookmarkStart w:id="1084" w:name="_Toc110330106"/>
      <w:bookmarkStart w:id="1085" w:name="_Toc110330271"/>
      <w:bookmarkStart w:id="1086" w:name="_Toc329011651"/>
      <w:bookmarkStart w:id="1087" w:name="_Toc305764108"/>
      <w:r w:rsidRPr="000C156A">
        <w:rPr>
          <w:rFonts w:cs="Microsoft YaHei" w:hint="eastAsia"/>
          <w:sz w:val="24"/>
          <w:szCs w:val="24"/>
          <w:lang w:val="fr-FR" w:eastAsia="zh-CN"/>
        </w:rPr>
        <w:lastRenderedPageBreak/>
        <w:t>说明</w:t>
      </w:r>
      <w:r w:rsidRPr="000C156A">
        <w:rPr>
          <w:rFonts w:cs="Microsoft YaHei"/>
          <w:sz w:val="24"/>
          <w:szCs w:val="24"/>
          <w:lang w:eastAsia="zh-CN"/>
        </w:rPr>
        <w:t>23</w:t>
      </w:r>
      <w:r w:rsidRPr="000C156A">
        <w:rPr>
          <w:rFonts w:cs="Microsoft YaHei"/>
          <w:sz w:val="24"/>
          <w:szCs w:val="24"/>
          <w:lang w:eastAsia="zh-CN"/>
        </w:rPr>
        <w:tab/>
      </w:r>
      <w:r w:rsidRPr="000C156A">
        <w:rPr>
          <w:rFonts w:cs="Microsoft YaHei" w:hint="eastAsia"/>
          <w:sz w:val="24"/>
          <w:szCs w:val="24"/>
          <w:lang w:val="fr-FR" w:eastAsia="zh-CN"/>
        </w:rPr>
        <w:t>费用</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14:paraId="402CB8A0" w14:textId="77777777" w:rsidR="00B56A7B" w:rsidRPr="000D37DF" w:rsidRDefault="00B56A7B" w:rsidP="000D37DF">
      <w:pPr>
        <w:pStyle w:val="Heading1"/>
        <w:spacing w:before="240" w:after="120"/>
        <w:rPr>
          <w:rFonts w:cs="Microsoft YaHei"/>
          <w:sz w:val="24"/>
          <w:szCs w:val="24"/>
          <w:lang w:val="fr-FR" w:eastAsia="zh-CN"/>
        </w:rPr>
      </w:pPr>
      <w:bookmarkStart w:id="1088" w:name="_Toc73518718"/>
      <w:bookmarkStart w:id="1089" w:name="_Toc73518865"/>
      <w:bookmarkStart w:id="1090" w:name="_Toc73519265"/>
      <w:bookmarkStart w:id="1091" w:name="_Toc110265737"/>
      <w:bookmarkStart w:id="1092" w:name="_Toc110330107"/>
      <w:bookmarkStart w:id="1093" w:name="_Toc110330272"/>
      <w:bookmarkEnd w:id="1086"/>
      <w:bookmarkEnd w:id="1087"/>
      <w:r w:rsidRPr="000D37DF">
        <w:rPr>
          <w:rFonts w:cs="Microsoft YaHei" w:hint="eastAsia"/>
          <w:sz w:val="24"/>
          <w:szCs w:val="24"/>
          <w:lang w:val="fr-FR" w:eastAsia="zh-CN"/>
        </w:rPr>
        <w:t>人员费用</w:t>
      </w:r>
      <w:bookmarkEnd w:id="1088"/>
      <w:bookmarkEnd w:id="1089"/>
      <w:bookmarkEnd w:id="1090"/>
      <w:bookmarkEnd w:id="1091"/>
      <w:bookmarkEnd w:id="1092"/>
      <w:bookmarkEnd w:id="1093"/>
    </w:p>
    <w:p w14:paraId="0EB3B7F5" w14:textId="77777777" w:rsidR="00B56A7B" w:rsidRPr="0076544D" w:rsidRDefault="00B56A7B" w:rsidP="00B56A7B">
      <w:pPr>
        <w:spacing w:after="240"/>
        <w:ind w:firstLineChars="200" w:firstLine="480"/>
        <w:rPr>
          <w:lang w:val="fr-FR" w:eastAsia="zh-CN"/>
        </w:rPr>
      </w:pPr>
      <w:r w:rsidRPr="000C156A">
        <w:rPr>
          <w:rFonts w:hint="eastAsia"/>
          <w:lang w:eastAsia="zh-CN"/>
        </w:rPr>
        <w:t>人员费用包括担任长期职位人员和专为大会服务或持短期合同人员的所有薪酬</w:t>
      </w:r>
      <w:r w:rsidRPr="0076544D">
        <w:rPr>
          <w:rFonts w:hint="eastAsia"/>
          <w:lang w:val="fr-FR" w:eastAsia="zh-CN"/>
        </w:rPr>
        <w:t>，</w:t>
      </w:r>
      <w:r w:rsidRPr="000C156A">
        <w:rPr>
          <w:rFonts w:hint="eastAsia"/>
          <w:lang w:eastAsia="zh-CN"/>
        </w:rPr>
        <w:t>如基薪、任职地点补贴调整数、语言津贴、侨居津贴、受抚养人津贴和加班费</w:t>
      </w:r>
      <w:r w:rsidRPr="0076544D">
        <w:rPr>
          <w:rFonts w:hint="eastAsia"/>
          <w:lang w:val="fr-FR" w:eastAsia="zh-CN"/>
        </w:rPr>
        <w:t>，</w:t>
      </w:r>
      <w:r w:rsidRPr="000C156A">
        <w:rPr>
          <w:rFonts w:hint="eastAsia"/>
          <w:lang w:eastAsia="zh-CN"/>
        </w:rPr>
        <w:t>以及其它职员费用。</w:t>
      </w:r>
    </w:p>
    <w:tbl>
      <w:tblPr>
        <w:tblW w:w="5000" w:type="pct"/>
        <w:tblLook w:val="04A0" w:firstRow="1" w:lastRow="0" w:firstColumn="1" w:lastColumn="0" w:noHBand="0" w:noVBand="1"/>
      </w:tblPr>
      <w:tblGrid>
        <w:gridCol w:w="266"/>
        <w:gridCol w:w="4187"/>
        <w:gridCol w:w="2586"/>
        <w:gridCol w:w="2590"/>
      </w:tblGrid>
      <w:tr w:rsidR="00B56A7B" w:rsidRPr="000C156A" w14:paraId="321AAF64" w14:textId="77777777" w:rsidTr="00CC47BD">
        <w:trPr>
          <w:trHeight w:val="300"/>
        </w:trPr>
        <w:tc>
          <w:tcPr>
            <w:tcW w:w="2312" w:type="pct"/>
            <w:gridSpan w:val="2"/>
            <w:tcBorders>
              <w:top w:val="single" w:sz="4" w:space="0" w:color="auto"/>
              <w:left w:val="single" w:sz="4" w:space="0" w:color="auto"/>
              <w:bottom w:val="single" w:sz="4" w:space="0" w:color="auto"/>
              <w:right w:val="nil"/>
            </w:tcBorders>
            <w:shd w:val="clear" w:color="auto" w:fill="auto"/>
            <w:noWrap/>
            <w:vAlign w:val="center"/>
            <w:hideMark/>
          </w:tcPr>
          <w:p w14:paraId="1FA4DFB6" w14:textId="77777777" w:rsidR="00B56A7B" w:rsidRPr="000C156A" w:rsidRDefault="00B56A7B" w:rsidP="00EC26EC">
            <w:pPr>
              <w:keepNext/>
              <w:keepLines/>
              <w:overflowPunct/>
              <w:autoSpaceDE/>
              <w:autoSpaceDN/>
              <w:adjustRightInd/>
              <w:spacing w:before="0"/>
              <w:textAlignment w:val="auto"/>
              <w:rPr>
                <w:rFonts w:eastAsia="Times New Roman" w:cs="Arial"/>
                <w:b/>
                <w:bCs/>
                <w:color w:val="000000"/>
                <w:sz w:val="22"/>
                <w:szCs w:val="22"/>
                <w:lang w:val="en-US" w:eastAsia="zh-CN"/>
              </w:rPr>
            </w:pPr>
            <w:r w:rsidRPr="000C156A">
              <w:rPr>
                <w:rFonts w:hint="eastAsia"/>
                <w:b/>
                <w:sz w:val="22"/>
                <w:szCs w:val="22"/>
                <w:lang w:val="en-US" w:eastAsia="zh-CN"/>
              </w:rPr>
              <w:t>单位：千瑞郎</w:t>
            </w:r>
          </w:p>
        </w:tc>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71B51" w14:textId="77777777" w:rsidR="00B56A7B" w:rsidRPr="000C156A" w:rsidRDefault="00B56A7B" w:rsidP="00EC26EC">
            <w:pPr>
              <w:keepNext/>
              <w:keepLines/>
              <w:overflowPunct/>
              <w:autoSpaceDE/>
              <w:autoSpaceDN/>
              <w:adjustRightInd/>
              <w:spacing w:before="0"/>
              <w:jc w:val="right"/>
              <w:textAlignment w:val="auto"/>
              <w:rPr>
                <w:rFonts w:eastAsia="Times New Roman" w:cs="Arial"/>
                <w:b/>
                <w:bCs/>
                <w:color w:val="000000"/>
                <w:sz w:val="22"/>
                <w:szCs w:val="22"/>
                <w:lang w:val="en-US" w:eastAsia="zh-CN"/>
              </w:rPr>
            </w:pPr>
            <w:r>
              <w:rPr>
                <w:rFonts w:cs="Arial"/>
                <w:b/>
                <w:bCs/>
                <w:color w:val="000000"/>
                <w:sz w:val="22"/>
                <w:szCs w:val="22"/>
                <w:lang w:val="en-US" w:eastAsia="zh-CN"/>
              </w:rPr>
              <w:t>2021</w:t>
            </w:r>
            <w:r w:rsidRPr="000C156A">
              <w:rPr>
                <w:rFonts w:cs="Arial" w:hint="eastAsia"/>
                <w:b/>
                <w:bCs/>
                <w:color w:val="000000"/>
                <w:sz w:val="22"/>
                <w:szCs w:val="22"/>
                <w:lang w:val="en-US" w:eastAsia="zh-CN"/>
              </w:rPr>
              <w:t>年</w:t>
            </w:r>
          </w:p>
        </w:tc>
        <w:tc>
          <w:tcPr>
            <w:tcW w:w="1345" w:type="pct"/>
            <w:tcBorders>
              <w:top w:val="single" w:sz="4" w:space="0" w:color="auto"/>
              <w:left w:val="nil"/>
              <w:bottom w:val="single" w:sz="4" w:space="0" w:color="auto"/>
              <w:right w:val="single" w:sz="4" w:space="0" w:color="auto"/>
            </w:tcBorders>
            <w:shd w:val="clear" w:color="auto" w:fill="auto"/>
            <w:noWrap/>
            <w:vAlign w:val="center"/>
            <w:hideMark/>
          </w:tcPr>
          <w:p w14:paraId="5E4FAFDE" w14:textId="77777777" w:rsidR="00B56A7B" w:rsidRPr="000C156A" w:rsidRDefault="00B56A7B" w:rsidP="00EC26EC">
            <w:pPr>
              <w:keepNext/>
              <w:keepLines/>
              <w:overflowPunct/>
              <w:autoSpaceDE/>
              <w:autoSpaceDN/>
              <w:adjustRightInd/>
              <w:spacing w:before="0"/>
              <w:jc w:val="right"/>
              <w:textAlignment w:val="auto"/>
              <w:rPr>
                <w:rFonts w:eastAsia="Times New Roman" w:cs="Arial"/>
                <w:b/>
                <w:bCs/>
                <w:color w:val="000000"/>
                <w:sz w:val="22"/>
                <w:szCs w:val="22"/>
                <w:lang w:val="en-US" w:eastAsia="zh-CN"/>
              </w:rPr>
            </w:pPr>
            <w:r>
              <w:rPr>
                <w:rFonts w:cs="Arial"/>
                <w:b/>
                <w:bCs/>
                <w:color w:val="000000"/>
                <w:sz w:val="22"/>
                <w:szCs w:val="22"/>
                <w:lang w:val="en-US" w:eastAsia="zh-CN"/>
              </w:rPr>
              <w:t>2020</w:t>
            </w:r>
            <w:r w:rsidRPr="000C156A">
              <w:rPr>
                <w:rFonts w:cs="Arial" w:hint="eastAsia"/>
                <w:b/>
                <w:bCs/>
                <w:color w:val="000000"/>
                <w:sz w:val="22"/>
                <w:szCs w:val="22"/>
                <w:lang w:val="en-US" w:eastAsia="zh-CN"/>
              </w:rPr>
              <w:t>年</w:t>
            </w:r>
          </w:p>
        </w:tc>
      </w:tr>
      <w:tr w:rsidR="00B56A7B" w:rsidRPr="000C156A" w14:paraId="3210F26B" w14:textId="77777777" w:rsidTr="00CC47BD">
        <w:trPr>
          <w:trHeight w:val="300"/>
        </w:trPr>
        <w:tc>
          <w:tcPr>
            <w:tcW w:w="2312" w:type="pct"/>
            <w:gridSpan w:val="2"/>
            <w:tcBorders>
              <w:top w:val="nil"/>
              <w:left w:val="single" w:sz="4" w:space="0" w:color="auto"/>
              <w:bottom w:val="nil"/>
              <w:right w:val="nil"/>
            </w:tcBorders>
            <w:shd w:val="clear" w:color="auto" w:fill="auto"/>
            <w:noWrap/>
            <w:vAlign w:val="center"/>
            <w:hideMark/>
          </w:tcPr>
          <w:p w14:paraId="44C75DB4"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工资与津贴</w:t>
            </w:r>
          </w:p>
        </w:tc>
        <w:tc>
          <w:tcPr>
            <w:tcW w:w="1343" w:type="pct"/>
            <w:tcBorders>
              <w:top w:val="nil"/>
              <w:left w:val="single" w:sz="4" w:space="0" w:color="auto"/>
              <w:bottom w:val="nil"/>
              <w:right w:val="single" w:sz="4" w:space="0" w:color="auto"/>
            </w:tcBorders>
            <w:shd w:val="clear" w:color="auto" w:fill="auto"/>
            <w:noWrap/>
            <w:vAlign w:val="bottom"/>
            <w:hideMark/>
          </w:tcPr>
          <w:p w14:paraId="2F629C15" w14:textId="29429510"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sidRPr="007A1FBF">
              <w:rPr>
                <w:rFonts w:eastAsia="Times New Roman" w:cs="Arial"/>
                <w:color w:val="000000"/>
                <w:sz w:val="22"/>
                <w:szCs w:val="22"/>
                <w:lang w:eastAsia="zh-CN"/>
              </w:rPr>
              <w:t>98</w:t>
            </w:r>
            <w:r w:rsidR="00EC26EC">
              <w:rPr>
                <w:rFonts w:eastAsia="Times New Roman" w:cs="Arial"/>
                <w:color w:val="000000"/>
                <w:sz w:val="22"/>
                <w:szCs w:val="22"/>
                <w:lang w:eastAsia="zh-CN"/>
              </w:rPr>
              <w:t> </w:t>
            </w:r>
            <w:r w:rsidRPr="007A1FBF">
              <w:rPr>
                <w:rFonts w:eastAsia="Times New Roman" w:cs="Arial"/>
                <w:color w:val="000000"/>
                <w:sz w:val="22"/>
                <w:szCs w:val="22"/>
                <w:lang w:eastAsia="zh-CN"/>
              </w:rPr>
              <w:t>136</w:t>
            </w:r>
          </w:p>
        </w:tc>
        <w:tc>
          <w:tcPr>
            <w:tcW w:w="1345" w:type="pct"/>
            <w:tcBorders>
              <w:top w:val="nil"/>
              <w:left w:val="nil"/>
              <w:bottom w:val="nil"/>
              <w:right w:val="single" w:sz="4" w:space="0" w:color="auto"/>
            </w:tcBorders>
            <w:shd w:val="clear" w:color="auto" w:fill="auto"/>
            <w:noWrap/>
            <w:vAlign w:val="bottom"/>
            <w:hideMark/>
          </w:tcPr>
          <w:p w14:paraId="750A955C" w14:textId="6A6BC2AF" w:rsidR="00B56A7B" w:rsidRPr="000C156A" w:rsidRDefault="00B56A7B" w:rsidP="00EC26EC">
            <w:pPr>
              <w:keepNext/>
              <w:keepLines/>
              <w:overflowPunct/>
              <w:autoSpaceDE/>
              <w:autoSpaceDN/>
              <w:adjustRightInd/>
              <w:spacing w:before="0"/>
              <w:jc w:val="right"/>
              <w:textAlignment w:val="auto"/>
              <w:rPr>
                <w:rFonts w:eastAsia="Times New Roman" w:cs="Arial"/>
                <w:b/>
                <w:bCs/>
                <w:color w:val="000000"/>
                <w:sz w:val="22"/>
                <w:szCs w:val="22"/>
                <w:lang w:val="en-US" w:eastAsia="zh-CN"/>
              </w:rPr>
            </w:pPr>
            <w:r>
              <w:rPr>
                <w:rFonts w:cs="Arial"/>
                <w:color w:val="000000"/>
                <w:sz w:val="22"/>
                <w:szCs w:val="22"/>
                <w:lang w:val="en-US" w:eastAsia="zh-CN"/>
              </w:rPr>
              <w:t>95</w:t>
            </w:r>
            <w:r w:rsidR="00EC26EC">
              <w:rPr>
                <w:rFonts w:cs="Arial"/>
                <w:color w:val="000000"/>
                <w:sz w:val="22"/>
                <w:szCs w:val="22"/>
                <w:lang w:val="en-US" w:eastAsia="zh-CN"/>
              </w:rPr>
              <w:t> </w:t>
            </w:r>
            <w:r>
              <w:rPr>
                <w:rFonts w:cs="Arial"/>
                <w:color w:val="000000"/>
                <w:sz w:val="22"/>
                <w:szCs w:val="22"/>
                <w:lang w:val="en-US" w:eastAsia="zh-CN"/>
              </w:rPr>
              <w:t>278</w:t>
            </w:r>
          </w:p>
        </w:tc>
      </w:tr>
      <w:tr w:rsidR="00B56A7B" w:rsidRPr="000C156A" w14:paraId="272E09E7" w14:textId="77777777" w:rsidTr="00CC47BD">
        <w:trPr>
          <w:trHeight w:val="300"/>
        </w:trPr>
        <w:tc>
          <w:tcPr>
            <w:tcW w:w="2312" w:type="pct"/>
            <w:gridSpan w:val="2"/>
            <w:tcBorders>
              <w:top w:val="nil"/>
              <w:left w:val="single" w:sz="4" w:space="0" w:color="auto"/>
              <w:bottom w:val="nil"/>
              <w:right w:val="nil"/>
            </w:tcBorders>
            <w:shd w:val="clear" w:color="auto" w:fill="auto"/>
            <w:noWrap/>
            <w:vAlign w:val="center"/>
            <w:hideMark/>
          </w:tcPr>
          <w:p w14:paraId="4F30C06C"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其它人员费用</w:t>
            </w:r>
          </w:p>
        </w:tc>
        <w:tc>
          <w:tcPr>
            <w:tcW w:w="1343" w:type="pct"/>
            <w:tcBorders>
              <w:top w:val="nil"/>
              <w:left w:val="single" w:sz="4" w:space="0" w:color="auto"/>
              <w:bottom w:val="nil"/>
              <w:right w:val="single" w:sz="4" w:space="0" w:color="auto"/>
            </w:tcBorders>
            <w:shd w:val="clear" w:color="auto" w:fill="auto"/>
            <w:noWrap/>
            <w:vAlign w:val="bottom"/>
            <w:hideMark/>
          </w:tcPr>
          <w:p w14:paraId="1C52C900" w14:textId="23544662" w:rsidR="00B56A7B" w:rsidRPr="000C156A" w:rsidRDefault="00B56A7B" w:rsidP="00EC26EC">
            <w:pPr>
              <w:keepNext/>
              <w:keepLines/>
              <w:overflowPunct/>
              <w:autoSpaceDE/>
              <w:autoSpaceDN/>
              <w:adjustRightInd/>
              <w:spacing w:before="0"/>
              <w:jc w:val="right"/>
              <w:textAlignment w:val="auto"/>
              <w:rPr>
                <w:rFonts w:eastAsia="Times New Roman" w:cs="Arial"/>
                <w:b/>
                <w:bCs/>
                <w:color w:val="000000"/>
                <w:sz w:val="22"/>
                <w:szCs w:val="22"/>
                <w:lang w:val="en-US" w:eastAsia="zh-CN"/>
              </w:rPr>
            </w:pPr>
            <w:r w:rsidRPr="007A1FBF">
              <w:rPr>
                <w:rFonts w:eastAsia="Times New Roman" w:cs="Arial"/>
                <w:b/>
                <w:bCs/>
                <w:color w:val="000000"/>
                <w:sz w:val="22"/>
                <w:szCs w:val="22"/>
                <w:lang w:eastAsia="zh-CN"/>
              </w:rPr>
              <w:t>52</w:t>
            </w:r>
            <w:r w:rsidR="00EC26EC">
              <w:rPr>
                <w:rFonts w:eastAsia="Times New Roman" w:cs="Arial"/>
                <w:b/>
                <w:bCs/>
                <w:color w:val="000000"/>
                <w:sz w:val="22"/>
                <w:szCs w:val="22"/>
                <w:lang w:eastAsia="zh-CN"/>
              </w:rPr>
              <w:t> </w:t>
            </w:r>
            <w:r w:rsidRPr="007A1FBF">
              <w:rPr>
                <w:rFonts w:eastAsia="Times New Roman" w:cs="Arial"/>
                <w:b/>
                <w:bCs/>
                <w:color w:val="000000"/>
                <w:sz w:val="22"/>
                <w:szCs w:val="22"/>
                <w:lang w:eastAsia="zh-CN"/>
              </w:rPr>
              <w:t>281</w:t>
            </w:r>
          </w:p>
        </w:tc>
        <w:tc>
          <w:tcPr>
            <w:tcW w:w="1345" w:type="pct"/>
            <w:tcBorders>
              <w:top w:val="nil"/>
              <w:left w:val="nil"/>
              <w:bottom w:val="nil"/>
              <w:right w:val="single" w:sz="4" w:space="0" w:color="auto"/>
            </w:tcBorders>
            <w:shd w:val="clear" w:color="auto" w:fill="auto"/>
            <w:noWrap/>
            <w:vAlign w:val="bottom"/>
            <w:hideMark/>
          </w:tcPr>
          <w:p w14:paraId="2EF5CFB4" w14:textId="37EECB80" w:rsidR="00B56A7B" w:rsidRPr="000C156A" w:rsidRDefault="00B56A7B" w:rsidP="00EC26EC">
            <w:pPr>
              <w:keepNext/>
              <w:keepLines/>
              <w:overflowPunct/>
              <w:autoSpaceDE/>
              <w:autoSpaceDN/>
              <w:adjustRightInd/>
              <w:spacing w:before="0"/>
              <w:jc w:val="right"/>
              <w:textAlignment w:val="auto"/>
              <w:rPr>
                <w:rFonts w:eastAsia="Times New Roman" w:cs="Arial"/>
                <w:b/>
                <w:bCs/>
                <w:color w:val="000000"/>
                <w:sz w:val="22"/>
                <w:szCs w:val="22"/>
                <w:lang w:val="en-US" w:eastAsia="zh-CN"/>
              </w:rPr>
            </w:pPr>
            <w:r>
              <w:rPr>
                <w:rFonts w:cs="Arial"/>
                <w:b/>
                <w:bCs/>
                <w:color w:val="000000"/>
                <w:sz w:val="22"/>
                <w:szCs w:val="22"/>
                <w:lang w:val="en-US" w:eastAsia="zh-CN"/>
              </w:rPr>
              <w:t>58</w:t>
            </w:r>
            <w:r w:rsidR="00EC26EC">
              <w:rPr>
                <w:rFonts w:cs="Arial"/>
                <w:b/>
                <w:bCs/>
                <w:color w:val="000000"/>
                <w:sz w:val="22"/>
                <w:szCs w:val="22"/>
                <w:lang w:val="en-US" w:eastAsia="zh-CN"/>
              </w:rPr>
              <w:t> </w:t>
            </w:r>
            <w:r>
              <w:rPr>
                <w:rFonts w:cs="Arial"/>
                <w:b/>
                <w:bCs/>
                <w:color w:val="000000"/>
                <w:sz w:val="22"/>
                <w:szCs w:val="22"/>
                <w:lang w:val="en-US" w:eastAsia="zh-CN"/>
              </w:rPr>
              <w:t>547</w:t>
            </w:r>
          </w:p>
        </w:tc>
      </w:tr>
      <w:tr w:rsidR="00B56A7B" w:rsidRPr="000C156A" w14:paraId="023ABBEB" w14:textId="77777777" w:rsidTr="00CC47BD">
        <w:trPr>
          <w:trHeight w:val="300"/>
        </w:trPr>
        <w:tc>
          <w:tcPr>
            <w:tcW w:w="138" w:type="pct"/>
            <w:tcBorders>
              <w:top w:val="nil"/>
              <w:left w:val="single" w:sz="4" w:space="0" w:color="auto"/>
              <w:bottom w:val="nil"/>
              <w:right w:val="nil"/>
            </w:tcBorders>
            <w:shd w:val="clear" w:color="auto" w:fill="auto"/>
            <w:noWrap/>
            <w:vAlign w:val="bottom"/>
            <w:hideMark/>
          </w:tcPr>
          <w:p w14:paraId="2C3EB0C5"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14:paraId="7C1044D6"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安家和离任归国津贴</w:t>
            </w:r>
          </w:p>
        </w:tc>
        <w:tc>
          <w:tcPr>
            <w:tcW w:w="1343" w:type="pct"/>
            <w:tcBorders>
              <w:top w:val="nil"/>
              <w:left w:val="single" w:sz="4" w:space="0" w:color="auto"/>
              <w:bottom w:val="nil"/>
              <w:right w:val="single" w:sz="4" w:space="0" w:color="auto"/>
            </w:tcBorders>
            <w:shd w:val="clear" w:color="auto" w:fill="auto"/>
            <w:noWrap/>
            <w:vAlign w:val="center"/>
            <w:hideMark/>
          </w:tcPr>
          <w:p w14:paraId="172DCCB1" w14:textId="62D32011"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sidRPr="007A1FBF">
              <w:rPr>
                <w:rFonts w:cs="Calibri"/>
                <w:color w:val="000000"/>
                <w:sz w:val="22"/>
                <w:szCs w:val="22"/>
              </w:rPr>
              <w:t>2</w:t>
            </w:r>
            <w:r w:rsidR="00EC26EC">
              <w:rPr>
                <w:rFonts w:cs="Calibri"/>
                <w:color w:val="000000"/>
                <w:sz w:val="22"/>
                <w:szCs w:val="22"/>
              </w:rPr>
              <w:t> </w:t>
            </w:r>
            <w:r w:rsidRPr="007A1FBF">
              <w:rPr>
                <w:rFonts w:cs="Calibri"/>
                <w:color w:val="000000"/>
                <w:sz w:val="22"/>
                <w:szCs w:val="22"/>
              </w:rPr>
              <w:t>005</w:t>
            </w:r>
          </w:p>
        </w:tc>
        <w:tc>
          <w:tcPr>
            <w:tcW w:w="1345" w:type="pct"/>
            <w:tcBorders>
              <w:top w:val="nil"/>
              <w:left w:val="nil"/>
              <w:bottom w:val="nil"/>
              <w:right w:val="single" w:sz="4" w:space="0" w:color="auto"/>
            </w:tcBorders>
            <w:shd w:val="clear" w:color="auto" w:fill="auto"/>
            <w:noWrap/>
            <w:vAlign w:val="center"/>
            <w:hideMark/>
          </w:tcPr>
          <w:p w14:paraId="53125B05" w14:textId="77777777"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Pr>
                <w:rFonts w:cs="Calibri"/>
                <w:color w:val="000000"/>
                <w:sz w:val="22"/>
                <w:szCs w:val="22"/>
              </w:rPr>
              <w:t>567</w:t>
            </w:r>
          </w:p>
        </w:tc>
      </w:tr>
      <w:tr w:rsidR="00B56A7B" w:rsidRPr="000C156A" w14:paraId="38CF9FED" w14:textId="77777777" w:rsidTr="00CC47BD">
        <w:trPr>
          <w:trHeight w:val="300"/>
        </w:trPr>
        <w:tc>
          <w:tcPr>
            <w:tcW w:w="138" w:type="pct"/>
            <w:tcBorders>
              <w:top w:val="nil"/>
              <w:left w:val="single" w:sz="4" w:space="0" w:color="auto"/>
              <w:bottom w:val="nil"/>
              <w:right w:val="nil"/>
            </w:tcBorders>
            <w:shd w:val="clear" w:color="auto" w:fill="auto"/>
            <w:noWrap/>
            <w:vAlign w:val="bottom"/>
            <w:hideMark/>
          </w:tcPr>
          <w:p w14:paraId="2247C578"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14:paraId="366F4EAF"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教育补助金</w:t>
            </w:r>
          </w:p>
        </w:tc>
        <w:tc>
          <w:tcPr>
            <w:tcW w:w="1343" w:type="pct"/>
            <w:tcBorders>
              <w:top w:val="nil"/>
              <w:left w:val="single" w:sz="4" w:space="0" w:color="auto"/>
              <w:bottom w:val="nil"/>
              <w:right w:val="single" w:sz="4" w:space="0" w:color="auto"/>
            </w:tcBorders>
            <w:shd w:val="clear" w:color="auto" w:fill="auto"/>
            <w:noWrap/>
            <w:vAlign w:val="center"/>
            <w:hideMark/>
          </w:tcPr>
          <w:p w14:paraId="672A61FE" w14:textId="13F62209"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sidRPr="007A1FBF">
              <w:rPr>
                <w:rFonts w:cs="Calibri"/>
                <w:color w:val="000000"/>
                <w:sz w:val="22"/>
                <w:szCs w:val="22"/>
              </w:rPr>
              <w:t>3</w:t>
            </w:r>
            <w:r w:rsidR="00EC26EC">
              <w:rPr>
                <w:rFonts w:cs="Calibri"/>
                <w:color w:val="000000"/>
                <w:sz w:val="22"/>
                <w:szCs w:val="22"/>
              </w:rPr>
              <w:t> </w:t>
            </w:r>
            <w:r w:rsidRPr="007A1FBF">
              <w:rPr>
                <w:rFonts w:cs="Calibri"/>
                <w:color w:val="000000"/>
                <w:sz w:val="22"/>
                <w:szCs w:val="22"/>
              </w:rPr>
              <w:t>576</w:t>
            </w:r>
          </w:p>
        </w:tc>
        <w:tc>
          <w:tcPr>
            <w:tcW w:w="1345" w:type="pct"/>
            <w:tcBorders>
              <w:top w:val="nil"/>
              <w:left w:val="nil"/>
              <w:bottom w:val="nil"/>
              <w:right w:val="single" w:sz="4" w:space="0" w:color="auto"/>
            </w:tcBorders>
            <w:shd w:val="clear" w:color="auto" w:fill="auto"/>
            <w:noWrap/>
            <w:vAlign w:val="center"/>
            <w:hideMark/>
          </w:tcPr>
          <w:p w14:paraId="5FFE45FB" w14:textId="77777777"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Pr>
                <w:rFonts w:cs="Calibri"/>
                <w:color w:val="000000"/>
                <w:sz w:val="22"/>
                <w:szCs w:val="22"/>
              </w:rPr>
              <w:t>3,300</w:t>
            </w:r>
          </w:p>
        </w:tc>
      </w:tr>
      <w:tr w:rsidR="00B56A7B" w:rsidRPr="000C156A" w14:paraId="0EE2A9B8" w14:textId="77777777" w:rsidTr="00CC47BD">
        <w:trPr>
          <w:trHeight w:val="300"/>
        </w:trPr>
        <w:tc>
          <w:tcPr>
            <w:tcW w:w="138" w:type="pct"/>
            <w:tcBorders>
              <w:top w:val="nil"/>
              <w:left w:val="single" w:sz="4" w:space="0" w:color="auto"/>
              <w:bottom w:val="nil"/>
              <w:right w:val="nil"/>
            </w:tcBorders>
            <w:shd w:val="clear" w:color="auto" w:fill="auto"/>
            <w:noWrap/>
            <w:vAlign w:val="bottom"/>
            <w:hideMark/>
          </w:tcPr>
          <w:p w14:paraId="1037169A"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14:paraId="2C6ABAB5"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归国探亲旅费</w:t>
            </w:r>
          </w:p>
        </w:tc>
        <w:tc>
          <w:tcPr>
            <w:tcW w:w="1343" w:type="pct"/>
            <w:tcBorders>
              <w:top w:val="nil"/>
              <w:left w:val="single" w:sz="4" w:space="0" w:color="auto"/>
              <w:bottom w:val="nil"/>
              <w:right w:val="single" w:sz="4" w:space="0" w:color="auto"/>
            </w:tcBorders>
            <w:shd w:val="clear" w:color="auto" w:fill="auto"/>
            <w:noWrap/>
            <w:vAlign w:val="center"/>
            <w:hideMark/>
          </w:tcPr>
          <w:p w14:paraId="15898467" w14:textId="77777777"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sidRPr="007A1FBF">
              <w:rPr>
                <w:rFonts w:cs="Calibri"/>
                <w:color w:val="000000"/>
                <w:sz w:val="22"/>
                <w:szCs w:val="22"/>
              </w:rPr>
              <w:t>805</w:t>
            </w:r>
          </w:p>
        </w:tc>
        <w:tc>
          <w:tcPr>
            <w:tcW w:w="1345" w:type="pct"/>
            <w:tcBorders>
              <w:top w:val="nil"/>
              <w:left w:val="nil"/>
              <w:bottom w:val="nil"/>
              <w:right w:val="single" w:sz="4" w:space="0" w:color="auto"/>
            </w:tcBorders>
            <w:shd w:val="clear" w:color="auto" w:fill="auto"/>
            <w:noWrap/>
            <w:vAlign w:val="center"/>
            <w:hideMark/>
          </w:tcPr>
          <w:p w14:paraId="57A9244E" w14:textId="77777777"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Pr>
                <w:rFonts w:cs="Calibri"/>
                <w:color w:val="000000"/>
                <w:sz w:val="22"/>
                <w:szCs w:val="22"/>
              </w:rPr>
              <w:t>984</w:t>
            </w:r>
          </w:p>
        </w:tc>
      </w:tr>
      <w:tr w:rsidR="00B56A7B" w:rsidRPr="000C156A" w14:paraId="0E6BB043" w14:textId="77777777" w:rsidTr="00CC47BD">
        <w:trPr>
          <w:trHeight w:val="300"/>
        </w:trPr>
        <w:tc>
          <w:tcPr>
            <w:tcW w:w="138" w:type="pct"/>
            <w:tcBorders>
              <w:top w:val="nil"/>
              <w:left w:val="single" w:sz="4" w:space="0" w:color="auto"/>
              <w:bottom w:val="nil"/>
              <w:right w:val="nil"/>
            </w:tcBorders>
            <w:shd w:val="clear" w:color="auto" w:fill="auto"/>
            <w:noWrap/>
            <w:vAlign w:val="bottom"/>
            <w:hideMark/>
          </w:tcPr>
          <w:p w14:paraId="2895A21B"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14:paraId="0F78AA5F"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积存年假</w:t>
            </w:r>
          </w:p>
        </w:tc>
        <w:tc>
          <w:tcPr>
            <w:tcW w:w="1343" w:type="pct"/>
            <w:tcBorders>
              <w:top w:val="nil"/>
              <w:left w:val="single" w:sz="4" w:space="0" w:color="auto"/>
              <w:bottom w:val="nil"/>
              <w:right w:val="single" w:sz="4" w:space="0" w:color="auto"/>
            </w:tcBorders>
            <w:shd w:val="clear" w:color="auto" w:fill="auto"/>
            <w:noWrap/>
            <w:vAlign w:val="center"/>
            <w:hideMark/>
          </w:tcPr>
          <w:p w14:paraId="232CB9B5" w14:textId="47B3F00E"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sidRPr="007A1FBF">
              <w:rPr>
                <w:rFonts w:cs="Calibri"/>
                <w:color w:val="000000"/>
                <w:sz w:val="22"/>
                <w:szCs w:val="22"/>
              </w:rPr>
              <w:t>1</w:t>
            </w:r>
            <w:r w:rsidR="00EC26EC">
              <w:rPr>
                <w:rFonts w:cs="Calibri"/>
                <w:color w:val="000000"/>
                <w:sz w:val="22"/>
                <w:szCs w:val="22"/>
              </w:rPr>
              <w:t> </w:t>
            </w:r>
            <w:r w:rsidRPr="007A1FBF">
              <w:rPr>
                <w:rFonts w:cs="Calibri"/>
                <w:color w:val="000000"/>
                <w:sz w:val="22"/>
                <w:szCs w:val="22"/>
              </w:rPr>
              <w:t>007</w:t>
            </w:r>
          </w:p>
        </w:tc>
        <w:tc>
          <w:tcPr>
            <w:tcW w:w="1345" w:type="pct"/>
            <w:tcBorders>
              <w:top w:val="nil"/>
              <w:left w:val="nil"/>
              <w:bottom w:val="nil"/>
              <w:right w:val="single" w:sz="4" w:space="0" w:color="auto"/>
            </w:tcBorders>
            <w:shd w:val="clear" w:color="auto" w:fill="auto"/>
            <w:noWrap/>
            <w:vAlign w:val="center"/>
            <w:hideMark/>
          </w:tcPr>
          <w:p w14:paraId="05DD1B44" w14:textId="77777777"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Pr>
                <w:rFonts w:cs="Calibri"/>
                <w:color w:val="000000"/>
                <w:sz w:val="22"/>
                <w:szCs w:val="22"/>
              </w:rPr>
              <w:t>2,997</w:t>
            </w:r>
          </w:p>
        </w:tc>
      </w:tr>
      <w:tr w:rsidR="00B56A7B" w:rsidRPr="000C156A" w14:paraId="3E594D1C" w14:textId="77777777" w:rsidTr="00CC47BD">
        <w:trPr>
          <w:trHeight w:val="300"/>
        </w:trPr>
        <w:tc>
          <w:tcPr>
            <w:tcW w:w="138" w:type="pct"/>
            <w:tcBorders>
              <w:top w:val="nil"/>
              <w:left w:val="single" w:sz="4" w:space="0" w:color="auto"/>
              <w:bottom w:val="nil"/>
              <w:right w:val="nil"/>
            </w:tcBorders>
            <w:shd w:val="clear" w:color="auto" w:fill="auto"/>
            <w:noWrap/>
            <w:vAlign w:val="bottom"/>
            <w:hideMark/>
          </w:tcPr>
          <w:p w14:paraId="5455A26D"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14:paraId="74451041"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医疗保险和意外保险</w:t>
            </w:r>
          </w:p>
        </w:tc>
        <w:tc>
          <w:tcPr>
            <w:tcW w:w="1343" w:type="pct"/>
            <w:tcBorders>
              <w:top w:val="nil"/>
              <w:left w:val="single" w:sz="4" w:space="0" w:color="auto"/>
              <w:bottom w:val="nil"/>
              <w:right w:val="single" w:sz="4" w:space="0" w:color="auto"/>
            </w:tcBorders>
            <w:shd w:val="clear" w:color="auto" w:fill="auto"/>
            <w:noWrap/>
            <w:vAlign w:val="center"/>
            <w:hideMark/>
          </w:tcPr>
          <w:p w14:paraId="188D7398" w14:textId="5F09CCDA"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sidRPr="007A1FBF">
              <w:rPr>
                <w:rFonts w:cs="Calibri"/>
                <w:color w:val="000000"/>
                <w:sz w:val="22"/>
                <w:szCs w:val="22"/>
              </w:rPr>
              <w:t>9</w:t>
            </w:r>
            <w:r w:rsidR="00EC26EC">
              <w:rPr>
                <w:rFonts w:cs="Calibri"/>
                <w:color w:val="000000"/>
                <w:sz w:val="22"/>
                <w:szCs w:val="22"/>
              </w:rPr>
              <w:t> </w:t>
            </w:r>
            <w:r w:rsidRPr="007A1FBF">
              <w:rPr>
                <w:rFonts w:cs="Calibri"/>
                <w:color w:val="000000"/>
                <w:sz w:val="22"/>
                <w:szCs w:val="22"/>
              </w:rPr>
              <w:t>670</w:t>
            </w:r>
          </w:p>
        </w:tc>
        <w:tc>
          <w:tcPr>
            <w:tcW w:w="1345" w:type="pct"/>
            <w:tcBorders>
              <w:top w:val="nil"/>
              <w:left w:val="nil"/>
              <w:bottom w:val="nil"/>
              <w:right w:val="single" w:sz="4" w:space="0" w:color="auto"/>
            </w:tcBorders>
            <w:shd w:val="clear" w:color="auto" w:fill="auto"/>
            <w:noWrap/>
            <w:vAlign w:val="center"/>
            <w:hideMark/>
          </w:tcPr>
          <w:p w14:paraId="059849F1" w14:textId="77777777"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Pr>
                <w:rFonts w:cs="Calibri"/>
                <w:color w:val="000000"/>
                <w:sz w:val="22"/>
                <w:szCs w:val="22"/>
              </w:rPr>
              <w:t>9,453</w:t>
            </w:r>
          </w:p>
        </w:tc>
      </w:tr>
      <w:tr w:rsidR="00B56A7B" w:rsidRPr="000C156A" w14:paraId="4CE91BEA" w14:textId="77777777" w:rsidTr="00CC47BD">
        <w:trPr>
          <w:trHeight w:val="300"/>
        </w:trPr>
        <w:tc>
          <w:tcPr>
            <w:tcW w:w="138" w:type="pct"/>
            <w:tcBorders>
              <w:top w:val="nil"/>
              <w:left w:val="single" w:sz="4" w:space="0" w:color="auto"/>
              <w:bottom w:val="nil"/>
              <w:right w:val="nil"/>
            </w:tcBorders>
            <w:shd w:val="clear" w:color="auto" w:fill="auto"/>
            <w:noWrap/>
            <w:vAlign w:val="bottom"/>
            <w:hideMark/>
          </w:tcPr>
          <w:p w14:paraId="02F00B9C"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14:paraId="4DFA0A61"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联合国合办职员养恤基金（</w:t>
            </w:r>
            <w:r w:rsidRPr="000C156A">
              <w:rPr>
                <w:bCs/>
                <w:sz w:val="22"/>
                <w:szCs w:val="22"/>
                <w:lang w:val="en-US" w:eastAsia="zh-CN"/>
              </w:rPr>
              <w:t>UNJSPF</w:t>
            </w:r>
            <w:r w:rsidRPr="000C156A">
              <w:rPr>
                <w:rFonts w:hint="eastAsia"/>
                <w:bCs/>
                <w:sz w:val="22"/>
                <w:szCs w:val="22"/>
                <w:lang w:val="en-US" w:eastAsia="zh-CN"/>
              </w:rPr>
              <w:t>）出资</w:t>
            </w:r>
          </w:p>
        </w:tc>
        <w:tc>
          <w:tcPr>
            <w:tcW w:w="1343" w:type="pct"/>
            <w:tcBorders>
              <w:top w:val="nil"/>
              <w:left w:val="single" w:sz="4" w:space="0" w:color="auto"/>
              <w:bottom w:val="nil"/>
              <w:right w:val="single" w:sz="4" w:space="0" w:color="auto"/>
            </w:tcBorders>
            <w:shd w:val="clear" w:color="auto" w:fill="auto"/>
            <w:noWrap/>
            <w:vAlign w:val="center"/>
            <w:hideMark/>
          </w:tcPr>
          <w:p w14:paraId="0C6D199D" w14:textId="4A8BA8FA"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sidRPr="007A1FBF">
              <w:rPr>
                <w:rFonts w:cs="Calibri"/>
                <w:color w:val="000000"/>
                <w:sz w:val="22"/>
                <w:szCs w:val="22"/>
              </w:rPr>
              <w:t>17</w:t>
            </w:r>
            <w:r w:rsidR="00EC26EC">
              <w:rPr>
                <w:rFonts w:cs="Calibri"/>
                <w:color w:val="000000"/>
                <w:sz w:val="22"/>
                <w:szCs w:val="22"/>
              </w:rPr>
              <w:t> </w:t>
            </w:r>
            <w:r w:rsidRPr="007A1FBF">
              <w:rPr>
                <w:rFonts w:cs="Calibri"/>
                <w:color w:val="000000"/>
                <w:sz w:val="22"/>
                <w:szCs w:val="22"/>
              </w:rPr>
              <w:t>631</w:t>
            </w:r>
          </w:p>
        </w:tc>
        <w:tc>
          <w:tcPr>
            <w:tcW w:w="1345" w:type="pct"/>
            <w:tcBorders>
              <w:top w:val="nil"/>
              <w:left w:val="nil"/>
              <w:bottom w:val="nil"/>
              <w:right w:val="single" w:sz="4" w:space="0" w:color="auto"/>
            </w:tcBorders>
            <w:shd w:val="clear" w:color="auto" w:fill="auto"/>
            <w:noWrap/>
            <w:vAlign w:val="center"/>
            <w:hideMark/>
          </w:tcPr>
          <w:p w14:paraId="507C5581" w14:textId="77777777"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Pr>
                <w:rFonts w:cs="Calibri"/>
                <w:color w:val="000000"/>
                <w:sz w:val="22"/>
                <w:szCs w:val="22"/>
              </w:rPr>
              <w:t>17,186</w:t>
            </w:r>
          </w:p>
        </w:tc>
      </w:tr>
      <w:tr w:rsidR="00B56A7B" w:rsidRPr="000C156A" w14:paraId="321C4865" w14:textId="77777777" w:rsidTr="00CC47BD">
        <w:trPr>
          <w:trHeight w:val="300"/>
        </w:trPr>
        <w:tc>
          <w:tcPr>
            <w:tcW w:w="138" w:type="pct"/>
            <w:tcBorders>
              <w:top w:val="nil"/>
              <w:left w:val="single" w:sz="4" w:space="0" w:color="auto"/>
              <w:bottom w:val="nil"/>
              <w:right w:val="nil"/>
            </w:tcBorders>
            <w:shd w:val="clear" w:color="auto" w:fill="auto"/>
            <w:noWrap/>
            <w:vAlign w:val="bottom"/>
            <w:hideMark/>
          </w:tcPr>
          <w:p w14:paraId="25E0C8FC"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14:paraId="3B8B3161"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其它费用</w:t>
            </w:r>
          </w:p>
        </w:tc>
        <w:tc>
          <w:tcPr>
            <w:tcW w:w="1343" w:type="pct"/>
            <w:tcBorders>
              <w:top w:val="nil"/>
              <w:left w:val="single" w:sz="4" w:space="0" w:color="auto"/>
              <w:bottom w:val="nil"/>
              <w:right w:val="single" w:sz="4" w:space="0" w:color="auto"/>
            </w:tcBorders>
            <w:shd w:val="clear" w:color="auto" w:fill="auto"/>
            <w:noWrap/>
            <w:vAlign w:val="center"/>
            <w:hideMark/>
          </w:tcPr>
          <w:p w14:paraId="65F23B2A" w14:textId="77777777"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sidRPr="007A1FBF">
              <w:rPr>
                <w:rFonts w:cs="Calibri"/>
                <w:color w:val="000000"/>
                <w:sz w:val="22"/>
                <w:szCs w:val="22"/>
              </w:rPr>
              <w:t>322</w:t>
            </w:r>
          </w:p>
        </w:tc>
        <w:tc>
          <w:tcPr>
            <w:tcW w:w="1345" w:type="pct"/>
            <w:tcBorders>
              <w:top w:val="nil"/>
              <w:left w:val="nil"/>
              <w:bottom w:val="nil"/>
              <w:right w:val="single" w:sz="4" w:space="0" w:color="auto"/>
            </w:tcBorders>
            <w:shd w:val="clear" w:color="auto" w:fill="auto"/>
            <w:noWrap/>
            <w:vAlign w:val="center"/>
            <w:hideMark/>
          </w:tcPr>
          <w:p w14:paraId="18D4ADCD" w14:textId="77777777"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Pr>
                <w:rFonts w:cs="Calibri"/>
                <w:color w:val="000000"/>
                <w:sz w:val="22"/>
                <w:szCs w:val="22"/>
              </w:rPr>
              <w:t>1,271</w:t>
            </w:r>
          </w:p>
        </w:tc>
      </w:tr>
      <w:tr w:rsidR="00B56A7B" w:rsidRPr="000C156A" w14:paraId="1A26BBF7" w14:textId="77777777" w:rsidTr="00CC47BD">
        <w:trPr>
          <w:trHeight w:val="300"/>
        </w:trPr>
        <w:tc>
          <w:tcPr>
            <w:tcW w:w="138" w:type="pct"/>
            <w:tcBorders>
              <w:top w:val="nil"/>
              <w:left w:val="single" w:sz="4" w:space="0" w:color="auto"/>
              <w:bottom w:val="nil"/>
              <w:right w:val="nil"/>
            </w:tcBorders>
            <w:shd w:val="clear" w:color="auto" w:fill="auto"/>
            <w:noWrap/>
            <w:vAlign w:val="bottom"/>
            <w:hideMark/>
          </w:tcPr>
          <w:p w14:paraId="02122A01"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eastAsia="Times New Roman"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14:paraId="0DE21DA4" w14:textId="77777777" w:rsidR="00B56A7B" w:rsidRPr="000C156A" w:rsidRDefault="00B56A7B" w:rsidP="00EC26EC">
            <w:pPr>
              <w:keepNext/>
              <w:keepLines/>
              <w:overflowPunct/>
              <w:autoSpaceDE/>
              <w:autoSpaceDN/>
              <w:adjustRightInd/>
              <w:spacing w:before="0"/>
              <w:textAlignment w:val="auto"/>
              <w:rPr>
                <w:rFonts w:eastAsia="Times New Roman" w:cs="Arial"/>
                <w:color w:val="000000"/>
                <w:sz w:val="22"/>
                <w:szCs w:val="22"/>
                <w:lang w:val="en-US" w:eastAsia="zh-CN"/>
              </w:rPr>
            </w:pPr>
            <w:r w:rsidRPr="000C156A">
              <w:rPr>
                <w:rFonts w:hint="eastAsia"/>
                <w:bCs/>
                <w:sz w:val="22"/>
                <w:szCs w:val="22"/>
                <w:lang w:val="en-US" w:eastAsia="zh-CN"/>
              </w:rPr>
              <w:t>离职后健康保险基金（</w:t>
            </w:r>
            <w:r w:rsidRPr="000C156A">
              <w:rPr>
                <w:bCs/>
                <w:sz w:val="22"/>
                <w:szCs w:val="22"/>
                <w:lang w:val="en-US" w:eastAsia="zh-CN"/>
              </w:rPr>
              <w:t>ASHI</w:t>
            </w:r>
            <w:r w:rsidRPr="000C156A">
              <w:rPr>
                <w:rFonts w:hint="eastAsia"/>
                <w:bCs/>
                <w:sz w:val="22"/>
                <w:szCs w:val="22"/>
                <w:lang w:val="en-US" w:eastAsia="zh-CN"/>
              </w:rPr>
              <w:t>）调整</w:t>
            </w:r>
          </w:p>
        </w:tc>
        <w:tc>
          <w:tcPr>
            <w:tcW w:w="1343" w:type="pct"/>
            <w:tcBorders>
              <w:top w:val="nil"/>
              <w:left w:val="single" w:sz="4" w:space="0" w:color="auto"/>
              <w:bottom w:val="nil"/>
              <w:right w:val="single" w:sz="4" w:space="0" w:color="auto"/>
            </w:tcBorders>
            <w:shd w:val="clear" w:color="auto" w:fill="auto"/>
            <w:noWrap/>
            <w:vAlign w:val="center"/>
            <w:hideMark/>
          </w:tcPr>
          <w:p w14:paraId="3697D5AD" w14:textId="6E1BE727"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sidRPr="007A1FBF">
              <w:rPr>
                <w:rFonts w:cs="Calibri"/>
                <w:color w:val="000000"/>
                <w:sz w:val="22"/>
                <w:szCs w:val="22"/>
              </w:rPr>
              <w:t>17</w:t>
            </w:r>
            <w:r w:rsidR="00EC26EC">
              <w:rPr>
                <w:rFonts w:cs="Calibri"/>
                <w:color w:val="000000"/>
                <w:sz w:val="22"/>
                <w:szCs w:val="22"/>
              </w:rPr>
              <w:t> </w:t>
            </w:r>
            <w:r w:rsidRPr="007A1FBF">
              <w:rPr>
                <w:rFonts w:cs="Calibri"/>
                <w:color w:val="000000"/>
                <w:sz w:val="22"/>
                <w:szCs w:val="22"/>
              </w:rPr>
              <w:t>265</w:t>
            </w:r>
          </w:p>
        </w:tc>
        <w:tc>
          <w:tcPr>
            <w:tcW w:w="1345" w:type="pct"/>
            <w:tcBorders>
              <w:top w:val="nil"/>
              <w:left w:val="nil"/>
              <w:bottom w:val="nil"/>
              <w:right w:val="single" w:sz="4" w:space="0" w:color="auto"/>
            </w:tcBorders>
            <w:shd w:val="clear" w:color="auto" w:fill="auto"/>
            <w:noWrap/>
            <w:vAlign w:val="center"/>
            <w:hideMark/>
          </w:tcPr>
          <w:p w14:paraId="79ED280F" w14:textId="77777777" w:rsidR="00B56A7B" w:rsidRPr="000C156A" w:rsidRDefault="00B56A7B" w:rsidP="00EC26EC">
            <w:pPr>
              <w:keepNext/>
              <w:keepLines/>
              <w:overflowPunct/>
              <w:autoSpaceDE/>
              <w:autoSpaceDN/>
              <w:adjustRightInd/>
              <w:spacing w:before="0"/>
              <w:jc w:val="right"/>
              <w:textAlignment w:val="auto"/>
              <w:rPr>
                <w:rFonts w:eastAsia="Times New Roman" w:cs="Arial"/>
                <w:color w:val="000000"/>
                <w:sz w:val="22"/>
                <w:szCs w:val="22"/>
                <w:lang w:val="en-US" w:eastAsia="zh-CN"/>
              </w:rPr>
            </w:pPr>
            <w:r>
              <w:rPr>
                <w:rFonts w:cs="Calibri"/>
                <w:color w:val="000000"/>
                <w:sz w:val="22"/>
                <w:szCs w:val="22"/>
              </w:rPr>
              <w:t>22,789</w:t>
            </w:r>
          </w:p>
        </w:tc>
      </w:tr>
      <w:tr w:rsidR="00B56A7B" w:rsidRPr="000C156A" w14:paraId="7DFA91AC" w14:textId="77777777" w:rsidTr="00CC47BD">
        <w:trPr>
          <w:trHeight w:val="300"/>
        </w:trPr>
        <w:tc>
          <w:tcPr>
            <w:tcW w:w="2312" w:type="pct"/>
            <w:gridSpan w:val="2"/>
            <w:tcBorders>
              <w:top w:val="single" w:sz="4" w:space="0" w:color="auto"/>
              <w:left w:val="single" w:sz="4" w:space="0" w:color="auto"/>
              <w:bottom w:val="single" w:sz="4" w:space="0" w:color="auto"/>
              <w:right w:val="nil"/>
            </w:tcBorders>
            <w:shd w:val="clear" w:color="auto" w:fill="auto"/>
            <w:noWrap/>
            <w:vAlign w:val="center"/>
            <w:hideMark/>
          </w:tcPr>
          <w:p w14:paraId="5B05B797" w14:textId="77777777" w:rsidR="00B56A7B" w:rsidRPr="000C156A" w:rsidRDefault="00B56A7B" w:rsidP="00EC26EC">
            <w:pPr>
              <w:keepNext/>
              <w:keepLines/>
              <w:overflowPunct/>
              <w:autoSpaceDE/>
              <w:autoSpaceDN/>
              <w:adjustRightInd/>
              <w:spacing w:before="0"/>
              <w:textAlignment w:val="auto"/>
              <w:rPr>
                <w:rFonts w:eastAsia="Times New Roman" w:cs="Arial"/>
                <w:b/>
                <w:bCs/>
                <w:color w:val="000000"/>
                <w:sz w:val="22"/>
                <w:szCs w:val="22"/>
                <w:lang w:val="en-US" w:eastAsia="zh-CN"/>
              </w:rPr>
            </w:pPr>
            <w:r w:rsidRPr="000C156A">
              <w:rPr>
                <w:rFonts w:hint="eastAsia"/>
                <w:b/>
                <w:sz w:val="22"/>
                <w:szCs w:val="22"/>
                <w:lang w:val="en-US" w:eastAsia="zh-CN"/>
              </w:rPr>
              <w:t>职员费用</w:t>
            </w:r>
          </w:p>
        </w:tc>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0F2ED" w14:textId="1FD38F2A" w:rsidR="00B56A7B" w:rsidRPr="000C156A" w:rsidRDefault="00B56A7B" w:rsidP="00EC26EC">
            <w:pPr>
              <w:keepNext/>
              <w:keepLines/>
              <w:overflowPunct/>
              <w:autoSpaceDE/>
              <w:autoSpaceDN/>
              <w:adjustRightInd/>
              <w:spacing w:before="0"/>
              <w:jc w:val="right"/>
              <w:textAlignment w:val="auto"/>
              <w:rPr>
                <w:rFonts w:eastAsia="Times New Roman" w:cs="Arial"/>
                <w:b/>
                <w:bCs/>
                <w:color w:val="000000"/>
                <w:sz w:val="22"/>
                <w:szCs w:val="22"/>
                <w:lang w:val="en-US" w:eastAsia="zh-CN"/>
              </w:rPr>
            </w:pPr>
            <w:r w:rsidRPr="007A1FBF">
              <w:rPr>
                <w:rFonts w:eastAsia="Times New Roman" w:cs="Arial"/>
                <w:b/>
                <w:bCs/>
                <w:color w:val="000000"/>
                <w:sz w:val="22"/>
                <w:szCs w:val="22"/>
                <w:lang w:val="en-US" w:eastAsia="zh-CN"/>
              </w:rPr>
              <w:t>150</w:t>
            </w:r>
            <w:r w:rsidR="00EC26EC">
              <w:rPr>
                <w:rFonts w:eastAsia="Times New Roman" w:cs="Arial"/>
                <w:b/>
                <w:bCs/>
                <w:color w:val="000000"/>
                <w:sz w:val="22"/>
                <w:szCs w:val="22"/>
                <w:lang w:val="en-US" w:eastAsia="zh-CN"/>
              </w:rPr>
              <w:t> </w:t>
            </w:r>
            <w:r w:rsidRPr="007A1FBF">
              <w:rPr>
                <w:rFonts w:eastAsia="Times New Roman" w:cs="Arial"/>
                <w:b/>
                <w:bCs/>
                <w:color w:val="000000"/>
                <w:sz w:val="22"/>
                <w:szCs w:val="22"/>
                <w:lang w:val="en-US" w:eastAsia="zh-CN"/>
              </w:rPr>
              <w:t>417</w:t>
            </w:r>
          </w:p>
        </w:tc>
        <w:tc>
          <w:tcPr>
            <w:tcW w:w="1345" w:type="pct"/>
            <w:tcBorders>
              <w:top w:val="single" w:sz="4" w:space="0" w:color="auto"/>
              <w:left w:val="nil"/>
              <w:bottom w:val="single" w:sz="4" w:space="0" w:color="auto"/>
              <w:right w:val="single" w:sz="4" w:space="0" w:color="auto"/>
            </w:tcBorders>
            <w:shd w:val="clear" w:color="auto" w:fill="auto"/>
            <w:noWrap/>
            <w:vAlign w:val="center"/>
            <w:hideMark/>
          </w:tcPr>
          <w:p w14:paraId="7354241E" w14:textId="214C2CA7" w:rsidR="00B56A7B" w:rsidRPr="000C156A" w:rsidRDefault="00B56A7B" w:rsidP="00EC26EC">
            <w:pPr>
              <w:keepNext/>
              <w:keepLines/>
              <w:overflowPunct/>
              <w:autoSpaceDE/>
              <w:autoSpaceDN/>
              <w:adjustRightInd/>
              <w:spacing w:before="0"/>
              <w:jc w:val="right"/>
              <w:textAlignment w:val="auto"/>
              <w:rPr>
                <w:rFonts w:eastAsia="Times New Roman" w:cs="Arial"/>
                <w:b/>
                <w:bCs/>
                <w:color w:val="000000"/>
                <w:sz w:val="22"/>
                <w:szCs w:val="22"/>
                <w:lang w:val="en-US" w:eastAsia="zh-CN"/>
              </w:rPr>
            </w:pPr>
            <w:r>
              <w:rPr>
                <w:rFonts w:cs="Arial"/>
                <w:b/>
                <w:bCs/>
                <w:color w:val="000000"/>
                <w:sz w:val="22"/>
                <w:szCs w:val="22"/>
                <w:lang w:val="en-US" w:eastAsia="zh-CN"/>
              </w:rPr>
              <w:t>153</w:t>
            </w:r>
            <w:r w:rsidR="00EC26EC">
              <w:rPr>
                <w:rFonts w:cs="Arial"/>
                <w:b/>
                <w:bCs/>
                <w:color w:val="000000"/>
                <w:sz w:val="22"/>
                <w:szCs w:val="22"/>
                <w:lang w:val="en-US" w:eastAsia="zh-CN"/>
              </w:rPr>
              <w:t> </w:t>
            </w:r>
            <w:r>
              <w:rPr>
                <w:rFonts w:cs="Arial"/>
                <w:b/>
                <w:bCs/>
                <w:color w:val="000000"/>
                <w:sz w:val="22"/>
                <w:szCs w:val="22"/>
                <w:lang w:val="en-US" w:eastAsia="zh-CN"/>
              </w:rPr>
              <w:t>825</w:t>
            </w:r>
          </w:p>
        </w:tc>
      </w:tr>
    </w:tbl>
    <w:p w14:paraId="10B38094" w14:textId="77777777" w:rsidR="00B56A7B" w:rsidRPr="000C156A" w:rsidRDefault="00B56A7B" w:rsidP="00B56A7B">
      <w:pPr>
        <w:ind w:firstLineChars="200" w:firstLine="480"/>
        <w:rPr>
          <w:lang w:eastAsia="zh-CN"/>
        </w:rPr>
      </w:pPr>
      <w:r w:rsidRPr="00155AE3">
        <w:rPr>
          <w:rFonts w:hint="eastAsia"/>
          <w:lang w:val="en-US" w:eastAsia="zh-CN"/>
        </w:rPr>
        <w:t>2021</w:t>
      </w:r>
      <w:r w:rsidRPr="00155AE3">
        <w:rPr>
          <w:rFonts w:hint="eastAsia"/>
          <w:lang w:val="en-US" w:eastAsia="zh-CN"/>
        </w:rPr>
        <w:t>年的新职员招聘，也对安置津贴产生了影响。如注</w:t>
      </w:r>
      <w:r w:rsidRPr="00155AE3">
        <w:rPr>
          <w:rFonts w:hint="eastAsia"/>
          <w:lang w:val="en-US" w:eastAsia="zh-CN"/>
        </w:rPr>
        <w:t>17</w:t>
      </w:r>
      <w:r w:rsidRPr="00155AE3">
        <w:rPr>
          <w:rFonts w:hint="eastAsia"/>
          <w:lang w:val="en-US" w:eastAsia="zh-CN"/>
        </w:rPr>
        <w:t>所述，如果不考虑因贴现率上升导致的</w:t>
      </w:r>
      <w:r w:rsidRPr="00155AE3">
        <w:rPr>
          <w:rFonts w:hint="eastAsia"/>
          <w:lang w:val="en-US" w:eastAsia="zh-CN"/>
        </w:rPr>
        <w:t>ASHI</w:t>
      </w:r>
      <w:r w:rsidRPr="00155AE3">
        <w:rPr>
          <w:rFonts w:hint="eastAsia"/>
          <w:lang w:val="en-US" w:eastAsia="zh-CN"/>
        </w:rPr>
        <w:t>调整数的下降，则可以看到人员成本总体增加了</w:t>
      </w:r>
      <w:r w:rsidRPr="00155AE3">
        <w:rPr>
          <w:rFonts w:hint="eastAsia"/>
          <w:lang w:val="en-US" w:eastAsia="zh-CN"/>
        </w:rPr>
        <w:t>1.6%</w:t>
      </w:r>
      <w:r w:rsidRPr="00155AE3">
        <w:rPr>
          <w:rFonts w:hint="eastAsia"/>
          <w:lang w:val="en-US" w:eastAsia="zh-CN"/>
        </w:rPr>
        <w:t>。</w:t>
      </w:r>
    </w:p>
    <w:p w14:paraId="51586271" w14:textId="77777777" w:rsidR="00B56A7B" w:rsidRPr="0076544D" w:rsidRDefault="00B56A7B" w:rsidP="000D37DF">
      <w:pPr>
        <w:pStyle w:val="Heading1"/>
        <w:spacing w:before="240" w:after="120"/>
        <w:rPr>
          <w:rFonts w:cs="Microsoft YaHei"/>
          <w:sz w:val="24"/>
          <w:szCs w:val="24"/>
          <w:lang w:eastAsia="zh-CN"/>
        </w:rPr>
      </w:pPr>
      <w:bookmarkStart w:id="1094" w:name="_Toc73518719"/>
      <w:bookmarkStart w:id="1095" w:name="_Toc73518866"/>
      <w:bookmarkStart w:id="1096" w:name="_Toc73519266"/>
      <w:bookmarkStart w:id="1097" w:name="_Toc110265738"/>
      <w:bookmarkStart w:id="1098" w:name="_Toc110330108"/>
      <w:bookmarkStart w:id="1099" w:name="_Toc110330273"/>
      <w:r w:rsidRPr="000D37DF">
        <w:rPr>
          <w:rFonts w:cs="Microsoft YaHei" w:hint="eastAsia"/>
          <w:sz w:val="24"/>
          <w:szCs w:val="24"/>
          <w:lang w:val="fr-FR" w:eastAsia="zh-CN"/>
        </w:rPr>
        <w:t>差旅费用</w:t>
      </w:r>
      <w:bookmarkEnd w:id="1094"/>
      <w:bookmarkEnd w:id="1095"/>
      <w:bookmarkEnd w:id="1096"/>
      <w:bookmarkEnd w:id="1097"/>
      <w:bookmarkEnd w:id="1098"/>
      <w:bookmarkEnd w:id="1099"/>
    </w:p>
    <w:p w14:paraId="46C55720" w14:textId="77777777" w:rsidR="00B56A7B" w:rsidRPr="000C156A" w:rsidRDefault="00B56A7B" w:rsidP="00B56A7B">
      <w:pPr>
        <w:ind w:firstLineChars="200" w:firstLine="480"/>
        <w:rPr>
          <w:lang w:eastAsia="zh-CN"/>
        </w:rPr>
      </w:pPr>
      <w:r w:rsidRPr="00155AE3">
        <w:rPr>
          <w:rFonts w:hint="eastAsia"/>
          <w:color w:val="000000"/>
          <w:lang w:eastAsia="zh-CN"/>
        </w:rPr>
        <w:t>疫情和旅行禁令与限制，令</w:t>
      </w:r>
      <w:r w:rsidRPr="00155AE3">
        <w:rPr>
          <w:rFonts w:hint="eastAsia"/>
          <w:color w:val="000000"/>
          <w:lang w:eastAsia="zh-CN"/>
        </w:rPr>
        <w:t>2021</w:t>
      </w:r>
      <w:r w:rsidRPr="00155AE3">
        <w:rPr>
          <w:rFonts w:hint="eastAsia"/>
          <w:color w:val="000000"/>
          <w:lang w:eastAsia="zh-CN"/>
        </w:rPr>
        <w:t>年</w:t>
      </w:r>
      <w:r>
        <w:rPr>
          <w:rFonts w:hint="eastAsia"/>
          <w:color w:val="000000"/>
          <w:lang w:eastAsia="zh-CN"/>
        </w:rPr>
        <w:t>的</w:t>
      </w:r>
      <w:r w:rsidRPr="00155AE3">
        <w:rPr>
          <w:rFonts w:hint="eastAsia"/>
          <w:color w:val="000000"/>
          <w:lang w:eastAsia="zh-CN"/>
        </w:rPr>
        <w:t>出访和</w:t>
      </w:r>
      <w:r>
        <w:rPr>
          <w:rFonts w:hint="eastAsia"/>
          <w:color w:val="000000"/>
          <w:lang w:eastAsia="zh-CN"/>
        </w:rPr>
        <w:t>差旅成为不可能</w:t>
      </w:r>
      <w:r w:rsidRPr="00155AE3">
        <w:rPr>
          <w:rFonts w:hint="eastAsia"/>
          <w:color w:val="000000"/>
          <w:lang w:eastAsia="zh-CN"/>
        </w:rPr>
        <w:t>，</w:t>
      </w:r>
      <w:r>
        <w:rPr>
          <w:rFonts w:hint="eastAsia"/>
          <w:color w:val="000000"/>
          <w:lang w:eastAsia="zh-CN"/>
        </w:rPr>
        <w:t>从而说明为什么</w:t>
      </w:r>
      <w:r w:rsidRPr="00155AE3">
        <w:rPr>
          <w:rFonts w:hint="eastAsia"/>
          <w:color w:val="000000"/>
          <w:lang w:eastAsia="zh-CN"/>
        </w:rPr>
        <w:t>与</w:t>
      </w:r>
      <w:r w:rsidRPr="00155AE3">
        <w:rPr>
          <w:rFonts w:hint="eastAsia"/>
          <w:color w:val="000000"/>
          <w:lang w:eastAsia="zh-CN"/>
        </w:rPr>
        <w:t>2019</w:t>
      </w:r>
      <w:r w:rsidRPr="00155AE3">
        <w:rPr>
          <w:rFonts w:hint="eastAsia"/>
          <w:color w:val="000000"/>
          <w:lang w:eastAsia="zh-CN"/>
        </w:rPr>
        <w:t>年</w:t>
      </w:r>
      <w:r w:rsidRPr="00155AE3">
        <w:rPr>
          <w:rFonts w:hint="eastAsia"/>
          <w:color w:val="000000"/>
          <w:lang w:eastAsia="zh-CN"/>
        </w:rPr>
        <w:t>100</w:t>
      </w:r>
      <w:r w:rsidRPr="00155AE3">
        <w:rPr>
          <w:rFonts w:hint="eastAsia"/>
          <w:color w:val="000000"/>
          <w:lang w:eastAsia="zh-CN"/>
        </w:rPr>
        <w:t>万瑞郎的差旅成本相比，</w:t>
      </w:r>
      <w:r w:rsidRPr="00155AE3">
        <w:rPr>
          <w:rFonts w:hint="eastAsia"/>
          <w:color w:val="000000"/>
          <w:lang w:eastAsia="zh-CN"/>
        </w:rPr>
        <w:t>2021</w:t>
      </w:r>
      <w:r w:rsidRPr="00155AE3">
        <w:rPr>
          <w:rFonts w:hint="eastAsia"/>
          <w:color w:val="000000"/>
          <w:lang w:eastAsia="zh-CN"/>
        </w:rPr>
        <w:t>年的该项成本处于</w:t>
      </w:r>
      <w:r w:rsidRPr="00155AE3">
        <w:rPr>
          <w:rFonts w:hint="eastAsia"/>
          <w:color w:val="000000"/>
          <w:lang w:eastAsia="zh-CN"/>
        </w:rPr>
        <w:t>44.3</w:t>
      </w:r>
      <w:r w:rsidRPr="00155AE3">
        <w:rPr>
          <w:rFonts w:hint="eastAsia"/>
          <w:color w:val="000000"/>
          <w:lang w:eastAsia="zh-CN"/>
        </w:rPr>
        <w:t>万瑞郎的极低水平。</w:t>
      </w:r>
    </w:p>
    <w:p w14:paraId="1BAC4ACF" w14:textId="77777777" w:rsidR="00B56A7B" w:rsidRPr="0076544D" w:rsidRDefault="00B56A7B" w:rsidP="000D37DF">
      <w:pPr>
        <w:pStyle w:val="Heading1"/>
        <w:spacing w:before="240" w:after="120"/>
        <w:rPr>
          <w:rFonts w:cs="Microsoft YaHei"/>
          <w:sz w:val="24"/>
          <w:szCs w:val="24"/>
          <w:lang w:eastAsia="zh-CN"/>
        </w:rPr>
      </w:pPr>
      <w:bookmarkStart w:id="1100" w:name="_Toc73518720"/>
      <w:bookmarkStart w:id="1101" w:name="_Toc73518867"/>
      <w:bookmarkStart w:id="1102" w:name="_Toc73519267"/>
      <w:bookmarkStart w:id="1103" w:name="_Toc110265739"/>
      <w:bookmarkStart w:id="1104" w:name="_Toc110330109"/>
      <w:bookmarkStart w:id="1105" w:name="_Toc110330274"/>
      <w:r w:rsidRPr="000D37DF">
        <w:rPr>
          <w:rFonts w:cs="Microsoft YaHei" w:hint="eastAsia"/>
          <w:sz w:val="24"/>
          <w:szCs w:val="24"/>
          <w:lang w:val="fr-FR" w:eastAsia="zh-CN"/>
        </w:rPr>
        <w:t>合同服务</w:t>
      </w:r>
      <w:bookmarkEnd w:id="1100"/>
      <w:bookmarkEnd w:id="1101"/>
      <w:bookmarkEnd w:id="1102"/>
      <w:bookmarkEnd w:id="1103"/>
      <w:bookmarkEnd w:id="1104"/>
      <w:bookmarkEnd w:id="1105"/>
    </w:p>
    <w:p w14:paraId="3BBE950E" w14:textId="77777777" w:rsidR="00B56A7B" w:rsidRDefault="00B56A7B" w:rsidP="00B56A7B">
      <w:pPr>
        <w:ind w:firstLineChars="200" w:firstLine="480"/>
        <w:rPr>
          <w:lang w:val="en-US" w:eastAsia="zh-CN"/>
        </w:rPr>
      </w:pPr>
      <w:r>
        <w:rPr>
          <w:rFonts w:hint="eastAsia"/>
          <w:lang w:val="en-US" w:eastAsia="zh-CN"/>
        </w:rPr>
        <w:t>此</w:t>
      </w:r>
      <w:r w:rsidRPr="003A6419">
        <w:rPr>
          <w:rFonts w:hint="eastAsia"/>
          <w:lang w:val="en-US" w:eastAsia="zh-CN"/>
        </w:rPr>
        <w:t>类别包括在协议框架和合同安排范围内，为提供咨询人员的公司支付的所有酬劳、各种收费和费用，同时也涵盖特别服务协议、作为培训组成部分的语言课程费用以及分包服务费用。</w:t>
      </w:r>
      <w:r w:rsidRPr="003A6419">
        <w:rPr>
          <w:rFonts w:hint="eastAsia"/>
          <w:lang w:val="en-US" w:eastAsia="zh-CN"/>
        </w:rPr>
        <w:t>2021</w:t>
      </w:r>
      <w:r w:rsidRPr="003A6419">
        <w:rPr>
          <w:rFonts w:hint="eastAsia"/>
          <w:lang w:val="en-US" w:eastAsia="zh-CN"/>
        </w:rPr>
        <w:t>年的承包合同金额达</w:t>
      </w:r>
      <w:r w:rsidRPr="003A6419">
        <w:rPr>
          <w:rFonts w:hint="eastAsia"/>
          <w:lang w:val="en-US" w:eastAsia="zh-CN"/>
        </w:rPr>
        <w:t>2 100</w:t>
      </w:r>
      <w:r w:rsidRPr="003A6419">
        <w:rPr>
          <w:rFonts w:hint="eastAsia"/>
          <w:lang w:val="en-US" w:eastAsia="zh-CN"/>
        </w:rPr>
        <w:t>万瑞郎（</w:t>
      </w:r>
      <w:r w:rsidRPr="003A6419">
        <w:rPr>
          <w:rFonts w:hint="eastAsia"/>
          <w:lang w:val="en-US" w:eastAsia="zh-CN"/>
        </w:rPr>
        <w:t>2020</w:t>
      </w:r>
      <w:r w:rsidRPr="003A6419">
        <w:rPr>
          <w:rFonts w:hint="eastAsia"/>
          <w:lang w:val="en-US" w:eastAsia="zh-CN"/>
        </w:rPr>
        <w:t>年为</w:t>
      </w:r>
      <w:r w:rsidRPr="003A6419">
        <w:rPr>
          <w:rFonts w:hint="eastAsia"/>
          <w:lang w:val="en-US" w:eastAsia="zh-CN"/>
        </w:rPr>
        <w:t>1 450</w:t>
      </w:r>
      <w:r w:rsidRPr="003A6419">
        <w:rPr>
          <w:rFonts w:hint="eastAsia"/>
          <w:lang w:val="en-US" w:eastAsia="zh-CN"/>
        </w:rPr>
        <w:t>万瑞郎）。这一增长归因于在</w:t>
      </w:r>
      <w:r w:rsidRPr="003A6419">
        <w:rPr>
          <w:rFonts w:hint="eastAsia"/>
          <w:lang w:val="en-US" w:eastAsia="zh-CN"/>
        </w:rPr>
        <w:t>2021</w:t>
      </w:r>
      <w:r w:rsidRPr="003A6419">
        <w:rPr>
          <w:rFonts w:hint="eastAsia"/>
          <w:lang w:val="en-US" w:eastAsia="zh-CN"/>
        </w:rPr>
        <w:t>年落实的多项信托基金活动。</w:t>
      </w:r>
      <w:r w:rsidRPr="003A6419">
        <w:rPr>
          <w:rFonts w:hint="eastAsia"/>
          <w:lang w:val="en-US" w:eastAsia="zh-CN"/>
        </w:rPr>
        <w:t>2021</w:t>
      </w:r>
      <w:r w:rsidRPr="003A6419">
        <w:rPr>
          <w:rFonts w:hint="eastAsia"/>
          <w:lang w:val="en-US" w:eastAsia="zh-CN"/>
        </w:rPr>
        <w:t>年的</w:t>
      </w:r>
      <w:r w:rsidRPr="003A6419">
        <w:rPr>
          <w:rFonts w:hint="eastAsia"/>
          <w:lang w:val="en-US" w:eastAsia="zh-CN"/>
        </w:rPr>
        <w:t>FIT</w:t>
      </w:r>
      <w:r w:rsidRPr="003A6419">
        <w:rPr>
          <w:rFonts w:hint="eastAsia"/>
          <w:lang w:val="en-US" w:eastAsia="zh-CN"/>
        </w:rPr>
        <w:t>承包合同金额达</w:t>
      </w:r>
      <w:r w:rsidRPr="003A6419">
        <w:rPr>
          <w:rFonts w:hint="eastAsia"/>
          <w:lang w:val="en-US" w:eastAsia="zh-CN"/>
        </w:rPr>
        <w:t>660</w:t>
      </w:r>
      <w:r w:rsidRPr="003A6419">
        <w:rPr>
          <w:rFonts w:hint="eastAsia"/>
          <w:lang w:val="en-US" w:eastAsia="zh-CN"/>
        </w:rPr>
        <w:t>万瑞郎，（</w:t>
      </w:r>
      <w:r w:rsidRPr="003A6419">
        <w:rPr>
          <w:rFonts w:hint="eastAsia"/>
          <w:lang w:val="en-US" w:eastAsia="zh-CN"/>
        </w:rPr>
        <w:t>2020</w:t>
      </w:r>
      <w:r w:rsidRPr="003A6419">
        <w:rPr>
          <w:rFonts w:hint="eastAsia"/>
          <w:lang w:val="en-US" w:eastAsia="zh-CN"/>
        </w:rPr>
        <w:t>年为</w:t>
      </w:r>
      <w:r w:rsidRPr="003A6419">
        <w:rPr>
          <w:rFonts w:hint="eastAsia"/>
          <w:lang w:val="en-US" w:eastAsia="zh-CN"/>
        </w:rPr>
        <w:t>150</w:t>
      </w:r>
      <w:r w:rsidRPr="003A6419">
        <w:rPr>
          <w:rFonts w:hint="eastAsia"/>
          <w:lang w:val="en-US" w:eastAsia="zh-CN"/>
        </w:rPr>
        <w:t>万瑞郎）。</w:t>
      </w:r>
    </w:p>
    <w:p w14:paraId="19691A39" w14:textId="77777777" w:rsidR="00B56A7B" w:rsidRPr="000C156A" w:rsidRDefault="00B56A7B" w:rsidP="00B56A7B">
      <w:pPr>
        <w:ind w:firstLineChars="200" w:firstLine="480"/>
        <w:rPr>
          <w:lang w:val="en-US" w:eastAsia="zh-CN"/>
        </w:rPr>
      </w:pPr>
      <w:r w:rsidRPr="000C156A">
        <w:rPr>
          <w:rFonts w:hint="eastAsia"/>
          <w:lang w:val="en-US" w:eastAsia="zh-CN"/>
        </w:rPr>
        <w:t>详见分部门报告（说明</w:t>
      </w:r>
      <w:r w:rsidRPr="000C156A">
        <w:rPr>
          <w:lang w:val="en-US" w:eastAsia="zh-CN"/>
        </w:rPr>
        <w:t>24</w:t>
      </w:r>
      <w:r w:rsidRPr="000C156A">
        <w:rPr>
          <w:rFonts w:hint="eastAsia"/>
          <w:lang w:val="en-US" w:eastAsia="zh-CN"/>
        </w:rPr>
        <w:t>）</w:t>
      </w:r>
    </w:p>
    <w:p w14:paraId="701FB1E7" w14:textId="77777777" w:rsidR="00B56A7B" w:rsidRPr="0076544D" w:rsidRDefault="00B56A7B" w:rsidP="000D37DF">
      <w:pPr>
        <w:pStyle w:val="Heading1"/>
        <w:spacing w:before="240" w:after="120"/>
        <w:rPr>
          <w:rFonts w:cs="Microsoft YaHei"/>
          <w:sz w:val="24"/>
          <w:szCs w:val="24"/>
          <w:lang w:val="en-US" w:eastAsia="zh-CN"/>
        </w:rPr>
      </w:pPr>
      <w:bookmarkStart w:id="1106" w:name="_Toc73518721"/>
      <w:bookmarkStart w:id="1107" w:name="_Toc73518868"/>
      <w:bookmarkStart w:id="1108" w:name="_Toc73519268"/>
      <w:bookmarkStart w:id="1109" w:name="_Toc110265740"/>
      <w:bookmarkStart w:id="1110" w:name="_Toc110330110"/>
      <w:bookmarkStart w:id="1111" w:name="_Toc110330275"/>
      <w:r w:rsidRPr="000D37DF">
        <w:rPr>
          <w:rFonts w:cs="Microsoft YaHei" w:hint="eastAsia"/>
          <w:sz w:val="24"/>
          <w:szCs w:val="24"/>
          <w:lang w:val="fr-FR" w:eastAsia="zh-CN"/>
        </w:rPr>
        <w:t>房屋设备租金与维修费</w:t>
      </w:r>
      <w:bookmarkEnd w:id="1106"/>
      <w:bookmarkEnd w:id="1107"/>
      <w:bookmarkEnd w:id="1108"/>
      <w:bookmarkEnd w:id="1109"/>
      <w:bookmarkEnd w:id="1110"/>
      <w:bookmarkEnd w:id="1111"/>
    </w:p>
    <w:p w14:paraId="0AF8E9C6" w14:textId="77777777" w:rsidR="00B56A7B" w:rsidRDefault="00B56A7B" w:rsidP="00B56A7B">
      <w:pPr>
        <w:ind w:firstLineChars="200" w:firstLine="480"/>
        <w:rPr>
          <w:lang w:val="en-US" w:eastAsia="zh-CN"/>
        </w:rPr>
      </w:pPr>
      <w:r w:rsidRPr="000C156A">
        <w:rPr>
          <w:rFonts w:hint="eastAsia"/>
          <w:lang w:eastAsia="zh-CN"/>
        </w:rPr>
        <w:t>该类别包含大会场地和会议厅、存储区和停车位以及</w:t>
      </w:r>
      <w:r w:rsidRPr="000C156A">
        <w:rPr>
          <w:lang w:eastAsia="zh-CN"/>
        </w:rPr>
        <w:t>IT</w:t>
      </w:r>
      <w:r w:rsidRPr="000C156A">
        <w:rPr>
          <w:rFonts w:hint="eastAsia"/>
          <w:lang w:eastAsia="zh-CN"/>
        </w:rPr>
        <w:t>设备和其它办公设备的租金，同时也包括办公楼、绿化区、车辆、技术和</w:t>
      </w:r>
      <w:r w:rsidRPr="000C156A">
        <w:rPr>
          <w:lang w:eastAsia="zh-CN"/>
        </w:rPr>
        <w:t>IT</w:t>
      </w:r>
      <w:r w:rsidRPr="000C156A">
        <w:rPr>
          <w:rFonts w:hint="eastAsia"/>
          <w:lang w:eastAsia="zh-CN"/>
        </w:rPr>
        <w:t>设备的维护费以及火灾、水灾和其它不同损失的保险费用。</w:t>
      </w:r>
      <w:r w:rsidRPr="000C156A">
        <w:rPr>
          <w:rFonts w:hint="eastAsia"/>
          <w:lang w:eastAsia="zh-CN"/>
        </w:rPr>
        <w:t>2</w:t>
      </w:r>
      <w:r>
        <w:rPr>
          <w:lang w:eastAsia="zh-CN"/>
        </w:rPr>
        <w:t>021</w:t>
      </w:r>
      <w:r w:rsidRPr="000C156A">
        <w:rPr>
          <w:rFonts w:hint="eastAsia"/>
          <w:lang w:eastAsia="zh-CN"/>
        </w:rPr>
        <w:t>年的租金和设备费为</w:t>
      </w:r>
      <w:r>
        <w:rPr>
          <w:rFonts w:hint="eastAsia"/>
          <w:lang w:eastAsia="zh-CN"/>
        </w:rPr>
        <w:t>180</w:t>
      </w:r>
      <w:r w:rsidRPr="000C156A">
        <w:rPr>
          <w:rFonts w:hint="eastAsia"/>
          <w:lang w:eastAsia="zh-CN"/>
        </w:rPr>
        <w:t>万瑞郎（</w:t>
      </w:r>
      <w:r w:rsidRPr="000C156A">
        <w:rPr>
          <w:lang w:eastAsia="zh-CN"/>
        </w:rPr>
        <w:t>201</w:t>
      </w:r>
      <w:r w:rsidRPr="000C156A">
        <w:rPr>
          <w:rFonts w:hint="eastAsia"/>
          <w:lang w:eastAsia="zh-CN"/>
        </w:rPr>
        <w:t>9</w:t>
      </w:r>
      <w:r w:rsidRPr="000C156A">
        <w:rPr>
          <w:rFonts w:hint="eastAsia"/>
          <w:lang w:eastAsia="zh-CN"/>
        </w:rPr>
        <w:t>年</w:t>
      </w:r>
      <w:r w:rsidRPr="000C156A">
        <w:rPr>
          <w:rFonts w:hint="eastAsia"/>
          <w:lang w:eastAsia="zh-CN"/>
        </w:rPr>
        <w:t>3</w:t>
      </w:r>
      <w:r w:rsidRPr="000C156A">
        <w:rPr>
          <w:lang w:eastAsia="zh-CN"/>
        </w:rPr>
        <w:t>00</w:t>
      </w:r>
      <w:r w:rsidRPr="000C156A">
        <w:rPr>
          <w:rFonts w:hint="eastAsia"/>
          <w:lang w:eastAsia="zh-CN"/>
        </w:rPr>
        <w:t>万瑞郎</w:t>
      </w:r>
      <w:r w:rsidRPr="000C156A">
        <w:rPr>
          <w:rFonts w:hint="eastAsia"/>
          <w:lang w:val="en-US" w:eastAsia="zh-CN"/>
        </w:rPr>
        <w:t>）。</w:t>
      </w:r>
    </w:p>
    <w:p w14:paraId="0A2D1857" w14:textId="77777777" w:rsidR="00B56A7B" w:rsidRPr="000C156A" w:rsidRDefault="00B56A7B" w:rsidP="00B56A7B">
      <w:pPr>
        <w:ind w:firstLineChars="200" w:firstLine="480"/>
        <w:rPr>
          <w:lang w:val="en-US" w:eastAsia="zh-CN"/>
        </w:rPr>
      </w:pPr>
      <w:r w:rsidRPr="00F73C0C">
        <w:rPr>
          <w:rFonts w:hint="eastAsia"/>
          <w:lang w:val="en-US" w:eastAsia="zh-CN"/>
        </w:rPr>
        <w:t>随着越来越多的活动</w:t>
      </w:r>
      <w:r>
        <w:rPr>
          <w:rFonts w:hint="eastAsia"/>
          <w:lang w:val="en-US" w:eastAsia="zh-CN"/>
        </w:rPr>
        <w:t>以</w:t>
      </w:r>
      <w:r w:rsidRPr="00F73C0C">
        <w:rPr>
          <w:rFonts w:hint="eastAsia"/>
          <w:lang w:val="en-US" w:eastAsia="zh-CN"/>
        </w:rPr>
        <w:t>更便宜的云</w:t>
      </w:r>
      <w:r>
        <w:rPr>
          <w:rFonts w:hint="eastAsia"/>
          <w:lang w:val="en-US" w:eastAsia="zh-CN"/>
        </w:rPr>
        <w:t>为基础</w:t>
      </w:r>
      <w:r w:rsidRPr="00F73C0C">
        <w:rPr>
          <w:rFonts w:hint="eastAsia"/>
          <w:lang w:val="en-US" w:eastAsia="zh-CN"/>
        </w:rPr>
        <w:t>，国际电联能够缩短合同，从而降低了计算机服务</w:t>
      </w:r>
      <w:r w:rsidRPr="00F73C0C">
        <w:rPr>
          <w:rFonts w:hint="eastAsia"/>
          <w:lang w:val="en-US" w:eastAsia="zh-CN"/>
        </w:rPr>
        <w:t>/</w:t>
      </w:r>
      <w:r w:rsidRPr="00F73C0C">
        <w:rPr>
          <w:rFonts w:hint="eastAsia"/>
          <w:lang w:val="en-US" w:eastAsia="zh-CN"/>
        </w:rPr>
        <w:t>服务器的租赁成本。</w:t>
      </w:r>
    </w:p>
    <w:p w14:paraId="7F0B790D" w14:textId="77777777" w:rsidR="00B56A7B" w:rsidRPr="0076544D" w:rsidRDefault="00B56A7B" w:rsidP="000D37DF">
      <w:pPr>
        <w:pStyle w:val="Heading1"/>
        <w:spacing w:before="240" w:after="120"/>
        <w:rPr>
          <w:rFonts w:cs="Microsoft YaHei"/>
          <w:sz w:val="24"/>
          <w:szCs w:val="24"/>
          <w:lang w:val="en-US" w:eastAsia="zh-CN"/>
        </w:rPr>
      </w:pPr>
      <w:bookmarkStart w:id="1112" w:name="_Toc329011655"/>
      <w:bookmarkStart w:id="1113" w:name="_Toc305764112"/>
      <w:bookmarkStart w:id="1114" w:name="_Toc73518722"/>
      <w:bookmarkStart w:id="1115" w:name="_Toc73518869"/>
      <w:bookmarkStart w:id="1116" w:name="_Toc73519269"/>
      <w:bookmarkStart w:id="1117" w:name="_Toc110265741"/>
      <w:bookmarkStart w:id="1118" w:name="_Toc110330111"/>
      <w:bookmarkStart w:id="1119" w:name="_Toc110330276"/>
      <w:r w:rsidRPr="000D37DF">
        <w:rPr>
          <w:rFonts w:cs="Microsoft YaHei" w:hint="eastAsia"/>
          <w:sz w:val="24"/>
          <w:szCs w:val="24"/>
          <w:lang w:val="fr-FR" w:eastAsia="zh-CN"/>
        </w:rPr>
        <w:lastRenderedPageBreak/>
        <w:t>设备和办公用品</w:t>
      </w:r>
      <w:r w:rsidRPr="0076544D">
        <w:rPr>
          <w:rFonts w:cs="Microsoft YaHei" w:hint="eastAsia"/>
          <w:sz w:val="24"/>
          <w:szCs w:val="24"/>
          <w:lang w:val="en-US" w:eastAsia="zh-CN"/>
        </w:rPr>
        <w:t>，</w:t>
      </w:r>
      <w:r w:rsidRPr="000D37DF">
        <w:rPr>
          <w:rFonts w:cs="Microsoft YaHei" w:hint="eastAsia"/>
          <w:sz w:val="24"/>
          <w:szCs w:val="24"/>
          <w:lang w:val="fr-FR" w:eastAsia="zh-CN"/>
        </w:rPr>
        <w:t>运输、电信和服务费用</w:t>
      </w:r>
      <w:bookmarkEnd w:id="1112"/>
      <w:bookmarkEnd w:id="1113"/>
      <w:bookmarkEnd w:id="1114"/>
      <w:bookmarkEnd w:id="1115"/>
      <w:bookmarkEnd w:id="1116"/>
      <w:bookmarkEnd w:id="1117"/>
      <w:bookmarkEnd w:id="1118"/>
      <w:bookmarkEnd w:id="1119"/>
    </w:p>
    <w:p w14:paraId="762FD172" w14:textId="77777777" w:rsidR="00B56A7B" w:rsidRPr="00AD62C0" w:rsidRDefault="00B56A7B" w:rsidP="00B56A7B">
      <w:pPr>
        <w:ind w:firstLineChars="200" w:firstLine="480"/>
        <w:rPr>
          <w:lang w:eastAsia="zh-CN"/>
        </w:rPr>
      </w:pPr>
      <w:r w:rsidRPr="00AD62C0">
        <w:rPr>
          <w:rFonts w:hint="eastAsia"/>
          <w:lang w:eastAsia="zh-CN"/>
        </w:rPr>
        <w:t>设备和办公用品包括未被记为资产的办公用品、打印机用品、表格、卡、期刊、图书和装订、</w:t>
      </w:r>
      <w:r w:rsidRPr="00AD62C0">
        <w:rPr>
          <w:rFonts w:hint="eastAsia"/>
          <w:lang w:eastAsia="zh-CN"/>
        </w:rPr>
        <w:t>IT</w:t>
      </w:r>
      <w:r w:rsidRPr="00AD62C0">
        <w:rPr>
          <w:rFonts w:hint="eastAsia"/>
          <w:lang w:eastAsia="zh-CN"/>
        </w:rPr>
        <w:t>用品和软件产品。</w:t>
      </w:r>
      <w:r w:rsidRPr="00AD62C0">
        <w:rPr>
          <w:rFonts w:hint="eastAsia"/>
          <w:lang w:eastAsia="zh-CN"/>
        </w:rPr>
        <w:t>2021</w:t>
      </w:r>
      <w:r w:rsidRPr="00AD62C0">
        <w:rPr>
          <w:rFonts w:hint="eastAsia"/>
          <w:lang w:eastAsia="zh-CN"/>
        </w:rPr>
        <w:t>年的设备和办公用品金额为</w:t>
      </w:r>
      <w:r w:rsidRPr="00AD62C0">
        <w:rPr>
          <w:rFonts w:hint="eastAsia"/>
          <w:lang w:eastAsia="zh-CN"/>
        </w:rPr>
        <w:t>220</w:t>
      </w:r>
      <w:r w:rsidRPr="00AD62C0">
        <w:rPr>
          <w:rFonts w:hint="eastAsia"/>
          <w:lang w:eastAsia="zh-CN"/>
        </w:rPr>
        <w:t>万瑞郎（</w:t>
      </w:r>
      <w:r w:rsidRPr="00AD62C0">
        <w:rPr>
          <w:rFonts w:hint="eastAsia"/>
          <w:lang w:eastAsia="zh-CN"/>
        </w:rPr>
        <w:t>2020</w:t>
      </w:r>
      <w:r w:rsidRPr="00AD62C0">
        <w:rPr>
          <w:rFonts w:hint="eastAsia"/>
          <w:lang w:eastAsia="zh-CN"/>
        </w:rPr>
        <w:t>年为</w:t>
      </w:r>
      <w:r w:rsidRPr="00AD62C0">
        <w:rPr>
          <w:rFonts w:hint="eastAsia"/>
          <w:lang w:eastAsia="zh-CN"/>
        </w:rPr>
        <w:t>290</w:t>
      </w:r>
      <w:r w:rsidRPr="00AD62C0">
        <w:rPr>
          <w:rFonts w:hint="eastAsia"/>
          <w:lang w:eastAsia="zh-CN"/>
        </w:rPr>
        <w:t>万瑞郎）。</w:t>
      </w:r>
      <w:r w:rsidRPr="00AD62C0">
        <w:rPr>
          <w:rFonts w:hint="eastAsia"/>
          <w:lang w:eastAsia="zh-CN"/>
        </w:rPr>
        <w:t>2021</w:t>
      </w:r>
      <w:r w:rsidRPr="00AD62C0">
        <w:rPr>
          <w:rFonts w:hint="eastAsia"/>
          <w:lang w:eastAsia="zh-CN"/>
        </w:rPr>
        <w:t>年运输、电信和服务费用为</w:t>
      </w:r>
      <w:r w:rsidRPr="00AD62C0">
        <w:rPr>
          <w:rFonts w:hint="eastAsia"/>
          <w:lang w:eastAsia="zh-CN"/>
        </w:rPr>
        <w:t>150</w:t>
      </w:r>
      <w:r w:rsidRPr="00AD62C0">
        <w:rPr>
          <w:rFonts w:hint="eastAsia"/>
          <w:lang w:eastAsia="zh-CN"/>
        </w:rPr>
        <w:t>万瑞郎（与</w:t>
      </w:r>
      <w:r w:rsidRPr="00AD62C0">
        <w:rPr>
          <w:rFonts w:hint="eastAsia"/>
          <w:lang w:eastAsia="zh-CN"/>
        </w:rPr>
        <w:t>2020</w:t>
      </w:r>
      <w:r w:rsidRPr="00AD62C0">
        <w:rPr>
          <w:rFonts w:hint="eastAsia"/>
          <w:lang w:eastAsia="zh-CN"/>
        </w:rPr>
        <w:t>年持平）。</w:t>
      </w:r>
      <w:bookmarkStart w:id="1120" w:name="_Toc329011656"/>
      <w:bookmarkStart w:id="1121" w:name="_Toc305764113"/>
    </w:p>
    <w:p w14:paraId="2382E7A5" w14:textId="77777777" w:rsidR="00B56A7B" w:rsidRPr="000D37DF" w:rsidRDefault="00B56A7B" w:rsidP="000D37DF">
      <w:pPr>
        <w:pStyle w:val="Heading1"/>
        <w:spacing w:before="240" w:after="120"/>
        <w:rPr>
          <w:rFonts w:cs="Microsoft YaHei"/>
          <w:sz w:val="24"/>
          <w:szCs w:val="24"/>
          <w:lang w:val="fr-FR" w:eastAsia="zh-CN"/>
        </w:rPr>
      </w:pPr>
      <w:bookmarkStart w:id="1122" w:name="_Toc73518723"/>
      <w:bookmarkStart w:id="1123" w:name="_Toc73518870"/>
      <w:bookmarkStart w:id="1124" w:name="_Toc73519270"/>
      <w:bookmarkStart w:id="1125" w:name="_Toc110265742"/>
      <w:bookmarkStart w:id="1126" w:name="_Toc110330112"/>
      <w:bookmarkStart w:id="1127" w:name="_Toc110330277"/>
      <w:bookmarkEnd w:id="1120"/>
      <w:bookmarkEnd w:id="1121"/>
      <w:r w:rsidRPr="000D37DF">
        <w:rPr>
          <w:rFonts w:cs="Microsoft YaHei" w:hint="eastAsia"/>
          <w:sz w:val="24"/>
          <w:szCs w:val="24"/>
          <w:lang w:val="fr-FR" w:eastAsia="zh-CN"/>
        </w:rPr>
        <w:t>其它费用</w:t>
      </w:r>
      <w:bookmarkEnd w:id="1122"/>
      <w:bookmarkEnd w:id="1123"/>
      <w:bookmarkEnd w:id="1124"/>
      <w:bookmarkEnd w:id="1125"/>
      <w:bookmarkEnd w:id="1126"/>
      <w:bookmarkEnd w:id="1127"/>
    </w:p>
    <w:tbl>
      <w:tblPr>
        <w:tblW w:w="9538" w:type="dxa"/>
        <w:jc w:val="center"/>
        <w:tblLook w:val="04A0" w:firstRow="1" w:lastRow="0" w:firstColumn="1" w:lastColumn="0" w:noHBand="0" w:noVBand="1"/>
      </w:tblPr>
      <w:tblGrid>
        <w:gridCol w:w="5884"/>
        <w:gridCol w:w="1834"/>
        <w:gridCol w:w="1820"/>
      </w:tblGrid>
      <w:tr w:rsidR="00B56A7B" w:rsidRPr="000C156A" w14:paraId="783A36CB" w14:textId="77777777" w:rsidTr="00CC47BD">
        <w:trPr>
          <w:trHeight w:val="499"/>
          <w:jc w:val="center"/>
        </w:trPr>
        <w:tc>
          <w:tcPr>
            <w:tcW w:w="5884" w:type="dxa"/>
            <w:tcBorders>
              <w:top w:val="single" w:sz="4" w:space="0" w:color="auto"/>
              <w:left w:val="single" w:sz="4" w:space="0" w:color="auto"/>
              <w:bottom w:val="single" w:sz="4" w:space="0" w:color="auto"/>
              <w:right w:val="single" w:sz="4" w:space="0" w:color="auto"/>
            </w:tcBorders>
            <w:noWrap/>
            <w:vAlign w:val="center"/>
            <w:hideMark/>
          </w:tcPr>
          <w:p w14:paraId="6FFD67B3" w14:textId="77777777" w:rsidR="00B56A7B" w:rsidRPr="000C156A" w:rsidRDefault="00B56A7B" w:rsidP="00EC26EC">
            <w:pPr>
              <w:keepNext/>
              <w:keepLines/>
              <w:spacing w:before="20" w:after="20"/>
              <w:rPr>
                <w:b/>
                <w:sz w:val="22"/>
                <w:szCs w:val="18"/>
                <w:lang w:val="en-US"/>
              </w:rPr>
            </w:pPr>
            <w:bookmarkStart w:id="1128" w:name="_Toc329011658"/>
            <w:bookmarkStart w:id="1129" w:name="_Toc305764116"/>
            <w:r w:rsidRPr="000C156A">
              <w:rPr>
                <w:bCs/>
                <w:lang w:val="en-US" w:eastAsia="zh-CN"/>
              </w:rPr>
              <w:br w:type="page"/>
            </w:r>
            <w:r w:rsidRPr="000C156A">
              <w:rPr>
                <w:rFonts w:ascii="SimSun" w:hAnsi="SimSun" w:cs="SimSun" w:hint="eastAsia"/>
                <w:b/>
                <w:sz w:val="22"/>
                <w:szCs w:val="18"/>
                <w:lang w:val="en-US"/>
              </w:rPr>
              <w:t>单位：千瑞郎</w:t>
            </w:r>
          </w:p>
        </w:tc>
        <w:tc>
          <w:tcPr>
            <w:tcW w:w="1834" w:type="dxa"/>
            <w:tcBorders>
              <w:top w:val="single" w:sz="4" w:space="0" w:color="auto"/>
              <w:left w:val="single" w:sz="4" w:space="0" w:color="auto"/>
              <w:bottom w:val="single" w:sz="4" w:space="0" w:color="auto"/>
              <w:right w:val="single" w:sz="4" w:space="0" w:color="auto"/>
            </w:tcBorders>
            <w:vAlign w:val="center"/>
            <w:hideMark/>
          </w:tcPr>
          <w:p w14:paraId="67803829" w14:textId="77777777" w:rsidR="00B56A7B" w:rsidRPr="000C156A" w:rsidRDefault="00B56A7B" w:rsidP="00EC26EC">
            <w:pPr>
              <w:keepNext/>
              <w:keepLines/>
              <w:spacing w:before="20" w:after="20"/>
              <w:jc w:val="right"/>
              <w:rPr>
                <w:b/>
                <w:sz w:val="22"/>
                <w:szCs w:val="22"/>
                <w:lang w:val="en-US"/>
              </w:rPr>
            </w:pPr>
            <w:r w:rsidRPr="000C156A">
              <w:rPr>
                <w:b/>
                <w:sz w:val="22"/>
                <w:szCs w:val="22"/>
                <w:lang w:val="en-US"/>
              </w:rPr>
              <w:t>202</w:t>
            </w:r>
            <w:r>
              <w:rPr>
                <w:b/>
                <w:sz w:val="22"/>
                <w:szCs w:val="22"/>
                <w:lang w:val="en-US"/>
              </w:rPr>
              <w:t>1</w:t>
            </w:r>
            <w:r w:rsidRPr="000C156A">
              <w:rPr>
                <w:rFonts w:ascii="SimSun" w:hAnsi="SimSun" w:cs="SimSun" w:hint="eastAsia"/>
                <w:b/>
                <w:sz w:val="22"/>
                <w:szCs w:val="22"/>
                <w:lang w:val="en-US"/>
              </w:rPr>
              <w:t>年</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CF759BB" w14:textId="77777777" w:rsidR="00B56A7B" w:rsidRPr="000C156A" w:rsidRDefault="00B56A7B" w:rsidP="00EC26EC">
            <w:pPr>
              <w:keepNext/>
              <w:keepLines/>
              <w:spacing w:before="20" w:after="20"/>
              <w:jc w:val="right"/>
              <w:rPr>
                <w:b/>
                <w:sz w:val="22"/>
                <w:szCs w:val="22"/>
                <w:lang w:val="en-US"/>
              </w:rPr>
            </w:pPr>
            <w:r>
              <w:rPr>
                <w:b/>
                <w:sz w:val="22"/>
                <w:szCs w:val="22"/>
                <w:lang w:val="en-US"/>
              </w:rPr>
              <w:t>2020</w:t>
            </w:r>
            <w:r w:rsidRPr="000C156A">
              <w:rPr>
                <w:rFonts w:ascii="SimSun" w:hAnsi="SimSun" w:cs="SimSun" w:hint="eastAsia"/>
                <w:b/>
                <w:sz w:val="22"/>
                <w:szCs w:val="22"/>
                <w:lang w:val="en-US"/>
              </w:rPr>
              <w:t>年</w:t>
            </w:r>
          </w:p>
        </w:tc>
      </w:tr>
      <w:tr w:rsidR="00B56A7B" w:rsidRPr="000C156A" w14:paraId="60150F12" w14:textId="77777777" w:rsidTr="00CC47BD">
        <w:trPr>
          <w:trHeight w:val="20"/>
          <w:jc w:val="center"/>
        </w:trPr>
        <w:tc>
          <w:tcPr>
            <w:tcW w:w="5884" w:type="dxa"/>
            <w:tcBorders>
              <w:top w:val="single" w:sz="4" w:space="0" w:color="auto"/>
              <w:left w:val="single" w:sz="4" w:space="0" w:color="auto"/>
              <w:bottom w:val="nil"/>
              <w:right w:val="single" w:sz="4" w:space="0" w:color="auto"/>
            </w:tcBorders>
            <w:noWrap/>
            <w:vAlign w:val="center"/>
            <w:hideMark/>
          </w:tcPr>
          <w:p w14:paraId="6C54FE1B" w14:textId="77777777" w:rsidR="00B56A7B" w:rsidRPr="000C156A" w:rsidRDefault="00B56A7B" w:rsidP="00EC26EC">
            <w:pPr>
              <w:keepNext/>
              <w:keepLines/>
              <w:spacing w:before="20" w:after="20"/>
              <w:rPr>
                <w:bCs/>
                <w:sz w:val="22"/>
                <w:szCs w:val="18"/>
                <w:lang w:val="en-US"/>
              </w:rPr>
            </w:pPr>
            <w:r w:rsidRPr="000C156A">
              <w:rPr>
                <w:rFonts w:hint="eastAsia"/>
                <w:bCs/>
                <w:sz w:val="22"/>
                <w:szCs w:val="18"/>
                <w:lang w:val="en-US"/>
              </w:rPr>
              <w:t>外部审计费用</w:t>
            </w:r>
          </w:p>
        </w:tc>
        <w:tc>
          <w:tcPr>
            <w:tcW w:w="1834" w:type="dxa"/>
            <w:tcBorders>
              <w:top w:val="nil"/>
              <w:left w:val="single" w:sz="4" w:space="0" w:color="auto"/>
              <w:bottom w:val="nil"/>
              <w:right w:val="single" w:sz="4" w:space="0" w:color="auto"/>
            </w:tcBorders>
            <w:shd w:val="clear" w:color="auto" w:fill="auto"/>
            <w:vAlign w:val="bottom"/>
            <w:hideMark/>
          </w:tcPr>
          <w:p w14:paraId="13A55576" w14:textId="77777777" w:rsidR="00B56A7B" w:rsidRPr="000C156A" w:rsidRDefault="00B56A7B" w:rsidP="00EC26EC">
            <w:pPr>
              <w:keepNext/>
              <w:keepLines/>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52</w:t>
            </w:r>
          </w:p>
        </w:tc>
        <w:tc>
          <w:tcPr>
            <w:tcW w:w="1820" w:type="dxa"/>
            <w:tcBorders>
              <w:top w:val="nil"/>
              <w:left w:val="nil"/>
              <w:bottom w:val="nil"/>
              <w:right w:val="single" w:sz="4" w:space="0" w:color="auto"/>
            </w:tcBorders>
            <w:shd w:val="clear" w:color="auto" w:fill="auto"/>
            <w:noWrap/>
            <w:vAlign w:val="bottom"/>
            <w:hideMark/>
          </w:tcPr>
          <w:p w14:paraId="48CC48E3" w14:textId="77777777" w:rsidR="00B56A7B" w:rsidRPr="000C156A" w:rsidRDefault="00B56A7B" w:rsidP="00EC26EC">
            <w:pPr>
              <w:keepNext/>
              <w:keepLines/>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13</w:t>
            </w:r>
          </w:p>
        </w:tc>
      </w:tr>
      <w:tr w:rsidR="00B56A7B" w:rsidRPr="000C156A" w14:paraId="4F4A44A0" w14:textId="77777777" w:rsidTr="00CC47BD">
        <w:trPr>
          <w:trHeight w:val="20"/>
          <w:jc w:val="center"/>
        </w:trPr>
        <w:tc>
          <w:tcPr>
            <w:tcW w:w="5884" w:type="dxa"/>
            <w:tcBorders>
              <w:top w:val="nil"/>
              <w:left w:val="single" w:sz="4" w:space="0" w:color="auto"/>
              <w:bottom w:val="nil"/>
              <w:right w:val="single" w:sz="4" w:space="0" w:color="auto"/>
            </w:tcBorders>
            <w:noWrap/>
            <w:vAlign w:val="center"/>
            <w:hideMark/>
          </w:tcPr>
          <w:p w14:paraId="22F000E1" w14:textId="77777777" w:rsidR="00B56A7B" w:rsidRPr="000C156A" w:rsidRDefault="00B56A7B" w:rsidP="00EC26EC">
            <w:pPr>
              <w:keepNext/>
              <w:keepLines/>
              <w:spacing w:before="20" w:after="20"/>
              <w:rPr>
                <w:bCs/>
                <w:sz w:val="22"/>
                <w:szCs w:val="18"/>
                <w:lang w:val="en-US" w:eastAsia="zh-CN"/>
              </w:rPr>
            </w:pPr>
            <w:r w:rsidRPr="000C156A">
              <w:rPr>
                <w:rFonts w:hint="eastAsia"/>
                <w:bCs/>
                <w:sz w:val="22"/>
                <w:szCs w:val="18"/>
                <w:lang w:val="en-US" w:eastAsia="zh-CN"/>
              </w:rPr>
              <w:t>参加联合国工作的费用</w:t>
            </w:r>
          </w:p>
        </w:tc>
        <w:tc>
          <w:tcPr>
            <w:tcW w:w="1834" w:type="dxa"/>
            <w:tcBorders>
              <w:top w:val="nil"/>
              <w:left w:val="single" w:sz="4" w:space="0" w:color="auto"/>
              <w:bottom w:val="nil"/>
              <w:right w:val="single" w:sz="4" w:space="0" w:color="auto"/>
            </w:tcBorders>
            <w:shd w:val="clear" w:color="auto" w:fill="auto"/>
            <w:vAlign w:val="bottom"/>
            <w:hideMark/>
          </w:tcPr>
          <w:p w14:paraId="6C5E7B52" w14:textId="77777777" w:rsidR="00B56A7B" w:rsidRPr="000C156A" w:rsidRDefault="00B56A7B" w:rsidP="00EC26EC">
            <w:pPr>
              <w:keepNext/>
              <w:keepLines/>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489</w:t>
            </w:r>
          </w:p>
        </w:tc>
        <w:tc>
          <w:tcPr>
            <w:tcW w:w="1820" w:type="dxa"/>
            <w:tcBorders>
              <w:top w:val="nil"/>
              <w:left w:val="nil"/>
              <w:bottom w:val="nil"/>
              <w:right w:val="single" w:sz="4" w:space="0" w:color="auto"/>
            </w:tcBorders>
            <w:shd w:val="clear" w:color="auto" w:fill="auto"/>
            <w:noWrap/>
            <w:vAlign w:val="bottom"/>
            <w:hideMark/>
          </w:tcPr>
          <w:p w14:paraId="7FADF2D8" w14:textId="77777777" w:rsidR="00B56A7B" w:rsidRPr="000C156A" w:rsidRDefault="00B56A7B" w:rsidP="00EC26EC">
            <w:pPr>
              <w:keepNext/>
              <w:keepLines/>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469</w:t>
            </w:r>
          </w:p>
        </w:tc>
      </w:tr>
      <w:tr w:rsidR="00B56A7B" w:rsidRPr="000C156A" w14:paraId="6815B965" w14:textId="77777777" w:rsidTr="00CC47BD">
        <w:trPr>
          <w:trHeight w:val="20"/>
          <w:jc w:val="center"/>
        </w:trPr>
        <w:tc>
          <w:tcPr>
            <w:tcW w:w="5884" w:type="dxa"/>
            <w:tcBorders>
              <w:top w:val="nil"/>
              <w:left w:val="single" w:sz="4" w:space="0" w:color="auto"/>
              <w:bottom w:val="nil"/>
              <w:right w:val="single" w:sz="4" w:space="0" w:color="auto"/>
            </w:tcBorders>
            <w:noWrap/>
            <w:vAlign w:val="center"/>
            <w:hideMark/>
          </w:tcPr>
          <w:p w14:paraId="6F378736" w14:textId="77777777" w:rsidR="00B56A7B" w:rsidRPr="000C156A" w:rsidRDefault="00B56A7B" w:rsidP="00EC26EC">
            <w:pPr>
              <w:keepNext/>
              <w:keepLines/>
              <w:spacing w:before="20" w:after="20"/>
              <w:rPr>
                <w:bCs/>
                <w:sz w:val="22"/>
                <w:szCs w:val="18"/>
                <w:lang w:val="en-US"/>
              </w:rPr>
            </w:pPr>
            <w:r w:rsidRPr="000C156A">
              <w:rPr>
                <w:rFonts w:hint="eastAsia"/>
                <w:bCs/>
                <w:sz w:val="22"/>
                <w:szCs w:val="18"/>
                <w:lang w:val="en-US"/>
              </w:rPr>
              <w:t>法律费用</w:t>
            </w:r>
          </w:p>
        </w:tc>
        <w:tc>
          <w:tcPr>
            <w:tcW w:w="1834" w:type="dxa"/>
            <w:tcBorders>
              <w:top w:val="nil"/>
              <w:left w:val="single" w:sz="4" w:space="0" w:color="auto"/>
              <w:bottom w:val="nil"/>
              <w:right w:val="single" w:sz="4" w:space="0" w:color="auto"/>
            </w:tcBorders>
            <w:shd w:val="clear" w:color="auto" w:fill="auto"/>
            <w:vAlign w:val="bottom"/>
            <w:hideMark/>
          </w:tcPr>
          <w:p w14:paraId="404B21B2" w14:textId="77777777" w:rsidR="00B56A7B" w:rsidRPr="000C156A" w:rsidRDefault="00B56A7B" w:rsidP="00EC26EC">
            <w:pPr>
              <w:keepNext/>
              <w:keepLines/>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611</w:t>
            </w:r>
          </w:p>
        </w:tc>
        <w:tc>
          <w:tcPr>
            <w:tcW w:w="1820" w:type="dxa"/>
            <w:tcBorders>
              <w:top w:val="nil"/>
              <w:left w:val="nil"/>
              <w:bottom w:val="nil"/>
              <w:right w:val="single" w:sz="4" w:space="0" w:color="auto"/>
            </w:tcBorders>
            <w:shd w:val="clear" w:color="auto" w:fill="auto"/>
            <w:noWrap/>
            <w:vAlign w:val="bottom"/>
            <w:hideMark/>
          </w:tcPr>
          <w:p w14:paraId="1D5885E7" w14:textId="77777777" w:rsidR="00B56A7B" w:rsidRPr="000C156A" w:rsidRDefault="00B56A7B" w:rsidP="00EC26EC">
            <w:pPr>
              <w:keepNext/>
              <w:keepLines/>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536</w:t>
            </w:r>
          </w:p>
        </w:tc>
      </w:tr>
      <w:tr w:rsidR="00B56A7B" w:rsidRPr="000C156A" w14:paraId="3856CC70" w14:textId="77777777" w:rsidTr="00CC47BD">
        <w:trPr>
          <w:trHeight w:val="20"/>
          <w:jc w:val="center"/>
        </w:trPr>
        <w:tc>
          <w:tcPr>
            <w:tcW w:w="5884" w:type="dxa"/>
            <w:tcBorders>
              <w:top w:val="nil"/>
              <w:left w:val="single" w:sz="4" w:space="0" w:color="auto"/>
              <w:bottom w:val="nil"/>
              <w:right w:val="single" w:sz="4" w:space="0" w:color="auto"/>
            </w:tcBorders>
            <w:noWrap/>
            <w:vAlign w:val="center"/>
            <w:hideMark/>
          </w:tcPr>
          <w:p w14:paraId="247646AA" w14:textId="77777777" w:rsidR="00B56A7B" w:rsidRPr="000C156A" w:rsidRDefault="00B56A7B" w:rsidP="00EC26EC">
            <w:pPr>
              <w:keepNext/>
              <w:keepLines/>
              <w:spacing w:before="20" w:after="20"/>
              <w:rPr>
                <w:bCs/>
                <w:sz w:val="22"/>
                <w:szCs w:val="18"/>
                <w:lang w:val="en-US" w:eastAsia="zh-CN"/>
              </w:rPr>
            </w:pPr>
            <w:r w:rsidRPr="000C156A">
              <w:rPr>
                <w:rFonts w:hint="eastAsia"/>
                <w:bCs/>
                <w:sz w:val="22"/>
                <w:szCs w:val="18"/>
                <w:lang w:val="en-US" w:eastAsia="zh-CN"/>
              </w:rPr>
              <w:t>准备金的调整及其它费用</w:t>
            </w:r>
          </w:p>
        </w:tc>
        <w:tc>
          <w:tcPr>
            <w:tcW w:w="1834" w:type="dxa"/>
            <w:tcBorders>
              <w:top w:val="nil"/>
              <w:left w:val="single" w:sz="4" w:space="0" w:color="auto"/>
              <w:bottom w:val="nil"/>
              <w:right w:val="single" w:sz="4" w:space="0" w:color="auto"/>
            </w:tcBorders>
            <w:shd w:val="clear" w:color="auto" w:fill="auto"/>
            <w:vAlign w:val="bottom"/>
            <w:hideMark/>
          </w:tcPr>
          <w:p w14:paraId="68819B9B" w14:textId="2223C77A" w:rsidR="00B56A7B" w:rsidRPr="000C156A" w:rsidRDefault="00B56A7B" w:rsidP="00EC26EC">
            <w:pPr>
              <w:keepNext/>
              <w:keepLines/>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1</w:t>
            </w:r>
            <w:r w:rsidR="00EC26EC">
              <w:rPr>
                <w:rFonts w:cs="Calibri"/>
                <w:color w:val="000000"/>
                <w:sz w:val="22"/>
                <w:szCs w:val="22"/>
                <w:lang w:val="en-US" w:eastAsia="zh-CN"/>
              </w:rPr>
              <w:t> </w:t>
            </w:r>
            <w:r>
              <w:rPr>
                <w:rFonts w:cs="Calibri"/>
                <w:color w:val="000000"/>
                <w:sz w:val="22"/>
                <w:szCs w:val="22"/>
                <w:lang w:val="en-US" w:eastAsia="zh-CN"/>
              </w:rPr>
              <w:t>784</w:t>
            </w:r>
          </w:p>
        </w:tc>
        <w:tc>
          <w:tcPr>
            <w:tcW w:w="1820" w:type="dxa"/>
            <w:tcBorders>
              <w:top w:val="nil"/>
              <w:left w:val="nil"/>
              <w:bottom w:val="nil"/>
              <w:right w:val="single" w:sz="4" w:space="0" w:color="auto"/>
            </w:tcBorders>
            <w:shd w:val="clear" w:color="auto" w:fill="auto"/>
            <w:noWrap/>
            <w:vAlign w:val="bottom"/>
            <w:hideMark/>
          </w:tcPr>
          <w:p w14:paraId="4F3B7DD2" w14:textId="41E9F82D" w:rsidR="00B56A7B" w:rsidRPr="000C156A" w:rsidRDefault="00B56A7B" w:rsidP="00EC26EC">
            <w:pPr>
              <w:keepNext/>
              <w:keepLines/>
              <w:overflowPunct/>
              <w:autoSpaceDE/>
              <w:autoSpaceDN/>
              <w:adjustRightInd/>
              <w:spacing w:before="0"/>
              <w:jc w:val="right"/>
              <w:textAlignment w:val="auto"/>
              <w:rPr>
                <w:rFonts w:cs="Calibri"/>
                <w:color w:val="000000"/>
                <w:sz w:val="20"/>
                <w:lang w:val="en-US" w:eastAsia="zh-CN"/>
              </w:rPr>
            </w:pPr>
            <w:r>
              <w:rPr>
                <w:rFonts w:cs="Calibri"/>
                <w:color w:val="000000"/>
                <w:sz w:val="22"/>
                <w:szCs w:val="22"/>
                <w:lang w:val="en-US" w:eastAsia="zh-CN"/>
              </w:rPr>
              <w:t>7</w:t>
            </w:r>
            <w:r w:rsidR="00EC26EC">
              <w:rPr>
                <w:rFonts w:cs="Calibri"/>
                <w:color w:val="000000"/>
                <w:sz w:val="22"/>
                <w:szCs w:val="22"/>
                <w:lang w:val="en-US" w:eastAsia="zh-CN"/>
              </w:rPr>
              <w:t> </w:t>
            </w:r>
            <w:r>
              <w:rPr>
                <w:rFonts w:cs="Calibri"/>
                <w:color w:val="000000"/>
                <w:sz w:val="22"/>
                <w:szCs w:val="22"/>
                <w:lang w:val="en-US" w:eastAsia="zh-CN"/>
              </w:rPr>
              <w:t>289</w:t>
            </w:r>
          </w:p>
        </w:tc>
      </w:tr>
      <w:tr w:rsidR="00B56A7B" w:rsidRPr="000C156A" w14:paraId="0C2FB1E1" w14:textId="77777777" w:rsidTr="00CC47BD">
        <w:trPr>
          <w:trHeight w:val="20"/>
          <w:jc w:val="center"/>
        </w:trPr>
        <w:tc>
          <w:tcPr>
            <w:tcW w:w="5884" w:type="dxa"/>
            <w:tcBorders>
              <w:top w:val="nil"/>
              <w:left w:val="single" w:sz="4" w:space="0" w:color="auto"/>
              <w:bottom w:val="nil"/>
              <w:right w:val="single" w:sz="4" w:space="0" w:color="auto"/>
            </w:tcBorders>
            <w:noWrap/>
            <w:vAlign w:val="center"/>
          </w:tcPr>
          <w:p w14:paraId="74EDB4C8" w14:textId="77777777" w:rsidR="00B56A7B" w:rsidRPr="000C156A" w:rsidRDefault="00B56A7B" w:rsidP="00EC26EC">
            <w:pPr>
              <w:keepNext/>
              <w:keepLines/>
              <w:spacing w:before="20" w:after="20"/>
              <w:rPr>
                <w:bCs/>
                <w:sz w:val="22"/>
                <w:szCs w:val="18"/>
                <w:lang w:val="en-US" w:eastAsia="zh-CN"/>
              </w:rPr>
            </w:pPr>
          </w:p>
        </w:tc>
        <w:tc>
          <w:tcPr>
            <w:tcW w:w="1834" w:type="dxa"/>
            <w:tcBorders>
              <w:top w:val="nil"/>
              <w:left w:val="single" w:sz="4" w:space="0" w:color="auto"/>
              <w:bottom w:val="nil"/>
              <w:right w:val="single" w:sz="4" w:space="0" w:color="auto"/>
            </w:tcBorders>
            <w:shd w:val="clear" w:color="auto" w:fill="auto"/>
            <w:vAlign w:val="bottom"/>
          </w:tcPr>
          <w:p w14:paraId="5E3D6387" w14:textId="77777777" w:rsidR="00B56A7B" w:rsidRPr="000C156A" w:rsidRDefault="00B56A7B" w:rsidP="00EC26EC">
            <w:pPr>
              <w:keepNext/>
              <w:keepLines/>
              <w:overflowPunct/>
              <w:autoSpaceDE/>
              <w:autoSpaceDN/>
              <w:adjustRightInd/>
              <w:spacing w:before="0"/>
              <w:jc w:val="right"/>
              <w:textAlignment w:val="auto"/>
              <w:rPr>
                <w:rFonts w:cs="Calibri"/>
                <w:color w:val="000000"/>
                <w:sz w:val="20"/>
                <w:lang w:val="en-US" w:eastAsia="zh-CN"/>
              </w:rPr>
            </w:pPr>
            <w:r w:rsidRPr="00697427">
              <w:rPr>
                <w:rFonts w:cs="Calibri"/>
                <w:color w:val="000000"/>
                <w:sz w:val="22"/>
                <w:szCs w:val="22"/>
                <w:lang w:val="en-US" w:eastAsia="zh-CN"/>
              </w:rPr>
              <w:t> </w:t>
            </w:r>
          </w:p>
        </w:tc>
        <w:tc>
          <w:tcPr>
            <w:tcW w:w="1820" w:type="dxa"/>
            <w:tcBorders>
              <w:top w:val="nil"/>
              <w:left w:val="nil"/>
              <w:bottom w:val="single" w:sz="4" w:space="0" w:color="auto"/>
              <w:right w:val="single" w:sz="4" w:space="0" w:color="auto"/>
            </w:tcBorders>
            <w:shd w:val="clear" w:color="auto" w:fill="auto"/>
            <w:noWrap/>
            <w:vAlign w:val="bottom"/>
          </w:tcPr>
          <w:p w14:paraId="74200A15" w14:textId="77777777" w:rsidR="00B56A7B" w:rsidRPr="000C156A" w:rsidRDefault="00B56A7B" w:rsidP="00EC26EC">
            <w:pPr>
              <w:keepNext/>
              <w:keepLines/>
              <w:overflowPunct/>
              <w:autoSpaceDE/>
              <w:autoSpaceDN/>
              <w:adjustRightInd/>
              <w:spacing w:before="0"/>
              <w:jc w:val="right"/>
              <w:textAlignment w:val="auto"/>
              <w:rPr>
                <w:rFonts w:cs="Calibri"/>
                <w:color w:val="000000"/>
                <w:sz w:val="20"/>
                <w:lang w:val="en-US" w:eastAsia="zh-CN"/>
              </w:rPr>
            </w:pPr>
            <w:r w:rsidRPr="00697427">
              <w:rPr>
                <w:rFonts w:cs="Calibri"/>
                <w:color w:val="000000"/>
                <w:sz w:val="22"/>
                <w:szCs w:val="22"/>
                <w:lang w:val="en-US" w:eastAsia="zh-CN"/>
              </w:rPr>
              <w:t> </w:t>
            </w:r>
          </w:p>
        </w:tc>
      </w:tr>
      <w:tr w:rsidR="00B56A7B" w:rsidRPr="000C156A" w14:paraId="1A5F47E3" w14:textId="77777777" w:rsidTr="00CC47BD">
        <w:trPr>
          <w:trHeight w:val="20"/>
          <w:jc w:val="center"/>
        </w:trPr>
        <w:tc>
          <w:tcPr>
            <w:tcW w:w="5884" w:type="dxa"/>
            <w:tcBorders>
              <w:top w:val="single" w:sz="4" w:space="0" w:color="auto"/>
              <w:left w:val="single" w:sz="4" w:space="0" w:color="auto"/>
              <w:bottom w:val="single" w:sz="4" w:space="0" w:color="auto"/>
              <w:right w:val="single" w:sz="4" w:space="0" w:color="auto"/>
            </w:tcBorders>
            <w:noWrap/>
            <w:vAlign w:val="center"/>
            <w:hideMark/>
          </w:tcPr>
          <w:p w14:paraId="1CC7CE18" w14:textId="77777777" w:rsidR="00B56A7B" w:rsidRPr="000C156A" w:rsidRDefault="00B56A7B" w:rsidP="00EC26EC">
            <w:pPr>
              <w:keepNext/>
              <w:keepLines/>
              <w:spacing w:before="20" w:after="20"/>
              <w:rPr>
                <w:b/>
                <w:sz w:val="22"/>
                <w:szCs w:val="18"/>
                <w:lang w:val="en-US"/>
              </w:rPr>
            </w:pPr>
            <w:r w:rsidRPr="000C156A">
              <w:rPr>
                <w:rFonts w:hint="eastAsia"/>
                <w:b/>
                <w:sz w:val="22"/>
                <w:szCs w:val="18"/>
                <w:lang w:val="en-US"/>
              </w:rPr>
              <w:t>其它费用</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A41E4" w14:textId="5CF005BB" w:rsidR="00B56A7B" w:rsidRPr="000C156A" w:rsidRDefault="00B56A7B" w:rsidP="00EC26EC">
            <w:pPr>
              <w:keepNext/>
              <w:keepLines/>
              <w:overflowPunct/>
              <w:autoSpaceDE/>
              <w:autoSpaceDN/>
              <w:adjustRightInd/>
              <w:spacing w:before="0"/>
              <w:jc w:val="right"/>
              <w:textAlignment w:val="auto"/>
              <w:rPr>
                <w:rFonts w:cs="Calibri"/>
                <w:b/>
                <w:bCs/>
                <w:color w:val="000000"/>
                <w:sz w:val="20"/>
                <w:lang w:val="en-US" w:eastAsia="zh-CN"/>
              </w:rPr>
            </w:pPr>
            <w:r>
              <w:rPr>
                <w:rFonts w:cs="Calibri"/>
                <w:b/>
                <w:bCs/>
                <w:color w:val="000000"/>
                <w:sz w:val="22"/>
                <w:szCs w:val="22"/>
              </w:rPr>
              <w:t>2</w:t>
            </w:r>
            <w:r w:rsidR="00EC26EC">
              <w:rPr>
                <w:rFonts w:cs="Calibri"/>
                <w:b/>
                <w:bCs/>
                <w:color w:val="000000"/>
                <w:sz w:val="22"/>
                <w:szCs w:val="22"/>
              </w:rPr>
              <w:t> </w:t>
            </w:r>
            <w:r>
              <w:rPr>
                <w:rFonts w:cs="Calibri"/>
                <w:b/>
                <w:bCs/>
                <w:color w:val="000000"/>
                <w:sz w:val="22"/>
                <w:szCs w:val="22"/>
              </w:rPr>
              <w:t>937</w:t>
            </w:r>
          </w:p>
        </w:tc>
        <w:tc>
          <w:tcPr>
            <w:tcW w:w="1820" w:type="dxa"/>
            <w:tcBorders>
              <w:top w:val="nil"/>
              <w:left w:val="nil"/>
              <w:bottom w:val="single" w:sz="4" w:space="0" w:color="auto"/>
              <w:right w:val="single" w:sz="4" w:space="0" w:color="auto"/>
            </w:tcBorders>
            <w:shd w:val="clear" w:color="auto" w:fill="auto"/>
            <w:noWrap/>
            <w:vAlign w:val="center"/>
            <w:hideMark/>
          </w:tcPr>
          <w:p w14:paraId="2DFE9322" w14:textId="73E30F56" w:rsidR="00B56A7B" w:rsidRPr="000C156A" w:rsidRDefault="00B56A7B" w:rsidP="00EC26EC">
            <w:pPr>
              <w:keepNext/>
              <w:keepLines/>
              <w:overflowPunct/>
              <w:autoSpaceDE/>
              <w:autoSpaceDN/>
              <w:adjustRightInd/>
              <w:spacing w:before="0"/>
              <w:jc w:val="right"/>
              <w:textAlignment w:val="auto"/>
              <w:rPr>
                <w:rFonts w:cs="Calibri"/>
                <w:b/>
                <w:bCs/>
                <w:color w:val="000000"/>
                <w:sz w:val="20"/>
                <w:lang w:val="en-US" w:eastAsia="zh-CN"/>
              </w:rPr>
            </w:pPr>
            <w:r>
              <w:rPr>
                <w:rFonts w:cs="Calibri"/>
                <w:b/>
                <w:bCs/>
                <w:color w:val="000000"/>
                <w:sz w:val="22"/>
                <w:szCs w:val="22"/>
              </w:rPr>
              <w:t>8</w:t>
            </w:r>
            <w:r w:rsidR="00EC26EC">
              <w:rPr>
                <w:rFonts w:cs="Calibri"/>
                <w:b/>
                <w:bCs/>
                <w:color w:val="000000"/>
                <w:sz w:val="22"/>
                <w:szCs w:val="22"/>
              </w:rPr>
              <w:t> </w:t>
            </w:r>
            <w:r>
              <w:rPr>
                <w:rFonts w:cs="Calibri"/>
                <w:b/>
                <w:bCs/>
                <w:color w:val="000000"/>
                <w:sz w:val="22"/>
                <w:szCs w:val="22"/>
              </w:rPr>
              <w:t>306</w:t>
            </w:r>
          </w:p>
        </w:tc>
      </w:tr>
    </w:tbl>
    <w:p w14:paraId="54557C59" w14:textId="77777777" w:rsidR="00B56A7B" w:rsidRPr="000C156A" w:rsidRDefault="00B56A7B" w:rsidP="00B56A7B">
      <w:pPr>
        <w:spacing w:before="240"/>
        <w:ind w:firstLineChars="200" w:firstLine="480"/>
        <w:rPr>
          <w:lang w:eastAsia="zh-CN"/>
        </w:rPr>
      </w:pPr>
      <w:r w:rsidRPr="000C156A">
        <w:rPr>
          <w:rFonts w:hint="eastAsia"/>
          <w:lang w:eastAsia="zh-CN"/>
        </w:rPr>
        <w:t>其它费用与由意大利审计院进行的国际电联账簿和账目的法定年度审计有关，而且还与国际电联参加各组织间委员会和联合国的服务相关，诸如联合国检查组、联合国管理事务高级别委员会以及信息通信技术署。</w:t>
      </w:r>
    </w:p>
    <w:p w14:paraId="6E90349A" w14:textId="77777777" w:rsidR="00B56A7B" w:rsidRPr="000C156A" w:rsidRDefault="00B56A7B" w:rsidP="00B56A7B">
      <w:pPr>
        <w:ind w:firstLineChars="200" w:firstLine="480"/>
        <w:rPr>
          <w:rFonts w:cs="Calibri"/>
          <w:lang w:val="en-US" w:eastAsia="zh-CN"/>
        </w:rPr>
      </w:pPr>
      <w:r w:rsidRPr="000C156A">
        <w:rPr>
          <w:rFonts w:cs="Calibri" w:hint="eastAsia"/>
          <w:lang w:val="en-US" w:eastAsia="zh-CN"/>
        </w:rPr>
        <w:t>法律支出包含未结案件的结果的估计费用以及法院受理的案件的平均行政费用。</w:t>
      </w:r>
    </w:p>
    <w:p w14:paraId="2D3EE2B8" w14:textId="77777777" w:rsidR="00B56A7B" w:rsidRPr="000C156A" w:rsidRDefault="00B56A7B" w:rsidP="00B56A7B">
      <w:pPr>
        <w:ind w:firstLineChars="200" w:firstLine="480"/>
        <w:rPr>
          <w:szCs w:val="24"/>
          <w:lang w:val="en-US" w:eastAsia="zh-CN"/>
        </w:rPr>
      </w:pPr>
      <w:r w:rsidRPr="000C156A">
        <w:rPr>
          <w:rFonts w:ascii="SimSun" w:hAnsi="SimSun" w:hint="eastAsia"/>
          <w:szCs w:val="24"/>
          <w:lang w:val="en-US" w:eastAsia="zh-CN"/>
        </w:rPr>
        <w:t>“</w:t>
      </w:r>
      <w:r w:rsidRPr="000C156A">
        <w:rPr>
          <w:rFonts w:hint="eastAsia"/>
          <w:szCs w:val="24"/>
          <w:lang w:val="en-US" w:eastAsia="zh-CN"/>
        </w:rPr>
        <w:t>准备金</w:t>
      </w:r>
      <w:r w:rsidRPr="000C156A">
        <w:rPr>
          <w:rFonts w:hint="eastAsia"/>
          <w:szCs w:val="24"/>
          <w:lang w:eastAsia="zh-CN"/>
        </w:rPr>
        <w:t>的调整</w:t>
      </w:r>
      <w:r w:rsidRPr="000C156A">
        <w:rPr>
          <w:rFonts w:hint="eastAsia"/>
          <w:szCs w:val="24"/>
          <w:lang w:val="en-US" w:eastAsia="zh-CN"/>
        </w:rPr>
        <w:t>及其他费用</w:t>
      </w:r>
      <w:r w:rsidRPr="000C156A">
        <w:rPr>
          <w:rFonts w:ascii="SimSun" w:hAnsi="SimSun" w:hint="eastAsia"/>
          <w:szCs w:val="24"/>
          <w:lang w:val="en-US" w:eastAsia="zh-CN"/>
        </w:rPr>
        <w:t>”</w:t>
      </w:r>
      <w:r w:rsidRPr="000C156A">
        <w:rPr>
          <w:rFonts w:hint="eastAsia"/>
          <w:szCs w:val="24"/>
          <w:lang w:val="en-US" w:eastAsia="zh-CN"/>
        </w:rPr>
        <w:t>主要是用来解决因支付过期应收款项造成的疑似债务。</w:t>
      </w:r>
    </w:p>
    <w:p w14:paraId="608C8089" w14:textId="77777777" w:rsidR="00B56A7B" w:rsidRPr="000C156A" w:rsidRDefault="00B56A7B" w:rsidP="00B56A7B">
      <w:pPr>
        <w:ind w:firstLineChars="200" w:firstLine="480"/>
        <w:rPr>
          <w:bCs/>
          <w:szCs w:val="24"/>
          <w:lang w:val="en-US" w:eastAsia="zh-CN"/>
        </w:rPr>
      </w:pPr>
      <w:r w:rsidRPr="005879C2">
        <w:rPr>
          <w:rFonts w:hint="eastAsia"/>
          <w:bCs/>
          <w:szCs w:val="24"/>
          <w:lang w:eastAsia="zh-CN"/>
        </w:rPr>
        <w:t>2021</w:t>
      </w:r>
      <w:r w:rsidRPr="005879C2">
        <w:rPr>
          <w:rFonts w:hint="eastAsia"/>
          <w:bCs/>
          <w:szCs w:val="24"/>
          <w:lang w:eastAsia="zh-CN"/>
        </w:rPr>
        <w:t>年，其他费用回</w:t>
      </w:r>
      <w:r>
        <w:rPr>
          <w:rFonts w:hint="eastAsia"/>
          <w:bCs/>
          <w:szCs w:val="24"/>
          <w:lang w:eastAsia="zh-CN"/>
        </w:rPr>
        <w:t>归</w:t>
      </w:r>
      <w:r w:rsidRPr="005879C2">
        <w:rPr>
          <w:rFonts w:hint="eastAsia"/>
          <w:bCs/>
          <w:szCs w:val="24"/>
          <w:lang w:eastAsia="zh-CN"/>
        </w:rPr>
        <w:t>通常的成本水平。向区域性举措项目供资</w:t>
      </w:r>
      <w:r>
        <w:rPr>
          <w:rFonts w:hint="eastAsia"/>
          <w:bCs/>
          <w:szCs w:val="24"/>
          <w:lang w:eastAsia="zh-CN"/>
        </w:rPr>
        <w:t>，是</w:t>
      </w:r>
      <w:r w:rsidRPr="005879C2">
        <w:rPr>
          <w:rFonts w:hint="eastAsia"/>
          <w:bCs/>
          <w:szCs w:val="24"/>
          <w:lang w:eastAsia="zh-CN"/>
        </w:rPr>
        <w:t>2020</w:t>
      </w:r>
      <w:r w:rsidRPr="005879C2">
        <w:rPr>
          <w:rFonts w:hint="eastAsia"/>
          <w:bCs/>
          <w:szCs w:val="24"/>
          <w:lang w:eastAsia="zh-CN"/>
        </w:rPr>
        <w:t>年异常高企的主</w:t>
      </w:r>
      <w:r>
        <w:rPr>
          <w:rFonts w:hint="eastAsia"/>
          <w:bCs/>
          <w:szCs w:val="24"/>
          <w:lang w:eastAsia="zh-CN"/>
        </w:rPr>
        <w:t>因</w:t>
      </w:r>
      <w:r w:rsidRPr="005879C2">
        <w:rPr>
          <w:rFonts w:hint="eastAsia"/>
          <w:bCs/>
          <w:szCs w:val="24"/>
          <w:lang w:eastAsia="zh-CN"/>
        </w:rPr>
        <w:t>。</w:t>
      </w:r>
    </w:p>
    <w:p w14:paraId="092C03DB" w14:textId="77777777" w:rsidR="00B56A7B" w:rsidRPr="000D37DF" w:rsidRDefault="00B56A7B" w:rsidP="000D37DF">
      <w:pPr>
        <w:pStyle w:val="Heading1"/>
        <w:spacing w:before="240" w:after="120"/>
        <w:rPr>
          <w:rFonts w:cs="Microsoft YaHei"/>
          <w:sz w:val="24"/>
          <w:szCs w:val="24"/>
          <w:lang w:val="fr-FR" w:eastAsia="zh-CN"/>
        </w:rPr>
      </w:pPr>
      <w:bookmarkStart w:id="1130" w:name="_Toc73518724"/>
      <w:bookmarkStart w:id="1131" w:name="_Toc73518871"/>
      <w:bookmarkStart w:id="1132" w:name="_Toc73519271"/>
      <w:bookmarkStart w:id="1133" w:name="_Toc110265743"/>
      <w:bookmarkStart w:id="1134" w:name="_Toc110330113"/>
      <w:bookmarkStart w:id="1135" w:name="_Toc110330278"/>
      <w:bookmarkEnd w:id="1128"/>
      <w:bookmarkEnd w:id="1129"/>
      <w:r w:rsidRPr="000D37DF">
        <w:rPr>
          <w:rFonts w:cs="Microsoft YaHei" w:hint="eastAsia"/>
          <w:sz w:val="24"/>
          <w:szCs w:val="24"/>
          <w:lang w:val="fr-FR" w:eastAsia="zh-CN"/>
        </w:rPr>
        <w:t>理财费用</w:t>
      </w:r>
      <w:bookmarkEnd w:id="1130"/>
      <w:bookmarkEnd w:id="1131"/>
      <w:bookmarkEnd w:id="1132"/>
      <w:bookmarkEnd w:id="1133"/>
      <w:bookmarkEnd w:id="1134"/>
      <w:bookmarkEnd w:id="1135"/>
    </w:p>
    <w:tbl>
      <w:tblPr>
        <w:tblW w:w="9551" w:type="dxa"/>
        <w:jc w:val="center"/>
        <w:tblLayout w:type="fixed"/>
        <w:tblLook w:val="04A0" w:firstRow="1" w:lastRow="0" w:firstColumn="1" w:lastColumn="0" w:noHBand="0" w:noVBand="1"/>
      </w:tblPr>
      <w:tblGrid>
        <w:gridCol w:w="5892"/>
        <w:gridCol w:w="1834"/>
        <w:gridCol w:w="1825"/>
      </w:tblGrid>
      <w:tr w:rsidR="00B56A7B" w:rsidRPr="000C156A" w14:paraId="3B937A6E" w14:textId="77777777" w:rsidTr="00CC47BD">
        <w:trPr>
          <w:trHeight w:val="429"/>
          <w:jc w:val="center"/>
        </w:trPr>
        <w:tc>
          <w:tcPr>
            <w:tcW w:w="5892" w:type="dxa"/>
            <w:tcBorders>
              <w:top w:val="single" w:sz="4" w:space="0" w:color="auto"/>
              <w:left w:val="single" w:sz="4" w:space="0" w:color="auto"/>
              <w:bottom w:val="single" w:sz="4" w:space="0" w:color="auto"/>
              <w:right w:val="single" w:sz="4" w:space="0" w:color="auto"/>
            </w:tcBorders>
            <w:noWrap/>
            <w:vAlign w:val="center"/>
            <w:hideMark/>
          </w:tcPr>
          <w:p w14:paraId="789C943D" w14:textId="77777777" w:rsidR="00B56A7B" w:rsidRPr="000C156A" w:rsidRDefault="00B56A7B" w:rsidP="00CC47BD">
            <w:pPr>
              <w:keepNext/>
              <w:spacing w:before="20" w:after="20"/>
              <w:rPr>
                <w:b/>
                <w:sz w:val="22"/>
                <w:szCs w:val="18"/>
                <w:lang w:val="en-US"/>
              </w:rPr>
            </w:pPr>
            <w:r w:rsidRPr="000C156A">
              <w:rPr>
                <w:rFonts w:ascii="SimSun" w:hAnsi="SimSun" w:cs="SimSun" w:hint="eastAsia"/>
                <w:b/>
                <w:sz w:val="22"/>
                <w:szCs w:val="18"/>
                <w:lang w:val="en-US"/>
              </w:rPr>
              <w:t>单位：千瑞郎</w:t>
            </w:r>
          </w:p>
        </w:tc>
        <w:tc>
          <w:tcPr>
            <w:tcW w:w="1834" w:type="dxa"/>
            <w:tcBorders>
              <w:top w:val="single" w:sz="4" w:space="0" w:color="auto"/>
              <w:left w:val="single" w:sz="4" w:space="0" w:color="auto"/>
              <w:bottom w:val="single" w:sz="4" w:space="0" w:color="auto"/>
              <w:right w:val="single" w:sz="4" w:space="0" w:color="auto"/>
            </w:tcBorders>
            <w:vAlign w:val="center"/>
            <w:hideMark/>
          </w:tcPr>
          <w:p w14:paraId="29EFE465" w14:textId="77777777" w:rsidR="00B56A7B" w:rsidRPr="000C156A" w:rsidRDefault="00B56A7B" w:rsidP="00CC47BD">
            <w:pPr>
              <w:spacing w:before="20" w:after="20"/>
              <w:jc w:val="right"/>
              <w:rPr>
                <w:b/>
                <w:sz w:val="22"/>
                <w:szCs w:val="22"/>
                <w:lang w:val="en-US"/>
              </w:rPr>
            </w:pPr>
            <w:r w:rsidRPr="000C156A">
              <w:rPr>
                <w:b/>
                <w:sz w:val="22"/>
                <w:szCs w:val="22"/>
                <w:lang w:val="en-US"/>
              </w:rPr>
              <w:t>20</w:t>
            </w:r>
            <w:r w:rsidRPr="000C156A">
              <w:rPr>
                <w:rFonts w:hint="eastAsia"/>
                <w:b/>
                <w:sz w:val="22"/>
                <w:szCs w:val="22"/>
                <w:lang w:val="en-US" w:eastAsia="zh-CN"/>
              </w:rPr>
              <w:t>2</w:t>
            </w:r>
            <w:r>
              <w:rPr>
                <w:rFonts w:hint="eastAsia"/>
                <w:b/>
                <w:sz w:val="22"/>
                <w:szCs w:val="22"/>
                <w:lang w:val="en-US" w:eastAsia="zh-CN"/>
              </w:rPr>
              <w:t>1</w:t>
            </w:r>
            <w:r w:rsidRPr="000C156A">
              <w:rPr>
                <w:rFonts w:ascii="SimSun" w:hAnsi="SimSun" w:cs="SimSun" w:hint="eastAsia"/>
                <w:b/>
                <w:sz w:val="22"/>
                <w:szCs w:val="22"/>
                <w:lang w:val="en-US"/>
              </w:rPr>
              <w:t>年</w:t>
            </w:r>
          </w:p>
        </w:tc>
        <w:tc>
          <w:tcPr>
            <w:tcW w:w="1825" w:type="dxa"/>
            <w:tcBorders>
              <w:top w:val="single" w:sz="4" w:space="0" w:color="auto"/>
              <w:left w:val="single" w:sz="4" w:space="0" w:color="auto"/>
              <w:bottom w:val="single" w:sz="4" w:space="0" w:color="auto"/>
              <w:right w:val="single" w:sz="4" w:space="0" w:color="auto"/>
            </w:tcBorders>
            <w:vAlign w:val="center"/>
            <w:hideMark/>
          </w:tcPr>
          <w:p w14:paraId="7319B075" w14:textId="77777777" w:rsidR="00B56A7B" w:rsidRPr="000C156A" w:rsidRDefault="00B56A7B" w:rsidP="00CC47BD">
            <w:pPr>
              <w:spacing w:before="20" w:after="20"/>
              <w:jc w:val="right"/>
              <w:rPr>
                <w:b/>
                <w:sz w:val="22"/>
                <w:szCs w:val="22"/>
                <w:lang w:val="en-US"/>
              </w:rPr>
            </w:pPr>
            <w:r>
              <w:rPr>
                <w:b/>
                <w:sz w:val="22"/>
                <w:szCs w:val="22"/>
                <w:lang w:val="en-US"/>
              </w:rPr>
              <w:t>2020</w:t>
            </w:r>
            <w:r w:rsidRPr="000C156A">
              <w:rPr>
                <w:rFonts w:ascii="SimSun" w:hAnsi="SimSun" w:cs="SimSun" w:hint="eastAsia"/>
                <w:b/>
                <w:sz w:val="22"/>
                <w:szCs w:val="22"/>
                <w:lang w:val="en-US"/>
              </w:rPr>
              <w:t>年</w:t>
            </w:r>
          </w:p>
        </w:tc>
      </w:tr>
      <w:tr w:rsidR="00B56A7B" w:rsidRPr="000C156A" w14:paraId="2176A770" w14:textId="77777777" w:rsidTr="00CC47BD">
        <w:trPr>
          <w:trHeight w:val="20"/>
          <w:jc w:val="center"/>
        </w:trPr>
        <w:tc>
          <w:tcPr>
            <w:tcW w:w="5892" w:type="dxa"/>
            <w:tcBorders>
              <w:top w:val="single" w:sz="4" w:space="0" w:color="auto"/>
              <w:left w:val="single" w:sz="4" w:space="0" w:color="auto"/>
              <w:right w:val="single" w:sz="4" w:space="0" w:color="auto"/>
            </w:tcBorders>
            <w:noWrap/>
            <w:vAlign w:val="center"/>
          </w:tcPr>
          <w:p w14:paraId="23CCA69A" w14:textId="77777777" w:rsidR="00B56A7B" w:rsidRPr="000C156A" w:rsidRDefault="00B56A7B" w:rsidP="00CC47BD">
            <w:pPr>
              <w:keepNext/>
              <w:spacing w:before="20" w:after="20"/>
              <w:rPr>
                <w:b/>
                <w:sz w:val="22"/>
                <w:szCs w:val="18"/>
                <w:lang w:val="en-US" w:eastAsia="zh-CN"/>
              </w:rPr>
            </w:pPr>
          </w:p>
        </w:tc>
        <w:tc>
          <w:tcPr>
            <w:tcW w:w="1834" w:type="dxa"/>
            <w:tcBorders>
              <w:top w:val="nil"/>
              <w:left w:val="single" w:sz="4" w:space="0" w:color="auto"/>
              <w:bottom w:val="nil"/>
              <w:right w:val="single" w:sz="4" w:space="0" w:color="auto"/>
            </w:tcBorders>
            <w:shd w:val="clear" w:color="auto" w:fill="auto"/>
            <w:vAlign w:val="bottom"/>
          </w:tcPr>
          <w:p w14:paraId="7D203736" w14:textId="77777777" w:rsidR="00B56A7B" w:rsidRPr="000C156A" w:rsidRDefault="00B56A7B" w:rsidP="00CC47BD">
            <w:pPr>
              <w:overflowPunct/>
              <w:autoSpaceDE/>
              <w:autoSpaceDN/>
              <w:adjustRightInd/>
              <w:spacing w:before="0"/>
              <w:textAlignment w:val="auto"/>
              <w:rPr>
                <w:rFonts w:cs="Calibri"/>
                <w:color w:val="000000"/>
                <w:sz w:val="20"/>
                <w:lang w:val="en-US" w:eastAsia="zh-CN"/>
              </w:rPr>
            </w:pPr>
            <w:r w:rsidRPr="000C156A">
              <w:rPr>
                <w:rFonts w:cs="Calibri"/>
                <w:color w:val="000000"/>
                <w:sz w:val="20"/>
                <w:lang w:val="en-US" w:eastAsia="zh-CN"/>
              </w:rPr>
              <w:t> </w:t>
            </w:r>
          </w:p>
        </w:tc>
        <w:tc>
          <w:tcPr>
            <w:tcW w:w="1825" w:type="dxa"/>
            <w:tcBorders>
              <w:top w:val="nil"/>
              <w:left w:val="nil"/>
              <w:bottom w:val="nil"/>
              <w:right w:val="single" w:sz="4" w:space="0" w:color="auto"/>
            </w:tcBorders>
            <w:shd w:val="clear" w:color="auto" w:fill="auto"/>
            <w:noWrap/>
            <w:vAlign w:val="bottom"/>
          </w:tcPr>
          <w:p w14:paraId="57F30794" w14:textId="77777777" w:rsidR="00B56A7B" w:rsidRPr="000C156A" w:rsidRDefault="00B56A7B" w:rsidP="00CC47BD">
            <w:pPr>
              <w:overflowPunct/>
              <w:autoSpaceDE/>
              <w:autoSpaceDN/>
              <w:adjustRightInd/>
              <w:spacing w:before="0"/>
              <w:jc w:val="center"/>
              <w:textAlignment w:val="auto"/>
              <w:rPr>
                <w:rFonts w:cs="Calibri"/>
                <w:color w:val="000000"/>
                <w:sz w:val="20"/>
                <w:lang w:val="en-US" w:eastAsia="zh-CN"/>
              </w:rPr>
            </w:pPr>
            <w:r w:rsidRPr="000C156A">
              <w:rPr>
                <w:rFonts w:cs="Calibri"/>
                <w:color w:val="000000"/>
                <w:sz w:val="20"/>
                <w:lang w:val="en-US" w:eastAsia="zh-CN"/>
              </w:rPr>
              <w:t> </w:t>
            </w:r>
          </w:p>
        </w:tc>
      </w:tr>
      <w:tr w:rsidR="00B56A7B" w:rsidRPr="000C156A" w14:paraId="02A83CD3" w14:textId="77777777" w:rsidTr="00CC47BD">
        <w:trPr>
          <w:trHeight w:val="20"/>
          <w:jc w:val="center"/>
        </w:trPr>
        <w:tc>
          <w:tcPr>
            <w:tcW w:w="5892" w:type="dxa"/>
            <w:tcBorders>
              <w:left w:val="single" w:sz="4" w:space="0" w:color="auto"/>
              <w:bottom w:val="nil"/>
              <w:right w:val="single" w:sz="4" w:space="0" w:color="auto"/>
            </w:tcBorders>
            <w:noWrap/>
            <w:vAlign w:val="center"/>
            <w:hideMark/>
          </w:tcPr>
          <w:p w14:paraId="60023207" w14:textId="77777777" w:rsidR="00B56A7B" w:rsidRPr="000C156A" w:rsidRDefault="00B56A7B" w:rsidP="00CC47BD">
            <w:pPr>
              <w:keepNext/>
              <w:spacing w:before="20" w:after="20"/>
              <w:rPr>
                <w:bCs/>
                <w:sz w:val="22"/>
                <w:szCs w:val="18"/>
                <w:lang w:val="en-US" w:eastAsia="zh-CN"/>
              </w:rPr>
            </w:pPr>
            <w:r w:rsidRPr="000C156A">
              <w:rPr>
                <w:rFonts w:hint="eastAsia"/>
                <w:bCs/>
                <w:sz w:val="22"/>
                <w:szCs w:val="18"/>
                <w:lang w:val="en-US" w:eastAsia="zh-CN"/>
              </w:rPr>
              <w:t>银行收费</w:t>
            </w:r>
          </w:p>
        </w:tc>
        <w:tc>
          <w:tcPr>
            <w:tcW w:w="1834" w:type="dxa"/>
            <w:tcBorders>
              <w:top w:val="nil"/>
              <w:left w:val="single" w:sz="4" w:space="0" w:color="auto"/>
              <w:bottom w:val="nil"/>
              <w:right w:val="single" w:sz="4" w:space="0" w:color="auto"/>
            </w:tcBorders>
            <w:shd w:val="clear" w:color="auto" w:fill="auto"/>
            <w:vAlign w:val="bottom"/>
            <w:hideMark/>
          </w:tcPr>
          <w:p w14:paraId="4F46152D"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550</w:t>
            </w:r>
          </w:p>
        </w:tc>
        <w:tc>
          <w:tcPr>
            <w:tcW w:w="1825" w:type="dxa"/>
            <w:tcBorders>
              <w:top w:val="nil"/>
              <w:left w:val="nil"/>
              <w:bottom w:val="nil"/>
              <w:right w:val="single" w:sz="4" w:space="0" w:color="auto"/>
            </w:tcBorders>
            <w:shd w:val="clear" w:color="auto" w:fill="auto"/>
            <w:noWrap/>
            <w:vAlign w:val="bottom"/>
            <w:hideMark/>
          </w:tcPr>
          <w:p w14:paraId="4EA748FF"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143</w:t>
            </w:r>
          </w:p>
        </w:tc>
      </w:tr>
      <w:tr w:rsidR="00B56A7B" w:rsidRPr="000C156A" w14:paraId="3A866806" w14:textId="77777777" w:rsidTr="00CC47BD">
        <w:trPr>
          <w:trHeight w:val="20"/>
          <w:jc w:val="center"/>
        </w:trPr>
        <w:tc>
          <w:tcPr>
            <w:tcW w:w="5892" w:type="dxa"/>
            <w:tcBorders>
              <w:top w:val="nil"/>
              <w:left w:val="single" w:sz="4" w:space="0" w:color="auto"/>
              <w:bottom w:val="nil"/>
              <w:right w:val="single" w:sz="4" w:space="0" w:color="auto"/>
            </w:tcBorders>
            <w:noWrap/>
            <w:vAlign w:val="center"/>
            <w:hideMark/>
          </w:tcPr>
          <w:p w14:paraId="0B322A7F" w14:textId="77777777" w:rsidR="00B56A7B" w:rsidRPr="000C156A" w:rsidRDefault="00B56A7B" w:rsidP="00CC47BD">
            <w:pPr>
              <w:keepNext/>
              <w:spacing w:before="20" w:after="20"/>
              <w:rPr>
                <w:bCs/>
                <w:sz w:val="22"/>
                <w:szCs w:val="18"/>
                <w:lang w:val="en-US" w:eastAsia="zh-CN"/>
              </w:rPr>
            </w:pPr>
            <w:r w:rsidRPr="000C156A">
              <w:rPr>
                <w:rFonts w:hint="eastAsia"/>
                <w:bCs/>
                <w:sz w:val="22"/>
                <w:szCs w:val="18"/>
                <w:lang w:val="en-US" w:eastAsia="zh-CN"/>
              </w:rPr>
              <w:t>已实现的汇率损失</w:t>
            </w:r>
          </w:p>
        </w:tc>
        <w:tc>
          <w:tcPr>
            <w:tcW w:w="1834" w:type="dxa"/>
            <w:tcBorders>
              <w:top w:val="nil"/>
              <w:left w:val="single" w:sz="4" w:space="0" w:color="auto"/>
              <w:bottom w:val="nil"/>
              <w:right w:val="single" w:sz="4" w:space="0" w:color="auto"/>
            </w:tcBorders>
            <w:shd w:val="clear" w:color="auto" w:fill="auto"/>
            <w:vAlign w:val="bottom"/>
            <w:hideMark/>
          </w:tcPr>
          <w:p w14:paraId="1E94F453"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133</w:t>
            </w:r>
          </w:p>
        </w:tc>
        <w:tc>
          <w:tcPr>
            <w:tcW w:w="1825" w:type="dxa"/>
            <w:tcBorders>
              <w:top w:val="nil"/>
              <w:left w:val="nil"/>
              <w:bottom w:val="nil"/>
              <w:right w:val="single" w:sz="4" w:space="0" w:color="auto"/>
            </w:tcBorders>
            <w:shd w:val="clear" w:color="auto" w:fill="auto"/>
            <w:noWrap/>
            <w:vAlign w:val="bottom"/>
            <w:hideMark/>
          </w:tcPr>
          <w:p w14:paraId="536DE8BC"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210</w:t>
            </w:r>
          </w:p>
        </w:tc>
      </w:tr>
      <w:tr w:rsidR="00B56A7B" w:rsidRPr="000C156A" w14:paraId="4303005D" w14:textId="77777777" w:rsidTr="00CC47BD">
        <w:trPr>
          <w:trHeight w:val="20"/>
          <w:jc w:val="center"/>
        </w:trPr>
        <w:tc>
          <w:tcPr>
            <w:tcW w:w="5892" w:type="dxa"/>
            <w:tcBorders>
              <w:top w:val="nil"/>
              <w:left w:val="single" w:sz="4" w:space="0" w:color="auto"/>
              <w:right w:val="single" w:sz="4" w:space="0" w:color="auto"/>
            </w:tcBorders>
            <w:noWrap/>
            <w:vAlign w:val="center"/>
            <w:hideMark/>
          </w:tcPr>
          <w:p w14:paraId="515189BE" w14:textId="77777777" w:rsidR="00B56A7B" w:rsidRPr="000C156A" w:rsidRDefault="00B56A7B" w:rsidP="00CC47BD">
            <w:pPr>
              <w:keepNext/>
              <w:spacing w:before="20" w:after="20"/>
              <w:rPr>
                <w:bCs/>
                <w:sz w:val="22"/>
                <w:szCs w:val="18"/>
                <w:lang w:val="en-US" w:eastAsia="zh-CN"/>
              </w:rPr>
            </w:pPr>
            <w:r w:rsidRPr="000C156A">
              <w:rPr>
                <w:rFonts w:hint="eastAsia"/>
                <w:bCs/>
                <w:sz w:val="22"/>
                <w:szCs w:val="18"/>
                <w:lang w:val="en-US" w:eastAsia="zh-CN"/>
              </w:rPr>
              <w:t>未实现的汇率损失</w:t>
            </w:r>
          </w:p>
        </w:tc>
        <w:tc>
          <w:tcPr>
            <w:tcW w:w="1834" w:type="dxa"/>
            <w:tcBorders>
              <w:top w:val="nil"/>
              <w:left w:val="single" w:sz="4" w:space="0" w:color="auto"/>
              <w:bottom w:val="nil"/>
              <w:right w:val="single" w:sz="4" w:space="0" w:color="auto"/>
            </w:tcBorders>
            <w:shd w:val="clear" w:color="auto" w:fill="auto"/>
            <w:vAlign w:val="bottom"/>
            <w:hideMark/>
          </w:tcPr>
          <w:p w14:paraId="401E1684" w14:textId="1AB6AEFE"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Pr>
                <w:rFonts w:cs="Calibri"/>
                <w:color w:val="000000"/>
                <w:sz w:val="22"/>
                <w:szCs w:val="22"/>
                <w:lang w:val="en-US" w:eastAsia="zh-CN"/>
              </w:rPr>
              <w:t>-1</w:t>
            </w:r>
            <w:r w:rsidR="00EC26EC">
              <w:rPr>
                <w:rFonts w:cs="Calibri"/>
                <w:color w:val="000000"/>
                <w:sz w:val="22"/>
                <w:szCs w:val="22"/>
                <w:lang w:val="en-US" w:eastAsia="zh-CN"/>
              </w:rPr>
              <w:t> </w:t>
            </w:r>
            <w:r>
              <w:rPr>
                <w:rFonts w:cs="Calibri"/>
                <w:color w:val="000000"/>
                <w:sz w:val="22"/>
                <w:szCs w:val="22"/>
                <w:lang w:val="en-US" w:eastAsia="zh-CN"/>
              </w:rPr>
              <w:t>245</w:t>
            </w:r>
          </w:p>
        </w:tc>
        <w:tc>
          <w:tcPr>
            <w:tcW w:w="1825" w:type="dxa"/>
            <w:tcBorders>
              <w:top w:val="nil"/>
              <w:left w:val="nil"/>
              <w:bottom w:val="nil"/>
              <w:right w:val="single" w:sz="4" w:space="0" w:color="auto"/>
            </w:tcBorders>
            <w:shd w:val="clear" w:color="auto" w:fill="auto"/>
            <w:noWrap/>
            <w:vAlign w:val="bottom"/>
            <w:hideMark/>
          </w:tcPr>
          <w:p w14:paraId="5D528D49" w14:textId="315C964F"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r w:rsidRPr="00763B77">
              <w:rPr>
                <w:rFonts w:cs="Calibri"/>
                <w:color w:val="000000"/>
                <w:sz w:val="22"/>
                <w:szCs w:val="22"/>
                <w:lang w:val="en-US" w:eastAsia="zh-CN"/>
              </w:rPr>
              <w:t>14</w:t>
            </w:r>
            <w:r w:rsidR="00EC26EC">
              <w:rPr>
                <w:rFonts w:cs="Calibri"/>
                <w:color w:val="000000"/>
                <w:sz w:val="22"/>
                <w:szCs w:val="22"/>
                <w:lang w:val="en-US" w:eastAsia="zh-CN"/>
              </w:rPr>
              <w:t> </w:t>
            </w:r>
            <w:r w:rsidRPr="00763B77">
              <w:rPr>
                <w:rFonts w:cs="Calibri"/>
                <w:color w:val="000000"/>
                <w:sz w:val="22"/>
                <w:szCs w:val="22"/>
                <w:lang w:val="en-US" w:eastAsia="zh-CN"/>
              </w:rPr>
              <w:t>716</w:t>
            </w:r>
          </w:p>
        </w:tc>
      </w:tr>
      <w:tr w:rsidR="00B56A7B" w:rsidRPr="000C156A" w14:paraId="3C826A0C" w14:textId="77777777" w:rsidTr="00CC47BD">
        <w:trPr>
          <w:trHeight w:val="20"/>
          <w:jc w:val="center"/>
        </w:trPr>
        <w:tc>
          <w:tcPr>
            <w:tcW w:w="5892" w:type="dxa"/>
            <w:tcBorders>
              <w:left w:val="single" w:sz="4" w:space="0" w:color="auto"/>
              <w:bottom w:val="single" w:sz="4" w:space="0" w:color="auto"/>
              <w:right w:val="single" w:sz="4" w:space="0" w:color="auto"/>
            </w:tcBorders>
            <w:noWrap/>
            <w:vAlign w:val="center"/>
          </w:tcPr>
          <w:p w14:paraId="6531B744" w14:textId="77777777" w:rsidR="00B56A7B" w:rsidRPr="000C156A" w:rsidRDefault="00B56A7B" w:rsidP="00CC47BD">
            <w:pPr>
              <w:keepNext/>
              <w:spacing w:before="20" w:after="20"/>
              <w:rPr>
                <w:b/>
                <w:sz w:val="22"/>
                <w:szCs w:val="18"/>
                <w:lang w:val="en-US" w:eastAsia="zh-CN"/>
              </w:rPr>
            </w:pPr>
          </w:p>
        </w:tc>
        <w:tc>
          <w:tcPr>
            <w:tcW w:w="1834" w:type="dxa"/>
            <w:tcBorders>
              <w:top w:val="nil"/>
              <w:left w:val="single" w:sz="4" w:space="0" w:color="auto"/>
              <w:bottom w:val="nil"/>
              <w:right w:val="single" w:sz="4" w:space="0" w:color="auto"/>
            </w:tcBorders>
            <w:shd w:val="clear" w:color="auto" w:fill="auto"/>
            <w:vAlign w:val="bottom"/>
          </w:tcPr>
          <w:p w14:paraId="3F50907B"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p>
        </w:tc>
        <w:tc>
          <w:tcPr>
            <w:tcW w:w="1825" w:type="dxa"/>
            <w:tcBorders>
              <w:top w:val="nil"/>
              <w:left w:val="nil"/>
              <w:bottom w:val="single" w:sz="4" w:space="0" w:color="auto"/>
              <w:right w:val="single" w:sz="4" w:space="0" w:color="auto"/>
            </w:tcBorders>
            <w:shd w:val="clear" w:color="auto" w:fill="auto"/>
            <w:noWrap/>
            <w:vAlign w:val="bottom"/>
          </w:tcPr>
          <w:p w14:paraId="10C3A44A" w14:textId="77777777" w:rsidR="00B56A7B" w:rsidRPr="000C156A" w:rsidRDefault="00B56A7B" w:rsidP="00CC47BD">
            <w:pPr>
              <w:overflowPunct/>
              <w:autoSpaceDE/>
              <w:autoSpaceDN/>
              <w:adjustRightInd/>
              <w:spacing w:before="0"/>
              <w:jc w:val="right"/>
              <w:textAlignment w:val="auto"/>
              <w:rPr>
                <w:rFonts w:cs="Calibri"/>
                <w:color w:val="000000"/>
                <w:sz w:val="22"/>
                <w:szCs w:val="22"/>
                <w:lang w:val="en-US" w:eastAsia="zh-CN"/>
              </w:rPr>
            </w:pPr>
          </w:p>
        </w:tc>
      </w:tr>
      <w:tr w:rsidR="00B56A7B" w:rsidRPr="000C156A" w14:paraId="1E407952" w14:textId="77777777" w:rsidTr="00CC47BD">
        <w:trPr>
          <w:trHeight w:val="20"/>
          <w:jc w:val="center"/>
        </w:trPr>
        <w:tc>
          <w:tcPr>
            <w:tcW w:w="5892" w:type="dxa"/>
            <w:tcBorders>
              <w:top w:val="single" w:sz="4" w:space="0" w:color="auto"/>
              <w:left w:val="single" w:sz="4" w:space="0" w:color="auto"/>
              <w:bottom w:val="single" w:sz="4" w:space="0" w:color="auto"/>
              <w:right w:val="single" w:sz="4" w:space="0" w:color="auto"/>
            </w:tcBorders>
            <w:noWrap/>
            <w:vAlign w:val="center"/>
            <w:hideMark/>
          </w:tcPr>
          <w:p w14:paraId="722B2CEB" w14:textId="77777777" w:rsidR="00B56A7B" w:rsidRPr="000C156A" w:rsidRDefault="00B56A7B" w:rsidP="00CC47BD">
            <w:pPr>
              <w:keepNext/>
              <w:spacing w:before="20" w:after="20"/>
              <w:rPr>
                <w:b/>
                <w:sz w:val="22"/>
                <w:szCs w:val="18"/>
                <w:lang w:val="en-US" w:eastAsia="zh-CN"/>
              </w:rPr>
            </w:pPr>
            <w:r w:rsidRPr="000C156A">
              <w:rPr>
                <w:rFonts w:hint="eastAsia"/>
                <w:b/>
                <w:sz w:val="22"/>
                <w:szCs w:val="18"/>
                <w:lang w:val="en-US" w:eastAsia="zh-CN"/>
              </w:rPr>
              <w:t>财务费用</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7160C" w14:textId="77777777" w:rsidR="00B56A7B" w:rsidRPr="000C156A" w:rsidRDefault="00B56A7B" w:rsidP="00CC47BD">
            <w:pPr>
              <w:overflowPunct/>
              <w:autoSpaceDE/>
              <w:autoSpaceDN/>
              <w:adjustRightInd/>
              <w:spacing w:before="0"/>
              <w:jc w:val="right"/>
              <w:textAlignment w:val="auto"/>
              <w:rPr>
                <w:rFonts w:cs="Calibri"/>
                <w:b/>
                <w:bCs/>
                <w:color w:val="000000"/>
                <w:sz w:val="22"/>
                <w:szCs w:val="22"/>
                <w:lang w:val="en-US" w:eastAsia="zh-CN"/>
              </w:rPr>
            </w:pPr>
            <w:r>
              <w:rPr>
                <w:rFonts w:cs="Calibri"/>
                <w:b/>
                <w:bCs/>
                <w:color w:val="000000"/>
                <w:sz w:val="22"/>
                <w:szCs w:val="22"/>
                <w:lang w:val="en-US" w:eastAsia="zh-CN"/>
              </w:rPr>
              <w:t>-561</w:t>
            </w:r>
          </w:p>
        </w:tc>
        <w:tc>
          <w:tcPr>
            <w:tcW w:w="1825" w:type="dxa"/>
            <w:tcBorders>
              <w:top w:val="nil"/>
              <w:left w:val="nil"/>
              <w:bottom w:val="single" w:sz="4" w:space="0" w:color="auto"/>
              <w:right w:val="single" w:sz="4" w:space="0" w:color="auto"/>
            </w:tcBorders>
            <w:shd w:val="clear" w:color="auto" w:fill="auto"/>
            <w:noWrap/>
            <w:vAlign w:val="center"/>
            <w:hideMark/>
          </w:tcPr>
          <w:p w14:paraId="76C5D31A" w14:textId="217B8EE5" w:rsidR="00B56A7B" w:rsidRPr="000C156A" w:rsidRDefault="00B56A7B" w:rsidP="00CC47BD">
            <w:pPr>
              <w:overflowPunct/>
              <w:autoSpaceDE/>
              <w:autoSpaceDN/>
              <w:adjustRightInd/>
              <w:spacing w:before="0"/>
              <w:jc w:val="right"/>
              <w:textAlignment w:val="auto"/>
              <w:rPr>
                <w:rFonts w:cs="Calibri"/>
                <w:b/>
                <w:bCs/>
                <w:color w:val="000000"/>
                <w:sz w:val="22"/>
                <w:szCs w:val="22"/>
                <w:lang w:val="en-US" w:eastAsia="zh-CN"/>
              </w:rPr>
            </w:pPr>
            <w:r>
              <w:rPr>
                <w:rFonts w:cs="Calibri"/>
                <w:b/>
                <w:bCs/>
                <w:color w:val="000000"/>
                <w:sz w:val="22"/>
                <w:szCs w:val="22"/>
                <w:lang w:val="en-US" w:eastAsia="zh-CN"/>
              </w:rPr>
              <w:t>15</w:t>
            </w:r>
            <w:r w:rsidR="00EC26EC">
              <w:rPr>
                <w:rFonts w:cs="Calibri"/>
                <w:b/>
                <w:bCs/>
                <w:color w:val="000000"/>
                <w:sz w:val="22"/>
                <w:szCs w:val="22"/>
                <w:lang w:val="en-US" w:eastAsia="zh-CN"/>
              </w:rPr>
              <w:t> </w:t>
            </w:r>
            <w:r>
              <w:rPr>
                <w:rFonts w:cs="Calibri"/>
                <w:b/>
                <w:bCs/>
                <w:color w:val="000000"/>
                <w:sz w:val="22"/>
                <w:szCs w:val="22"/>
                <w:lang w:val="en-US" w:eastAsia="zh-CN"/>
              </w:rPr>
              <w:t>069</w:t>
            </w:r>
          </w:p>
        </w:tc>
      </w:tr>
    </w:tbl>
    <w:p w14:paraId="2A7AEF6B" w14:textId="77777777" w:rsidR="00B56A7B" w:rsidRPr="000C156A" w:rsidRDefault="00B56A7B" w:rsidP="00B56A7B">
      <w:pPr>
        <w:spacing w:before="240"/>
        <w:ind w:firstLineChars="200" w:firstLine="480"/>
        <w:rPr>
          <w:lang w:val="en-US" w:eastAsia="zh-CN"/>
        </w:rPr>
      </w:pPr>
      <w:r w:rsidRPr="000C156A">
        <w:rPr>
          <w:rFonts w:hint="eastAsia"/>
          <w:lang w:eastAsia="zh-CN"/>
        </w:rPr>
        <w:t>实现和未实现的汇兑损失主要源于年度结账时尚未结清的以其它币种记入项目的重新估值。这已重新估值于翌年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日得到恢复。</w:t>
      </w:r>
    </w:p>
    <w:p w14:paraId="493FB14A" w14:textId="77777777" w:rsidR="00B56A7B" w:rsidRPr="000C156A" w:rsidRDefault="00B56A7B" w:rsidP="00B56A7B">
      <w:pPr>
        <w:rPr>
          <w:lang w:val="en-US" w:eastAsia="zh-CN"/>
        </w:rPr>
        <w:sectPr w:rsidR="00B56A7B" w:rsidRPr="000C156A" w:rsidSect="00F63A7D">
          <w:headerReference w:type="default" r:id="rId40"/>
          <w:footerReference w:type="default" r:id="rId41"/>
          <w:footerReference w:type="first" r:id="rId42"/>
          <w:pgSz w:w="11907" w:h="16834"/>
          <w:pgMar w:top="1418" w:right="1134" w:bottom="1418" w:left="1134" w:header="720" w:footer="720" w:gutter="0"/>
          <w:paperSrc w:first="15" w:other="15"/>
          <w:cols w:space="720"/>
          <w:titlePg/>
          <w:docGrid w:linePitch="326"/>
        </w:sectPr>
      </w:pPr>
    </w:p>
    <w:p w14:paraId="2B81406C" w14:textId="77777777" w:rsidR="00B56A7B" w:rsidRPr="0076544D" w:rsidRDefault="00B56A7B" w:rsidP="00B56A7B">
      <w:pPr>
        <w:pStyle w:val="Heading1"/>
        <w:spacing w:before="240" w:after="240"/>
        <w:rPr>
          <w:rFonts w:cs="Microsoft YaHei"/>
          <w:sz w:val="24"/>
          <w:szCs w:val="24"/>
          <w:lang w:val="en-US" w:eastAsia="zh-CN"/>
        </w:rPr>
      </w:pPr>
      <w:bookmarkStart w:id="1140" w:name="_Toc73518725"/>
      <w:bookmarkStart w:id="1141" w:name="_Toc73518872"/>
      <w:bookmarkStart w:id="1142" w:name="_Toc73519272"/>
      <w:bookmarkStart w:id="1143" w:name="_Toc110264019"/>
      <w:bookmarkStart w:id="1144" w:name="_Toc110264098"/>
      <w:bookmarkStart w:id="1145" w:name="_Toc110265744"/>
      <w:bookmarkStart w:id="1146" w:name="_Toc110330114"/>
      <w:bookmarkStart w:id="1147" w:name="_Toc110330279"/>
      <w:bookmarkStart w:id="1148" w:name="_Toc305594763"/>
      <w:bookmarkStart w:id="1149" w:name="_Toc482892584"/>
      <w:bookmarkStart w:id="1150" w:name="_Toc387089404"/>
      <w:bookmarkStart w:id="1151" w:name="_Toc329165809"/>
      <w:bookmarkStart w:id="1152" w:name="_Toc511813768"/>
      <w:bookmarkStart w:id="1153" w:name="_Toc511817851"/>
      <w:bookmarkStart w:id="1154" w:name="_Toc520280751"/>
      <w:bookmarkStart w:id="1155" w:name="_Toc10536846"/>
      <w:bookmarkStart w:id="1156" w:name="_Toc41905897"/>
      <w:bookmarkStart w:id="1157" w:name="_Toc41906918"/>
      <w:bookmarkStart w:id="1158" w:name="_Toc41907999"/>
      <w:bookmarkStart w:id="1159" w:name="_Toc41908067"/>
      <w:bookmarkStart w:id="1160" w:name="_Toc329011659"/>
      <w:bookmarkStart w:id="1161" w:name="_Toc305764117"/>
      <w:r w:rsidRPr="000C156A">
        <w:rPr>
          <w:rFonts w:cs="Microsoft YaHei" w:hint="eastAsia"/>
          <w:sz w:val="24"/>
          <w:szCs w:val="24"/>
          <w:lang w:val="fr-FR" w:eastAsia="zh-CN"/>
        </w:rPr>
        <w:lastRenderedPageBreak/>
        <w:t>说明</w:t>
      </w:r>
      <w:r w:rsidRPr="0076544D">
        <w:rPr>
          <w:rFonts w:cs="Microsoft YaHei"/>
          <w:sz w:val="24"/>
          <w:szCs w:val="24"/>
          <w:lang w:val="en-US" w:eastAsia="zh-CN"/>
        </w:rPr>
        <w:t>24</w:t>
      </w:r>
      <w:r w:rsidRPr="0076544D">
        <w:rPr>
          <w:rFonts w:cs="Microsoft YaHei"/>
          <w:sz w:val="24"/>
          <w:szCs w:val="24"/>
          <w:lang w:val="en-US" w:eastAsia="zh-CN"/>
        </w:rPr>
        <w:tab/>
      </w:r>
      <w:r w:rsidRPr="000C156A">
        <w:rPr>
          <w:rFonts w:cs="Microsoft YaHei" w:hint="eastAsia"/>
          <w:sz w:val="24"/>
          <w:szCs w:val="24"/>
          <w:lang w:val="fr-FR" w:eastAsia="zh-CN"/>
        </w:rPr>
        <w:t>分部门报告</w:t>
      </w:r>
      <w:r w:rsidRPr="0076544D">
        <w:rPr>
          <w:rFonts w:cs="Microsoft YaHei" w:hint="eastAsia"/>
          <w:sz w:val="24"/>
          <w:szCs w:val="24"/>
          <w:lang w:val="en-US" w:eastAsia="zh-CN"/>
        </w:rPr>
        <w:t xml:space="preserve"> </w:t>
      </w:r>
      <w:r w:rsidRPr="0076544D">
        <w:rPr>
          <w:rFonts w:cs="Microsoft YaHei"/>
          <w:sz w:val="24"/>
          <w:szCs w:val="24"/>
          <w:lang w:val="en-US" w:eastAsia="zh-CN"/>
        </w:rPr>
        <w:t>– 20</w:t>
      </w:r>
      <w:r w:rsidRPr="0076544D">
        <w:rPr>
          <w:rFonts w:cs="Microsoft YaHei" w:hint="eastAsia"/>
          <w:sz w:val="24"/>
          <w:szCs w:val="24"/>
          <w:lang w:val="en-US" w:eastAsia="zh-CN"/>
        </w:rPr>
        <w:t>21</w:t>
      </w:r>
      <w:r w:rsidRPr="000C156A">
        <w:rPr>
          <w:rFonts w:cs="Microsoft YaHei" w:hint="eastAsia"/>
          <w:sz w:val="24"/>
          <w:szCs w:val="24"/>
          <w:lang w:val="fr-FR" w:eastAsia="zh-CN"/>
        </w:rPr>
        <w:t>年财务业绩报表</w:t>
      </w:r>
      <w:bookmarkEnd w:id="1140"/>
      <w:bookmarkEnd w:id="1141"/>
      <w:bookmarkEnd w:id="1142"/>
      <w:bookmarkEnd w:id="1143"/>
      <w:bookmarkEnd w:id="1144"/>
      <w:bookmarkEnd w:id="1145"/>
      <w:bookmarkEnd w:id="1146"/>
      <w:bookmarkEnd w:id="1147"/>
    </w:p>
    <w:tbl>
      <w:tblPr>
        <w:tblW w:w="15871" w:type="dxa"/>
        <w:jc w:val="center"/>
        <w:tblLook w:val="04A0" w:firstRow="1" w:lastRow="0" w:firstColumn="1" w:lastColumn="0" w:noHBand="0" w:noVBand="1"/>
      </w:tblPr>
      <w:tblGrid>
        <w:gridCol w:w="1980"/>
        <w:gridCol w:w="992"/>
        <w:gridCol w:w="709"/>
        <w:gridCol w:w="992"/>
        <w:gridCol w:w="992"/>
        <w:gridCol w:w="1134"/>
        <w:gridCol w:w="993"/>
        <w:gridCol w:w="850"/>
        <w:gridCol w:w="851"/>
        <w:gridCol w:w="864"/>
        <w:gridCol w:w="875"/>
        <w:gridCol w:w="670"/>
        <w:gridCol w:w="709"/>
        <w:gridCol w:w="612"/>
        <w:gridCol w:w="806"/>
        <w:gridCol w:w="1040"/>
        <w:gridCol w:w="802"/>
      </w:tblGrid>
      <w:tr w:rsidR="00B56A7B" w:rsidRPr="000C156A" w14:paraId="49093250" w14:textId="77777777" w:rsidTr="00CC47BD">
        <w:trPr>
          <w:trHeight w:val="675"/>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18912F3A"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单位</w:t>
            </w:r>
            <w:r w:rsidRPr="000C156A">
              <w:rPr>
                <w:rFonts w:asciiTheme="minorHAnsi" w:hAnsiTheme="minorHAnsi" w:cs="Arial"/>
                <w:b/>
                <w:bCs/>
                <w:color w:val="000000"/>
                <w:sz w:val="16"/>
                <w:szCs w:val="16"/>
                <w:lang w:val="en-US" w:eastAsia="zh-CN"/>
              </w:rPr>
              <w:t>：千瑞郎</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14CD7C32"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总秘</w:t>
            </w:r>
            <w:r w:rsidRPr="000C156A">
              <w:rPr>
                <w:b/>
                <w:noProof/>
                <w:sz w:val="16"/>
                <w:szCs w:val="16"/>
                <w:lang w:val="en-US" w:eastAsia="zh-CN"/>
              </w:rPr>
              <w:br/>
            </w:r>
            <w:r w:rsidRPr="000C156A">
              <w:rPr>
                <w:rFonts w:hint="eastAsia"/>
                <w:b/>
                <w:noProof/>
                <w:sz w:val="16"/>
                <w:szCs w:val="16"/>
                <w:lang w:val="en-US"/>
              </w:rPr>
              <w:t>书处</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2A223F84"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无线电通信</w:t>
            </w:r>
            <w:r w:rsidRPr="000C156A">
              <w:rPr>
                <w:b/>
                <w:noProof/>
                <w:sz w:val="16"/>
                <w:szCs w:val="16"/>
                <w:lang w:val="en-US" w:eastAsia="zh-CN"/>
              </w:rPr>
              <w:br/>
            </w:r>
            <w:r w:rsidRPr="000C156A">
              <w:rPr>
                <w:rFonts w:hint="eastAsia"/>
                <w:b/>
                <w:noProof/>
                <w:sz w:val="16"/>
                <w:szCs w:val="16"/>
                <w:lang w:val="en-US"/>
              </w:rPr>
              <w:t>部门</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7EEB6B03"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电信标准化部门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55DE8"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电信发展部门</w:t>
            </w:r>
          </w:p>
        </w:tc>
        <w:tc>
          <w:tcPr>
            <w:tcW w:w="1134" w:type="dxa"/>
            <w:tcBorders>
              <w:top w:val="single" w:sz="4" w:space="0" w:color="auto"/>
              <w:left w:val="nil"/>
              <w:bottom w:val="single" w:sz="4" w:space="0" w:color="auto"/>
              <w:right w:val="nil"/>
            </w:tcBorders>
            <w:shd w:val="clear" w:color="auto" w:fill="auto"/>
            <w:vAlign w:val="center"/>
            <w:hideMark/>
          </w:tcPr>
          <w:p w14:paraId="39A06506"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zh-CN"/>
              </w:rPr>
            </w:pPr>
            <w:r w:rsidRPr="000C156A">
              <w:rPr>
                <w:rFonts w:hint="eastAsia"/>
                <w:b/>
                <w:noProof/>
                <w:sz w:val="16"/>
                <w:szCs w:val="16"/>
                <w:lang w:val="en-US" w:eastAsia="zh-CN"/>
              </w:rPr>
              <w:t>不归属任何一个分部门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658E"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b/>
                <w:noProof/>
                <w:sz w:val="16"/>
                <w:szCs w:val="16"/>
                <w:lang w:val="en-US" w:eastAsia="zh-CN"/>
              </w:rPr>
              <w:t>1000+1010</w:t>
            </w:r>
            <w:r w:rsidRPr="000C156A">
              <w:rPr>
                <w:rFonts w:hint="eastAsia"/>
                <w:b/>
                <w:noProof/>
                <w:sz w:val="16"/>
                <w:szCs w:val="16"/>
                <w:lang w:val="en-US" w:eastAsia="zh-CN"/>
              </w:rPr>
              <w:t>资金合计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54D246"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新办公楼</w:t>
            </w:r>
            <w:r w:rsidRPr="000C156A">
              <w:rPr>
                <w:rFonts w:asciiTheme="minorHAnsi" w:hAnsiTheme="minorHAnsi" w:cs="Arial"/>
                <w:b/>
                <w:bCs/>
                <w:color w:val="000000"/>
                <w:sz w:val="16"/>
                <w:szCs w:val="16"/>
                <w:lang w:val="en-US" w:eastAsia="zh-CN"/>
              </w:rPr>
              <w:t>基金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D13B187"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cs="Arial" w:hint="eastAsia"/>
                <w:b/>
                <w:bCs/>
                <w:color w:val="000000"/>
                <w:sz w:val="16"/>
                <w:szCs w:val="16"/>
                <w:lang w:val="en-US" w:eastAsia="zh-CN"/>
              </w:rPr>
              <w:t>新办公楼储备金</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78E69AC"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保险</w:t>
            </w:r>
            <w:r w:rsidRPr="000C156A">
              <w:rPr>
                <w:b/>
                <w:noProof/>
                <w:sz w:val="16"/>
                <w:szCs w:val="16"/>
                <w:lang w:val="en-US" w:eastAsia="zh-CN"/>
              </w:rPr>
              <w:br/>
            </w:r>
            <w:r w:rsidRPr="000C156A">
              <w:rPr>
                <w:rFonts w:hint="eastAsia"/>
                <w:b/>
                <w:noProof/>
                <w:sz w:val="16"/>
                <w:szCs w:val="16"/>
                <w:lang w:val="en-US" w:eastAsia="zh-CN"/>
              </w:rPr>
              <w:t>资金</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D78DF54"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自愿</w:t>
            </w:r>
            <w:r w:rsidRPr="000C156A">
              <w:rPr>
                <w:b/>
                <w:noProof/>
                <w:sz w:val="16"/>
                <w:szCs w:val="16"/>
                <w:lang w:val="en-US" w:eastAsia="zh-CN"/>
              </w:rPr>
              <w:br/>
            </w:r>
            <w:r w:rsidRPr="000C156A">
              <w:rPr>
                <w:rFonts w:hint="eastAsia"/>
                <w:b/>
                <w:noProof/>
                <w:sz w:val="16"/>
                <w:szCs w:val="16"/>
                <w:lang w:val="en-US" w:eastAsia="zh-CN"/>
              </w:rPr>
              <w:t>捐款</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711C45F2"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asciiTheme="minorHAnsi" w:hAnsiTheme="minorHAnsi" w:cs="Arial"/>
                <w:b/>
                <w:bCs/>
                <w:color w:val="000000"/>
                <w:sz w:val="16"/>
                <w:szCs w:val="16"/>
                <w:lang w:val="en-US" w:eastAsia="zh-CN"/>
              </w:rPr>
              <w:t>FIT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B44A1A"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b/>
                <w:noProof/>
                <w:sz w:val="16"/>
                <w:szCs w:val="16"/>
                <w:lang w:val="en-US" w:eastAsia="zh-CN"/>
              </w:rPr>
              <w:t>ICT</w:t>
            </w:r>
            <w:r w:rsidRPr="000C156A">
              <w:rPr>
                <w:b/>
                <w:noProof/>
                <w:sz w:val="16"/>
                <w:szCs w:val="16"/>
                <w:lang w:val="en-US" w:eastAsia="zh-CN"/>
              </w:rPr>
              <w:br/>
            </w:r>
            <w:r w:rsidRPr="000C156A">
              <w:rPr>
                <w:rFonts w:hint="eastAsia"/>
                <w:b/>
                <w:noProof/>
                <w:sz w:val="16"/>
                <w:szCs w:val="16"/>
                <w:lang w:val="en-US" w:eastAsia="zh-CN"/>
              </w:rPr>
              <w:t>发展</w:t>
            </w:r>
            <w:r w:rsidRPr="000C156A">
              <w:rPr>
                <w:b/>
                <w:noProof/>
                <w:sz w:val="16"/>
                <w:szCs w:val="16"/>
                <w:lang w:val="en-US" w:eastAsia="zh-CN"/>
              </w:rPr>
              <w:br/>
            </w:r>
            <w:r w:rsidRPr="000C156A">
              <w:rPr>
                <w:rFonts w:hint="eastAsia"/>
                <w:b/>
                <w:noProof/>
                <w:sz w:val="16"/>
                <w:szCs w:val="16"/>
                <w:lang w:val="en-US" w:eastAsia="zh-CN"/>
              </w:rPr>
              <w:t>基金</w:t>
            </w:r>
          </w:p>
        </w:tc>
        <w:tc>
          <w:tcPr>
            <w:tcW w:w="612" w:type="dxa"/>
            <w:tcBorders>
              <w:top w:val="single" w:sz="4" w:space="0" w:color="auto"/>
              <w:left w:val="nil"/>
              <w:bottom w:val="single" w:sz="4" w:space="0" w:color="auto"/>
              <w:right w:val="single" w:sz="4" w:space="0" w:color="auto"/>
            </w:tcBorders>
            <w:shd w:val="clear" w:color="auto" w:fill="auto"/>
            <w:vAlign w:val="center"/>
            <w:hideMark/>
          </w:tcPr>
          <w:p w14:paraId="738BA494"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b/>
                <w:noProof/>
                <w:sz w:val="16"/>
                <w:szCs w:val="16"/>
                <w:lang w:val="en-US" w:eastAsia="zh-CN"/>
              </w:rPr>
              <w:t>UNDP</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4F35B980"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电信展</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B1A4787" w14:textId="77777777" w:rsidR="00B56A7B" w:rsidRPr="000C156A" w:rsidRDefault="00B56A7B" w:rsidP="00CC47BD">
            <w:pPr>
              <w:overflowPunct/>
              <w:autoSpaceDE/>
              <w:autoSpaceDN/>
              <w:adjustRightInd/>
              <w:spacing w:before="0"/>
              <w:jc w:val="center"/>
              <w:textAlignment w:val="auto"/>
              <w:rPr>
                <w:rFonts w:eastAsia="Times New Roman" w:cs="Calibri"/>
                <w:b/>
                <w:bCs/>
                <w:sz w:val="16"/>
                <w:szCs w:val="16"/>
                <w:lang w:eastAsia="en-GB"/>
              </w:rPr>
            </w:pPr>
            <w:r w:rsidRPr="000C156A">
              <w:rPr>
                <w:rFonts w:hint="eastAsia"/>
                <w:b/>
                <w:noProof/>
                <w:sz w:val="16"/>
                <w:szCs w:val="16"/>
                <w:lang w:val="en-US" w:eastAsia="zh-CN"/>
              </w:rPr>
              <w:t>部门间</w:t>
            </w:r>
            <w:r w:rsidRPr="000C156A">
              <w:rPr>
                <w:b/>
                <w:noProof/>
                <w:sz w:val="16"/>
                <w:szCs w:val="16"/>
                <w:lang w:val="en-US" w:eastAsia="zh-CN"/>
              </w:rPr>
              <w:br/>
            </w:r>
            <w:r w:rsidRPr="000C156A">
              <w:rPr>
                <w:rFonts w:hint="eastAsia"/>
                <w:b/>
                <w:noProof/>
                <w:sz w:val="16"/>
                <w:szCs w:val="16"/>
                <w:lang w:val="en-US" w:eastAsia="zh-CN"/>
              </w:rPr>
              <w:t>冲销</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1A36F2B1"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合计</w:t>
            </w:r>
          </w:p>
        </w:tc>
      </w:tr>
      <w:tr w:rsidR="00B56A7B" w:rsidRPr="000C156A" w14:paraId="000D18F5"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00DC01E1"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ascii="SimSun" w:hAnsi="SimSun" w:cs="SimSun" w:hint="eastAsia"/>
                <w:b/>
                <w:bCs/>
                <w:color w:val="000000"/>
                <w:sz w:val="16"/>
                <w:szCs w:val="16"/>
                <w:lang w:eastAsia="zh-CN"/>
              </w:rPr>
              <w:t>收入</w:t>
            </w:r>
          </w:p>
        </w:tc>
        <w:tc>
          <w:tcPr>
            <w:tcW w:w="992" w:type="dxa"/>
            <w:tcBorders>
              <w:top w:val="nil"/>
              <w:left w:val="single" w:sz="4" w:space="0" w:color="auto"/>
              <w:bottom w:val="nil"/>
              <w:right w:val="single" w:sz="4" w:space="0" w:color="auto"/>
            </w:tcBorders>
            <w:shd w:val="clear" w:color="auto" w:fill="auto"/>
            <w:noWrap/>
            <w:vAlign w:val="bottom"/>
            <w:hideMark/>
          </w:tcPr>
          <w:p w14:paraId="1340CDE9"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38282DD3"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7872D63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6892284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1134" w:type="dxa"/>
            <w:tcBorders>
              <w:top w:val="nil"/>
              <w:left w:val="nil"/>
              <w:bottom w:val="nil"/>
              <w:right w:val="nil"/>
            </w:tcBorders>
            <w:shd w:val="clear" w:color="auto" w:fill="auto"/>
            <w:noWrap/>
            <w:vAlign w:val="bottom"/>
            <w:hideMark/>
          </w:tcPr>
          <w:p w14:paraId="4A1FC2C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3F80DCE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4DA69C99"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0BD272E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238EA8D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32EF037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1663AB4B"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08AF1A4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40904BA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7AB2CCB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38643EC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78CA32D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r>
      <w:tr w:rsidR="00B56A7B" w:rsidRPr="000C156A" w14:paraId="1F170377"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118320FC"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6E951CF1"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6984364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10239C83"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4138091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1134" w:type="dxa"/>
            <w:tcBorders>
              <w:top w:val="nil"/>
              <w:left w:val="nil"/>
              <w:bottom w:val="nil"/>
              <w:right w:val="nil"/>
            </w:tcBorders>
            <w:shd w:val="clear" w:color="auto" w:fill="auto"/>
            <w:noWrap/>
            <w:vAlign w:val="bottom"/>
            <w:hideMark/>
          </w:tcPr>
          <w:p w14:paraId="1DC14D03"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1BB4328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6B030EA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6F55090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2C4964E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16B0034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79797D39"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44C5DEC8"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760067D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089D4E8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15DA17DD"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6AD2411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r>
      <w:tr w:rsidR="00B56A7B" w:rsidRPr="000C156A" w14:paraId="04CBC9C7" w14:textId="77777777" w:rsidTr="00CC47BD">
        <w:trPr>
          <w:trHeight w:val="255"/>
          <w:jc w:val="center"/>
        </w:trPr>
        <w:tc>
          <w:tcPr>
            <w:tcW w:w="1980" w:type="dxa"/>
            <w:tcBorders>
              <w:top w:val="nil"/>
              <w:left w:val="single" w:sz="4" w:space="0" w:color="auto"/>
              <w:bottom w:val="nil"/>
              <w:right w:val="nil"/>
            </w:tcBorders>
            <w:shd w:val="clear" w:color="auto" w:fill="FFFFFF" w:themeFill="background1"/>
            <w:vAlign w:val="center"/>
            <w:hideMark/>
          </w:tcPr>
          <w:p w14:paraId="50ECC16C"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asciiTheme="minorHAnsi" w:hAnsiTheme="minorHAnsi" w:cs="Arial" w:hint="eastAsia"/>
                <w:color w:val="000000"/>
                <w:sz w:val="16"/>
                <w:szCs w:val="16"/>
                <w:lang w:val="en-US" w:eastAsia="zh-CN"/>
              </w:rPr>
              <w:t>分摊会费</w:t>
            </w:r>
          </w:p>
        </w:tc>
        <w:tc>
          <w:tcPr>
            <w:tcW w:w="992" w:type="dxa"/>
            <w:tcBorders>
              <w:top w:val="nil"/>
              <w:left w:val="single" w:sz="4" w:space="0" w:color="auto"/>
              <w:bottom w:val="nil"/>
              <w:right w:val="single" w:sz="4" w:space="0" w:color="auto"/>
            </w:tcBorders>
            <w:shd w:val="clear" w:color="auto" w:fill="auto"/>
            <w:noWrap/>
            <w:vAlign w:val="bottom"/>
            <w:hideMark/>
          </w:tcPr>
          <w:p w14:paraId="25C53A3B"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709" w:type="dxa"/>
            <w:tcBorders>
              <w:top w:val="nil"/>
              <w:left w:val="nil"/>
              <w:bottom w:val="nil"/>
              <w:right w:val="single" w:sz="4" w:space="0" w:color="auto"/>
            </w:tcBorders>
            <w:shd w:val="clear" w:color="auto" w:fill="auto"/>
            <w:noWrap/>
            <w:vAlign w:val="bottom"/>
            <w:hideMark/>
          </w:tcPr>
          <w:p w14:paraId="1A57B5CA" w14:textId="6E6E2CF5"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6</w:t>
            </w:r>
            <w:r w:rsidR="00EC26EC">
              <w:rPr>
                <w:rFonts w:cs="Calibri"/>
                <w:sz w:val="16"/>
                <w:szCs w:val="16"/>
              </w:rPr>
              <w:t> </w:t>
            </w:r>
            <w:r>
              <w:rPr>
                <w:rFonts w:cs="Calibri"/>
                <w:sz w:val="16"/>
                <w:szCs w:val="16"/>
              </w:rPr>
              <w:t>556</w:t>
            </w:r>
          </w:p>
        </w:tc>
        <w:tc>
          <w:tcPr>
            <w:tcW w:w="992" w:type="dxa"/>
            <w:tcBorders>
              <w:top w:val="nil"/>
              <w:left w:val="nil"/>
              <w:bottom w:val="nil"/>
              <w:right w:val="single" w:sz="4" w:space="0" w:color="auto"/>
            </w:tcBorders>
            <w:shd w:val="clear" w:color="auto" w:fill="auto"/>
            <w:noWrap/>
            <w:vAlign w:val="bottom"/>
            <w:hideMark/>
          </w:tcPr>
          <w:p w14:paraId="31E5BD62" w14:textId="3914AEFD"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7</w:t>
            </w:r>
            <w:r w:rsidR="00EC26EC">
              <w:rPr>
                <w:rFonts w:cs="Calibri"/>
                <w:sz w:val="16"/>
                <w:szCs w:val="16"/>
              </w:rPr>
              <w:t> </w:t>
            </w:r>
            <w:r>
              <w:rPr>
                <w:rFonts w:cs="Calibri"/>
                <w:sz w:val="16"/>
                <w:szCs w:val="16"/>
              </w:rPr>
              <w:t>986</w:t>
            </w:r>
          </w:p>
        </w:tc>
        <w:tc>
          <w:tcPr>
            <w:tcW w:w="992" w:type="dxa"/>
            <w:tcBorders>
              <w:top w:val="nil"/>
              <w:left w:val="nil"/>
              <w:bottom w:val="nil"/>
              <w:right w:val="single" w:sz="4" w:space="0" w:color="auto"/>
            </w:tcBorders>
            <w:shd w:val="clear" w:color="auto" w:fill="auto"/>
            <w:noWrap/>
            <w:vAlign w:val="bottom"/>
            <w:hideMark/>
          </w:tcPr>
          <w:p w14:paraId="559F1884" w14:textId="6CA0F388"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1</w:t>
            </w:r>
            <w:r w:rsidR="00EC26EC">
              <w:rPr>
                <w:rFonts w:cs="Calibri"/>
                <w:sz w:val="16"/>
                <w:szCs w:val="16"/>
              </w:rPr>
              <w:t> </w:t>
            </w:r>
            <w:r>
              <w:rPr>
                <w:rFonts w:cs="Calibri"/>
                <w:sz w:val="16"/>
                <w:szCs w:val="16"/>
              </w:rPr>
              <w:t>387</w:t>
            </w:r>
          </w:p>
        </w:tc>
        <w:tc>
          <w:tcPr>
            <w:tcW w:w="1134" w:type="dxa"/>
            <w:tcBorders>
              <w:top w:val="nil"/>
              <w:left w:val="nil"/>
              <w:bottom w:val="nil"/>
              <w:right w:val="nil"/>
            </w:tcBorders>
            <w:shd w:val="clear" w:color="auto" w:fill="auto"/>
            <w:noWrap/>
            <w:vAlign w:val="bottom"/>
            <w:hideMark/>
          </w:tcPr>
          <w:p w14:paraId="537C5778" w14:textId="54D7E159"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109</w:t>
            </w:r>
            <w:r w:rsidR="00EC26EC">
              <w:rPr>
                <w:rFonts w:cs="Calibri"/>
                <w:sz w:val="16"/>
                <w:szCs w:val="16"/>
              </w:rPr>
              <w:t> </w:t>
            </w:r>
            <w:r>
              <w:rPr>
                <w:rFonts w:cs="Calibri"/>
                <w:sz w:val="16"/>
                <w:szCs w:val="16"/>
              </w:rPr>
              <w:t>682</w:t>
            </w:r>
          </w:p>
        </w:tc>
        <w:tc>
          <w:tcPr>
            <w:tcW w:w="993" w:type="dxa"/>
            <w:tcBorders>
              <w:top w:val="nil"/>
              <w:left w:val="single" w:sz="4" w:space="0" w:color="auto"/>
              <w:bottom w:val="nil"/>
              <w:right w:val="single" w:sz="4" w:space="0" w:color="auto"/>
            </w:tcBorders>
            <w:shd w:val="clear" w:color="auto" w:fill="auto"/>
            <w:noWrap/>
            <w:vAlign w:val="bottom"/>
            <w:hideMark/>
          </w:tcPr>
          <w:p w14:paraId="6434766D" w14:textId="34987F8E"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125</w:t>
            </w:r>
            <w:r w:rsidR="00EC26EC">
              <w:rPr>
                <w:rFonts w:cs="Calibri"/>
                <w:b/>
                <w:bCs/>
                <w:sz w:val="16"/>
                <w:szCs w:val="16"/>
              </w:rPr>
              <w:t> </w:t>
            </w:r>
            <w:r>
              <w:rPr>
                <w:rFonts w:cs="Calibri"/>
                <w:b/>
                <w:bCs/>
                <w:sz w:val="16"/>
                <w:szCs w:val="16"/>
              </w:rPr>
              <w:t>611</w:t>
            </w:r>
          </w:p>
        </w:tc>
        <w:tc>
          <w:tcPr>
            <w:tcW w:w="850" w:type="dxa"/>
            <w:tcBorders>
              <w:top w:val="nil"/>
              <w:left w:val="nil"/>
              <w:bottom w:val="nil"/>
              <w:right w:val="single" w:sz="4" w:space="0" w:color="auto"/>
            </w:tcBorders>
            <w:shd w:val="clear" w:color="auto" w:fill="auto"/>
            <w:noWrap/>
            <w:vAlign w:val="bottom"/>
            <w:hideMark/>
          </w:tcPr>
          <w:p w14:paraId="4BB019A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51" w:type="dxa"/>
            <w:tcBorders>
              <w:top w:val="nil"/>
              <w:left w:val="nil"/>
              <w:bottom w:val="nil"/>
              <w:right w:val="single" w:sz="4" w:space="0" w:color="auto"/>
            </w:tcBorders>
            <w:shd w:val="clear" w:color="auto" w:fill="auto"/>
            <w:noWrap/>
            <w:vAlign w:val="bottom"/>
            <w:hideMark/>
          </w:tcPr>
          <w:p w14:paraId="3DD4DE48"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2A6035F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75" w:type="dxa"/>
            <w:tcBorders>
              <w:top w:val="nil"/>
              <w:left w:val="nil"/>
              <w:bottom w:val="nil"/>
              <w:right w:val="nil"/>
            </w:tcBorders>
            <w:shd w:val="clear" w:color="auto" w:fill="auto"/>
            <w:noWrap/>
            <w:hideMark/>
          </w:tcPr>
          <w:p w14:paraId="48040FD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D157C1">
              <w:rPr>
                <w:rFonts w:cs="Calibri"/>
                <w:sz w:val="16"/>
                <w:szCs w:val="16"/>
              </w:rPr>
              <w:t>-</w:t>
            </w:r>
          </w:p>
        </w:tc>
        <w:tc>
          <w:tcPr>
            <w:tcW w:w="670" w:type="dxa"/>
            <w:tcBorders>
              <w:top w:val="nil"/>
              <w:left w:val="single" w:sz="4" w:space="0" w:color="auto"/>
              <w:bottom w:val="nil"/>
              <w:right w:val="nil"/>
            </w:tcBorders>
            <w:shd w:val="clear" w:color="auto" w:fill="auto"/>
            <w:noWrap/>
            <w:hideMark/>
          </w:tcPr>
          <w:p w14:paraId="5EE0784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D157C1">
              <w:rPr>
                <w:rFonts w:cs="Calibri"/>
                <w:sz w:val="16"/>
                <w:szCs w:val="16"/>
              </w:rPr>
              <w:t>-</w:t>
            </w:r>
          </w:p>
        </w:tc>
        <w:tc>
          <w:tcPr>
            <w:tcW w:w="709" w:type="dxa"/>
            <w:tcBorders>
              <w:top w:val="nil"/>
              <w:left w:val="single" w:sz="4" w:space="0" w:color="auto"/>
              <w:bottom w:val="nil"/>
              <w:right w:val="nil"/>
            </w:tcBorders>
            <w:shd w:val="clear" w:color="auto" w:fill="auto"/>
            <w:noWrap/>
            <w:hideMark/>
          </w:tcPr>
          <w:p w14:paraId="64733F7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D157C1">
              <w:rPr>
                <w:rFonts w:cs="Calibri"/>
                <w:sz w:val="16"/>
                <w:szCs w:val="16"/>
              </w:rPr>
              <w:t>-</w:t>
            </w:r>
          </w:p>
        </w:tc>
        <w:tc>
          <w:tcPr>
            <w:tcW w:w="612" w:type="dxa"/>
            <w:tcBorders>
              <w:top w:val="nil"/>
              <w:left w:val="single" w:sz="4" w:space="0" w:color="auto"/>
              <w:bottom w:val="nil"/>
              <w:right w:val="single" w:sz="4" w:space="0" w:color="auto"/>
            </w:tcBorders>
            <w:shd w:val="clear" w:color="auto" w:fill="auto"/>
            <w:noWrap/>
            <w:hideMark/>
          </w:tcPr>
          <w:p w14:paraId="3455B15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D157C1">
              <w:rPr>
                <w:rFonts w:cs="Calibri"/>
                <w:sz w:val="16"/>
                <w:szCs w:val="16"/>
              </w:rPr>
              <w:t>-</w:t>
            </w:r>
          </w:p>
        </w:tc>
        <w:tc>
          <w:tcPr>
            <w:tcW w:w="806" w:type="dxa"/>
            <w:tcBorders>
              <w:top w:val="nil"/>
              <w:left w:val="nil"/>
              <w:bottom w:val="nil"/>
              <w:right w:val="single" w:sz="4" w:space="0" w:color="auto"/>
            </w:tcBorders>
            <w:shd w:val="clear" w:color="auto" w:fill="auto"/>
            <w:noWrap/>
            <w:hideMark/>
          </w:tcPr>
          <w:p w14:paraId="5681F20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D157C1">
              <w:rPr>
                <w:rFonts w:cs="Calibri"/>
                <w:sz w:val="16"/>
                <w:szCs w:val="16"/>
              </w:rPr>
              <w:t>-</w:t>
            </w:r>
          </w:p>
        </w:tc>
        <w:tc>
          <w:tcPr>
            <w:tcW w:w="1040" w:type="dxa"/>
            <w:tcBorders>
              <w:top w:val="nil"/>
              <w:left w:val="nil"/>
              <w:bottom w:val="nil"/>
              <w:right w:val="nil"/>
            </w:tcBorders>
            <w:shd w:val="clear" w:color="auto" w:fill="auto"/>
            <w:noWrap/>
            <w:hideMark/>
          </w:tcPr>
          <w:p w14:paraId="523008E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D157C1">
              <w:rPr>
                <w:rFonts w:cs="Calibri"/>
                <w:sz w:val="16"/>
                <w:szCs w:val="16"/>
              </w:rPr>
              <w:t>-</w:t>
            </w:r>
          </w:p>
        </w:tc>
        <w:tc>
          <w:tcPr>
            <w:tcW w:w="802" w:type="dxa"/>
            <w:tcBorders>
              <w:top w:val="nil"/>
              <w:left w:val="single" w:sz="4" w:space="0" w:color="auto"/>
              <w:bottom w:val="nil"/>
              <w:right w:val="single" w:sz="4" w:space="0" w:color="auto"/>
            </w:tcBorders>
            <w:shd w:val="clear" w:color="auto" w:fill="auto"/>
            <w:noWrap/>
            <w:vAlign w:val="bottom"/>
            <w:hideMark/>
          </w:tcPr>
          <w:p w14:paraId="17D295DC" w14:textId="26898212"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125</w:t>
            </w:r>
            <w:r w:rsidR="00EC26EC">
              <w:rPr>
                <w:rFonts w:cs="Calibri"/>
                <w:b/>
                <w:bCs/>
                <w:sz w:val="16"/>
                <w:szCs w:val="16"/>
              </w:rPr>
              <w:t> </w:t>
            </w:r>
            <w:r>
              <w:rPr>
                <w:rFonts w:cs="Calibri"/>
                <w:b/>
                <w:bCs/>
                <w:sz w:val="16"/>
                <w:szCs w:val="16"/>
              </w:rPr>
              <w:t>611</w:t>
            </w:r>
          </w:p>
        </w:tc>
      </w:tr>
      <w:tr w:rsidR="00B56A7B" w:rsidRPr="000C156A" w14:paraId="13FB26DE"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19089B41"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noProof/>
                <w:sz w:val="16"/>
                <w:szCs w:val="16"/>
                <w:lang w:val="en-US" w:eastAsia="zh-CN"/>
              </w:rPr>
              <w:t>自愿捐</w:t>
            </w:r>
            <w:r w:rsidRPr="000C156A">
              <w:rPr>
                <w:rFonts w:hint="eastAsia"/>
                <w:noProof/>
                <w:sz w:val="16"/>
                <w:szCs w:val="16"/>
                <w:lang w:val="en-US" w:eastAsia="zh-CN"/>
              </w:rPr>
              <w:t>款</w:t>
            </w:r>
          </w:p>
        </w:tc>
        <w:tc>
          <w:tcPr>
            <w:tcW w:w="992" w:type="dxa"/>
            <w:tcBorders>
              <w:top w:val="nil"/>
              <w:left w:val="single" w:sz="4" w:space="0" w:color="auto"/>
              <w:bottom w:val="nil"/>
              <w:right w:val="single" w:sz="4" w:space="0" w:color="auto"/>
            </w:tcBorders>
            <w:shd w:val="clear" w:color="auto" w:fill="auto"/>
            <w:noWrap/>
            <w:vAlign w:val="bottom"/>
            <w:hideMark/>
          </w:tcPr>
          <w:p w14:paraId="7A38DCC9"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709" w:type="dxa"/>
            <w:tcBorders>
              <w:top w:val="nil"/>
              <w:left w:val="nil"/>
              <w:bottom w:val="nil"/>
              <w:right w:val="single" w:sz="4" w:space="0" w:color="auto"/>
            </w:tcBorders>
            <w:shd w:val="clear" w:color="auto" w:fill="auto"/>
            <w:noWrap/>
            <w:vAlign w:val="bottom"/>
            <w:hideMark/>
          </w:tcPr>
          <w:p w14:paraId="727AF27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992" w:type="dxa"/>
            <w:tcBorders>
              <w:top w:val="nil"/>
              <w:left w:val="nil"/>
              <w:bottom w:val="nil"/>
              <w:right w:val="single" w:sz="4" w:space="0" w:color="auto"/>
            </w:tcBorders>
            <w:shd w:val="clear" w:color="auto" w:fill="auto"/>
            <w:noWrap/>
            <w:vAlign w:val="bottom"/>
            <w:hideMark/>
          </w:tcPr>
          <w:p w14:paraId="71B5C621"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992" w:type="dxa"/>
            <w:tcBorders>
              <w:top w:val="nil"/>
              <w:left w:val="nil"/>
              <w:bottom w:val="nil"/>
              <w:right w:val="single" w:sz="4" w:space="0" w:color="auto"/>
            </w:tcBorders>
            <w:shd w:val="clear" w:color="auto" w:fill="auto"/>
            <w:noWrap/>
            <w:vAlign w:val="bottom"/>
            <w:hideMark/>
          </w:tcPr>
          <w:p w14:paraId="657ED1A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1134" w:type="dxa"/>
            <w:tcBorders>
              <w:top w:val="nil"/>
              <w:left w:val="nil"/>
              <w:bottom w:val="nil"/>
              <w:right w:val="nil"/>
            </w:tcBorders>
            <w:shd w:val="clear" w:color="auto" w:fill="auto"/>
            <w:noWrap/>
            <w:vAlign w:val="bottom"/>
            <w:hideMark/>
          </w:tcPr>
          <w:p w14:paraId="4D3DE2A3"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5</w:t>
            </w:r>
          </w:p>
        </w:tc>
        <w:tc>
          <w:tcPr>
            <w:tcW w:w="993" w:type="dxa"/>
            <w:tcBorders>
              <w:top w:val="nil"/>
              <w:left w:val="single" w:sz="4" w:space="0" w:color="auto"/>
              <w:bottom w:val="nil"/>
              <w:right w:val="single" w:sz="4" w:space="0" w:color="auto"/>
            </w:tcBorders>
            <w:shd w:val="clear" w:color="auto" w:fill="auto"/>
            <w:noWrap/>
            <w:vAlign w:val="bottom"/>
            <w:hideMark/>
          </w:tcPr>
          <w:p w14:paraId="5A2C616D"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5</w:t>
            </w:r>
          </w:p>
        </w:tc>
        <w:tc>
          <w:tcPr>
            <w:tcW w:w="850" w:type="dxa"/>
            <w:tcBorders>
              <w:top w:val="nil"/>
              <w:left w:val="nil"/>
              <w:bottom w:val="nil"/>
              <w:right w:val="single" w:sz="4" w:space="0" w:color="auto"/>
            </w:tcBorders>
            <w:shd w:val="clear" w:color="auto" w:fill="auto"/>
            <w:noWrap/>
            <w:vAlign w:val="bottom"/>
            <w:hideMark/>
          </w:tcPr>
          <w:p w14:paraId="73A2871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51" w:type="dxa"/>
            <w:tcBorders>
              <w:top w:val="nil"/>
              <w:left w:val="nil"/>
              <w:bottom w:val="nil"/>
              <w:right w:val="single" w:sz="4" w:space="0" w:color="auto"/>
            </w:tcBorders>
            <w:shd w:val="clear" w:color="auto" w:fill="auto"/>
            <w:noWrap/>
            <w:vAlign w:val="bottom"/>
            <w:hideMark/>
          </w:tcPr>
          <w:p w14:paraId="3D26285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7BE5A209"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75" w:type="dxa"/>
            <w:tcBorders>
              <w:top w:val="nil"/>
              <w:left w:val="nil"/>
              <w:bottom w:val="nil"/>
              <w:right w:val="single" w:sz="4" w:space="0" w:color="auto"/>
            </w:tcBorders>
            <w:shd w:val="clear" w:color="auto" w:fill="auto"/>
            <w:noWrap/>
            <w:vAlign w:val="bottom"/>
            <w:hideMark/>
          </w:tcPr>
          <w:p w14:paraId="338621B7" w14:textId="7EF6BCE5"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w:t>
            </w:r>
            <w:r w:rsidR="00EC26EC">
              <w:rPr>
                <w:rFonts w:cs="Calibri"/>
                <w:color w:val="000000"/>
                <w:sz w:val="16"/>
                <w:szCs w:val="16"/>
              </w:rPr>
              <w:t> </w:t>
            </w:r>
            <w:r>
              <w:rPr>
                <w:rFonts w:cs="Calibri"/>
                <w:color w:val="000000"/>
                <w:sz w:val="16"/>
                <w:szCs w:val="16"/>
              </w:rPr>
              <w:t>894</w:t>
            </w:r>
          </w:p>
        </w:tc>
        <w:tc>
          <w:tcPr>
            <w:tcW w:w="670" w:type="dxa"/>
            <w:tcBorders>
              <w:top w:val="nil"/>
              <w:left w:val="nil"/>
              <w:bottom w:val="nil"/>
              <w:right w:val="single" w:sz="4" w:space="0" w:color="auto"/>
            </w:tcBorders>
            <w:shd w:val="clear" w:color="auto" w:fill="auto"/>
            <w:noWrap/>
            <w:vAlign w:val="bottom"/>
            <w:hideMark/>
          </w:tcPr>
          <w:p w14:paraId="3BC8396E" w14:textId="1ED4F20F"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10</w:t>
            </w:r>
            <w:r w:rsidR="00EC26EC">
              <w:rPr>
                <w:rFonts w:cs="Calibri"/>
                <w:color w:val="000000"/>
                <w:sz w:val="16"/>
                <w:szCs w:val="16"/>
              </w:rPr>
              <w:t> </w:t>
            </w:r>
            <w:r>
              <w:rPr>
                <w:rFonts w:cs="Calibri"/>
                <w:color w:val="000000"/>
                <w:sz w:val="16"/>
                <w:szCs w:val="16"/>
              </w:rPr>
              <w:t>682</w:t>
            </w:r>
          </w:p>
        </w:tc>
        <w:tc>
          <w:tcPr>
            <w:tcW w:w="709" w:type="dxa"/>
            <w:tcBorders>
              <w:top w:val="nil"/>
              <w:left w:val="nil"/>
              <w:bottom w:val="nil"/>
              <w:right w:val="single" w:sz="4" w:space="0" w:color="auto"/>
            </w:tcBorders>
            <w:shd w:val="clear" w:color="auto" w:fill="auto"/>
            <w:noWrap/>
            <w:vAlign w:val="bottom"/>
            <w:hideMark/>
          </w:tcPr>
          <w:p w14:paraId="0B50038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17A458B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16EB417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1040" w:type="dxa"/>
            <w:tcBorders>
              <w:top w:val="nil"/>
              <w:left w:val="nil"/>
              <w:bottom w:val="nil"/>
              <w:right w:val="single" w:sz="4" w:space="0" w:color="auto"/>
            </w:tcBorders>
            <w:shd w:val="clear" w:color="auto" w:fill="auto"/>
            <w:noWrap/>
            <w:vAlign w:val="bottom"/>
            <w:hideMark/>
          </w:tcPr>
          <w:p w14:paraId="5A3A35E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02" w:type="dxa"/>
            <w:tcBorders>
              <w:top w:val="nil"/>
              <w:left w:val="nil"/>
              <w:bottom w:val="nil"/>
              <w:right w:val="single" w:sz="4" w:space="0" w:color="auto"/>
            </w:tcBorders>
            <w:shd w:val="clear" w:color="auto" w:fill="auto"/>
            <w:noWrap/>
            <w:vAlign w:val="bottom"/>
            <w:hideMark/>
          </w:tcPr>
          <w:p w14:paraId="06340046" w14:textId="2585324F"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13</w:t>
            </w:r>
            <w:r w:rsidR="00EC26EC">
              <w:rPr>
                <w:rFonts w:cs="Calibri"/>
                <w:b/>
                <w:bCs/>
                <w:sz w:val="16"/>
                <w:szCs w:val="16"/>
              </w:rPr>
              <w:t> </w:t>
            </w:r>
            <w:r>
              <w:rPr>
                <w:rFonts w:cs="Calibri"/>
                <w:b/>
                <w:bCs/>
                <w:sz w:val="16"/>
                <w:szCs w:val="16"/>
              </w:rPr>
              <w:t>581</w:t>
            </w:r>
          </w:p>
        </w:tc>
      </w:tr>
      <w:tr w:rsidR="00B56A7B" w:rsidRPr="000C156A" w14:paraId="2D2634BC"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250ED749"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asciiTheme="minorHAnsi" w:hAnsiTheme="minorHAnsi" w:cs="Arial" w:hint="eastAsia"/>
                <w:sz w:val="16"/>
                <w:szCs w:val="16"/>
                <w:lang w:val="en-US" w:eastAsia="zh-CN"/>
              </w:rPr>
              <w:t>出版物</w:t>
            </w:r>
          </w:p>
        </w:tc>
        <w:tc>
          <w:tcPr>
            <w:tcW w:w="992" w:type="dxa"/>
            <w:tcBorders>
              <w:top w:val="nil"/>
              <w:left w:val="single" w:sz="4" w:space="0" w:color="auto"/>
              <w:bottom w:val="nil"/>
              <w:right w:val="single" w:sz="4" w:space="0" w:color="auto"/>
            </w:tcBorders>
            <w:shd w:val="clear" w:color="auto" w:fill="auto"/>
            <w:noWrap/>
            <w:vAlign w:val="bottom"/>
            <w:hideMark/>
          </w:tcPr>
          <w:p w14:paraId="4565CDA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4</w:t>
            </w:r>
          </w:p>
        </w:tc>
        <w:tc>
          <w:tcPr>
            <w:tcW w:w="709" w:type="dxa"/>
            <w:tcBorders>
              <w:top w:val="nil"/>
              <w:left w:val="nil"/>
              <w:bottom w:val="nil"/>
              <w:right w:val="single" w:sz="4" w:space="0" w:color="auto"/>
            </w:tcBorders>
            <w:shd w:val="clear" w:color="auto" w:fill="auto"/>
            <w:noWrap/>
            <w:vAlign w:val="bottom"/>
            <w:hideMark/>
          </w:tcPr>
          <w:p w14:paraId="6D9074F5" w14:textId="3436AEA5"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19</w:t>
            </w:r>
            <w:r w:rsidR="00EC26EC">
              <w:rPr>
                <w:rFonts w:cs="Calibri"/>
                <w:sz w:val="16"/>
                <w:szCs w:val="16"/>
              </w:rPr>
              <w:t> </w:t>
            </w:r>
            <w:r>
              <w:rPr>
                <w:rFonts w:cs="Calibri"/>
                <w:sz w:val="16"/>
                <w:szCs w:val="16"/>
              </w:rPr>
              <w:t>329</w:t>
            </w:r>
          </w:p>
        </w:tc>
        <w:tc>
          <w:tcPr>
            <w:tcW w:w="992" w:type="dxa"/>
            <w:tcBorders>
              <w:top w:val="nil"/>
              <w:left w:val="nil"/>
              <w:bottom w:val="nil"/>
              <w:right w:val="single" w:sz="4" w:space="0" w:color="auto"/>
            </w:tcBorders>
            <w:shd w:val="clear" w:color="auto" w:fill="auto"/>
            <w:noWrap/>
            <w:vAlign w:val="bottom"/>
            <w:hideMark/>
          </w:tcPr>
          <w:p w14:paraId="59E3D8A8"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4</w:t>
            </w:r>
          </w:p>
        </w:tc>
        <w:tc>
          <w:tcPr>
            <w:tcW w:w="992" w:type="dxa"/>
            <w:tcBorders>
              <w:top w:val="nil"/>
              <w:left w:val="nil"/>
              <w:bottom w:val="nil"/>
              <w:right w:val="single" w:sz="4" w:space="0" w:color="auto"/>
            </w:tcBorders>
            <w:shd w:val="clear" w:color="auto" w:fill="auto"/>
            <w:noWrap/>
            <w:vAlign w:val="bottom"/>
            <w:hideMark/>
          </w:tcPr>
          <w:p w14:paraId="14FB966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72</w:t>
            </w:r>
          </w:p>
        </w:tc>
        <w:tc>
          <w:tcPr>
            <w:tcW w:w="1134" w:type="dxa"/>
            <w:tcBorders>
              <w:top w:val="nil"/>
              <w:left w:val="nil"/>
              <w:bottom w:val="nil"/>
              <w:right w:val="nil"/>
            </w:tcBorders>
            <w:shd w:val="clear" w:color="auto" w:fill="auto"/>
            <w:noWrap/>
            <w:vAlign w:val="bottom"/>
            <w:hideMark/>
          </w:tcPr>
          <w:p w14:paraId="12C59A14"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2</w:t>
            </w:r>
          </w:p>
        </w:tc>
        <w:tc>
          <w:tcPr>
            <w:tcW w:w="993" w:type="dxa"/>
            <w:tcBorders>
              <w:top w:val="nil"/>
              <w:left w:val="single" w:sz="4" w:space="0" w:color="auto"/>
              <w:bottom w:val="nil"/>
              <w:right w:val="single" w:sz="4" w:space="0" w:color="auto"/>
            </w:tcBorders>
            <w:shd w:val="clear" w:color="auto" w:fill="auto"/>
            <w:noWrap/>
            <w:vAlign w:val="bottom"/>
            <w:hideMark/>
          </w:tcPr>
          <w:p w14:paraId="41B4AEA2" w14:textId="3AB48A15"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19</w:t>
            </w:r>
            <w:r w:rsidR="00EC26EC">
              <w:rPr>
                <w:rFonts w:cs="Calibri"/>
                <w:b/>
                <w:bCs/>
                <w:sz w:val="16"/>
                <w:szCs w:val="16"/>
              </w:rPr>
              <w:t> </w:t>
            </w:r>
            <w:r>
              <w:rPr>
                <w:rFonts w:cs="Calibri"/>
                <w:b/>
                <w:bCs/>
                <w:sz w:val="16"/>
                <w:szCs w:val="16"/>
              </w:rPr>
              <w:t>411</w:t>
            </w:r>
          </w:p>
        </w:tc>
        <w:tc>
          <w:tcPr>
            <w:tcW w:w="850" w:type="dxa"/>
            <w:tcBorders>
              <w:top w:val="nil"/>
              <w:left w:val="nil"/>
              <w:bottom w:val="nil"/>
              <w:right w:val="single" w:sz="4" w:space="0" w:color="auto"/>
            </w:tcBorders>
            <w:shd w:val="clear" w:color="auto" w:fill="auto"/>
            <w:noWrap/>
            <w:vAlign w:val="bottom"/>
            <w:hideMark/>
          </w:tcPr>
          <w:p w14:paraId="4B9C4DA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51" w:type="dxa"/>
            <w:tcBorders>
              <w:top w:val="nil"/>
              <w:left w:val="nil"/>
              <w:bottom w:val="nil"/>
              <w:right w:val="single" w:sz="4" w:space="0" w:color="auto"/>
            </w:tcBorders>
            <w:shd w:val="clear" w:color="auto" w:fill="auto"/>
            <w:noWrap/>
            <w:vAlign w:val="bottom"/>
            <w:hideMark/>
          </w:tcPr>
          <w:p w14:paraId="465AC59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235C3E14"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24C64C8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70" w:type="dxa"/>
            <w:tcBorders>
              <w:top w:val="nil"/>
              <w:left w:val="nil"/>
              <w:bottom w:val="nil"/>
              <w:right w:val="single" w:sz="4" w:space="0" w:color="auto"/>
            </w:tcBorders>
            <w:shd w:val="clear" w:color="auto" w:fill="auto"/>
            <w:noWrap/>
            <w:vAlign w:val="bottom"/>
            <w:hideMark/>
          </w:tcPr>
          <w:p w14:paraId="6672808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709" w:type="dxa"/>
            <w:tcBorders>
              <w:top w:val="nil"/>
              <w:left w:val="nil"/>
              <w:bottom w:val="nil"/>
              <w:right w:val="single" w:sz="4" w:space="0" w:color="auto"/>
            </w:tcBorders>
            <w:shd w:val="clear" w:color="auto" w:fill="auto"/>
            <w:noWrap/>
            <w:vAlign w:val="bottom"/>
            <w:hideMark/>
          </w:tcPr>
          <w:p w14:paraId="51BA933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7DAD7CD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039B2D3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1040" w:type="dxa"/>
            <w:tcBorders>
              <w:top w:val="nil"/>
              <w:left w:val="nil"/>
              <w:bottom w:val="nil"/>
              <w:right w:val="single" w:sz="4" w:space="0" w:color="auto"/>
            </w:tcBorders>
            <w:shd w:val="clear" w:color="auto" w:fill="auto"/>
            <w:noWrap/>
            <w:vAlign w:val="bottom"/>
            <w:hideMark/>
          </w:tcPr>
          <w:p w14:paraId="7323044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02" w:type="dxa"/>
            <w:tcBorders>
              <w:top w:val="nil"/>
              <w:left w:val="nil"/>
              <w:bottom w:val="nil"/>
              <w:right w:val="single" w:sz="4" w:space="0" w:color="auto"/>
            </w:tcBorders>
            <w:shd w:val="clear" w:color="auto" w:fill="auto"/>
            <w:noWrap/>
            <w:vAlign w:val="bottom"/>
            <w:hideMark/>
          </w:tcPr>
          <w:p w14:paraId="2167FB73" w14:textId="26A75310"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19</w:t>
            </w:r>
            <w:r w:rsidR="00EC26EC">
              <w:rPr>
                <w:rFonts w:cs="Calibri"/>
                <w:b/>
                <w:bCs/>
                <w:sz w:val="16"/>
                <w:szCs w:val="16"/>
              </w:rPr>
              <w:t> </w:t>
            </w:r>
            <w:r>
              <w:rPr>
                <w:rFonts w:cs="Calibri"/>
                <w:b/>
                <w:bCs/>
                <w:sz w:val="16"/>
                <w:szCs w:val="16"/>
              </w:rPr>
              <w:t>411</w:t>
            </w:r>
          </w:p>
        </w:tc>
      </w:tr>
      <w:tr w:rsidR="00B56A7B" w:rsidRPr="000C156A" w14:paraId="3A81BF5A"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2DC1CE7D"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asciiTheme="minorHAnsi" w:hAnsiTheme="minorHAnsi" w:cs="Arial" w:hint="eastAsia"/>
                <w:sz w:val="16"/>
                <w:szCs w:val="16"/>
                <w:lang w:val="en-US" w:eastAsia="zh-CN"/>
              </w:rPr>
              <w:t>成本回收</w:t>
            </w:r>
          </w:p>
        </w:tc>
        <w:tc>
          <w:tcPr>
            <w:tcW w:w="992" w:type="dxa"/>
            <w:tcBorders>
              <w:top w:val="nil"/>
              <w:left w:val="single" w:sz="4" w:space="0" w:color="auto"/>
              <w:bottom w:val="nil"/>
              <w:right w:val="single" w:sz="4" w:space="0" w:color="auto"/>
            </w:tcBorders>
            <w:shd w:val="clear" w:color="auto" w:fill="auto"/>
            <w:noWrap/>
            <w:vAlign w:val="bottom"/>
            <w:hideMark/>
          </w:tcPr>
          <w:p w14:paraId="7F1B621B"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36</w:t>
            </w:r>
          </w:p>
        </w:tc>
        <w:tc>
          <w:tcPr>
            <w:tcW w:w="709" w:type="dxa"/>
            <w:tcBorders>
              <w:top w:val="nil"/>
              <w:left w:val="nil"/>
              <w:bottom w:val="nil"/>
              <w:right w:val="single" w:sz="4" w:space="0" w:color="auto"/>
            </w:tcBorders>
            <w:shd w:val="clear" w:color="auto" w:fill="auto"/>
            <w:noWrap/>
            <w:vAlign w:val="bottom"/>
            <w:hideMark/>
          </w:tcPr>
          <w:p w14:paraId="588F97B3" w14:textId="7DA0552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11</w:t>
            </w:r>
            <w:r w:rsidR="00EC26EC">
              <w:rPr>
                <w:rFonts w:cs="Calibri"/>
                <w:sz w:val="16"/>
                <w:szCs w:val="16"/>
              </w:rPr>
              <w:t> </w:t>
            </w:r>
            <w:r>
              <w:rPr>
                <w:rFonts w:cs="Calibri"/>
                <w:sz w:val="16"/>
                <w:szCs w:val="16"/>
              </w:rPr>
              <w:t>282</w:t>
            </w:r>
          </w:p>
        </w:tc>
        <w:tc>
          <w:tcPr>
            <w:tcW w:w="992" w:type="dxa"/>
            <w:tcBorders>
              <w:top w:val="nil"/>
              <w:left w:val="nil"/>
              <w:bottom w:val="nil"/>
              <w:right w:val="single" w:sz="4" w:space="0" w:color="auto"/>
            </w:tcBorders>
            <w:shd w:val="clear" w:color="auto" w:fill="auto"/>
            <w:noWrap/>
            <w:vAlign w:val="bottom"/>
            <w:hideMark/>
          </w:tcPr>
          <w:p w14:paraId="17BB8B7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430</w:t>
            </w:r>
          </w:p>
        </w:tc>
        <w:tc>
          <w:tcPr>
            <w:tcW w:w="992" w:type="dxa"/>
            <w:tcBorders>
              <w:top w:val="nil"/>
              <w:left w:val="nil"/>
              <w:bottom w:val="nil"/>
              <w:right w:val="single" w:sz="4" w:space="0" w:color="auto"/>
            </w:tcBorders>
            <w:shd w:val="clear" w:color="auto" w:fill="auto"/>
            <w:noWrap/>
            <w:vAlign w:val="bottom"/>
            <w:hideMark/>
          </w:tcPr>
          <w:p w14:paraId="10E21B1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537</w:t>
            </w:r>
          </w:p>
        </w:tc>
        <w:tc>
          <w:tcPr>
            <w:tcW w:w="1134" w:type="dxa"/>
            <w:tcBorders>
              <w:top w:val="nil"/>
              <w:left w:val="nil"/>
              <w:bottom w:val="nil"/>
              <w:right w:val="nil"/>
            </w:tcBorders>
            <w:shd w:val="clear" w:color="auto" w:fill="auto"/>
            <w:noWrap/>
            <w:vAlign w:val="bottom"/>
            <w:hideMark/>
          </w:tcPr>
          <w:p w14:paraId="4D36FAE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993" w:type="dxa"/>
            <w:tcBorders>
              <w:top w:val="nil"/>
              <w:left w:val="single" w:sz="4" w:space="0" w:color="auto"/>
              <w:bottom w:val="nil"/>
              <w:right w:val="single" w:sz="4" w:space="0" w:color="auto"/>
            </w:tcBorders>
            <w:shd w:val="clear" w:color="auto" w:fill="auto"/>
            <w:noWrap/>
            <w:vAlign w:val="bottom"/>
            <w:hideMark/>
          </w:tcPr>
          <w:p w14:paraId="51455CAB" w14:textId="28EF4B89"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12</w:t>
            </w:r>
            <w:r w:rsidR="00EC26EC">
              <w:rPr>
                <w:rFonts w:cs="Calibri"/>
                <w:b/>
                <w:bCs/>
                <w:sz w:val="16"/>
                <w:szCs w:val="16"/>
              </w:rPr>
              <w:t> </w:t>
            </w:r>
            <w:r>
              <w:rPr>
                <w:rFonts w:cs="Calibri"/>
                <w:b/>
                <w:bCs/>
                <w:sz w:val="16"/>
                <w:szCs w:val="16"/>
              </w:rPr>
              <w:t>285</w:t>
            </w:r>
          </w:p>
        </w:tc>
        <w:tc>
          <w:tcPr>
            <w:tcW w:w="850" w:type="dxa"/>
            <w:tcBorders>
              <w:top w:val="nil"/>
              <w:left w:val="nil"/>
              <w:bottom w:val="nil"/>
              <w:right w:val="single" w:sz="4" w:space="0" w:color="auto"/>
            </w:tcBorders>
            <w:shd w:val="clear" w:color="auto" w:fill="auto"/>
            <w:noWrap/>
            <w:vAlign w:val="bottom"/>
            <w:hideMark/>
          </w:tcPr>
          <w:p w14:paraId="6D00EEA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51" w:type="dxa"/>
            <w:tcBorders>
              <w:top w:val="nil"/>
              <w:left w:val="nil"/>
              <w:bottom w:val="nil"/>
              <w:right w:val="single" w:sz="4" w:space="0" w:color="auto"/>
            </w:tcBorders>
            <w:shd w:val="clear" w:color="auto" w:fill="auto"/>
            <w:noWrap/>
            <w:vAlign w:val="bottom"/>
            <w:hideMark/>
          </w:tcPr>
          <w:p w14:paraId="57D05109"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6DC1B47D"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75" w:type="dxa"/>
            <w:tcBorders>
              <w:top w:val="nil"/>
              <w:left w:val="nil"/>
              <w:bottom w:val="nil"/>
              <w:right w:val="single" w:sz="4" w:space="0" w:color="auto"/>
            </w:tcBorders>
            <w:shd w:val="clear" w:color="auto" w:fill="auto"/>
            <w:noWrap/>
            <w:vAlign w:val="bottom"/>
            <w:hideMark/>
          </w:tcPr>
          <w:p w14:paraId="3B3600A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70" w:type="dxa"/>
            <w:tcBorders>
              <w:top w:val="nil"/>
              <w:left w:val="nil"/>
              <w:bottom w:val="nil"/>
              <w:right w:val="single" w:sz="4" w:space="0" w:color="auto"/>
            </w:tcBorders>
            <w:shd w:val="clear" w:color="auto" w:fill="auto"/>
            <w:noWrap/>
            <w:vAlign w:val="bottom"/>
            <w:hideMark/>
          </w:tcPr>
          <w:p w14:paraId="21C4714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709" w:type="dxa"/>
            <w:tcBorders>
              <w:top w:val="nil"/>
              <w:left w:val="nil"/>
              <w:bottom w:val="nil"/>
              <w:right w:val="single" w:sz="4" w:space="0" w:color="auto"/>
            </w:tcBorders>
            <w:shd w:val="clear" w:color="auto" w:fill="auto"/>
            <w:noWrap/>
            <w:vAlign w:val="bottom"/>
            <w:hideMark/>
          </w:tcPr>
          <w:p w14:paraId="083A330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3BC4F1B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0D7975E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1040" w:type="dxa"/>
            <w:tcBorders>
              <w:top w:val="nil"/>
              <w:left w:val="nil"/>
              <w:bottom w:val="nil"/>
              <w:right w:val="single" w:sz="4" w:space="0" w:color="auto"/>
            </w:tcBorders>
            <w:shd w:val="clear" w:color="auto" w:fill="auto"/>
            <w:noWrap/>
            <w:vAlign w:val="bottom"/>
            <w:hideMark/>
          </w:tcPr>
          <w:p w14:paraId="07AC43B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-724</w:t>
            </w:r>
          </w:p>
        </w:tc>
        <w:tc>
          <w:tcPr>
            <w:tcW w:w="802" w:type="dxa"/>
            <w:tcBorders>
              <w:top w:val="nil"/>
              <w:left w:val="nil"/>
              <w:bottom w:val="nil"/>
              <w:right w:val="single" w:sz="4" w:space="0" w:color="auto"/>
            </w:tcBorders>
            <w:shd w:val="clear" w:color="auto" w:fill="auto"/>
            <w:noWrap/>
            <w:vAlign w:val="bottom"/>
            <w:hideMark/>
          </w:tcPr>
          <w:p w14:paraId="76AF3499" w14:textId="2E2D6F5F"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11</w:t>
            </w:r>
            <w:r w:rsidR="00EC26EC">
              <w:rPr>
                <w:rFonts w:cs="Calibri"/>
                <w:b/>
                <w:bCs/>
                <w:sz w:val="16"/>
                <w:szCs w:val="16"/>
              </w:rPr>
              <w:t> </w:t>
            </w:r>
            <w:r>
              <w:rPr>
                <w:rFonts w:cs="Calibri"/>
                <w:b/>
                <w:bCs/>
                <w:sz w:val="16"/>
                <w:szCs w:val="16"/>
              </w:rPr>
              <w:t>560</w:t>
            </w:r>
          </w:p>
        </w:tc>
      </w:tr>
      <w:tr w:rsidR="00B56A7B" w:rsidRPr="000C156A" w14:paraId="1736D86C"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1E96BD95"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其它收入</w:t>
            </w:r>
          </w:p>
        </w:tc>
        <w:tc>
          <w:tcPr>
            <w:tcW w:w="992" w:type="dxa"/>
            <w:tcBorders>
              <w:top w:val="nil"/>
              <w:left w:val="single" w:sz="4" w:space="0" w:color="auto"/>
              <w:bottom w:val="nil"/>
              <w:right w:val="single" w:sz="4" w:space="0" w:color="auto"/>
            </w:tcBorders>
            <w:shd w:val="clear" w:color="auto" w:fill="auto"/>
            <w:noWrap/>
            <w:vAlign w:val="bottom"/>
            <w:hideMark/>
          </w:tcPr>
          <w:p w14:paraId="17F3C77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0</w:t>
            </w:r>
          </w:p>
        </w:tc>
        <w:tc>
          <w:tcPr>
            <w:tcW w:w="709" w:type="dxa"/>
            <w:tcBorders>
              <w:top w:val="nil"/>
              <w:left w:val="nil"/>
              <w:bottom w:val="nil"/>
              <w:right w:val="single" w:sz="4" w:space="0" w:color="auto"/>
            </w:tcBorders>
            <w:shd w:val="clear" w:color="auto" w:fill="auto"/>
            <w:noWrap/>
            <w:vAlign w:val="bottom"/>
            <w:hideMark/>
          </w:tcPr>
          <w:p w14:paraId="7E37B488"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241</w:t>
            </w:r>
          </w:p>
        </w:tc>
        <w:tc>
          <w:tcPr>
            <w:tcW w:w="992" w:type="dxa"/>
            <w:tcBorders>
              <w:top w:val="nil"/>
              <w:left w:val="nil"/>
              <w:bottom w:val="nil"/>
              <w:right w:val="single" w:sz="4" w:space="0" w:color="auto"/>
            </w:tcBorders>
            <w:shd w:val="clear" w:color="auto" w:fill="auto"/>
            <w:noWrap/>
            <w:vAlign w:val="bottom"/>
            <w:hideMark/>
          </w:tcPr>
          <w:p w14:paraId="3A15CE3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0</w:t>
            </w:r>
          </w:p>
        </w:tc>
        <w:tc>
          <w:tcPr>
            <w:tcW w:w="992" w:type="dxa"/>
            <w:tcBorders>
              <w:top w:val="nil"/>
              <w:left w:val="nil"/>
              <w:bottom w:val="nil"/>
              <w:right w:val="single" w:sz="4" w:space="0" w:color="auto"/>
            </w:tcBorders>
            <w:shd w:val="clear" w:color="auto" w:fill="auto"/>
            <w:noWrap/>
            <w:vAlign w:val="bottom"/>
            <w:hideMark/>
          </w:tcPr>
          <w:p w14:paraId="7195549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2</w:t>
            </w:r>
          </w:p>
        </w:tc>
        <w:tc>
          <w:tcPr>
            <w:tcW w:w="1134" w:type="dxa"/>
            <w:tcBorders>
              <w:top w:val="nil"/>
              <w:left w:val="nil"/>
              <w:bottom w:val="nil"/>
              <w:right w:val="nil"/>
            </w:tcBorders>
            <w:shd w:val="clear" w:color="auto" w:fill="auto"/>
            <w:noWrap/>
            <w:vAlign w:val="bottom"/>
            <w:hideMark/>
          </w:tcPr>
          <w:p w14:paraId="08DC3188"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243</w:t>
            </w:r>
          </w:p>
        </w:tc>
        <w:tc>
          <w:tcPr>
            <w:tcW w:w="993" w:type="dxa"/>
            <w:tcBorders>
              <w:top w:val="nil"/>
              <w:left w:val="single" w:sz="4" w:space="0" w:color="auto"/>
              <w:bottom w:val="nil"/>
              <w:right w:val="single" w:sz="4" w:space="0" w:color="auto"/>
            </w:tcBorders>
            <w:shd w:val="clear" w:color="auto" w:fill="auto"/>
            <w:noWrap/>
            <w:vAlign w:val="bottom"/>
            <w:hideMark/>
          </w:tcPr>
          <w:p w14:paraId="0264D2E7"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487</w:t>
            </w:r>
          </w:p>
        </w:tc>
        <w:tc>
          <w:tcPr>
            <w:tcW w:w="850" w:type="dxa"/>
            <w:tcBorders>
              <w:top w:val="nil"/>
              <w:left w:val="nil"/>
              <w:bottom w:val="nil"/>
              <w:right w:val="single" w:sz="4" w:space="0" w:color="auto"/>
            </w:tcBorders>
            <w:shd w:val="clear" w:color="auto" w:fill="auto"/>
            <w:noWrap/>
            <w:vAlign w:val="bottom"/>
            <w:hideMark/>
          </w:tcPr>
          <w:p w14:paraId="70FB86A3"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51" w:type="dxa"/>
            <w:tcBorders>
              <w:top w:val="nil"/>
              <w:left w:val="nil"/>
              <w:bottom w:val="nil"/>
              <w:right w:val="single" w:sz="4" w:space="0" w:color="auto"/>
            </w:tcBorders>
            <w:shd w:val="clear" w:color="auto" w:fill="auto"/>
            <w:noWrap/>
            <w:vAlign w:val="bottom"/>
            <w:hideMark/>
          </w:tcPr>
          <w:p w14:paraId="7C69072F" w14:textId="1411532F"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2</w:t>
            </w:r>
            <w:r w:rsidR="00EC26EC">
              <w:rPr>
                <w:rFonts w:cs="Calibri"/>
                <w:sz w:val="16"/>
                <w:szCs w:val="16"/>
              </w:rPr>
              <w:t> </w:t>
            </w:r>
            <w:r>
              <w:rPr>
                <w:rFonts w:cs="Calibri"/>
                <w:sz w:val="16"/>
                <w:szCs w:val="16"/>
              </w:rPr>
              <w:t>310</w:t>
            </w:r>
          </w:p>
        </w:tc>
        <w:tc>
          <w:tcPr>
            <w:tcW w:w="864" w:type="dxa"/>
            <w:tcBorders>
              <w:top w:val="nil"/>
              <w:left w:val="nil"/>
              <w:bottom w:val="nil"/>
              <w:right w:val="single" w:sz="4" w:space="0" w:color="auto"/>
            </w:tcBorders>
            <w:shd w:val="clear" w:color="auto" w:fill="auto"/>
            <w:noWrap/>
            <w:vAlign w:val="bottom"/>
            <w:hideMark/>
          </w:tcPr>
          <w:p w14:paraId="6445A37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75" w:type="dxa"/>
            <w:tcBorders>
              <w:top w:val="nil"/>
              <w:left w:val="nil"/>
              <w:bottom w:val="nil"/>
              <w:right w:val="single" w:sz="4" w:space="0" w:color="auto"/>
            </w:tcBorders>
            <w:shd w:val="clear" w:color="auto" w:fill="auto"/>
            <w:noWrap/>
            <w:vAlign w:val="bottom"/>
            <w:hideMark/>
          </w:tcPr>
          <w:p w14:paraId="5E9CDCC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70" w:type="dxa"/>
            <w:tcBorders>
              <w:top w:val="nil"/>
              <w:left w:val="nil"/>
              <w:bottom w:val="nil"/>
              <w:right w:val="single" w:sz="4" w:space="0" w:color="auto"/>
            </w:tcBorders>
            <w:shd w:val="clear" w:color="auto" w:fill="auto"/>
            <w:noWrap/>
            <w:vAlign w:val="bottom"/>
            <w:hideMark/>
          </w:tcPr>
          <w:p w14:paraId="42CEA23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53</w:t>
            </w:r>
          </w:p>
        </w:tc>
        <w:tc>
          <w:tcPr>
            <w:tcW w:w="709" w:type="dxa"/>
            <w:tcBorders>
              <w:top w:val="nil"/>
              <w:left w:val="nil"/>
              <w:bottom w:val="nil"/>
              <w:right w:val="single" w:sz="4" w:space="0" w:color="auto"/>
            </w:tcBorders>
            <w:shd w:val="clear" w:color="auto" w:fill="auto"/>
            <w:noWrap/>
            <w:vAlign w:val="bottom"/>
            <w:hideMark/>
          </w:tcPr>
          <w:p w14:paraId="0C33309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22DAF0D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44550FA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241</w:t>
            </w:r>
          </w:p>
        </w:tc>
        <w:tc>
          <w:tcPr>
            <w:tcW w:w="1040" w:type="dxa"/>
            <w:tcBorders>
              <w:top w:val="nil"/>
              <w:left w:val="nil"/>
              <w:bottom w:val="nil"/>
              <w:right w:val="single" w:sz="4" w:space="0" w:color="auto"/>
            </w:tcBorders>
            <w:shd w:val="clear" w:color="auto" w:fill="auto"/>
            <w:noWrap/>
            <w:vAlign w:val="bottom"/>
            <w:hideMark/>
          </w:tcPr>
          <w:p w14:paraId="0E45C34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-490</w:t>
            </w:r>
          </w:p>
        </w:tc>
        <w:tc>
          <w:tcPr>
            <w:tcW w:w="802" w:type="dxa"/>
            <w:tcBorders>
              <w:top w:val="nil"/>
              <w:left w:val="nil"/>
              <w:bottom w:val="nil"/>
              <w:right w:val="single" w:sz="4" w:space="0" w:color="auto"/>
            </w:tcBorders>
            <w:shd w:val="clear" w:color="auto" w:fill="auto"/>
            <w:noWrap/>
            <w:vAlign w:val="bottom"/>
            <w:hideMark/>
          </w:tcPr>
          <w:p w14:paraId="25610CDA" w14:textId="5AC4887A"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2</w:t>
            </w:r>
            <w:r w:rsidR="00EC26EC">
              <w:rPr>
                <w:rFonts w:cs="Calibri"/>
                <w:b/>
                <w:bCs/>
                <w:sz w:val="16"/>
                <w:szCs w:val="16"/>
              </w:rPr>
              <w:t> </w:t>
            </w:r>
            <w:r>
              <w:rPr>
                <w:rFonts w:cs="Calibri"/>
                <w:b/>
                <w:bCs/>
                <w:sz w:val="16"/>
                <w:szCs w:val="16"/>
              </w:rPr>
              <w:t>601</w:t>
            </w:r>
          </w:p>
        </w:tc>
      </w:tr>
      <w:tr w:rsidR="00B56A7B" w:rsidRPr="000C156A" w14:paraId="7B61E193"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2E1956D1"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理财收入</w:t>
            </w:r>
          </w:p>
        </w:tc>
        <w:tc>
          <w:tcPr>
            <w:tcW w:w="992" w:type="dxa"/>
            <w:tcBorders>
              <w:top w:val="nil"/>
              <w:left w:val="single" w:sz="4" w:space="0" w:color="auto"/>
              <w:bottom w:val="nil"/>
              <w:right w:val="single" w:sz="4" w:space="0" w:color="auto"/>
            </w:tcBorders>
            <w:shd w:val="clear" w:color="auto" w:fill="auto"/>
            <w:noWrap/>
            <w:vAlign w:val="bottom"/>
            <w:hideMark/>
          </w:tcPr>
          <w:p w14:paraId="1D245084"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0</w:t>
            </w:r>
          </w:p>
        </w:tc>
        <w:tc>
          <w:tcPr>
            <w:tcW w:w="709" w:type="dxa"/>
            <w:tcBorders>
              <w:top w:val="nil"/>
              <w:left w:val="nil"/>
              <w:bottom w:val="nil"/>
              <w:right w:val="single" w:sz="4" w:space="0" w:color="auto"/>
            </w:tcBorders>
            <w:shd w:val="clear" w:color="auto" w:fill="auto"/>
            <w:noWrap/>
            <w:vAlign w:val="bottom"/>
            <w:hideMark/>
          </w:tcPr>
          <w:p w14:paraId="1531A17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0</w:t>
            </w:r>
          </w:p>
        </w:tc>
        <w:tc>
          <w:tcPr>
            <w:tcW w:w="992" w:type="dxa"/>
            <w:tcBorders>
              <w:top w:val="nil"/>
              <w:left w:val="nil"/>
              <w:bottom w:val="nil"/>
              <w:right w:val="single" w:sz="4" w:space="0" w:color="auto"/>
            </w:tcBorders>
            <w:shd w:val="clear" w:color="auto" w:fill="auto"/>
            <w:noWrap/>
            <w:vAlign w:val="bottom"/>
            <w:hideMark/>
          </w:tcPr>
          <w:p w14:paraId="2C0BE69D"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0</w:t>
            </w:r>
          </w:p>
        </w:tc>
        <w:tc>
          <w:tcPr>
            <w:tcW w:w="992" w:type="dxa"/>
            <w:tcBorders>
              <w:top w:val="nil"/>
              <w:left w:val="nil"/>
              <w:bottom w:val="nil"/>
              <w:right w:val="single" w:sz="4" w:space="0" w:color="auto"/>
            </w:tcBorders>
            <w:shd w:val="clear" w:color="auto" w:fill="auto"/>
            <w:noWrap/>
            <w:vAlign w:val="bottom"/>
            <w:hideMark/>
          </w:tcPr>
          <w:p w14:paraId="5F9AD818"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1</w:t>
            </w:r>
          </w:p>
        </w:tc>
        <w:tc>
          <w:tcPr>
            <w:tcW w:w="1134" w:type="dxa"/>
            <w:tcBorders>
              <w:top w:val="nil"/>
              <w:left w:val="nil"/>
              <w:bottom w:val="nil"/>
              <w:right w:val="nil"/>
            </w:tcBorders>
            <w:shd w:val="clear" w:color="auto" w:fill="auto"/>
            <w:noWrap/>
            <w:vAlign w:val="bottom"/>
            <w:hideMark/>
          </w:tcPr>
          <w:p w14:paraId="5261005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981</w:t>
            </w:r>
          </w:p>
        </w:tc>
        <w:tc>
          <w:tcPr>
            <w:tcW w:w="993" w:type="dxa"/>
            <w:tcBorders>
              <w:top w:val="nil"/>
              <w:left w:val="single" w:sz="4" w:space="0" w:color="auto"/>
              <w:bottom w:val="nil"/>
              <w:right w:val="single" w:sz="4" w:space="0" w:color="auto"/>
            </w:tcBorders>
            <w:shd w:val="clear" w:color="auto" w:fill="auto"/>
            <w:noWrap/>
            <w:vAlign w:val="bottom"/>
            <w:hideMark/>
          </w:tcPr>
          <w:p w14:paraId="6E57BBFC"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982</w:t>
            </w:r>
          </w:p>
        </w:tc>
        <w:tc>
          <w:tcPr>
            <w:tcW w:w="850" w:type="dxa"/>
            <w:tcBorders>
              <w:top w:val="nil"/>
              <w:left w:val="nil"/>
              <w:bottom w:val="nil"/>
              <w:right w:val="single" w:sz="4" w:space="0" w:color="auto"/>
            </w:tcBorders>
            <w:shd w:val="clear" w:color="auto" w:fill="auto"/>
            <w:noWrap/>
            <w:vAlign w:val="bottom"/>
            <w:hideMark/>
          </w:tcPr>
          <w:p w14:paraId="36D3A85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w:t>
            </w:r>
          </w:p>
        </w:tc>
        <w:tc>
          <w:tcPr>
            <w:tcW w:w="851" w:type="dxa"/>
            <w:tcBorders>
              <w:top w:val="nil"/>
              <w:left w:val="nil"/>
              <w:bottom w:val="nil"/>
              <w:right w:val="single" w:sz="4" w:space="0" w:color="auto"/>
            </w:tcBorders>
            <w:shd w:val="clear" w:color="auto" w:fill="auto"/>
            <w:noWrap/>
            <w:vAlign w:val="bottom"/>
            <w:hideMark/>
          </w:tcPr>
          <w:p w14:paraId="70EDB36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189</w:t>
            </w:r>
          </w:p>
        </w:tc>
        <w:tc>
          <w:tcPr>
            <w:tcW w:w="864" w:type="dxa"/>
            <w:tcBorders>
              <w:top w:val="nil"/>
              <w:left w:val="nil"/>
              <w:bottom w:val="nil"/>
              <w:right w:val="single" w:sz="4" w:space="0" w:color="auto"/>
            </w:tcBorders>
            <w:shd w:val="clear" w:color="auto" w:fill="auto"/>
            <w:noWrap/>
            <w:vAlign w:val="bottom"/>
            <w:hideMark/>
          </w:tcPr>
          <w:p w14:paraId="6A0826D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sz w:val="16"/>
                <w:szCs w:val="16"/>
              </w:rPr>
              <w:t>217</w:t>
            </w:r>
          </w:p>
        </w:tc>
        <w:tc>
          <w:tcPr>
            <w:tcW w:w="875" w:type="dxa"/>
            <w:tcBorders>
              <w:top w:val="nil"/>
              <w:left w:val="nil"/>
              <w:bottom w:val="nil"/>
              <w:right w:val="single" w:sz="4" w:space="0" w:color="auto"/>
            </w:tcBorders>
            <w:shd w:val="clear" w:color="auto" w:fill="auto"/>
            <w:noWrap/>
            <w:vAlign w:val="bottom"/>
            <w:hideMark/>
          </w:tcPr>
          <w:p w14:paraId="55C62D5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115</w:t>
            </w:r>
          </w:p>
        </w:tc>
        <w:tc>
          <w:tcPr>
            <w:tcW w:w="670" w:type="dxa"/>
            <w:tcBorders>
              <w:top w:val="nil"/>
              <w:left w:val="nil"/>
              <w:bottom w:val="nil"/>
              <w:right w:val="single" w:sz="4" w:space="0" w:color="auto"/>
            </w:tcBorders>
            <w:shd w:val="clear" w:color="auto" w:fill="auto"/>
            <w:noWrap/>
            <w:vAlign w:val="bottom"/>
            <w:hideMark/>
          </w:tcPr>
          <w:p w14:paraId="2EC54CE6" w14:textId="6A670A14"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r w:rsidR="00EC26EC">
              <w:rPr>
                <w:rFonts w:cs="Calibri"/>
                <w:color w:val="000000"/>
                <w:sz w:val="16"/>
                <w:szCs w:val="16"/>
              </w:rPr>
              <w:t> </w:t>
            </w:r>
            <w:r>
              <w:rPr>
                <w:rFonts w:cs="Calibri"/>
                <w:color w:val="000000"/>
                <w:sz w:val="16"/>
                <w:szCs w:val="16"/>
              </w:rPr>
              <w:t>122</w:t>
            </w:r>
          </w:p>
        </w:tc>
        <w:tc>
          <w:tcPr>
            <w:tcW w:w="709" w:type="dxa"/>
            <w:tcBorders>
              <w:top w:val="nil"/>
              <w:left w:val="nil"/>
              <w:bottom w:val="nil"/>
              <w:right w:val="single" w:sz="4" w:space="0" w:color="auto"/>
            </w:tcBorders>
            <w:shd w:val="clear" w:color="auto" w:fill="auto"/>
            <w:noWrap/>
            <w:vAlign w:val="bottom"/>
            <w:hideMark/>
          </w:tcPr>
          <w:p w14:paraId="6223F08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39</w:t>
            </w:r>
          </w:p>
        </w:tc>
        <w:tc>
          <w:tcPr>
            <w:tcW w:w="612" w:type="dxa"/>
            <w:tcBorders>
              <w:top w:val="nil"/>
              <w:left w:val="nil"/>
              <w:bottom w:val="nil"/>
              <w:right w:val="single" w:sz="4" w:space="0" w:color="auto"/>
            </w:tcBorders>
            <w:shd w:val="clear" w:color="auto" w:fill="auto"/>
            <w:noWrap/>
            <w:vAlign w:val="bottom"/>
            <w:hideMark/>
          </w:tcPr>
          <w:p w14:paraId="17CFC7E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131</w:t>
            </w:r>
          </w:p>
        </w:tc>
        <w:tc>
          <w:tcPr>
            <w:tcW w:w="806" w:type="dxa"/>
            <w:tcBorders>
              <w:top w:val="nil"/>
              <w:left w:val="nil"/>
              <w:bottom w:val="nil"/>
              <w:right w:val="single" w:sz="4" w:space="0" w:color="auto"/>
            </w:tcBorders>
            <w:shd w:val="clear" w:color="auto" w:fill="auto"/>
            <w:noWrap/>
            <w:vAlign w:val="bottom"/>
            <w:hideMark/>
          </w:tcPr>
          <w:p w14:paraId="1935E19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0</w:t>
            </w:r>
          </w:p>
        </w:tc>
        <w:tc>
          <w:tcPr>
            <w:tcW w:w="1040" w:type="dxa"/>
            <w:tcBorders>
              <w:top w:val="nil"/>
              <w:left w:val="nil"/>
              <w:bottom w:val="nil"/>
              <w:right w:val="single" w:sz="4" w:space="0" w:color="auto"/>
            </w:tcBorders>
            <w:shd w:val="clear" w:color="auto" w:fill="auto"/>
            <w:noWrap/>
            <w:vAlign w:val="bottom"/>
            <w:hideMark/>
          </w:tcPr>
          <w:p w14:paraId="431BEF1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21B016A8" w14:textId="62D20D1C"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2</w:t>
            </w:r>
            <w:r w:rsidR="00EC26EC">
              <w:rPr>
                <w:rFonts w:cs="Calibri"/>
                <w:b/>
                <w:bCs/>
                <w:sz w:val="16"/>
                <w:szCs w:val="16"/>
              </w:rPr>
              <w:t> </w:t>
            </w:r>
            <w:r>
              <w:rPr>
                <w:rFonts w:cs="Calibri"/>
                <w:b/>
                <w:bCs/>
                <w:sz w:val="16"/>
                <w:szCs w:val="16"/>
              </w:rPr>
              <w:t>793</w:t>
            </w:r>
          </w:p>
        </w:tc>
      </w:tr>
      <w:tr w:rsidR="00B56A7B" w:rsidRPr="000C156A" w14:paraId="7752A24E"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7517CD98"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2D37308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394DDC6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7B0D0CB8"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3EADDC9D"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1134" w:type="dxa"/>
            <w:tcBorders>
              <w:top w:val="nil"/>
              <w:left w:val="nil"/>
              <w:bottom w:val="nil"/>
              <w:right w:val="nil"/>
            </w:tcBorders>
            <w:shd w:val="clear" w:color="auto" w:fill="auto"/>
            <w:noWrap/>
            <w:vAlign w:val="bottom"/>
            <w:hideMark/>
          </w:tcPr>
          <w:p w14:paraId="2EF550E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142E3811"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4C299ED8"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73BFA6E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1A739F8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60BABD6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7700F25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7A5D7F8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6FF1E6A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2E2AB70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37BCC5C9"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5FFC90FA"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p>
        </w:tc>
      </w:tr>
      <w:tr w:rsidR="00B56A7B" w:rsidRPr="000C156A" w14:paraId="6BD0DA48" w14:textId="77777777" w:rsidTr="00CC47BD">
        <w:trPr>
          <w:trHeight w:val="255"/>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38298239"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hint="eastAsia"/>
                <w:b/>
                <w:bCs/>
                <w:noProof/>
                <w:sz w:val="16"/>
                <w:szCs w:val="16"/>
                <w:lang w:val="en-US"/>
              </w:rPr>
              <w:t>收入合计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59029"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284B5C" w14:textId="57913E7B"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37</w:t>
            </w:r>
            <w:r w:rsidR="00EC26EC">
              <w:rPr>
                <w:rFonts w:cs="Calibri"/>
                <w:b/>
                <w:bCs/>
                <w:color w:val="000000"/>
                <w:sz w:val="16"/>
                <w:szCs w:val="16"/>
              </w:rPr>
              <w:t> </w:t>
            </w:r>
            <w:r>
              <w:rPr>
                <w:rFonts w:cs="Calibri"/>
                <w:b/>
                <w:bCs/>
                <w:color w:val="000000"/>
                <w:sz w:val="16"/>
                <w:szCs w:val="16"/>
              </w:rPr>
              <w:t>409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DFF9CA" w14:textId="5BBDD128"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8</w:t>
            </w:r>
            <w:r w:rsidR="00EC26EC">
              <w:rPr>
                <w:rFonts w:cs="Calibri"/>
                <w:b/>
                <w:bCs/>
                <w:color w:val="000000"/>
                <w:sz w:val="16"/>
                <w:szCs w:val="16"/>
              </w:rPr>
              <w:t> </w:t>
            </w:r>
            <w:r>
              <w:rPr>
                <w:rFonts w:cs="Calibri"/>
                <w:b/>
                <w:bCs/>
                <w:color w:val="000000"/>
                <w:sz w:val="16"/>
                <w:szCs w:val="16"/>
              </w:rPr>
              <w:t>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7E8D67" w14:textId="57FA97F1"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w:t>
            </w:r>
            <w:r w:rsidR="00EC26EC">
              <w:rPr>
                <w:rFonts w:cs="Calibri"/>
                <w:b/>
                <w:bCs/>
                <w:color w:val="000000"/>
                <w:sz w:val="16"/>
                <w:szCs w:val="16"/>
              </w:rPr>
              <w:t> </w:t>
            </w:r>
            <w:r>
              <w:rPr>
                <w:rFonts w:cs="Calibri"/>
                <w:b/>
                <w:bCs/>
                <w:color w:val="000000"/>
                <w:sz w:val="16"/>
                <w:szCs w:val="16"/>
              </w:rPr>
              <w:t>998</w:t>
            </w:r>
          </w:p>
        </w:tc>
        <w:tc>
          <w:tcPr>
            <w:tcW w:w="1134" w:type="dxa"/>
            <w:tcBorders>
              <w:top w:val="single" w:sz="4" w:space="0" w:color="auto"/>
              <w:left w:val="nil"/>
              <w:bottom w:val="single" w:sz="4" w:space="0" w:color="auto"/>
              <w:right w:val="nil"/>
            </w:tcBorders>
            <w:shd w:val="clear" w:color="auto" w:fill="auto"/>
            <w:noWrap/>
            <w:vAlign w:val="center"/>
            <w:hideMark/>
          </w:tcPr>
          <w:p w14:paraId="2D038C26" w14:textId="7EA2D9CF"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110</w:t>
            </w:r>
            <w:r w:rsidR="00EC26EC">
              <w:rPr>
                <w:rFonts w:cs="Calibri"/>
                <w:b/>
                <w:bCs/>
                <w:color w:val="000000"/>
                <w:sz w:val="16"/>
                <w:szCs w:val="16"/>
              </w:rPr>
              <w:t> </w:t>
            </w:r>
            <w:r>
              <w:rPr>
                <w:rFonts w:cs="Calibri"/>
                <w:b/>
                <w:bCs/>
                <w:color w:val="000000"/>
                <w:sz w:val="16"/>
                <w:szCs w:val="16"/>
              </w:rPr>
              <w:t>913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5E93" w14:textId="0EFE14CB"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158</w:t>
            </w:r>
            <w:r w:rsidR="00EC26EC">
              <w:rPr>
                <w:rFonts w:cs="Calibri"/>
                <w:b/>
                <w:bCs/>
                <w:color w:val="000000"/>
                <w:sz w:val="16"/>
                <w:szCs w:val="16"/>
              </w:rPr>
              <w:t> </w:t>
            </w:r>
            <w:r>
              <w:rPr>
                <w:rFonts w:cs="Calibri"/>
                <w:b/>
                <w:bCs/>
                <w:color w:val="000000"/>
                <w:sz w:val="16"/>
                <w:szCs w:val="16"/>
              </w:rPr>
              <w:t>780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A4D2644"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C1B1BB" w14:textId="272DECC9"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w:t>
            </w:r>
            <w:r w:rsidR="00EC26EC">
              <w:rPr>
                <w:rFonts w:cs="Calibri"/>
                <w:b/>
                <w:bCs/>
                <w:color w:val="000000"/>
                <w:sz w:val="16"/>
                <w:szCs w:val="16"/>
              </w:rPr>
              <w:t> </w:t>
            </w:r>
            <w:r>
              <w:rPr>
                <w:rFonts w:cs="Calibri"/>
                <w:b/>
                <w:bCs/>
                <w:color w:val="000000"/>
                <w:sz w:val="16"/>
                <w:szCs w:val="16"/>
              </w:rPr>
              <w:t>499</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DCC2129"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217</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2B20EDA6" w14:textId="1612AE0F"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3</w:t>
            </w:r>
            <w:r w:rsidR="00EC26EC">
              <w:rPr>
                <w:rFonts w:cs="Calibri"/>
                <w:b/>
                <w:bCs/>
                <w:color w:val="000000"/>
                <w:sz w:val="16"/>
                <w:szCs w:val="16"/>
              </w:rPr>
              <w:t> </w:t>
            </w:r>
            <w:r>
              <w:rPr>
                <w:rFonts w:cs="Calibri"/>
                <w:b/>
                <w:bCs/>
                <w:color w:val="000000"/>
                <w:sz w:val="16"/>
                <w:szCs w:val="16"/>
              </w:rPr>
              <w:t>009</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2949C549" w14:textId="18630101"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11</w:t>
            </w:r>
            <w:r w:rsidR="00EC26EC">
              <w:rPr>
                <w:rFonts w:cs="Calibri"/>
                <w:b/>
                <w:bCs/>
                <w:color w:val="000000"/>
                <w:sz w:val="16"/>
                <w:szCs w:val="16"/>
              </w:rPr>
              <w:t> </w:t>
            </w:r>
            <w:r>
              <w:rPr>
                <w:rFonts w:cs="Calibri"/>
                <w:b/>
                <w:bCs/>
                <w:color w:val="000000"/>
                <w:sz w:val="16"/>
                <w:szCs w:val="16"/>
              </w:rPr>
              <w:t>856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223C0B"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39</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52662027"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131</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32EC4DD0"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241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E71EFA4" w14:textId="57665B29"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w:t>
            </w:r>
            <w:r w:rsidR="00EC26EC">
              <w:rPr>
                <w:rFonts w:cs="Calibri"/>
                <w:b/>
                <w:bCs/>
                <w:color w:val="000000"/>
                <w:sz w:val="16"/>
                <w:szCs w:val="16"/>
              </w:rPr>
              <w:t> </w:t>
            </w:r>
            <w:r>
              <w:rPr>
                <w:rFonts w:cs="Calibri"/>
                <w:b/>
                <w:bCs/>
                <w:color w:val="000000"/>
                <w:sz w:val="16"/>
                <w:szCs w:val="16"/>
              </w:rPr>
              <w:t>214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64034091" w14:textId="57E55BC1"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175</w:t>
            </w:r>
            <w:r w:rsidR="00EC26EC">
              <w:rPr>
                <w:rFonts w:cs="Calibri"/>
                <w:b/>
                <w:bCs/>
                <w:color w:val="000000"/>
                <w:sz w:val="16"/>
                <w:szCs w:val="16"/>
              </w:rPr>
              <w:t> </w:t>
            </w:r>
            <w:r>
              <w:rPr>
                <w:rFonts w:cs="Calibri"/>
                <w:b/>
                <w:bCs/>
                <w:color w:val="000000"/>
                <w:sz w:val="16"/>
                <w:szCs w:val="16"/>
              </w:rPr>
              <w:t>556</w:t>
            </w:r>
          </w:p>
        </w:tc>
      </w:tr>
      <w:tr w:rsidR="00B56A7B" w:rsidRPr="000C156A" w14:paraId="1E0B40D7"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4652F3AB"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hint="eastAsia"/>
                <w:b/>
                <w:bCs/>
                <w:noProof/>
                <w:sz w:val="16"/>
                <w:szCs w:val="16"/>
                <w:lang w:val="en-US"/>
              </w:rPr>
              <w:t>费用</w:t>
            </w:r>
          </w:p>
        </w:tc>
        <w:tc>
          <w:tcPr>
            <w:tcW w:w="992" w:type="dxa"/>
            <w:tcBorders>
              <w:top w:val="nil"/>
              <w:left w:val="single" w:sz="4" w:space="0" w:color="auto"/>
              <w:bottom w:val="nil"/>
              <w:right w:val="single" w:sz="4" w:space="0" w:color="auto"/>
            </w:tcBorders>
            <w:shd w:val="clear" w:color="auto" w:fill="auto"/>
            <w:noWrap/>
            <w:vAlign w:val="bottom"/>
            <w:hideMark/>
          </w:tcPr>
          <w:p w14:paraId="775AB62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6E0B81A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4A7A1BE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498DD30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14:paraId="60E5600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5AA2A88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2D27A8F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658A03D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7AC22F7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06A3B25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50FD597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225D39D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6D80B54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7DB6A21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6275CCD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5C3FFE4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r>
      <w:tr w:rsidR="00B56A7B" w:rsidRPr="000C156A" w14:paraId="4702DDA2"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30C3376C"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p>
        </w:tc>
        <w:tc>
          <w:tcPr>
            <w:tcW w:w="992" w:type="dxa"/>
            <w:tcBorders>
              <w:top w:val="nil"/>
              <w:left w:val="single" w:sz="4" w:space="0" w:color="auto"/>
              <w:bottom w:val="nil"/>
              <w:right w:val="single" w:sz="4" w:space="0" w:color="auto"/>
            </w:tcBorders>
            <w:shd w:val="clear" w:color="auto" w:fill="auto"/>
            <w:noWrap/>
            <w:vAlign w:val="bottom"/>
            <w:hideMark/>
          </w:tcPr>
          <w:p w14:paraId="4C31F05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32DF209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34F1FD8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4298C2A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14:paraId="7970052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5982F23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0F92758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00B4991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2B60B17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3783D92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582D71E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6276D7B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043FA2C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1853EDA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66D0FF3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7ADB3811"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r>
      <w:tr w:rsidR="00B56A7B" w:rsidRPr="000C156A" w14:paraId="59C6059E"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53FD7AA0"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人员</w:t>
            </w:r>
            <w:r w:rsidRPr="000C156A">
              <w:rPr>
                <w:rFonts w:hint="eastAsia"/>
                <w:noProof/>
                <w:sz w:val="16"/>
                <w:szCs w:val="16"/>
                <w:lang w:val="en-US"/>
              </w:rPr>
              <w:t>费用</w:t>
            </w:r>
          </w:p>
        </w:tc>
        <w:tc>
          <w:tcPr>
            <w:tcW w:w="992" w:type="dxa"/>
            <w:tcBorders>
              <w:top w:val="nil"/>
              <w:left w:val="single" w:sz="4" w:space="0" w:color="auto"/>
              <w:bottom w:val="nil"/>
              <w:right w:val="single" w:sz="4" w:space="0" w:color="auto"/>
            </w:tcBorders>
            <w:shd w:val="clear" w:color="auto" w:fill="auto"/>
            <w:noWrap/>
            <w:vAlign w:val="bottom"/>
            <w:hideMark/>
          </w:tcPr>
          <w:p w14:paraId="3E561FBF" w14:textId="68A8C8C4"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59</w:t>
            </w:r>
            <w:r w:rsidR="00EC26EC">
              <w:rPr>
                <w:rFonts w:cs="Calibri"/>
                <w:color w:val="000000"/>
                <w:sz w:val="16"/>
                <w:szCs w:val="16"/>
              </w:rPr>
              <w:t> </w:t>
            </w:r>
            <w:r>
              <w:rPr>
                <w:rFonts w:cs="Calibri"/>
                <w:color w:val="000000"/>
                <w:sz w:val="16"/>
                <w:szCs w:val="16"/>
              </w:rPr>
              <w:t>398</w:t>
            </w:r>
          </w:p>
        </w:tc>
        <w:tc>
          <w:tcPr>
            <w:tcW w:w="709" w:type="dxa"/>
            <w:tcBorders>
              <w:top w:val="nil"/>
              <w:left w:val="nil"/>
              <w:bottom w:val="nil"/>
              <w:right w:val="single" w:sz="4" w:space="0" w:color="auto"/>
            </w:tcBorders>
            <w:shd w:val="clear" w:color="auto" w:fill="auto"/>
            <w:noWrap/>
            <w:vAlign w:val="bottom"/>
            <w:hideMark/>
          </w:tcPr>
          <w:p w14:paraId="090CB124" w14:textId="43F31083"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26</w:t>
            </w:r>
            <w:r w:rsidR="00EC26EC">
              <w:rPr>
                <w:rFonts w:cs="Calibri"/>
                <w:color w:val="000000"/>
                <w:sz w:val="16"/>
                <w:szCs w:val="16"/>
              </w:rPr>
              <w:t> </w:t>
            </w:r>
            <w:r>
              <w:rPr>
                <w:rFonts w:cs="Calibri"/>
                <w:color w:val="000000"/>
                <w:sz w:val="16"/>
                <w:szCs w:val="16"/>
              </w:rPr>
              <w:t>521</w:t>
            </w:r>
          </w:p>
        </w:tc>
        <w:tc>
          <w:tcPr>
            <w:tcW w:w="992" w:type="dxa"/>
            <w:tcBorders>
              <w:top w:val="nil"/>
              <w:left w:val="nil"/>
              <w:bottom w:val="nil"/>
              <w:right w:val="single" w:sz="4" w:space="0" w:color="auto"/>
            </w:tcBorders>
            <w:shd w:val="clear" w:color="auto" w:fill="auto"/>
            <w:noWrap/>
            <w:vAlign w:val="bottom"/>
            <w:hideMark/>
          </w:tcPr>
          <w:p w14:paraId="46F461E2" w14:textId="06FE53AD"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11</w:t>
            </w:r>
            <w:r w:rsidR="00EC26EC">
              <w:rPr>
                <w:rFonts w:cs="Calibri"/>
                <w:color w:val="000000"/>
                <w:sz w:val="16"/>
                <w:szCs w:val="16"/>
              </w:rPr>
              <w:t> </w:t>
            </w:r>
            <w:r>
              <w:rPr>
                <w:rFonts w:cs="Calibri"/>
                <w:color w:val="000000"/>
                <w:sz w:val="16"/>
                <w:szCs w:val="16"/>
              </w:rPr>
              <w:t>485</w:t>
            </w:r>
          </w:p>
        </w:tc>
        <w:tc>
          <w:tcPr>
            <w:tcW w:w="992" w:type="dxa"/>
            <w:tcBorders>
              <w:top w:val="nil"/>
              <w:left w:val="nil"/>
              <w:bottom w:val="nil"/>
              <w:right w:val="single" w:sz="4" w:space="0" w:color="auto"/>
            </w:tcBorders>
            <w:shd w:val="clear" w:color="auto" w:fill="auto"/>
            <w:noWrap/>
            <w:vAlign w:val="bottom"/>
            <w:hideMark/>
          </w:tcPr>
          <w:p w14:paraId="285BF099" w14:textId="63501BE1"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23</w:t>
            </w:r>
            <w:r w:rsidR="00EC26EC">
              <w:rPr>
                <w:rFonts w:cs="Calibri"/>
                <w:color w:val="000000"/>
                <w:sz w:val="16"/>
                <w:szCs w:val="16"/>
              </w:rPr>
              <w:t> </w:t>
            </w:r>
            <w:r>
              <w:rPr>
                <w:rFonts w:cs="Calibri"/>
                <w:color w:val="000000"/>
                <w:sz w:val="16"/>
                <w:szCs w:val="16"/>
              </w:rPr>
              <w:t>518</w:t>
            </w:r>
          </w:p>
        </w:tc>
        <w:tc>
          <w:tcPr>
            <w:tcW w:w="1134" w:type="dxa"/>
            <w:tcBorders>
              <w:top w:val="nil"/>
              <w:left w:val="nil"/>
              <w:bottom w:val="nil"/>
              <w:right w:val="single" w:sz="4" w:space="0" w:color="auto"/>
            </w:tcBorders>
            <w:shd w:val="clear" w:color="auto" w:fill="auto"/>
            <w:noWrap/>
            <w:vAlign w:val="bottom"/>
            <w:hideMark/>
          </w:tcPr>
          <w:p w14:paraId="6A29DAB9" w14:textId="2CAC02C9"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23</w:t>
            </w:r>
            <w:r w:rsidR="00EC26EC">
              <w:rPr>
                <w:rFonts w:cs="Calibri"/>
                <w:color w:val="000000"/>
                <w:sz w:val="16"/>
                <w:szCs w:val="16"/>
              </w:rPr>
              <w:t> </w:t>
            </w:r>
            <w:r>
              <w:rPr>
                <w:rFonts w:cs="Calibri"/>
                <w:color w:val="000000"/>
                <w:sz w:val="16"/>
                <w:szCs w:val="16"/>
              </w:rPr>
              <w:t>005</w:t>
            </w:r>
          </w:p>
        </w:tc>
        <w:tc>
          <w:tcPr>
            <w:tcW w:w="993" w:type="dxa"/>
            <w:tcBorders>
              <w:top w:val="nil"/>
              <w:left w:val="nil"/>
              <w:bottom w:val="nil"/>
              <w:right w:val="single" w:sz="4" w:space="0" w:color="auto"/>
            </w:tcBorders>
            <w:shd w:val="clear" w:color="auto" w:fill="auto"/>
            <w:noWrap/>
            <w:vAlign w:val="bottom"/>
            <w:hideMark/>
          </w:tcPr>
          <w:p w14:paraId="62B8CD70" w14:textId="66DFAD96"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143</w:t>
            </w:r>
            <w:r w:rsidR="00EC26EC">
              <w:rPr>
                <w:rFonts w:cs="Calibri"/>
                <w:b/>
                <w:bCs/>
                <w:color w:val="000000"/>
                <w:sz w:val="16"/>
                <w:szCs w:val="16"/>
              </w:rPr>
              <w:t> </w:t>
            </w:r>
            <w:r>
              <w:rPr>
                <w:rFonts w:cs="Calibri"/>
                <w:b/>
                <w:bCs/>
                <w:color w:val="000000"/>
                <w:sz w:val="16"/>
                <w:szCs w:val="16"/>
              </w:rPr>
              <w:t>927</w:t>
            </w:r>
          </w:p>
        </w:tc>
        <w:tc>
          <w:tcPr>
            <w:tcW w:w="850" w:type="dxa"/>
            <w:tcBorders>
              <w:top w:val="nil"/>
              <w:left w:val="nil"/>
              <w:bottom w:val="nil"/>
              <w:right w:val="single" w:sz="4" w:space="0" w:color="auto"/>
            </w:tcBorders>
            <w:shd w:val="clear" w:color="auto" w:fill="auto"/>
            <w:noWrap/>
            <w:vAlign w:val="bottom"/>
            <w:hideMark/>
          </w:tcPr>
          <w:p w14:paraId="66AE208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51" w:type="dxa"/>
            <w:tcBorders>
              <w:top w:val="nil"/>
              <w:left w:val="nil"/>
              <w:bottom w:val="nil"/>
              <w:right w:val="single" w:sz="4" w:space="0" w:color="auto"/>
            </w:tcBorders>
            <w:shd w:val="clear" w:color="auto" w:fill="auto"/>
            <w:noWrap/>
            <w:vAlign w:val="bottom"/>
            <w:hideMark/>
          </w:tcPr>
          <w:p w14:paraId="4123730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08018B8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17</w:t>
            </w:r>
          </w:p>
        </w:tc>
        <w:tc>
          <w:tcPr>
            <w:tcW w:w="875" w:type="dxa"/>
            <w:tcBorders>
              <w:top w:val="nil"/>
              <w:left w:val="nil"/>
              <w:bottom w:val="nil"/>
              <w:right w:val="single" w:sz="4" w:space="0" w:color="auto"/>
            </w:tcBorders>
            <w:shd w:val="clear" w:color="auto" w:fill="auto"/>
            <w:noWrap/>
            <w:vAlign w:val="bottom"/>
            <w:hideMark/>
          </w:tcPr>
          <w:p w14:paraId="3E533AD3" w14:textId="3414A124"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r w:rsidR="00EC26EC">
              <w:rPr>
                <w:rFonts w:cs="Calibri"/>
                <w:color w:val="000000"/>
                <w:sz w:val="16"/>
                <w:szCs w:val="16"/>
              </w:rPr>
              <w:t> </w:t>
            </w:r>
            <w:r>
              <w:rPr>
                <w:rFonts w:cs="Calibri"/>
                <w:color w:val="000000"/>
                <w:sz w:val="16"/>
                <w:szCs w:val="16"/>
              </w:rPr>
              <w:t>911</w:t>
            </w:r>
          </w:p>
        </w:tc>
        <w:tc>
          <w:tcPr>
            <w:tcW w:w="670" w:type="dxa"/>
            <w:tcBorders>
              <w:top w:val="nil"/>
              <w:left w:val="nil"/>
              <w:bottom w:val="nil"/>
              <w:right w:val="single" w:sz="4" w:space="0" w:color="auto"/>
            </w:tcBorders>
            <w:shd w:val="clear" w:color="auto" w:fill="auto"/>
            <w:noWrap/>
            <w:vAlign w:val="bottom"/>
            <w:hideMark/>
          </w:tcPr>
          <w:p w14:paraId="1A0476A3" w14:textId="648F927B"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3</w:t>
            </w:r>
            <w:r w:rsidR="00EC26EC">
              <w:rPr>
                <w:rFonts w:cs="Calibri"/>
                <w:color w:val="000000"/>
                <w:sz w:val="16"/>
                <w:szCs w:val="16"/>
              </w:rPr>
              <w:t> </w:t>
            </w:r>
            <w:r>
              <w:rPr>
                <w:rFonts w:cs="Calibri"/>
                <w:color w:val="000000"/>
                <w:sz w:val="16"/>
                <w:szCs w:val="16"/>
              </w:rPr>
              <w:t>028</w:t>
            </w:r>
          </w:p>
        </w:tc>
        <w:tc>
          <w:tcPr>
            <w:tcW w:w="709" w:type="dxa"/>
            <w:tcBorders>
              <w:top w:val="nil"/>
              <w:left w:val="nil"/>
              <w:bottom w:val="nil"/>
              <w:right w:val="single" w:sz="4" w:space="0" w:color="auto"/>
            </w:tcBorders>
            <w:shd w:val="clear" w:color="auto" w:fill="auto"/>
            <w:noWrap/>
            <w:vAlign w:val="bottom"/>
            <w:hideMark/>
          </w:tcPr>
          <w:p w14:paraId="384817B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40C2B2C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08515A55" w14:textId="7DD0F7E8"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r w:rsidR="00EC26EC">
              <w:rPr>
                <w:rFonts w:cs="Calibri"/>
                <w:color w:val="000000"/>
                <w:sz w:val="16"/>
                <w:szCs w:val="16"/>
              </w:rPr>
              <w:t> </w:t>
            </w:r>
            <w:r>
              <w:rPr>
                <w:rFonts w:cs="Calibri"/>
                <w:color w:val="000000"/>
                <w:sz w:val="16"/>
                <w:szCs w:val="16"/>
              </w:rPr>
              <w:t>534</w:t>
            </w:r>
          </w:p>
        </w:tc>
        <w:tc>
          <w:tcPr>
            <w:tcW w:w="1040" w:type="dxa"/>
            <w:tcBorders>
              <w:top w:val="nil"/>
              <w:left w:val="nil"/>
              <w:bottom w:val="nil"/>
              <w:right w:val="single" w:sz="4" w:space="0" w:color="auto"/>
            </w:tcBorders>
            <w:shd w:val="clear" w:color="auto" w:fill="auto"/>
            <w:noWrap/>
            <w:vAlign w:val="bottom"/>
            <w:hideMark/>
          </w:tcPr>
          <w:p w14:paraId="340320C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2" w:type="dxa"/>
            <w:tcBorders>
              <w:top w:val="nil"/>
              <w:left w:val="nil"/>
              <w:bottom w:val="nil"/>
              <w:right w:val="single" w:sz="4" w:space="0" w:color="auto"/>
            </w:tcBorders>
            <w:shd w:val="clear" w:color="auto" w:fill="auto"/>
            <w:noWrap/>
            <w:vAlign w:val="bottom"/>
            <w:hideMark/>
          </w:tcPr>
          <w:p w14:paraId="770D7171" w14:textId="69329E7C"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150</w:t>
            </w:r>
            <w:r w:rsidR="00EC26EC">
              <w:rPr>
                <w:rFonts w:cs="Calibri"/>
                <w:b/>
                <w:bCs/>
                <w:sz w:val="16"/>
                <w:szCs w:val="16"/>
              </w:rPr>
              <w:t> </w:t>
            </w:r>
            <w:r>
              <w:rPr>
                <w:rFonts w:cs="Calibri"/>
                <w:b/>
                <w:bCs/>
                <w:sz w:val="16"/>
                <w:szCs w:val="16"/>
              </w:rPr>
              <w:t>417</w:t>
            </w:r>
          </w:p>
        </w:tc>
      </w:tr>
      <w:tr w:rsidR="00B56A7B" w:rsidRPr="000C156A" w14:paraId="2DED7267"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1CD26B1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30</w:t>
            </w:r>
          </w:p>
        </w:tc>
        <w:tc>
          <w:tcPr>
            <w:tcW w:w="992" w:type="dxa"/>
            <w:tcBorders>
              <w:top w:val="nil"/>
              <w:left w:val="single" w:sz="4" w:space="0" w:color="auto"/>
              <w:bottom w:val="nil"/>
              <w:right w:val="single" w:sz="4" w:space="0" w:color="auto"/>
            </w:tcBorders>
            <w:shd w:val="clear" w:color="auto" w:fill="auto"/>
            <w:noWrap/>
            <w:vAlign w:val="bottom"/>
            <w:hideMark/>
          </w:tcPr>
          <w:p w14:paraId="4F644D3E" w14:textId="7B5FE2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46</w:t>
            </w:r>
            <w:r w:rsidR="00EC26EC">
              <w:rPr>
                <w:rFonts w:cs="Calibri"/>
                <w:color w:val="000000"/>
                <w:sz w:val="16"/>
                <w:szCs w:val="16"/>
              </w:rPr>
              <w:t> </w:t>
            </w:r>
            <w:r>
              <w:rPr>
                <w:rFonts w:cs="Calibri"/>
                <w:color w:val="000000"/>
                <w:sz w:val="16"/>
                <w:szCs w:val="16"/>
              </w:rPr>
              <w:t>077</w:t>
            </w:r>
          </w:p>
        </w:tc>
        <w:tc>
          <w:tcPr>
            <w:tcW w:w="709" w:type="dxa"/>
            <w:tcBorders>
              <w:top w:val="nil"/>
              <w:left w:val="nil"/>
              <w:bottom w:val="nil"/>
              <w:right w:val="single" w:sz="4" w:space="0" w:color="auto"/>
            </w:tcBorders>
            <w:shd w:val="clear" w:color="auto" w:fill="auto"/>
            <w:noWrap/>
            <w:vAlign w:val="bottom"/>
            <w:hideMark/>
          </w:tcPr>
          <w:p w14:paraId="55F41A37" w14:textId="50F71124"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20</w:t>
            </w:r>
            <w:r w:rsidR="00EC26EC">
              <w:rPr>
                <w:rFonts w:cs="Calibri"/>
                <w:color w:val="000000"/>
                <w:sz w:val="16"/>
                <w:szCs w:val="16"/>
              </w:rPr>
              <w:t> </w:t>
            </w:r>
            <w:r>
              <w:rPr>
                <w:rFonts w:cs="Calibri"/>
                <w:color w:val="000000"/>
                <w:sz w:val="16"/>
                <w:szCs w:val="16"/>
              </w:rPr>
              <w:t>460</w:t>
            </w:r>
          </w:p>
        </w:tc>
        <w:tc>
          <w:tcPr>
            <w:tcW w:w="992" w:type="dxa"/>
            <w:tcBorders>
              <w:top w:val="nil"/>
              <w:left w:val="nil"/>
              <w:bottom w:val="nil"/>
              <w:right w:val="single" w:sz="4" w:space="0" w:color="auto"/>
            </w:tcBorders>
            <w:shd w:val="clear" w:color="auto" w:fill="auto"/>
            <w:noWrap/>
            <w:vAlign w:val="bottom"/>
            <w:hideMark/>
          </w:tcPr>
          <w:p w14:paraId="109E8FE4" w14:textId="4D999309"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8</w:t>
            </w:r>
            <w:r w:rsidR="00EC26EC">
              <w:rPr>
                <w:rFonts w:cs="Calibri"/>
                <w:color w:val="000000"/>
                <w:sz w:val="16"/>
                <w:szCs w:val="16"/>
              </w:rPr>
              <w:t> </w:t>
            </w:r>
            <w:r>
              <w:rPr>
                <w:rFonts w:cs="Calibri"/>
                <w:color w:val="000000"/>
                <w:sz w:val="16"/>
                <w:szCs w:val="16"/>
              </w:rPr>
              <w:t>852</w:t>
            </w:r>
          </w:p>
        </w:tc>
        <w:tc>
          <w:tcPr>
            <w:tcW w:w="992" w:type="dxa"/>
            <w:tcBorders>
              <w:top w:val="nil"/>
              <w:left w:val="nil"/>
              <w:bottom w:val="nil"/>
              <w:right w:val="single" w:sz="4" w:space="0" w:color="auto"/>
            </w:tcBorders>
            <w:shd w:val="clear" w:color="auto" w:fill="auto"/>
            <w:noWrap/>
            <w:vAlign w:val="bottom"/>
            <w:hideMark/>
          </w:tcPr>
          <w:p w14:paraId="2E02E47D" w14:textId="07964DF5"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17</w:t>
            </w:r>
            <w:r w:rsidR="00EC26EC">
              <w:rPr>
                <w:rFonts w:cs="Calibri"/>
                <w:color w:val="000000"/>
                <w:sz w:val="16"/>
                <w:szCs w:val="16"/>
              </w:rPr>
              <w:t> </w:t>
            </w:r>
            <w:r>
              <w:rPr>
                <w:rFonts w:cs="Calibri"/>
                <w:color w:val="000000"/>
                <w:sz w:val="16"/>
                <w:szCs w:val="16"/>
              </w:rPr>
              <w:t>559</w:t>
            </w:r>
          </w:p>
        </w:tc>
        <w:tc>
          <w:tcPr>
            <w:tcW w:w="1134" w:type="dxa"/>
            <w:tcBorders>
              <w:top w:val="nil"/>
              <w:left w:val="nil"/>
              <w:bottom w:val="nil"/>
              <w:right w:val="nil"/>
            </w:tcBorders>
            <w:shd w:val="clear" w:color="auto" w:fill="auto"/>
            <w:noWrap/>
            <w:vAlign w:val="bottom"/>
            <w:hideMark/>
          </w:tcPr>
          <w:p w14:paraId="40044DE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360</w:t>
            </w:r>
          </w:p>
        </w:tc>
        <w:tc>
          <w:tcPr>
            <w:tcW w:w="993" w:type="dxa"/>
            <w:tcBorders>
              <w:top w:val="nil"/>
              <w:left w:val="single" w:sz="4" w:space="0" w:color="auto"/>
              <w:bottom w:val="nil"/>
              <w:right w:val="single" w:sz="4" w:space="0" w:color="auto"/>
            </w:tcBorders>
            <w:shd w:val="clear" w:color="auto" w:fill="auto"/>
            <w:noWrap/>
            <w:vAlign w:val="bottom"/>
            <w:hideMark/>
          </w:tcPr>
          <w:p w14:paraId="002D5D21" w14:textId="332B3A84"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93</w:t>
            </w:r>
            <w:r w:rsidR="00EC26EC">
              <w:rPr>
                <w:rFonts w:cs="Calibri"/>
                <w:b/>
                <w:bCs/>
                <w:color w:val="000000"/>
                <w:sz w:val="16"/>
                <w:szCs w:val="16"/>
              </w:rPr>
              <w:t> </w:t>
            </w:r>
            <w:r>
              <w:rPr>
                <w:rFonts w:cs="Calibri"/>
                <w:b/>
                <w:bCs/>
                <w:color w:val="000000"/>
                <w:sz w:val="16"/>
                <w:szCs w:val="16"/>
              </w:rPr>
              <w:t>308</w:t>
            </w:r>
          </w:p>
        </w:tc>
        <w:tc>
          <w:tcPr>
            <w:tcW w:w="850" w:type="dxa"/>
            <w:tcBorders>
              <w:top w:val="nil"/>
              <w:left w:val="nil"/>
              <w:bottom w:val="nil"/>
              <w:right w:val="single" w:sz="4" w:space="0" w:color="auto"/>
            </w:tcBorders>
            <w:shd w:val="clear" w:color="auto" w:fill="auto"/>
            <w:noWrap/>
            <w:vAlign w:val="bottom"/>
            <w:hideMark/>
          </w:tcPr>
          <w:p w14:paraId="675A760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51" w:type="dxa"/>
            <w:tcBorders>
              <w:top w:val="nil"/>
              <w:left w:val="nil"/>
              <w:bottom w:val="nil"/>
              <w:right w:val="single" w:sz="4" w:space="0" w:color="auto"/>
            </w:tcBorders>
            <w:shd w:val="clear" w:color="auto" w:fill="auto"/>
            <w:noWrap/>
            <w:vAlign w:val="bottom"/>
            <w:hideMark/>
          </w:tcPr>
          <w:p w14:paraId="146EEFD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7EF3F8A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75" w:type="dxa"/>
            <w:tcBorders>
              <w:top w:val="nil"/>
              <w:left w:val="nil"/>
              <w:bottom w:val="nil"/>
              <w:right w:val="single" w:sz="4" w:space="0" w:color="auto"/>
            </w:tcBorders>
            <w:shd w:val="clear" w:color="auto" w:fill="auto"/>
            <w:noWrap/>
            <w:vAlign w:val="bottom"/>
            <w:hideMark/>
          </w:tcPr>
          <w:p w14:paraId="7096E792" w14:textId="2ADF2239"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r w:rsidR="00EC26EC">
              <w:rPr>
                <w:rFonts w:cs="Calibri"/>
                <w:color w:val="000000"/>
                <w:sz w:val="16"/>
                <w:szCs w:val="16"/>
              </w:rPr>
              <w:t> </w:t>
            </w:r>
            <w:r>
              <w:rPr>
                <w:rFonts w:cs="Calibri"/>
                <w:color w:val="000000"/>
                <w:sz w:val="16"/>
                <w:szCs w:val="16"/>
              </w:rPr>
              <w:t>499</w:t>
            </w:r>
          </w:p>
        </w:tc>
        <w:tc>
          <w:tcPr>
            <w:tcW w:w="670" w:type="dxa"/>
            <w:tcBorders>
              <w:top w:val="nil"/>
              <w:left w:val="nil"/>
              <w:bottom w:val="nil"/>
              <w:right w:val="single" w:sz="4" w:space="0" w:color="auto"/>
            </w:tcBorders>
            <w:shd w:val="clear" w:color="auto" w:fill="auto"/>
            <w:noWrap/>
            <w:vAlign w:val="bottom"/>
            <w:hideMark/>
          </w:tcPr>
          <w:p w14:paraId="683EC233" w14:textId="5D39AA03"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w:t>
            </w:r>
            <w:r w:rsidR="00EC26EC">
              <w:rPr>
                <w:rFonts w:cs="Calibri"/>
                <w:color w:val="000000"/>
                <w:sz w:val="16"/>
                <w:szCs w:val="16"/>
              </w:rPr>
              <w:t> </w:t>
            </w:r>
            <w:r>
              <w:rPr>
                <w:rFonts w:cs="Calibri"/>
                <w:color w:val="000000"/>
                <w:sz w:val="16"/>
                <w:szCs w:val="16"/>
              </w:rPr>
              <w:t>124</w:t>
            </w:r>
          </w:p>
        </w:tc>
        <w:tc>
          <w:tcPr>
            <w:tcW w:w="709" w:type="dxa"/>
            <w:tcBorders>
              <w:top w:val="nil"/>
              <w:left w:val="nil"/>
              <w:bottom w:val="nil"/>
              <w:right w:val="single" w:sz="4" w:space="0" w:color="auto"/>
            </w:tcBorders>
            <w:shd w:val="clear" w:color="auto" w:fill="auto"/>
            <w:noWrap/>
            <w:vAlign w:val="bottom"/>
            <w:hideMark/>
          </w:tcPr>
          <w:p w14:paraId="4AAD099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6B56221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62661787" w14:textId="037FED5A"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r w:rsidR="00EC26EC">
              <w:rPr>
                <w:rFonts w:cs="Calibri"/>
                <w:color w:val="000000"/>
                <w:sz w:val="16"/>
                <w:szCs w:val="16"/>
              </w:rPr>
              <w:t> </w:t>
            </w:r>
            <w:r>
              <w:rPr>
                <w:rFonts w:cs="Calibri"/>
                <w:color w:val="000000"/>
                <w:sz w:val="16"/>
                <w:szCs w:val="16"/>
              </w:rPr>
              <w:t>205</w:t>
            </w:r>
          </w:p>
        </w:tc>
        <w:tc>
          <w:tcPr>
            <w:tcW w:w="1040" w:type="dxa"/>
            <w:tcBorders>
              <w:top w:val="nil"/>
              <w:left w:val="nil"/>
              <w:bottom w:val="nil"/>
              <w:right w:val="single" w:sz="4" w:space="0" w:color="auto"/>
            </w:tcBorders>
            <w:shd w:val="clear" w:color="auto" w:fill="auto"/>
            <w:noWrap/>
            <w:vAlign w:val="bottom"/>
            <w:hideMark/>
          </w:tcPr>
          <w:p w14:paraId="01A1942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2" w:type="dxa"/>
            <w:tcBorders>
              <w:top w:val="nil"/>
              <w:left w:val="nil"/>
              <w:bottom w:val="nil"/>
              <w:right w:val="single" w:sz="4" w:space="0" w:color="auto"/>
            </w:tcBorders>
            <w:shd w:val="clear" w:color="auto" w:fill="auto"/>
            <w:noWrap/>
            <w:vAlign w:val="bottom"/>
            <w:hideMark/>
          </w:tcPr>
          <w:p w14:paraId="2EBD442E" w14:textId="5B350DC0"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98</w:t>
            </w:r>
            <w:r w:rsidR="00EC26EC">
              <w:rPr>
                <w:rFonts w:cs="Calibri"/>
                <w:b/>
                <w:bCs/>
                <w:sz w:val="16"/>
                <w:szCs w:val="16"/>
              </w:rPr>
              <w:t> </w:t>
            </w:r>
            <w:r>
              <w:rPr>
                <w:rFonts w:cs="Calibri"/>
                <w:b/>
                <w:bCs/>
                <w:sz w:val="16"/>
                <w:szCs w:val="16"/>
              </w:rPr>
              <w:t>136</w:t>
            </w:r>
          </w:p>
        </w:tc>
      </w:tr>
      <w:tr w:rsidR="00B56A7B" w:rsidRPr="000C156A" w14:paraId="4BB4F7BA"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094AA8A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31</w:t>
            </w:r>
          </w:p>
        </w:tc>
        <w:tc>
          <w:tcPr>
            <w:tcW w:w="992" w:type="dxa"/>
            <w:tcBorders>
              <w:top w:val="nil"/>
              <w:left w:val="single" w:sz="4" w:space="0" w:color="auto"/>
              <w:bottom w:val="nil"/>
              <w:right w:val="single" w:sz="4" w:space="0" w:color="auto"/>
            </w:tcBorders>
            <w:shd w:val="clear" w:color="auto" w:fill="auto"/>
            <w:noWrap/>
            <w:vAlign w:val="bottom"/>
            <w:hideMark/>
          </w:tcPr>
          <w:p w14:paraId="1034FEF4" w14:textId="22783AE2"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13</w:t>
            </w:r>
            <w:r w:rsidR="00EC26EC">
              <w:rPr>
                <w:rFonts w:cs="Calibri"/>
                <w:color w:val="000000"/>
                <w:sz w:val="16"/>
                <w:szCs w:val="16"/>
              </w:rPr>
              <w:t> </w:t>
            </w:r>
            <w:r>
              <w:rPr>
                <w:rFonts w:cs="Calibri"/>
                <w:color w:val="000000"/>
                <w:sz w:val="16"/>
                <w:szCs w:val="16"/>
              </w:rPr>
              <w:t>321</w:t>
            </w:r>
          </w:p>
        </w:tc>
        <w:tc>
          <w:tcPr>
            <w:tcW w:w="709" w:type="dxa"/>
            <w:tcBorders>
              <w:top w:val="nil"/>
              <w:left w:val="nil"/>
              <w:bottom w:val="nil"/>
              <w:right w:val="single" w:sz="4" w:space="0" w:color="auto"/>
            </w:tcBorders>
            <w:shd w:val="clear" w:color="auto" w:fill="auto"/>
            <w:noWrap/>
            <w:vAlign w:val="bottom"/>
            <w:hideMark/>
          </w:tcPr>
          <w:p w14:paraId="5C257E2A" w14:textId="7DBCD715"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6</w:t>
            </w:r>
            <w:r w:rsidR="00EC26EC">
              <w:rPr>
                <w:rFonts w:cs="Calibri"/>
                <w:color w:val="000000"/>
                <w:sz w:val="16"/>
                <w:szCs w:val="16"/>
              </w:rPr>
              <w:t> </w:t>
            </w:r>
            <w:r>
              <w:rPr>
                <w:rFonts w:cs="Calibri"/>
                <w:color w:val="000000"/>
                <w:sz w:val="16"/>
                <w:szCs w:val="16"/>
              </w:rPr>
              <w:t>061</w:t>
            </w:r>
          </w:p>
        </w:tc>
        <w:tc>
          <w:tcPr>
            <w:tcW w:w="992" w:type="dxa"/>
            <w:tcBorders>
              <w:top w:val="nil"/>
              <w:left w:val="nil"/>
              <w:bottom w:val="nil"/>
              <w:right w:val="single" w:sz="4" w:space="0" w:color="auto"/>
            </w:tcBorders>
            <w:shd w:val="clear" w:color="auto" w:fill="auto"/>
            <w:noWrap/>
            <w:vAlign w:val="bottom"/>
            <w:hideMark/>
          </w:tcPr>
          <w:p w14:paraId="2565F733" w14:textId="5FD05C6C"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w:t>
            </w:r>
            <w:r w:rsidR="00EC26EC">
              <w:rPr>
                <w:rFonts w:cs="Calibri"/>
                <w:color w:val="000000"/>
                <w:sz w:val="16"/>
                <w:szCs w:val="16"/>
              </w:rPr>
              <w:t> </w:t>
            </w:r>
            <w:r>
              <w:rPr>
                <w:rFonts w:cs="Calibri"/>
                <w:color w:val="000000"/>
                <w:sz w:val="16"/>
                <w:szCs w:val="16"/>
              </w:rPr>
              <w:t>633</w:t>
            </w:r>
          </w:p>
        </w:tc>
        <w:tc>
          <w:tcPr>
            <w:tcW w:w="992" w:type="dxa"/>
            <w:tcBorders>
              <w:top w:val="nil"/>
              <w:left w:val="nil"/>
              <w:bottom w:val="nil"/>
              <w:right w:val="single" w:sz="4" w:space="0" w:color="auto"/>
            </w:tcBorders>
            <w:shd w:val="clear" w:color="auto" w:fill="auto"/>
            <w:noWrap/>
            <w:vAlign w:val="bottom"/>
            <w:hideMark/>
          </w:tcPr>
          <w:p w14:paraId="53C92AE8" w14:textId="776A8094"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5</w:t>
            </w:r>
            <w:r w:rsidR="00EC26EC">
              <w:rPr>
                <w:rFonts w:cs="Calibri"/>
                <w:color w:val="000000"/>
                <w:sz w:val="16"/>
                <w:szCs w:val="16"/>
              </w:rPr>
              <w:t> </w:t>
            </w:r>
            <w:r>
              <w:rPr>
                <w:rFonts w:cs="Calibri"/>
                <w:color w:val="000000"/>
                <w:sz w:val="16"/>
                <w:szCs w:val="16"/>
              </w:rPr>
              <w:t>959</w:t>
            </w:r>
          </w:p>
        </w:tc>
        <w:tc>
          <w:tcPr>
            <w:tcW w:w="1134" w:type="dxa"/>
            <w:tcBorders>
              <w:top w:val="nil"/>
              <w:left w:val="nil"/>
              <w:bottom w:val="nil"/>
              <w:right w:val="nil"/>
            </w:tcBorders>
            <w:shd w:val="clear" w:color="auto" w:fill="auto"/>
            <w:noWrap/>
            <w:vAlign w:val="bottom"/>
            <w:hideMark/>
          </w:tcPr>
          <w:p w14:paraId="677FD5C7" w14:textId="11F3FE5C"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22</w:t>
            </w:r>
            <w:r w:rsidR="00EC26EC">
              <w:rPr>
                <w:rFonts w:cs="Calibri"/>
                <w:color w:val="000000"/>
                <w:sz w:val="16"/>
                <w:szCs w:val="16"/>
              </w:rPr>
              <w:t> </w:t>
            </w:r>
            <w:r>
              <w:rPr>
                <w:rFonts w:cs="Calibri"/>
                <w:color w:val="000000"/>
                <w:sz w:val="16"/>
                <w:szCs w:val="16"/>
              </w:rPr>
              <w:t>645</w:t>
            </w:r>
          </w:p>
        </w:tc>
        <w:tc>
          <w:tcPr>
            <w:tcW w:w="993" w:type="dxa"/>
            <w:tcBorders>
              <w:top w:val="nil"/>
              <w:left w:val="single" w:sz="4" w:space="0" w:color="auto"/>
              <w:bottom w:val="nil"/>
              <w:right w:val="single" w:sz="4" w:space="0" w:color="auto"/>
            </w:tcBorders>
            <w:shd w:val="clear" w:color="auto" w:fill="auto"/>
            <w:noWrap/>
            <w:vAlign w:val="bottom"/>
            <w:hideMark/>
          </w:tcPr>
          <w:p w14:paraId="2E3928C8" w14:textId="206B566D"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50</w:t>
            </w:r>
            <w:r w:rsidR="00EC26EC">
              <w:rPr>
                <w:rFonts w:cs="Calibri"/>
                <w:b/>
                <w:bCs/>
                <w:color w:val="000000"/>
                <w:sz w:val="16"/>
                <w:szCs w:val="16"/>
              </w:rPr>
              <w:t> </w:t>
            </w:r>
            <w:r>
              <w:rPr>
                <w:rFonts w:cs="Calibri"/>
                <w:b/>
                <w:bCs/>
                <w:color w:val="000000"/>
                <w:sz w:val="16"/>
                <w:szCs w:val="16"/>
              </w:rPr>
              <w:t>619</w:t>
            </w:r>
          </w:p>
        </w:tc>
        <w:tc>
          <w:tcPr>
            <w:tcW w:w="850" w:type="dxa"/>
            <w:tcBorders>
              <w:top w:val="nil"/>
              <w:left w:val="nil"/>
              <w:bottom w:val="nil"/>
              <w:right w:val="single" w:sz="4" w:space="0" w:color="auto"/>
            </w:tcBorders>
            <w:shd w:val="clear" w:color="auto" w:fill="auto"/>
            <w:noWrap/>
            <w:vAlign w:val="bottom"/>
            <w:hideMark/>
          </w:tcPr>
          <w:p w14:paraId="61DE534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51" w:type="dxa"/>
            <w:tcBorders>
              <w:top w:val="nil"/>
              <w:left w:val="nil"/>
              <w:bottom w:val="nil"/>
              <w:right w:val="single" w:sz="4" w:space="0" w:color="auto"/>
            </w:tcBorders>
            <w:shd w:val="clear" w:color="auto" w:fill="auto"/>
            <w:noWrap/>
            <w:vAlign w:val="bottom"/>
            <w:hideMark/>
          </w:tcPr>
          <w:p w14:paraId="292E983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7B92A81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17</w:t>
            </w:r>
          </w:p>
        </w:tc>
        <w:tc>
          <w:tcPr>
            <w:tcW w:w="875" w:type="dxa"/>
            <w:tcBorders>
              <w:top w:val="nil"/>
              <w:left w:val="nil"/>
              <w:bottom w:val="nil"/>
              <w:right w:val="single" w:sz="4" w:space="0" w:color="auto"/>
            </w:tcBorders>
            <w:shd w:val="clear" w:color="auto" w:fill="auto"/>
            <w:noWrap/>
            <w:vAlign w:val="bottom"/>
            <w:hideMark/>
          </w:tcPr>
          <w:p w14:paraId="4447249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412</w:t>
            </w:r>
          </w:p>
        </w:tc>
        <w:tc>
          <w:tcPr>
            <w:tcW w:w="670" w:type="dxa"/>
            <w:tcBorders>
              <w:top w:val="nil"/>
              <w:left w:val="nil"/>
              <w:bottom w:val="nil"/>
              <w:right w:val="single" w:sz="4" w:space="0" w:color="auto"/>
            </w:tcBorders>
            <w:shd w:val="clear" w:color="auto" w:fill="auto"/>
            <w:noWrap/>
            <w:vAlign w:val="bottom"/>
            <w:hideMark/>
          </w:tcPr>
          <w:p w14:paraId="785485F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904</w:t>
            </w:r>
          </w:p>
        </w:tc>
        <w:tc>
          <w:tcPr>
            <w:tcW w:w="709" w:type="dxa"/>
            <w:tcBorders>
              <w:top w:val="nil"/>
              <w:left w:val="nil"/>
              <w:bottom w:val="nil"/>
              <w:right w:val="single" w:sz="4" w:space="0" w:color="auto"/>
            </w:tcBorders>
            <w:shd w:val="clear" w:color="auto" w:fill="auto"/>
            <w:noWrap/>
            <w:vAlign w:val="bottom"/>
            <w:hideMark/>
          </w:tcPr>
          <w:p w14:paraId="5DA3E98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7443FFF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6FBFB1F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328</w:t>
            </w:r>
          </w:p>
        </w:tc>
        <w:tc>
          <w:tcPr>
            <w:tcW w:w="1040" w:type="dxa"/>
            <w:tcBorders>
              <w:top w:val="nil"/>
              <w:left w:val="nil"/>
              <w:bottom w:val="nil"/>
              <w:right w:val="single" w:sz="4" w:space="0" w:color="auto"/>
            </w:tcBorders>
            <w:shd w:val="clear" w:color="auto" w:fill="auto"/>
            <w:noWrap/>
            <w:vAlign w:val="bottom"/>
            <w:hideMark/>
          </w:tcPr>
          <w:p w14:paraId="281A7DA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2" w:type="dxa"/>
            <w:tcBorders>
              <w:top w:val="nil"/>
              <w:left w:val="nil"/>
              <w:bottom w:val="nil"/>
              <w:right w:val="single" w:sz="4" w:space="0" w:color="auto"/>
            </w:tcBorders>
            <w:shd w:val="clear" w:color="auto" w:fill="auto"/>
            <w:noWrap/>
            <w:vAlign w:val="bottom"/>
            <w:hideMark/>
          </w:tcPr>
          <w:p w14:paraId="1B529F46" w14:textId="22BEBE2B"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52</w:t>
            </w:r>
            <w:r w:rsidR="00EC26EC">
              <w:rPr>
                <w:rFonts w:cs="Calibri"/>
                <w:b/>
                <w:bCs/>
                <w:sz w:val="16"/>
                <w:szCs w:val="16"/>
              </w:rPr>
              <w:t> </w:t>
            </w:r>
            <w:r>
              <w:rPr>
                <w:rFonts w:cs="Calibri"/>
                <w:b/>
                <w:bCs/>
                <w:sz w:val="16"/>
                <w:szCs w:val="16"/>
              </w:rPr>
              <w:t>281</w:t>
            </w:r>
          </w:p>
        </w:tc>
      </w:tr>
      <w:tr w:rsidR="00B56A7B" w:rsidRPr="000C156A" w14:paraId="34429E87"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7890765B"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公务差旅</w:t>
            </w:r>
            <w:r w:rsidRPr="000C156A">
              <w:rPr>
                <w:noProof/>
                <w:sz w:val="16"/>
                <w:szCs w:val="16"/>
                <w:lang w:val="en-US"/>
              </w:rPr>
              <w:t>费</w:t>
            </w:r>
            <w:r w:rsidRPr="000C156A">
              <w:rPr>
                <w:rFonts w:hint="eastAsia"/>
                <w:noProof/>
                <w:sz w:val="16"/>
                <w:szCs w:val="16"/>
                <w:lang w:val="en-US"/>
              </w:rPr>
              <w:t>用</w:t>
            </w:r>
          </w:p>
        </w:tc>
        <w:tc>
          <w:tcPr>
            <w:tcW w:w="992" w:type="dxa"/>
            <w:tcBorders>
              <w:top w:val="nil"/>
              <w:left w:val="single" w:sz="4" w:space="0" w:color="auto"/>
              <w:bottom w:val="nil"/>
              <w:right w:val="single" w:sz="4" w:space="0" w:color="auto"/>
            </w:tcBorders>
            <w:shd w:val="clear" w:color="auto" w:fill="auto"/>
            <w:noWrap/>
            <w:vAlign w:val="bottom"/>
            <w:hideMark/>
          </w:tcPr>
          <w:p w14:paraId="59196E7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31</w:t>
            </w:r>
          </w:p>
        </w:tc>
        <w:tc>
          <w:tcPr>
            <w:tcW w:w="709" w:type="dxa"/>
            <w:tcBorders>
              <w:top w:val="nil"/>
              <w:left w:val="nil"/>
              <w:bottom w:val="nil"/>
              <w:right w:val="single" w:sz="4" w:space="0" w:color="auto"/>
            </w:tcBorders>
            <w:shd w:val="clear" w:color="auto" w:fill="auto"/>
            <w:noWrap/>
            <w:vAlign w:val="bottom"/>
            <w:hideMark/>
          </w:tcPr>
          <w:p w14:paraId="3FAF397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104</w:t>
            </w:r>
          </w:p>
        </w:tc>
        <w:tc>
          <w:tcPr>
            <w:tcW w:w="992" w:type="dxa"/>
            <w:tcBorders>
              <w:top w:val="nil"/>
              <w:left w:val="nil"/>
              <w:bottom w:val="nil"/>
              <w:right w:val="single" w:sz="4" w:space="0" w:color="auto"/>
            </w:tcBorders>
            <w:shd w:val="clear" w:color="auto" w:fill="auto"/>
            <w:noWrap/>
            <w:vAlign w:val="bottom"/>
            <w:hideMark/>
          </w:tcPr>
          <w:p w14:paraId="403CAEE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19</w:t>
            </w:r>
          </w:p>
        </w:tc>
        <w:tc>
          <w:tcPr>
            <w:tcW w:w="992" w:type="dxa"/>
            <w:tcBorders>
              <w:top w:val="nil"/>
              <w:left w:val="nil"/>
              <w:bottom w:val="nil"/>
              <w:right w:val="single" w:sz="4" w:space="0" w:color="auto"/>
            </w:tcBorders>
            <w:shd w:val="clear" w:color="auto" w:fill="auto"/>
            <w:noWrap/>
            <w:vAlign w:val="bottom"/>
            <w:hideMark/>
          </w:tcPr>
          <w:p w14:paraId="730F770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116</w:t>
            </w:r>
          </w:p>
        </w:tc>
        <w:tc>
          <w:tcPr>
            <w:tcW w:w="1134" w:type="dxa"/>
            <w:tcBorders>
              <w:top w:val="nil"/>
              <w:left w:val="nil"/>
              <w:bottom w:val="nil"/>
              <w:right w:val="nil"/>
            </w:tcBorders>
            <w:shd w:val="clear" w:color="auto" w:fill="auto"/>
            <w:noWrap/>
            <w:vAlign w:val="bottom"/>
            <w:hideMark/>
          </w:tcPr>
          <w:p w14:paraId="3355A1C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15</w:t>
            </w:r>
          </w:p>
        </w:tc>
        <w:tc>
          <w:tcPr>
            <w:tcW w:w="993" w:type="dxa"/>
            <w:tcBorders>
              <w:top w:val="nil"/>
              <w:left w:val="single" w:sz="4" w:space="0" w:color="auto"/>
              <w:bottom w:val="nil"/>
              <w:right w:val="single" w:sz="4" w:space="0" w:color="auto"/>
            </w:tcBorders>
            <w:shd w:val="clear" w:color="auto" w:fill="auto"/>
            <w:noWrap/>
            <w:vAlign w:val="bottom"/>
            <w:hideMark/>
          </w:tcPr>
          <w:p w14:paraId="772C3A83"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285</w:t>
            </w:r>
          </w:p>
        </w:tc>
        <w:tc>
          <w:tcPr>
            <w:tcW w:w="850" w:type="dxa"/>
            <w:tcBorders>
              <w:top w:val="nil"/>
              <w:left w:val="nil"/>
              <w:bottom w:val="nil"/>
              <w:right w:val="single" w:sz="4" w:space="0" w:color="auto"/>
            </w:tcBorders>
            <w:shd w:val="clear" w:color="auto" w:fill="auto"/>
            <w:noWrap/>
            <w:vAlign w:val="bottom"/>
            <w:hideMark/>
          </w:tcPr>
          <w:p w14:paraId="76CDB10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51" w:type="dxa"/>
            <w:tcBorders>
              <w:top w:val="nil"/>
              <w:left w:val="nil"/>
              <w:bottom w:val="nil"/>
              <w:right w:val="single" w:sz="4" w:space="0" w:color="auto"/>
            </w:tcBorders>
            <w:shd w:val="clear" w:color="auto" w:fill="auto"/>
            <w:noWrap/>
            <w:vAlign w:val="bottom"/>
            <w:hideMark/>
          </w:tcPr>
          <w:p w14:paraId="4C0CE95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2661082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738172B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7</w:t>
            </w:r>
          </w:p>
        </w:tc>
        <w:tc>
          <w:tcPr>
            <w:tcW w:w="670" w:type="dxa"/>
            <w:tcBorders>
              <w:top w:val="nil"/>
              <w:left w:val="nil"/>
              <w:bottom w:val="nil"/>
              <w:right w:val="single" w:sz="4" w:space="0" w:color="auto"/>
            </w:tcBorders>
            <w:shd w:val="clear" w:color="auto" w:fill="auto"/>
            <w:noWrap/>
            <w:vAlign w:val="bottom"/>
            <w:hideMark/>
          </w:tcPr>
          <w:p w14:paraId="481AAE1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144</w:t>
            </w:r>
          </w:p>
        </w:tc>
        <w:tc>
          <w:tcPr>
            <w:tcW w:w="709" w:type="dxa"/>
            <w:tcBorders>
              <w:top w:val="nil"/>
              <w:left w:val="nil"/>
              <w:bottom w:val="nil"/>
              <w:right w:val="single" w:sz="4" w:space="0" w:color="auto"/>
            </w:tcBorders>
            <w:shd w:val="clear" w:color="auto" w:fill="auto"/>
            <w:noWrap/>
            <w:vAlign w:val="bottom"/>
            <w:hideMark/>
          </w:tcPr>
          <w:p w14:paraId="4294CF6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61E5FE6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4F5DC10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7</w:t>
            </w:r>
          </w:p>
        </w:tc>
        <w:tc>
          <w:tcPr>
            <w:tcW w:w="1040" w:type="dxa"/>
            <w:tcBorders>
              <w:top w:val="nil"/>
              <w:left w:val="nil"/>
              <w:bottom w:val="nil"/>
              <w:right w:val="single" w:sz="4" w:space="0" w:color="auto"/>
            </w:tcBorders>
            <w:shd w:val="clear" w:color="auto" w:fill="auto"/>
            <w:noWrap/>
            <w:vAlign w:val="bottom"/>
            <w:hideMark/>
          </w:tcPr>
          <w:p w14:paraId="5AC252C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2" w:type="dxa"/>
            <w:tcBorders>
              <w:top w:val="nil"/>
              <w:left w:val="nil"/>
              <w:bottom w:val="nil"/>
              <w:right w:val="single" w:sz="4" w:space="0" w:color="auto"/>
            </w:tcBorders>
            <w:shd w:val="clear" w:color="auto" w:fill="auto"/>
            <w:noWrap/>
            <w:vAlign w:val="bottom"/>
            <w:hideMark/>
          </w:tcPr>
          <w:p w14:paraId="6BEE6918"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443</w:t>
            </w:r>
          </w:p>
        </w:tc>
      </w:tr>
      <w:tr w:rsidR="00B56A7B" w:rsidRPr="000C156A" w14:paraId="2AE8128E"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7AC86E97"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rPr>
              <w:t>合同服务</w:t>
            </w:r>
          </w:p>
        </w:tc>
        <w:tc>
          <w:tcPr>
            <w:tcW w:w="992" w:type="dxa"/>
            <w:tcBorders>
              <w:top w:val="nil"/>
              <w:left w:val="single" w:sz="4" w:space="0" w:color="auto"/>
              <w:bottom w:val="nil"/>
              <w:right w:val="single" w:sz="4" w:space="0" w:color="auto"/>
            </w:tcBorders>
            <w:shd w:val="clear" w:color="auto" w:fill="auto"/>
            <w:noWrap/>
            <w:vAlign w:val="bottom"/>
            <w:hideMark/>
          </w:tcPr>
          <w:p w14:paraId="764796FB" w14:textId="27AE2BAC"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6</w:t>
            </w:r>
            <w:r w:rsidR="00EC26EC">
              <w:rPr>
                <w:rFonts w:cs="Calibri"/>
                <w:color w:val="000000"/>
                <w:sz w:val="16"/>
                <w:szCs w:val="16"/>
              </w:rPr>
              <w:t> </w:t>
            </w:r>
            <w:r>
              <w:rPr>
                <w:rFonts w:cs="Calibri"/>
                <w:color w:val="000000"/>
                <w:sz w:val="16"/>
                <w:szCs w:val="16"/>
              </w:rPr>
              <w:t>854</w:t>
            </w:r>
          </w:p>
        </w:tc>
        <w:tc>
          <w:tcPr>
            <w:tcW w:w="709" w:type="dxa"/>
            <w:tcBorders>
              <w:top w:val="nil"/>
              <w:left w:val="nil"/>
              <w:bottom w:val="nil"/>
              <w:right w:val="single" w:sz="4" w:space="0" w:color="auto"/>
            </w:tcBorders>
            <w:shd w:val="clear" w:color="auto" w:fill="auto"/>
            <w:noWrap/>
            <w:vAlign w:val="bottom"/>
            <w:hideMark/>
          </w:tcPr>
          <w:p w14:paraId="33780C6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603</w:t>
            </w:r>
          </w:p>
        </w:tc>
        <w:tc>
          <w:tcPr>
            <w:tcW w:w="992" w:type="dxa"/>
            <w:tcBorders>
              <w:top w:val="nil"/>
              <w:left w:val="nil"/>
              <w:bottom w:val="nil"/>
              <w:right w:val="single" w:sz="4" w:space="0" w:color="auto"/>
            </w:tcBorders>
            <w:shd w:val="clear" w:color="auto" w:fill="auto"/>
            <w:noWrap/>
            <w:vAlign w:val="bottom"/>
            <w:hideMark/>
          </w:tcPr>
          <w:p w14:paraId="1F80909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892</w:t>
            </w:r>
          </w:p>
        </w:tc>
        <w:tc>
          <w:tcPr>
            <w:tcW w:w="992" w:type="dxa"/>
            <w:tcBorders>
              <w:top w:val="nil"/>
              <w:left w:val="nil"/>
              <w:bottom w:val="nil"/>
              <w:right w:val="single" w:sz="4" w:space="0" w:color="auto"/>
            </w:tcBorders>
            <w:shd w:val="clear" w:color="auto" w:fill="auto"/>
            <w:noWrap/>
            <w:vAlign w:val="bottom"/>
            <w:hideMark/>
          </w:tcPr>
          <w:p w14:paraId="22374A58" w14:textId="067A03AA"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3</w:t>
            </w:r>
            <w:r w:rsidR="00EC26EC">
              <w:rPr>
                <w:rFonts w:cs="Calibri"/>
                <w:color w:val="000000"/>
                <w:sz w:val="16"/>
                <w:szCs w:val="16"/>
              </w:rPr>
              <w:t> </w:t>
            </w:r>
            <w:r>
              <w:rPr>
                <w:rFonts w:cs="Calibri"/>
                <w:color w:val="000000"/>
                <w:sz w:val="16"/>
                <w:szCs w:val="16"/>
              </w:rPr>
              <w:t>334</w:t>
            </w:r>
          </w:p>
        </w:tc>
        <w:tc>
          <w:tcPr>
            <w:tcW w:w="1134" w:type="dxa"/>
            <w:tcBorders>
              <w:top w:val="nil"/>
              <w:left w:val="nil"/>
              <w:bottom w:val="nil"/>
              <w:right w:val="nil"/>
            </w:tcBorders>
            <w:shd w:val="clear" w:color="auto" w:fill="auto"/>
            <w:noWrap/>
            <w:vAlign w:val="bottom"/>
            <w:hideMark/>
          </w:tcPr>
          <w:p w14:paraId="3E2BDDDF" w14:textId="09C5220D"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r w:rsidR="00EC26EC">
              <w:rPr>
                <w:rFonts w:cs="Calibri"/>
                <w:color w:val="000000"/>
                <w:sz w:val="16"/>
                <w:szCs w:val="16"/>
              </w:rPr>
              <w:t> </w:t>
            </w:r>
            <w:r>
              <w:rPr>
                <w:rFonts w:cs="Calibri"/>
                <w:color w:val="000000"/>
                <w:sz w:val="16"/>
                <w:szCs w:val="16"/>
              </w:rPr>
              <w:t>731</w:t>
            </w:r>
          </w:p>
        </w:tc>
        <w:tc>
          <w:tcPr>
            <w:tcW w:w="993" w:type="dxa"/>
            <w:tcBorders>
              <w:top w:val="nil"/>
              <w:left w:val="single" w:sz="4" w:space="0" w:color="auto"/>
              <w:bottom w:val="nil"/>
              <w:right w:val="single" w:sz="4" w:space="0" w:color="auto"/>
            </w:tcBorders>
            <w:shd w:val="clear" w:color="auto" w:fill="auto"/>
            <w:noWrap/>
            <w:vAlign w:val="bottom"/>
            <w:hideMark/>
          </w:tcPr>
          <w:p w14:paraId="33EB8DED" w14:textId="2ECFE301"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13</w:t>
            </w:r>
            <w:r w:rsidR="00EC26EC">
              <w:rPr>
                <w:rFonts w:cs="Calibri"/>
                <w:b/>
                <w:bCs/>
                <w:color w:val="000000"/>
                <w:sz w:val="16"/>
                <w:szCs w:val="16"/>
              </w:rPr>
              <w:t> </w:t>
            </w:r>
            <w:r>
              <w:rPr>
                <w:rFonts w:cs="Calibri"/>
                <w:b/>
                <w:bCs/>
                <w:color w:val="000000"/>
                <w:sz w:val="16"/>
                <w:szCs w:val="16"/>
              </w:rPr>
              <w:t>414</w:t>
            </w:r>
          </w:p>
        </w:tc>
        <w:tc>
          <w:tcPr>
            <w:tcW w:w="850" w:type="dxa"/>
            <w:tcBorders>
              <w:top w:val="nil"/>
              <w:left w:val="nil"/>
              <w:bottom w:val="nil"/>
              <w:right w:val="single" w:sz="4" w:space="0" w:color="auto"/>
            </w:tcBorders>
            <w:shd w:val="clear" w:color="auto" w:fill="auto"/>
            <w:noWrap/>
            <w:vAlign w:val="bottom"/>
            <w:hideMark/>
          </w:tcPr>
          <w:p w14:paraId="6EB095B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p>
        </w:tc>
        <w:tc>
          <w:tcPr>
            <w:tcW w:w="851" w:type="dxa"/>
            <w:tcBorders>
              <w:top w:val="nil"/>
              <w:left w:val="nil"/>
              <w:bottom w:val="nil"/>
              <w:right w:val="single" w:sz="4" w:space="0" w:color="auto"/>
            </w:tcBorders>
            <w:shd w:val="clear" w:color="auto" w:fill="auto"/>
            <w:noWrap/>
            <w:vAlign w:val="bottom"/>
            <w:hideMark/>
          </w:tcPr>
          <w:p w14:paraId="076D48E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0693A13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75" w:type="dxa"/>
            <w:tcBorders>
              <w:top w:val="nil"/>
              <w:left w:val="nil"/>
              <w:bottom w:val="nil"/>
              <w:right w:val="single" w:sz="4" w:space="0" w:color="auto"/>
            </w:tcBorders>
            <w:shd w:val="clear" w:color="auto" w:fill="auto"/>
            <w:noWrap/>
            <w:vAlign w:val="bottom"/>
            <w:hideMark/>
          </w:tcPr>
          <w:p w14:paraId="689C6AC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920</w:t>
            </w:r>
          </w:p>
        </w:tc>
        <w:tc>
          <w:tcPr>
            <w:tcW w:w="670" w:type="dxa"/>
            <w:tcBorders>
              <w:top w:val="nil"/>
              <w:left w:val="nil"/>
              <w:bottom w:val="nil"/>
              <w:right w:val="single" w:sz="4" w:space="0" w:color="auto"/>
            </w:tcBorders>
            <w:shd w:val="clear" w:color="auto" w:fill="auto"/>
            <w:noWrap/>
            <w:vAlign w:val="bottom"/>
            <w:hideMark/>
          </w:tcPr>
          <w:p w14:paraId="53B97683" w14:textId="73731085"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6</w:t>
            </w:r>
            <w:r w:rsidR="00EC26EC">
              <w:rPr>
                <w:rFonts w:cs="Calibri"/>
                <w:color w:val="000000"/>
                <w:sz w:val="16"/>
                <w:szCs w:val="16"/>
              </w:rPr>
              <w:t> </w:t>
            </w:r>
            <w:r>
              <w:rPr>
                <w:rFonts w:cs="Calibri"/>
                <w:color w:val="000000"/>
                <w:sz w:val="16"/>
                <w:szCs w:val="16"/>
              </w:rPr>
              <w:t>626</w:t>
            </w:r>
          </w:p>
        </w:tc>
        <w:tc>
          <w:tcPr>
            <w:tcW w:w="709" w:type="dxa"/>
            <w:tcBorders>
              <w:top w:val="nil"/>
              <w:left w:val="nil"/>
              <w:bottom w:val="nil"/>
              <w:right w:val="single" w:sz="4" w:space="0" w:color="auto"/>
            </w:tcBorders>
            <w:shd w:val="clear" w:color="auto" w:fill="auto"/>
            <w:noWrap/>
            <w:vAlign w:val="bottom"/>
            <w:hideMark/>
          </w:tcPr>
          <w:p w14:paraId="0D04631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7C5A71F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34D2562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77</w:t>
            </w:r>
          </w:p>
        </w:tc>
        <w:tc>
          <w:tcPr>
            <w:tcW w:w="1040" w:type="dxa"/>
            <w:tcBorders>
              <w:top w:val="nil"/>
              <w:left w:val="nil"/>
              <w:bottom w:val="nil"/>
              <w:right w:val="single" w:sz="4" w:space="0" w:color="auto"/>
            </w:tcBorders>
            <w:shd w:val="clear" w:color="auto" w:fill="auto"/>
            <w:noWrap/>
            <w:vAlign w:val="bottom"/>
            <w:hideMark/>
          </w:tcPr>
          <w:p w14:paraId="043F550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2" w:type="dxa"/>
            <w:tcBorders>
              <w:top w:val="nil"/>
              <w:left w:val="nil"/>
              <w:bottom w:val="nil"/>
              <w:right w:val="single" w:sz="4" w:space="0" w:color="auto"/>
            </w:tcBorders>
            <w:shd w:val="clear" w:color="auto" w:fill="auto"/>
            <w:noWrap/>
            <w:vAlign w:val="bottom"/>
            <w:hideMark/>
          </w:tcPr>
          <w:p w14:paraId="0CAED9D9" w14:textId="5FFA986D"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21</w:t>
            </w:r>
            <w:r w:rsidR="00EC26EC">
              <w:rPr>
                <w:rFonts w:cs="Calibri"/>
                <w:b/>
                <w:bCs/>
                <w:sz w:val="16"/>
                <w:szCs w:val="16"/>
              </w:rPr>
              <w:t> </w:t>
            </w:r>
            <w:r>
              <w:rPr>
                <w:rFonts w:cs="Calibri"/>
                <w:b/>
                <w:bCs/>
                <w:sz w:val="16"/>
                <w:szCs w:val="16"/>
              </w:rPr>
              <w:t>038</w:t>
            </w:r>
          </w:p>
        </w:tc>
      </w:tr>
      <w:tr w:rsidR="00B56A7B" w:rsidRPr="000C156A" w14:paraId="739D2D29" w14:textId="77777777" w:rsidTr="00CC47BD">
        <w:trPr>
          <w:trHeight w:val="303"/>
          <w:jc w:val="center"/>
        </w:trPr>
        <w:tc>
          <w:tcPr>
            <w:tcW w:w="1980" w:type="dxa"/>
            <w:tcBorders>
              <w:top w:val="nil"/>
              <w:left w:val="single" w:sz="4" w:space="0" w:color="auto"/>
              <w:bottom w:val="nil"/>
              <w:right w:val="nil"/>
            </w:tcBorders>
            <w:shd w:val="clear" w:color="auto" w:fill="auto"/>
            <w:vAlign w:val="center"/>
            <w:hideMark/>
          </w:tcPr>
          <w:p w14:paraId="241C9852"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zh-CN"/>
              </w:rPr>
            </w:pPr>
            <w:r w:rsidRPr="000C156A">
              <w:rPr>
                <w:rFonts w:hint="eastAsia"/>
                <w:noProof/>
                <w:sz w:val="16"/>
                <w:szCs w:val="16"/>
                <w:lang w:val="en-US" w:eastAsia="zh-CN"/>
              </w:rPr>
              <w:t>房屋设备租金和维护费</w:t>
            </w:r>
          </w:p>
        </w:tc>
        <w:tc>
          <w:tcPr>
            <w:tcW w:w="992" w:type="dxa"/>
            <w:tcBorders>
              <w:top w:val="nil"/>
              <w:left w:val="single" w:sz="4" w:space="0" w:color="auto"/>
              <w:bottom w:val="nil"/>
              <w:right w:val="single" w:sz="4" w:space="0" w:color="auto"/>
            </w:tcBorders>
            <w:shd w:val="clear" w:color="auto" w:fill="auto"/>
            <w:noWrap/>
            <w:vAlign w:val="center"/>
            <w:hideMark/>
          </w:tcPr>
          <w:p w14:paraId="780C473F" w14:textId="121AC94C"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r w:rsidR="00EC26EC">
              <w:rPr>
                <w:rFonts w:cs="Calibri"/>
                <w:color w:val="000000"/>
                <w:sz w:val="16"/>
                <w:szCs w:val="16"/>
              </w:rPr>
              <w:t> </w:t>
            </w:r>
            <w:r>
              <w:rPr>
                <w:rFonts w:cs="Calibri"/>
                <w:color w:val="000000"/>
                <w:sz w:val="16"/>
                <w:szCs w:val="16"/>
              </w:rPr>
              <w:t>734</w:t>
            </w:r>
          </w:p>
        </w:tc>
        <w:tc>
          <w:tcPr>
            <w:tcW w:w="709" w:type="dxa"/>
            <w:tcBorders>
              <w:top w:val="nil"/>
              <w:left w:val="nil"/>
              <w:bottom w:val="nil"/>
              <w:right w:val="single" w:sz="4" w:space="0" w:color="auto"/>
            </w:tcBorders>
            <w:shd w:val="clear" w:color="auto" w:fill="auto"/>
            <w:noWrap/>
            <w:vAlign w:val="center"/>
            <w:hideMark/>
          </w:tcPr>
          <w:p w14:paraId="0A16245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992" w:type="dxa"/>
            <w:tcBorders>
              <w:top w:val="nil"/>
              <w:left w:val="nil"/>
              <w:bottom w:val="nil"/>
              <w:right w:val="single" w:sz="4" w:space="0" w:color="auto"/>
            </w:tcBorders>
            <w:shd w:val="clear" w:color="auto" w:fill="auto"/>
            <w:noWrap/>
            <w:vAlign w:val="center"/>
            <w:hideMark/>
          </w:tcPr>
          <w:p w14:paraId="0E7CD92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992" w:type="dxa"/>
            <w:tcBorders>
              <w:top w:val="nil"/>
              <w:left w:val="nil"/>
              <w:bottom w:val="nil"/>
              <w:right w:val="single" w:sz="4" w:space="0" w:color="auto"/>
            </w:tcBorders>
            <w:shd w:val="clear" w:color="auto" w:fill="auto"/>
            <w:noWrap/>
            <w:vAlign w:val="center"/>
            <w:hideMark/>
          </w:tcPr>
          <w:p w14:paraId="66A4565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32</w:t>
            </w:r>
          </w:p>
        </w:tc>
        <w:tc>
          <w:tcPr>
            <w:tcW w:w="1134" w:type="dxa"/>
            <w:tcBorders>
              <w:top w:val="nil"/>
              <w:left w:val="nil"/>
              <w:bottom w:val="nil"/>
              <w:right w:val="nil"/>
            </w:tcBorders>
            <w:shd w:val="clear" w:color="auto" w:fill="auto"/>
            <w:noWrap/>
            <w:vAlign w:val="center"/>
            <w:hideMark/>
          </w:tcPr>
          <w:p w14:paraId="4990E38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80</w:t>
            </w:r>
          </w:p>
        </w:tc>
        <w:tc>
          <w:tcPr>
            <w:tcW w:w="993" w:type="dxa"/>
            <w:tcBorders>
              <w:top w:val="nil"/>
              <w:left w:val="single" w:sz="4" w:space="0" w:color="auto"/>
              <w:bottom w:val="nil"/>
              <w:right w:val="single" w:sz="4" w:space="0" w:color="auto"/>
            </w:tcBorders>
            <w:shd w:val="clear" w:color="auto" w:fill="auto"/>
            <w:noWrap/>
            <w:vAlign w:val="center"/>
            <w:hideMark/>
          </w:tcPr>
          <w:p w14:paraId="56768EE8" w14:textId="7E8CBCC9"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w:t>
            </w:r>
            <w:r w:rsidR="00EC26EC">
              <w:rPr>
                <w:rFonts w:cs="Calibri"/>
                <w:b/>
                <w:bCs/>
                <w:color w:val="000000"/>
                <w:sz w:val="16"/>
                <w:szCs w:val="16"/>
              </w:rPr>
              <w:t> </w:t>
            </w:r>
            <w:r>
              <w:rPr>
                <w:rFonts w:cs="Calibri"/>
                <w:b/>
                <w:bCs/>
                <w:color w:val="000000"/>
                <w:sz w:val="16"/>
                <w:szCs w:val="16"/>
              </w:rPr>
              <w:t>845</w:t>
            </w:r>
          </w:p>
        </w:tc>
        <w:tc>
          <w:tcPr>
            <w:tcW w:w="850" w:type="dxa"/>
            <w:tcBorders>
              <w:top w:val="nil"/>
              <w:left w:val="nil"/>
              <w:bottom w:val="nil"/>
              <w:right w:val="single" w:sz="4" w:space="0" w:color="auto"/>
            </w:tcBorders>
            <w:shd w:val="clear" w:color="auto" w:fill="auto"/>
            <w:noWrap/>
            <w:vAlign w:val="center"/>
            <w:hideMark/>
          </w:tcPr>
          <w:p w14:paraId="1D554FB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Pr>
                <w:rFonts w:cs="Calibri"/>
                <w:color w:val="000000"/>
                <w:sz w:val="16"/>
                <w:szCs w:val="16"/>
              </w:rPr>
              <w:t>-</w:t>
            </w:r>
          </w:p>
        </w:tc>
        <w:tc>
          <w:tcPr>
            <w:tcW w:w="851" w:type="dxa"/>
            <w:tcBorders>
              <w:top w:val="nil"/>
              <w:left w:val="nil"/>
              <w:bottom w:val="nil"/>
              <w:right w:val="single" w:sz="4" w:space="0" w:color="auto"/>
            </w:tcBorders>
            <w:shd w:val="clear" w:color="auto" w:fill="auto"/>
            <w:noWrap/>
            <w:vAlign w:val="center"/>
            <w:hideMark/>
          </w:tcPr>
          <w:p w14:paraId="6CDF2B5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488E93F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75" w:type="dxa"/>
            <w:tcBorders>
              <w:top w:val="nil"/>
              <w:left w:val="nil"/>
              <w:bottom w:val="nil"/>
              <w:right w:val="single" w:sz="4" w:space="0" w:color="auto"/>
            </w:tcBorders>
            <w:shd w:val="clear" w:color="auto" w:fill="auto"/>
            <w:noWrap/>
            <w:vAlign w:val="center"/>
            <w:hideMark/>
          </w:tcPr>
          <w:p w14:paraId="20CFC2E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w:t>
            </w:r>
          </w:p>
        </w:tc>
        <w:tc>
          <w:tcPr>
            <w:tcW w:w="670" w:type="dxa"/>
            <w:tcBorders>
              <w:top w:val="nil"/>
              <w:left w:val="nil"/>
              <w:bottom w:val="nil"/>
              <w:right w:val="single" w:sz="4" w:space="0" w:color="auto"/>
            </w:tcBorders>
            <w:shd w:val="clear" w:color="auto" w:fill="auto"/>
            <w:noWrap/>
            <w:vAlign w:val="center"/>
            <w:hideMark/>
          </w:tcPr>
          <w:p w14:paraId="5D74CCA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4</w:t>
            </w:r>
          </w:p>
        </w:tc>
        <w:tc>
          <w:tcPr>
            <w:tcW w:w="709" w:type="dxa"/>
            <w:tcBorders>
              <w:top w:val="nil"/>
              <w:left w:val="nil"/>
              <w:bottom w:val="nil"/>
              <w:right w:val="single" w:sz="4" w:space="0" w:color="auto"/>
            </w:tcBorders>
            <w:shd w:val="clear" w:color="auto" w:fill="auto"/>
            <w:noWrap/>
            <w:vAlign w:val="center"/>
            <w:hideMark/>
          </w:tcPr>
          <w:p w14:paraId="64DC912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center"/>
            <w:hideMark/>
          </w:tcPr>
          <w:p w14:paraId="7CB9D85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center"/>
            <w:hideMark/>
          </w:tcPr>
          <w:p w14:paraId="00AC700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1040" w:type="dxa"/>
            <w:tcBorders>
              <w:top w:val="nil"/>
              <w:left w:val="nil"/>
              <w:bottom w:val="nil"/>
              <w:right w:val="single" w:sz="4" w:space="0" w:color="auto"/>
            </w:tcBorders>
            <w:shd w:val="clear" w:color="auto" w:fill="auto"/>
            <w:noWrap/>
            <w:vAlign w:val="center"/>
            <w:hideMark/>
          </w:tcPr>
          <w:p w14:paraId="72524C8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2" w:type="dxa"/>
            <w:tcBorders>
              <w:top w:val="nil"/>
              <w:left w:val="nil"/>
              <w:bottom w:val="nil"/>
              <w:right w:val="single" w:sz="4" w:space="0" w:color="auto"/>
            </w:tcBorders>
            <w:shd w:val="clear" w:color="auto" w:fill="auto"/>
            <w:noWrap/>
            <w:vAlign w:val="center"/>
            <w:hideMark/>
          </w:tcPr>
          <w:p w14:paraId="5A4DBECA" w14:textId="65FEAE63"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1</w:t>
            </w:r>
            <w:r w:rsidR="00EC26EC">
              <w:rPr>
                <w:rFonts w:cs="Calibri"/>
                <w:b/>
                <w:bCs/>
                <w:sz w:val="16"/>
                <w:szCs w:val="16"/>
              </w:rPr>
              <w:t> </w:t>
            </w:r>
            <w:r>
              <w:rPr>
                <w:rFonts w:cs="Calibri"/>
                <w:b/>
                <w:bCs/>
                <w:sz w:val="16"/>
                <w:szCs w:val="16"/>
              </w:rPr>
              <w:t>847</w:t>
            </w:r>
          </w:p>
        </w:tc>
      </w:tr>
      <w:tr w:rsidR="00B56A7B" w:rsidRPr="000C156A" w14:paraId="3261F2E2"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6FDA7FAB"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rPr>
              <w:t>设备和办公用品</w:t>
            </w:r>
          </w:p>
        </w:tc>
        <w:tc>
          <w:tcPr>
            <w:tcW w:w="992" w:type="dxa"/>
            <w:tcBorders>
              <w:top w:val="nil"/>
              <w:left w:val="single" w:sz="4" w:space="0" w:color="auto"/>
              <w:bottom w:val="nil"/>
              <w:right w:val="single" w:sz="4" w:space="0" w:color="auto"/>
            </w:tcBorders>
            <w:shd w:val="clear" w:color="auto" w:fill="auto"/>
            <w:noWrap/>
            <w:vAlign w:val="bottom"/>
            <w:hideMark/>
          </w:tcPr>
          <w:p w14:paraId="2C60B40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939</w:t>
            </w:r>
          </w:p>
        </w:tc>
        <w:tc>
          <w:tcPr>
            <w:tcW w:w="709" w:type="dxa"/>
            <w:tcBorders>
              <w:top w:val="nil"/>
              <w:left w:val="nil"/>
              <w:bottom w:val="nil"/>
              <w:right w:val="single" w:sz="4" w:space="0" w:color="auto"/>
            </w:tcBorders>
            <w:shd w:val="clear" w:color="auto" w:fill="auto"/>
            <w:noWrap/>
            <w:vAlign w:val="bottom"/>
            <w:hideMark/>
          </w:tcPr>
          <w:p w14:paraId="14E7B34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383</w:t>
            </w:r>
          </w:p>
        </w:tc>
        <w:tc>
          <w:tcPr>
            <w:tcW w:w="992" w:type="dxa"/>
            <w:tcBorders>
              <w:top w:val="nil"/>
              <w:left w:val="nil"/>
              <w:bottom w:val="nil"/>
              <w:right w:val="single" w:sz="4" w:space="0" w:color="auto"/>
            </w:tcBorders>
            <w:shd w:val="clear" w:color="auto" w:fill="auto"/>
            <w:noWrap/>
            <w:vAlign w:val="bottom"/>
            <w:hideMark/>
          </w:tcPr>
          <w:p w14:paraId="17D5AE3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122</w:t>
            </w:r>
          </w:p>
        </w:tc>
        <w:tc>
          <w:tcPr>
            <w:tcW w:w="992" w:type="dxa"/>
            <w:tcBorders>
              <w:top w:val="nil"/>
              <w:left w:val="nil"/>
              <w:bottom w:val="nil"/>
              <w:right w:val="single" w:sz="4" w:space="0" w:color="auto"/>
            </w:tcBorders>
            <w:shd w:val="clear" w:color="auto" w:fill="auto"/>
            <w:noWrap/>
            <w:vAlign w:val="bottom"/>
            <w:hideMark/>
          </w:tcPr>
          <w:p w14:paraId="7B8964B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115</w:t>
            </w:r>
          </w:p>
        </w:tc>
        <w:tc>
          <w:tcPr>
            <w:tcW w:w="1134" w:type="dxa"/>
            <w:tcBorders>
              <w:top w:val="nil"/>
              <w:left w:val="nil"/>
              <w:bottom w:val="nil"/>
              <w:right w:val="nil"/>
            </w:tcBorders>
            <w:shd w:val="clear" w:color="auto" w:fill="auto"/>
            <w:noWrap/>
            <w:vAlign w:val="bottom"/>
            <w:hideMark/>
          </w:tcPr>
          <w:p w14:paraId="60EADB6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537</w:t>
            </w:r>
          </w:p>
        </w:tc>
        <w:tc>
          <w:tcPr>
            <w:tcW w:w="993" w:type="dxa"/>
            <w:tcBorders>
              <w:top w:val="nil"/>
              <w:left w:val="single" w:sz="4" w:space="0" w:color="auto"/>
              <w:bottom w:val="nil"/>
              <w:right w:val="single" w:sz="4" w:space="0" w:color="auto"/>
            </w:tcBorders>
            <w:shd w:val="clear" w:color="auto" w:fill="auto"/>
            <w:noWrap/>
            <w:vAlign w:val="bottom"/>
            <w:hideMark/>
          </w:tcPr>
          <w:p w14:paraId="2CEF434D" w14:textId="021EADC8"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w:t>
            </w:r>
            <w:r w:rsidR="00EC26EC">
              <w:rPr>
                <w:rFonts w:cs="Calibri"/>
                <w:b/>
                <w:bCs/>
                <w:color w:val="000000"/>
                <w:sz w:val="16"/>
                <w:szCs w:val="16"/>
              </w:rPr>
              <w:t> </w:t>
            </w:r>
            <w:r>
              <w:rPr>
                <w:rFonts w:cs="Calibri"/>
                <w:b/>
                <w:bCs/>
                <w:color w:val="000000"/>
                <w:sz w:val="16"/>
                <w:szCs w:val="16"/>
              </w:rPr>
              <w:t>095</w:t>
            </w:r>
          </w:p>
        </w:tc>
        <w:tc>
          <w:tcPr>
            <w:tcW w:w="850" w:type="dxa"/>
            <w:tcBorders>
              <w:top w:val="nil"/>
              <w:left w:val="nil"/>
              <w:bottom w:val="nil"/>
              <w:right w:val="single" w:sz="4" w:space="0" w:color="auto"/>
            </w:tcBorders>
            <w:shd w:val="clear" w:color="auto" w:fill="auto"/>
            <w:noWrap/>
            <w:vAlign w:val="bottom"/>
            <w:hideMark/>
          </w:tcPr>
          <w:p w14:paraId="71F5AEB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51" w:type="dxa"/>
            <w:tcBorders>
              <w:top w:val="nil"/>
              <w:left w:val="nil"/>
              <w:bottom w:val="nil"/>
              <w:right w:val="single" w:sz="4" w:space="0" w:color="auto"/>
            </w:tcBorders>
            <w:shd w:val="clear" w:color="auto" w:fill="auto"/>
            <w:noWrap/>
            <w:vAlign w:val="bottom"/>
            <w:hideMark/>
          </w:tcPr>
          <w:p w14:paraId="793DC40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64" w:type="dxa"/>
            <w:tcBorders>
              <w:top w:val="nil"/>
              <w:left w:val="nil"/>
              <w:bottom w:val="nil"/>
              <w:right w:val="single" w:sz="4" w:space="0" w:color="auto"/>
            </w:tcBorders>
            <w:shd w:val="clear" w:color="auto" w:fill="auto"/>
            <w:noWrap/>
            <w:vAlign w:val="bottom"/>
            <w:hideMark/>
          </w:tcPr>
          <w:p w14:paraId="519731D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75" w:type="dxa"/>
            <w:tcBorders>
              <w:top w:val="nil"/>
              <w:left w:val="nil"/>
              <w:bottom w:val="nil"/>
              <w:right w:val="single" w:sz="4" w:space="0" w:color="auto"/>
            </w:tcBorders>
            <w:shd w:val="clear" w:color="auto" w:fill="auto"/>
            <w:noWrap/>
            <w:vAlign w:val="bottom"/>
            <w:hideMark/>
          </w:tcPr>
          <w:p w14:paraId="3060D0F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32</w:t>
            </w:r>
          </w:p>
        </w:tc>
        <w:tc>
          <w:tcPr>
            <w:tcW w:w="670" w:type="dxa"/>
            <w:tcBorders>
              <w:top w:val="nil"/>
              <w:left w:val="nil"/>
              <w:bottom w:val="nil"/>
              <w:right w:val="single" w:sz="4" w:space="0" w:color="auto"/>
            </w:tcBorders>
            <w:shd w:val="clear" w:color="auto" w:fill="auto"/>
            <w:noWrap/>
            <w:vAlign w:val="bottom"/>
            <w:hideMark/>
          </w:tcPr>
          <w:p w14:paraId="0D3D59D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169</w:t>
            </w:r>
          </w:p>
        </w:tc>
        <w:tc>
          <w:tcPr>
            <w:tcW w:w="709" w:type="dxa"/>
            <w:tcBorders>
              <w:top w:val="nil"/>
              <w:left w:val="nil"/>
              <w:bottom w:val="nil"/>
              <w:right w:val="single" w:sz="4" w:space="0" w:color="auto"/>
            </w:tcBorders>
            <w:shd w:val="clear" w:color="auto" w:fill="auto"/>
            <w:noWrap/>
            <w:vAlign w:val="bottom"/>
            <w:hideMark/>
          </w:tcPr>
          <w:p w14:paraId="05AD4DB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648B954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59EA0A1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p>
        </w:tc>
        <w:tc>
          <w:tcPr>
            <w:tcW w:w="1040" w:type="dxa"/>
            <w:tcBorders>
              <w:top w:val="nil"/>
              <w:left w:val="nil"/>
              <w:bottom w:val="nil"/>
              <w:right w:val="single" w:sz="4" w:space="0" w:color="auto"/>
            </w:tcBorders>
            <w:shd w:val="clear" w:color="auto" w:fill="auto"/>
            <w:noWrap/>
            <w:vAlign w:val="bottom"/>
            <w:hideMark/>
          </w:tcPr>
          <w:p w14:paraId="02933ED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2" w:type="dxa"/>
            <w:tcBorders>
              <w:top w:val="nil"/>
              <w:left w:val="nil"/>
              <w:bottom w:val="nil"/>
              <w:right w:val="single" w:sz="4" w:space="0" w:color="auto"/>
            </w:tcBorders>
            <w:shd w:val="clear" w:color="auto" w:fill="auto"/>
            <w:noWrap/>
            <w:vAlign w:val="bottom"/>
            <w:hideMark/>
          </w:tcPr>
          <w:p w14:paraId="65DEE0C6" w14:textId="320BB97A"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2</w:t>
            </w:r>
            <w:r w:rsidR="00EC26EC">
              <w:rPr>
                <w:rFonts w:cs="Calibri"/>
                <w:b/>
                <w:bCs/>
                <w:sz w:val="16"/>
                <w:szCs w:val="16"/>
              </w:rPr>
              <w:t> </w:t>
            </w:r>
            <w:r>
              <w:rPr>
                <w:rFonts w:cs="Calibri"/>
                <w:b/>
                <w:bCs/>
                <w:sz w:val="16"/>
                <w:szCs w:val="16"/>
              </w:rPr>
              <w:t>297</w:t>
            </w:r>
          </w:p>
        </w:tc>
      </w:tr>
      <w:tr w:rsidR="00B56A7B" w:rsidRPr="000C156A" w14:paraId="4EB9969E"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72AFA89B"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rPr>
              <w:t>折旧</w:t>
            </w:r>
          </w:p>
        </w:tc>
        <w:tc>
          <w:tcPr>
            <w:tcW w:w="992" w:type="dxa"/>
            <w:tcBorders>
              <w:top w:val="nil"/>
              <w:left w:val="single" w:sz="4" w:space="0" w:color="auto"/>
              <w:bottom w:val="nil"/>
              <w:right w:val="single" w:sz="4" w:space="0" w:color="auto"/>
            </w:tcBorders>
            <w:shd w:val="clear" w:color="auto" w:fill="auto"/>
            <w:noWrap/>
            <w:vAlign w:val="bottom"/>
            <w:hideMark/>
          </w:tcPr>
          <w:p w14:paraId="57E440B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709" w:type="dxa"/>
            <w:tcBorders>
              <w:top w:val="nil"/>
              <w:left w:val="nil"/>
              <w:bottom w:val="nil"/>
              <w:right w:val="single" w:sz="4" w:space="0" w:color="auto"/>
            </w:tcBorders>
            <w:shd w:val="clear" w:color="auto" w:fill="auto"/>
            <w:noWrap/>
            <w:vAlign w:val="bottom"/>
            <w:hideMark/>
          </w:tcPr>
          <w:p w14:paraId="6A93707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992" w:type="dxa"/>
            <w:tcBorders>
              <w:top w:val="nil"/>
              <w:left w:val="nil"/>
              <w:bottom w:val="nil"/>
              <w:right w:val="single" w:sz="4" w:space="0" w:color="auto"/>
            </w:tcBorders>
            <w:shd w:val="clear" w:color="auto" w:fill="auto"/>
            <w:noWrap/>
            <w:vAlign w:val="bottom"/>
            <w:hideMark/>
          </w:tcPr>
          <w:p w14:paraId="354D6F3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992" w:type="dxa"/>
            <w:tcBorders>
              <w:top w:val="nil"/>
              <w:left w:val="nil"/>
              <w:bottom w:val="nil"/>
              <w:right w:val="single" w:sz="4" w:space="0" w:color="auto"/>
            </w:tcBorders>
            <w:shd w:val="clear" w:color="auto" w:fill="auto"/>
            <w:noWrap/>
            <w:vAlign w:val="bottom"/>
            <w:hideMark/>
          </w:tcPr>
          <w:p w14:paraId="76B0C52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14:paraId="76896FFE" w14:textId="0A327FDE"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9</w:t>
            </w:r>
            <w:r w:rsidR="00EC26EC">
              <w:rPr>
                <w:rFonts w:cs="Calibri"/>
                <w:color w:val="000000"/>
                <w:sz w:val="16"/>
                <w:szCs w:val="16"/>
              </w:rPr>
              <w:t> </w:t>
            </w:r>
            <w:r>
              <w:rPr>
                <w:rFonts w:cs="Calibri"/>
                <w:color w:val="000000"/>
                <w:sz w:val="16"/>
                <w:szCs w:val="16"/>
              </w:rPr>
              <w:t>555</w:t>
            </w:r>
          </w:p>
        </w:tc>
        <w:tc>
          <w:tcPr>
            <w:tcW w:w="993" w:type="dxa"/>
            <w:tcBorders>
              <w:top w:val="nil"/>
              <w:left w:val="single" w:sz="4" w:space="0" w:color="auto"/>
              <w:bottom w:val="nil"/>
              <w:right w:val="single" w:sz="4" w:space="0" w:color="auto"/>
            </w:tcBorders>
            <w:shd w:val="clear" w:color="auto" w:fill="auto"/>
            <w:noWrap/>
            <w:vAlign w:val="bottom"/>
            <w:hideMark/>
          </w:tcPr>
          <w:p w14:paraId="119A4DE6" w14:textId="5A8CCECF"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9</w:t>
            </w:r>
            <w:r w:rsidR="00EC26EC">
              <w:rPr>
                <w:rFonts w:cs="Calibri"/>
                <w:b/>
                <w:bCs/>
                <w:color w:val="000000"/>
                <w:sz w:val="16"/>
                <w:szCs w:val="16"/>
              </w:rPr>
              <w:t> </w:t>
            </w:r>
            <w:r>
              <w:rPr>
                <w:rFonts w:cs="Calibri"/>
                <w:b/>
                <w:bCs/>
                <w:color w:val="000000"/>
                <w:sz w:val="16"/>
                <w:szCs w:val="16"/>
              </w:rPr>
              <w:t>555</w:t>
            </w:r>
          </w:p>
        </w:tc>
        <w:tc>
          <w:tcPr>
            <w:tcW w:w="850" w:type="dxa"/>
            <w:tcBorders>
              <w:top w:val="nil"/>
              <w:left w:val="nil"/>
              <w:bottom w:val="nil"/>
              <w:right w:val="single" w:sz="4" w:space="0" w:color="auto"/>
            </w:tcBorders>
            <w:shd w:val="clear" w:color="auto" w:fill="auto"/>
            <w:noWrap/>
            <w:vAlign w:val="bottom"/>
            <w:hideMark/>
          </w:tcPr>
          <w:p w14:paraId="67AB365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51" w:type="dxa"/>
            <w:tcBorders>
              <w:top w:val="nil"/>
              <w:left w:val="nil"/>
              <w:bottom w:val="nil"/>
              <w:right w:val="single" w:sz="4" w:space="0" w:color="auto"/>
            </w:tcBorders>
            <w:shd w:val="clear" w:color="auto" w:fill="auto"/>
            <w:noWrap/>
            <w:vAlign w:val="bottom"/>
            <w:hideMark/>
          </w:tcPr>
          <w:p w14:paraId="2E4F790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39E2AC7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75" w:type="dxa"/>
            <w:tcBorders>
              <w:top w:val="nil"/>
              <w:left w:val="nil"/>
              <w:bottom w:val="nil"/>
              <w:right w:val="single" w:sz="4" w:space="0" w:color="auto"/>
            </w:tcBorders>
            <w:shd w:val="clear" w:color="auto" w:fill="auto"/>
            <w:noWrap/>
            <w:vAlign w:val="bottom"/>
            <w:hideMark/>
          </w:tcPr>
          <w:p w14:paraId="47FFA13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138</w:t>
            </w:r>
          </w:p>
        </w:tc>
        <w:tc>
          <w:tcPr>
            <w:tcW w:w="670" w:type="dxa"/>
            <w:tcBorders>
              <w:top w:val="nil"/>
              <w:left w:val="nil"/>
              <w:bottom w:val="nil"/>
              <w:right w:val="single" w:sz="4" w:space="0" w:color="auto"/>
            </w:tcBorders>
            <w:shd w:val="clear" w:color="auto" w:fill="auto"/>
            <w:noWrap/>
            <w:vAlign w:val="bottom"/>
            <w:hideMark/>
          </w:tcPr>
          <w:p w14:paraId="34D9374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709" w:type="dxa"/>
            <w:tcBorders>
              <w:top w:val="nil"/>
              <w:left w:val="nil"/>
              <w:bottom w:val="nil"/>
              <w:right w:val="single" w:sz="4" w:space="0" w:color="auto"/>
            </w:tcBorders>
            <w:shd w:val="clear" w:color="auto" w:fill="auto"/>
            <w:noWrap/>
            <w:vAlign w:val="bottom"/>
            <w:hideMark/>
          </w:tcPr>
          <w:p w14:paraId="0C29F59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40BF32B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02096B4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1040" w:type="dxa"/>
            <w:tcBorders>
              <w:top w:val="nil"/>
              <w:left w:val="nil"/>
              <w:bottom w:val="nil"/>
              <w:right w:val="single" w:sz="4" w:space="0" w:color="auto"/>
            </w:tcBorders>
            <w:shd w:val="clear" w:color="auto" w:fill="auto"/>
            <w:noWrap/>
            <w:vAlign w:val="bottom"/>
            <w:hideMark/>
          </w:tcPr>
          <w:p w14:paraId="3E66342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2" w:type="dxa"/>
            <w:tcBorders>
              <w:top w:val="nil"/>
              <w:left w:val="nil"/>
              <w:bottom w:val="nil"/>
              <w:right w:val="single" w:sz="4" w:space="0" w:color="auto"/>
            </w:tcBorders>
            <w:shd w:val="clear" w:color="auto" w:fill="auto"/>
            <w:noWrap/>
            <w:vAlign w:val="bottom"/>
            <w:hideMark/>
          </w:tcPr>
          <w:p w14:paraId="71EA9095" w14:textId="3E963175"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9</w:t>
            </w:r>
            <w:r w:rsidR="00EC26EC">
              <w:rPr>
                <w:rFonts w:cs="Calibri"/>
                <w:b/>
                <w:bCs/>
                <w:sz w:val="16"/>
                <w:szCs w:val="16"/>
              </w:rPr>
              <w:t> </w:t>
            </w:r>
            <w:r>
              <w:rPr>
                <w:rFonts w:cs="Calibri"/>
                <w:b/>
                <w:bCs/>
                <w:sz w:val="16"/>
                <w:szCs w:val="16"/>
              </w:rPr>
              <w:t>693</w:t>
            </w:r>
          </w:p>
        </w:tc>
      </w:tr>
      <w:tr w:rsidR="00B56A7B" w:rsidRPr="000C156A" w14:paraId="522CE451" w14:textId="77777777" w:rsidTr="00CC47BD">
        <w:trPr>
          <w:trHeight w:val="202"/>
          <w:jc w:val="center"/>
        </w:trPr>
        <w:tc>
          <w:tcPr>
            <w:tcW w:w="1980" w:type="dxa"/>
            <w:tcBorders>
              <w:top w:val="nil"/>
              <w:left w:val="single" w:sz="4" w:space="0" w:color="auto"/>
              <w:bottom w:val="nil"/>
              <w:right w:val="nil"/>
            </w:tcBorders>
            <w:shd w:val="clear" w:color="auto" w:fill="auto"/>
            <w:vAlign w:val="center"/>
            <w:hideMark/>
          </w:tcPr>
          <w:p w14:paraId="40D41A38" w14:textId="77777777" w:rsidR="00B56A7B" w:rsidRPr="000C156A" w:rsidRDefault="00B56A7B" w:rsidP="00CC47BD">
            <w:pPr>
              <w:overflowPunct/>
              <w:autoSpaceDE/>
              <w:autoSpaceDN/>
              <w:adjustRightInd/>
              <w:spacing w:before="40"/>
              <w:textAlignment w:val="auto"/>
              <w:rPr>
                <w:rFonts w:eastAsia="Times New Roman" w:cs="Calibri"/>
                <w:color w:val="000000"/>
                <w:sz w:val="16"/>
                <w:szCs w:val="16"/>
                <w:lang w:eastAsia="zh-CN"/>
              </w:rPr>
            </w:pPr>
            <w:r w:rsidRPr="000C156A">
              <w:rPr>
                <w:rFonts w:hint="eastAsia"/>
                <w:noProof/>
                <w:sz w:val="16"/>
                <w:szCs w:val="16"/>
                <w:lang w:val="en-US" w:eastAsia="zh-CN"/>
              </w:rPr>
              <w:t>运输、电信和服务费用</w:t>
            </w:r>
          </w:p>
        </w:tc>
        <w:tc>
          <w:tcPr>
            <w:tcW w:w="992" w:type="dxa"/>
            <w:tcBorders>
              <w:top w:val="nil"/>
              <w:left w:val="single" w:sz="4" w:space="0" w:color="auto"/>
              <w:bottom w:val="nil"/>
              <w:right w:val="single" w:sz="4" w:space="0" w:color="auto"/>
            </w:tcBorders>
            <w:shd w:val="clear" w:color="auto" w:fill="auto"/>
            <w:noWrap/>
            <w:vAlign w:val="bottom"/>
            <w:hideMark/>
          </w:tcPr>
          <w:p w14:paraId="23FEA29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825</w:t>
            </w:r>
          </w:p>
        </w:tc>
        <w:tc>
          <w:tcPr>
            <w:tcW w:w="709" w:type="dxa"/>
            <w:tcBorders>
              <w:top w:val="nil"/>
              <w:left w:val="nil"/>
              <w:bottom w:val="nil"/>
              <w:right w:val="single" w:sz="4" w:space="0" w:color="auto"/>
            </w:tcBorders>
            <w:shd w:val="clear" w:color="auto" w:fill="auto"/>
            <w:noWrap/>
            <w:vAlign w:val="bottom"/>
            <w:hideMark/>
          </w:tcPr>
          <w:p w14:paraId="7AB1842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p>
        </w:tc>
        <w:tc>
          <w:tcPr>
            <w:tcW w:w="992" w:type="dxa"/>
            <w:tcBorders>
              <w:top w:val="nil"/>
              <w:left w:val="nil"/>
              <w:bottom w:val="nil"/>
              <w:right w:val="single" w:sz="4" w:space="0" w:color="auto"/>
            </w:tcBorders>
            <w:shd w:val="clear" w:color="auto" w:fill="auto"/>
            <w:noWrap/>
            <w:vAlign w:val="bottom"/>
            <w:hideMark/>
          </w:tcPr>
          <w:p w14:paraId="0727B69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0</w:t>
            </w:r>
          </w:p>
        </w:tc>
        <w:tc>
          <w:tcPr>
            <w:tcW w:w="992" w:type="dxa"/>
            <w:tcBorders>
              <w:top w:val="nil"/>
              <w:left w:val="nil"/>
              <w:bottom w:val="nil"/>
              <w:right w:val="single" w:sz="4" w:space="0" w:color="auto"/>
            </w:tcBorders>
            <w:shd w:val="clear" w:color="auto" w:fill="auto"/>
            <w:noWrap/>
            <w:vAlign w:val="bottom"/>
            <w:hideMark/>
          </w:tcPr>
          <w:p w14:paraId="1993AFD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23</w:t>
            </w:r>
          </w:p>
        </w:tc>
        <w:tc>
          <w:tcPr>
            <w:tcW w:w="1134" w:type="dxa"/>
            <w:tcBorders>
              <w:top w:val="nil"/>
              <w:left w:val="nil"/>
              <w:bottom w:val="nil"/>
              <w:right w:val="nil"/>
            </w:tcBorders>
            <w:shd w:val="clear" w:color="auto" w:fill="auto"/>
            <w:noWrap/>
            <w:vAlign w:val="bottom"/>
            <w:hideMark/>
          </w:tcPr>
          <w:p w14:paraId="51CCC84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656</w:t>
            </w:r>
          </w:p>
        </w:tc>
        <w:tc>
          <w:tcPr>
            <w:tcW w:w="993" w:type="dxa"/>
            <w:tcBorders>
              <w:top w:val="nil"/>
              <w:left w:val="single" w:sz="4" w:space="0" w:color="auto"/>
              <w:bottom w:val="nil"/>
              <w:right w:val="single" w:sz="4" w:space="0" w:color="auto"/>
            </w:tcBorders>
            <w:shd w:val="clear" w:color="auto" w:fill="auto"/>
            <w:noWrap/>
            <w:vAlign w:val="bottom"/>
            <w:hideMark/>
          </w:tcPr>
          <w:p w14:paraId="382C4674" w14:textId="0B14284D"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w:t>
            </w:r>
            <w:r w:rsidR="00EC26EC">
              <w:rPr>
                <w:rFonts w:cs="Calibri"/>
                <w:b/>
                <w:bCs/>
                <w:color w:val="000000"/>
                <w:sz w:val="16"/>
                <w:szCs w:val="16"/>
              </w:rPr>
              <w:t> </w:t>
            </w:r>
            <w:r>
              <w:rPr>
                <w:rFonts w:cs="Calibri"/>
                <w:b/>
                <w:bCs/>
                <w:color w:val="000000"/>
                <w:sz w:val="16"/>
                <w:szCs w:val="16"/>
              </w:rPr>
              <w:t>505</w:t>
            </w:r>
          </w:p>
        </w:tc>
        <w:tc>
          <w:tcPr>
            <w:tcW w:w="850" w:type="dxa"/>
            <w:tcBorders>
              <w:top w:val="nil"/>
              <w:left w:val="nil"/>
              <w:bottom w:val="nil"/>
              <w:right w:val="single" w:sz="4" w:space="0" w:color="auto"/>
            </w:tcBorders>
            <w:shd w:val="clear" w:color="auto" w:fill="auto"/>
            <w:noWrap/>
            <w:vAlign w:val="bottom"/>
            <w:hideMark/>
          </w:tcPr>
          <w:p w14:paraId="159790E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51" w:type="dxa"/>
            <w:tcBorders>
              <w:top w:val="nil"/>
              <w:left w:val="nil"/>
              <w:bottom w:val="nil"/>
              <w:right w:val="single" w:sz="4" w:space="0" w:color="auto"/>
            </w:tcBorders>
            <w:shd w:val="clear" w:color="auto" w:fill="auto"/>
            <w:noWrap/>
            <w:vAlign w:val="bottom"/>
            <w:hideMark/>
          </w:tcPr>
          <w:p w14:paraId="729DDF2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2D87C09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75" w:type="dxa"/>
            <w:tcBorders>
              <w:top w:val="nil"/>
              <w:left w:val="nil"/>
              <w:bottom w:val="nil"/>
              <w:right w:val="single" w:sz="4" w:space="0" w:color="auto"/>
            </w:tcBorders>
            <w:shd w:val="clear" w:color="auto" w:fill="auto"/>
            <w:noWrap/>
            <w:vAlign w:val="bottom"/>
            <w:hideMark/>
          </w:tcPr>
          <w:p w14:paraId="4BF3B1B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70" w:type="dxa"/>
            <w:tcBorders>
              <w:top w:val="nil"/>
              <w:left w:val="nil"/>
              <w:bottom w:val="nil"/>
              <w:right w:val="single" w:sz="4" w:space="0" w:color="auto"/>
            </w:tcBorders>
            <w:shd w:val="clear" w:color="auto" w:fill="auto"/>
            <w:noWrap/>
            <w:vAlign w:val="bottom"/>
            <w:hideMark/>
          </w:tcPr>
          <w:p w14:paraId="5EF5FCB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p>
        </w:tc>
        <w:tc>
          <w:tcPr>
            <w:tcW w:w="709" w:type="dxa"/>
            <w:tcBorders>
              <w:top w:val="nil"/>
              <w:left w:val="nil"/>
              <w:bottom w:val="nil"/>
              <w:right w:val="single" w:sz="4" w:space="0" w:color="auto"/>
            </w:tcBorders>
            <w:shd w:val="clear" w:color="auto" w:fill="auto"/>
            <w:noWrap/>
            <w:vAlign w:val="bottom"/>
            <w:hideMark/>
          </w:tcPr>
          <w:p w14:paraId="1DEDEC8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4B96BE6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7113F97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1040" w:type="dxa"/>
            <w:tcBorders>
              <w:top w:val="nil"/>
              <w:left w:val="nil"/>
              <w:bottom w:val="nil"/>
              <w:right w:val="single" w:sz="4" w:space="0" w:color="auto"/>
            </w:tcBorders>
            <w:shd w:val="clear" w:color="auto" w:fill="auto"/>
            <w:noWrap/>
            <w:vAlign w:val="bottom"/>
            <w:hideMark/>
          </w:tcPr>
          <w:p w14:paraId="265742D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2" w:type="dxa"/>
            <w:tcBorders>
              <w:top w:val="nil"/>
              <w:left w:val="nil"/>
              <w:bottom w:val="nil"/>
              <w:right w:val="single" w:sz="4" w:space="0" w:color="auto"/>
            </w:tcBorders>
            <w:shd w:val="clear" w:color="auto" w:fill="auto"/>
            <w:noWrap/>
            <w:vAlign w:val="bottom"/>
            <w:hideMark/>
          </w:tcPr>
          <w:p w14:paraId="7CAB496D" w14:textId="7A27497F"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1</w:t>
            </w:r>
            <w:r w:rsidR="00EC26EC">
              <w:rPr>
                <w:rFonts w:cs="Calibri"/>
                <w:b/>
                <w:bCs/>
                <w:sz w:val="16"/>
                <w:szCs w:val="16"/>
              </w:rPr>
              <w:t> </w:t>
            </w:r>
            <w:r>
              <w:rPr>
                <w:rFonts w:cs="Calibri"/>
                <w:b/>
                <w:bCs/>
                <w:sz w:val="16"/>
                <w:szCs w:val="16"/>
              </w:rPr>
              <w:t>505</w:t>
            </w:r>
          </w:p>
        </w:tc>
      </w:tr>
      <w:tr w:rsidR="00B56A7B" w:rsidRPr="000C156A" w14:paraId="5EA835B4" w14:textId="77777777" w:rsidTr="00CC47BD">
        <w:trPr>
          <w:trHeight w:val="233"/>
          <w:jc w:val="center"/>
        </w:trPr>
        <w:tc>
          <w:tcPr>
            <w:tcW w:w="1980" w:type="dxa"/>
            <w:tcBorders>
              <w:top w:val="nil"/>
              <w:left w:val="single" w:sz="4" w:space="0" w:color="auto"/>
              <w:bottom w:val="nil"/>
              <w:right w:val="nil"/>
            </w:tcBorders>
            <w:shd w:val="clear" w:color="auto" w:fill="auto"/>
            <w:vAlign w:val="center"/>
            <w:hideMark/>
          </w:tcPr>
          <w:p w14:paraId="1F3FCBDF" w14:textId="77777777" w:rsidR="00B56A7B" w:rsidRPr="000C156A" w:rsidRDefault="00B56A7B" w:rsidP="00CC47BD">
            <w:pPr>
              <w:overflowPunct/>
              <w:autoSpaceDE/>
              <w:autoSpaceDN/>
              <w:adjustRightInd/>
              <w:spacing w:before="40"/>
              <w:textAlignment w:val="auto"/>
              <w:rPr>
                <w:rFonts w:eastAsia="Times New Roman" w:cs="Calibri"/>
                <w:color w:val="000000"/>
                <w:sz w:val="16"/>
                <w:szCs w:val="16"/>
                <w:lang w:eastAsia="zh-CN"/>
              </w:rPr>
            </w:pPr>
            <w:r w:rsidRPr="000C156A">
              <w:rPr>
                <w:rFonts w:hint="eastAsia"/>
                <w:noProof/>
                <w:sz w:val="16"/>
                <w:szCs w:val="16"/>
                <w:lang w:val="en-US" w:eastAsia="zh-CN"/>
              </w:rPr>
              <w:t>账目审计和跨组织缴费</w:t>
            </w:r>
          </w:p>
        </w:tc>
        <w:tc>
          <w:tcPr>
            <w:tcW w:w="992" w:type="dxa"/>
            <w:tcBorders>
              <w:top w:val="nil"/>
              <w:left w:val="single" w:sz="4" w:space="0" w:color="auto"/>
              <w:bottom w:val="nil"/>
              <w:right w:val="single" w:sz="4" w:space="0" w:color="auto"/>
            </w:tcBorders>
            <w:shd w:val="clear" w:color="auto" w:fill="auto"/>
            <w:noWrap/>
            <w:vAlign w:val="center"/>
            <w:hideMark/>
          </w:tcPr>
          <w:p w14:paraId="6D7CF8A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709" w:type="dxa"/>
            <w:tcBorders>
              <w:top w:val="nil"/>
              <w:left w:val="nil"/>
              <w:bottom w:val="nil"/>
              <w:right w:val="single" w:sz="4" w:space="0" w:color="auto"/>
            </w:tcBorders>
            <w:shd w:val="clear" w:color="auto" w:fill="auto"/>
            <w:noWrap/>
            <w:vAlign w:val="center"/>
            <w:hideMark/>
          </w:tcPr>
          <w:p w14:paraId="6E5D472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992" w:type="dxa"/>
            <w:tcBorders>
              <w:top w:val="nil"/>
              <w:left w:val="nil"/>
              <w:bottom w:val="nil"/>
              <w:right w:val="single" w:sz="4" w:space="0" w:color="auto"/>
            </w:tcBorders>
            <w:shd w:val="clear" w:color="auto" w:fill="auto"/>
            <w:noWrap/>
            <w:vAlign w:val="center"/>
            <w:hideMark/>
          </w:tcPr>
          <w:p w14:paraId="0B7EE36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992" w:type="dxa"/>
            <w:tcBorders>
              <w:top w:val="nil"/>
              <w:left w:val="nil"/>
              <w:bottom w:val="nil"/>
              <w:right w:val="single" w:sz="4" w:space="0" w:color="auto"/>
            </w:tcBorders>
            <w:shd w:val="clear" w:color="auto" w:fill="auto"/>
            <w:noWrap/>
            <w:vAlign w:val="center"/>
            <w:hideMark/>
          </w:tcPr>
          <w:p w14:paraId="1DE6D09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41</w:t>
            </w:r>
          </w:p>
        </w:tc>
        <w:tc>
          <w:tcPr>
            <w:tcW w:w="1134" w:type="dxa"/>
            <w:tcBorders>
              <w:top w:val="nil"/>
              <w:left w:val="nil"/>
              <w:bottom w:val="nil"/>
              <w:right w:val="nil"/>
            </w:tcBorders>
            <w:shd w:val="clear" w:color="auto" w:fill="auto"/>
            <w:noWrap/>
            <w:vAlign w:val="center"/>
            <w:hideMark/>
          </w:tcPr>
          <w:p w14:paraId="3ADD197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500</w:t>
            </w:r>
          </w:p>
        </w:tc>
        <w:tc>
          <w:tcPr>
            <w:tcW w:w="993" w:type="dxa"/>
            <w:tcBorders>
              <w:top w:val="nil"/>
              <w:left w:val="single" w:sz="4" w:space="0" w:color="auto"/>
              <w:bottom w:val="nil"/>
              <w:right w:val="single" w:sz="4" w:space="0" w:color="auto"/>
            </w:tcBorders>
            <w:shd w:val="clear" w:color="auto" w:fill="auto"/>
            <w:noWrap/>
            <w:vAlign w:val="center"/>
            <w:hideMark/>
          </w:tcPr>
          <w:p w14:paraId="4F2666DC"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541</w:t>
            </w:r>
          </w:p>
        </w:tc>
        <w:tc>
          <w:tcPr>
            <w:tcW w:w="850" w:type="dxa"/>
            <w:tcBorders>
              <w:top w:val="nil"/>
              <w:left w:val="nil"/>
              <w:bottom w:val="nil"/>
              <w:right w:val="single" w:sz="4" w:space="0" w:color="auto"/>
            </w:tcBorders>
            <w:shd w:val="clear" w:color="auto" w:fill="auto"/>
            <w:noWrap/>
            <w:vAlign w:val="center"/>
            <w:hideMark/>
          </w:tcPr>
          <w:p w14:paraId="0F44D91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51" w:type="dxa"/>
            <w:tcBorders>
              <w:top w:val="nil"/>
              <w:left w:val="nil"/>
              <w:bottom w:val="nil"/>
              <w:right w:val="single" w:sz="4" w:space="0" w:color="auto"/>
            </w:tcBorders>
            <w:shd w:val="clear" w:color="auto" w:fill="auto"/>
            <w:noWrap/>
            <w:vAlign w:val="center"/>
            <w:hideMark/>
          </w:tcPr>
          <w:p w14:paraId="5F49390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171D63B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75" w:type="dxa"/>
            <w:tcBorders>
              <w:top w:val="nil"/>
              <w:left w:val="nil"/>
              <w:bottom w:val="nil"/>
              <w:right w:val="single" w:sz="4" w:space="0" w:color="auto"/>
            </w:tcBorders>
            <w:shd w:val="clear" w:color="auto" w:fill="auto"/>
            <w:noWrap/>
            <w:vAlign w:val="center"/>
            <w:hideMark/>
          </w:tcPr>
          <w:p w14:paraId="5D87105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70" w:type="dxa"/>
            <w:tcBorders>
              <w:top w:val="nil"/>
              <w:left w:val="nil"/>
              <w:bottom w:val="nil"/>
              <w:right w:val="single" w:sz="4" w:space="0" w:color="auto"/>
            </w:tcBorders>
            <w:shd w:val="clear" w:color="auto" w:fill="auto"/>
            <w:noWrap/>
            <w:vAlign w:val="center"/>
            <w:hideMark/>
          </w:tcPr>
          <w:p w14:paraId="218B920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0</w:t>
            </w:r>
          </w:p>
        </w:tc>
        <w:tc>
          <w:tcPr>
            <w:tcW w:w="709" w:type="dxa"/>
            <w:tcBorders>
              <w:top w:val="nil"/>
              <w:left w:val="nil"/>
              <w:bottom w:val="nil"/>
              <w:right w:val="single" w:sz="4" w:space="0" w:color="auto"/>
            </w:tcBorders>
            <w:shd w:val="clear" w:color="auto" w:fill="auto"/>
            <w:noWrap/>
            <w:vAlign w:val="center"/>
            <w:hideMark/>
          </w:tcPr>
          <w:p w14:paraId="026F0DD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center"/>
            <w:hideMark/>
          </w:tcPr>
          <w:p w14:paraId="7973848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center"/>
            <w:hideMark/>
          </w:tcPr>
          <w:p w14:paraId="5FB0973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1040" w:type="dxa"/>
            <w:tcBorders>
              <w:top w:val="nil"/>
              <w:left w:val="nil"/>
              <w:bottom w:val="nil"/>
              <w:right w:val="single" w:sz="4" w:space="0" w:color="auto"/>
            </w:tcBorders>
            <w:shd w:val="clear" w:color="auto" w:fill="auto"/>
            <w:noWrap/>
            <w:vAlign w:val="center"/>
            <w:hideMark/>
          </w:tcPr>
          <w:p w14:paraId="14A7390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2" w:type="dxa"/>
            <w:tcBorders>
              <w:top w:val="nil"/>
              <w:left w:val="nil"/>
              <w:bottom w:val="nil"/>
              <w:right w:val="single" w:sz="4" w:space="0" w:color="auto"/>
            </w:tcBorders>
            <w:shd w:val="clear" w:color="auto" w:fill="auto"/>
            <w:noWrap/>
            <w:vAlign w:val="center"/>
            <w:hideMark/>
          </w:tcPr>
          <w:p w14:paraId="6E44C0E0"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541</w:t>
            </w:r>
          </w:p>
        </w:tc>
      </w:tr>
      <w:tr w:rsidR="00B56A7B" w:rsidRPr="000C156A" w14:paraId="2E92F505"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76211C9E"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其他</w:t>
            </w:r>
            <w:r w:rsidRPr="000C156A">
              <w:rPr>
                <w:rFonts w:hint="eastAsia"/>
                <w:noProof/>
                <w:sz w:val="16"/>
                <w:szCs w:val="16"/>
                <w:lang w:val="en-US"/>
              </w:rPr>
              <w:t>费用</w:t>
            </w:r>
          </w:p>
        </w:tc>
        <w:tc>
          <w:tcPr>
            <w:tcW w:w="992" w:type="dxa"/>
            <w:tcBorders>
              <w:top w:val="nil"/>
              <w:left w:val="single" w:sz="4" w:space="0" w:color="auto"/>
              <w:bottom w:val="nil"/>
              <w:right w:val="single" w:sz="4" w:space="0" w:color="auto"/>
            </w:tcBorders>
            <w:shd w:val="clear" w:color="auto" w:fill="auto"/>
            <w:noWrap/>
            <w:vAlign w:val="bottom"/>
            <w:hideMark/>
          </w:tcPr>
          <w:p w14:paraId="6F53DE9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60</w:t>
            </w:r>
          </w:p>
        </w:tc>
        <w:tc>
          <w:tcPr>
            <w:tcW w:w="709" w:type="dxa"/>
            <w:tcBorders>
              <w:top w:val="nil"/>
              <w:left w:val="nil"/>
              <w:bottom w:val="nil"/>
              <w:right w:val="single" w:sz="4" w:space="0" w:color="auto"/>
            </w:tcBorders>
            <w:shd w:val="clear" w:color="auto" w:fill="auto"/>
            <w:noWrap/>
            <w:vAlign w:val="bottom"/>
            <w:hideMark/>
          </w:tcPr>
          <w:p w14:paraId="7F90521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992" w:type="dxa"/>
            <w:tcBorders>
              <w:top w:val="nil"/>
              <w:left w:val="nil"/>
              <w:bottom w:val="nil"/>
              <w:right w:val="single" w:sz="4" w:space="0" w:color="auto"/>
            </w:tcBorders>
            <w:shd w:val="clear" w:color="auto" w:fill="auto"/>
            <w:noWrap/>
            <w:vAlign w:val="bottom"/>
            <w:hideMark/>
          </w:tcPr>
          <w:p w14:paraId="5EAA8F4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6</w:t>
            </w:r>
          </w:p>
        </w:tc>
        <w:tc>
          <w:tcPr>
            <w:tcW w:w="992" w:type="dxa"/>
            <w:tcBorders>
              <w:top w:val="nil"/>
              <w:left w:val="nil"/>
              <w:bottom w:val="nil"/>
              <w:right w:val="single" w:sz="4" w:space="0" w:color="auto"/>
            </w:tcBorders>
            <w:shd w:val="clear" w:color="auto" w:fill="auto"/>
            <w:noWrap/>
            <w:vAlign w:val="bottom"/>
            <w:hideMark/>
          </w:tcPr>
          <w:p w14:paraId="50477CE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26</w:t>
            </w:r>
          </w:p>
        </w:tc>
        <w:tc>
          <w:tcPr>
            <w:tcW w:w="1134" w:type="dxa"/>
            <w:tcBorders>
              <w:top w:val="nil"/>
              <w:left w:val="nil"/>
              <w:bottom w:val="nil"/>
              <w:right w:val="nil"/>
            </w:tcBorders>
            <w:shd w:val="clear" w:color="auto" w:fill="auto"/>
            <w:noWrap/>
            <w:vAlign w:val="bottom"/>
            <w:hideMark/>
          </w:tcPr>
          <w:p w14:paraId="61903350" w14:textId="1548AFC6"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w:t>
            </w:r>
            <w:r w:rsidR="00EC26EC">
              <w:rPr>
                <w:rFonts w:cs="Calibri"/>
                <w:color w:val="000000"/>
                <w:sz w:val="16"/>
                <w:szCs w:val="16"/>
              </w:rPr>
              <w:t> </w:t>
            </w:r>
            <w:r>
              <w:rPr>
                <w:rFonts w:cs="Calibri"/>
                <w:color w:val="000000"/>
                <w:sz w:val="16"/>
                <w:szCs w:val="16"/>
              </w:rPr>
              <w:t>949</w:t>
            </w:r>
          </w:p>
        </w:tc>
        <w:tc>
          <w:tcPr>
            <w:tcW w:w="993" w:type="dxa"/>
            <w:tcBorders>
              <w:top w:val="nil"/>
              <w:left w:val="single" w:sz="4" w:space="0" w:color="auto"/>
              <w:bottom w:val="nil"/>
              <w:right w:val="single" w:sz="4" w:space="0" w:color="auto"/>
            </w:tcBorders>
            <w:shd w:val="clear" w:color="auto" w:fill="auto"/>
            <w:noWrap/>
            <w:vAlign w:val="bottom"/>
            <w:hideMark/>
          </w:tcPr>
          <w:p w14:paraId="740D6C23" w14:textId="338BF534"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3</w:t>
            </w:r>
            <w:r w:rsidR="00EC26EC">
              <w:rPr>
                <w:rFonts w:cs="Calibri"/>
                <w:b/>
                <w:bCs/>
                <w:color w:val="000000"/>
                <w:sz w:val="16"/>
                <w:szCs w:val="16"/>
              </w:rPr>
              <w:t> </w:t>
            </w:r>
            <w:r>
              <w:rPr>
                <w:rFonts w:cs="Calibri"/>
                <w:b/>
                <w:bCs/>
                <w:color w:val="000000"/>
                <w:sz w:val="16"/>
                <w:szCs w:val="16"/>
              </w:rPr>
              <w:t>040</w:t>
            </w:r>
          </w:p>
        </w:tc>
        <w:tc>
          <w:tcPr>
            <w:tcW w:w="850" w:type="dxa"/>
            <w:tcBorders>
              <w:top w:val="nil"/>
              <w:left w:val="nil"/>
              <w:bottom w:val="nil"/>
              <w:right w:val="single" w:sz="4" w:space="0" w:color="auto"/>
            </w:tcBorders>
            <w:shd w:val="clear" w:color="auto" w:fill="auto"/>
            <w:noWrap/>
            <w:vAlign w:val="bottom"/>
            <w:hideMark/>
          </w:tcPr>
          <w:p w14:paraId="41FA600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51" w:type="dxa"/>
            <w:tcBorders>
              <w:top w:val="nil"/>
              <w:left w:val="nil"/>
              <w:bottom w:val="nil"/>
              <w:right w:val="single" w:sz="4" w:space="0" w:color="auto"/>
            </w:tcBorders>
            <w:shd w:val="clear" w:color="auto" w:fill="auto"/>
            <w:noWrap/>
            <w:vAlign w:val="bottom"/>
            <w:hideMark/>
          </w:tcPr>
          <w:p w14:paraId="3D42697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37D50FA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03C5C16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18</w:t>
            </w:r>
          </w:p>
        </w:tc>
        <w:tc>
          <w:tcPr>
            <w:tcW w:w="670" w:type="dxa"/>
            <w:tcBorders>
              <w:top w:val="nil"/>
              <w:left w:val="nil"/>
              <w:bottom w:val="nil"/>
              <w:right w:val="single" w:sz="4" w:space="0" w:color="auto"/>
            </w:tcBorders>
            <w:shd w:val="clear" w:color="auto" w:fill="auto"/>
            <w:noWrap/>
            <w:vAlign w:val="bottom"/>
            <w:hideMark/>
          </w:tcPr>
          <w:p w14:paraId="5499301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724</w:t>
            </w:r>
          </w:p>
        </w:tc>
        <w:tc>
          <w:tcPr>
            <w:tcW w:w="709" w:type="dxa"/>
            <w:tcBorders>
              <w:top w:val="nil"/>
              <w:left w:val="nil"/>
              <w:bottom w:val="nil"/>
              <w:right w:val="single" w:sz="4" w:space="0" w:color="auto"/>
            </w:tcBorders>
            <w:shd w:val="clear" w:color="auto" w:fill="auto"/>
            <w:noWrap/>
            <w:vAlign w:val="bottom"/>
            <w:hideMark/>
          </w:tcPr>
          <w:p w14:paraId="13D6812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612" w:type="dxa"/>
            <w:tcBorders>
              <w:top w:val="nil"/>
              <w:left w:val="nil"/>
              <w:bottom w:val="nil"/>
              <w:right w:val="single" w:sz="4" w:space="0" w:color="auto"/>
            </w:tcBorders>
            <w:shd w:val="clear" w:color="auto" w:fill="auto"/>
            <w:noWrap/>
            <w:vAlign w:val="bottom"/>
            <w:hideMark/>
          </w:tcPr>
          <w:p w14:paraId="272581B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806" w:type="dxa"/>
            <w:tcBorders>
              <w:top w:val="nil"/>
              <w:left w:val="nil"/>
              <w:bottom w:val="nil"/>
              <w:right w:val="single" w:sz="4" w:space="0" w:color="auto"/>
            </w:tcBorders>
            <w:shd w:val="clear" w:color="auto" w:fill="auto"/>
            <w:noWrap/>
            <w:vAlign w:val="bottom"/>
            <w:hideMark/>
          </w:tcPr>
          <w:p w14:paraId="64EF484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626</w:t>
            </w:r>
          </w:p>
        </w:tc>
        <w:tc>
          <w:tcPr>
            <w:tcW w:w="1040" w:type="dxa"/>
            <w:tcBorders>
              <w:top w:val="nil"/>
              <w:left w:val="nil"/>
              <w:bottom w:val="nil"/>
              <w:right w:val="single" w:sz="4" w:space="0" w:color="auto"/>
            </w:tcBorders>
            <w:shd w:val="clear" w:color="auto" w:fill="auto"/>
            <w:noWrap/>
            <w:vAlign w:val="bottom"/>
            <w:hideMark/>
          </w:tcPr>
          <w:p w14:paraId="4AB518CC" w14:textId="1A5D21C1"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r w:rsidR="00EC26EC">
              <w:rPr>
                <w:rFonts w:cs="Calibri"/>
                <w:color w:val="000000"/>
                <w:sz w:val="16"/>
                <w:szCs w:val="16"/>
              </w:rPr>
              <w:t> </w:t>
            </w:r>
            <w:r>
              <w:rPr>
                <w:rFonts w:cs="Calibri"/>
                <w:color w:val="000000"/>
                <w:sz w:val="16"/>
                <w:szCs w:val="16"/>
              </w:rPr>
              <w:t>214</w:t>
            </w:r>
          </w:p>
        </w:tc>
        <w:tc>
          <w:tcPr>
            <w:tcW w:w="802" w:type="dxa"/>
            <w:tcBorders>
              <w:top w:val="nil"/>
              <w:left w:val="nil"/>
              <w:bottom w:val="nil"/>
              <w:right w:val="single" w:sz="4" w:space="0" w:color="auto"/>
            </w:tcBorders>
            <w:shd w:val="clear" w:color="auto" w:fill="auto"/>
            <w:noWrap/>
            <w:vAlign w:val="bottom"/>
            <w:hideMark/>
          </w:tcPr>
          <w:p w14:paraId="208522C0" w14:textId="3C0A2B00"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3</w:t>
            </w:r>
            <w:r w:rsidR="00EC26EC">
              <w:rPr>
                <w:rFonts w:cs="Calibri"/>
                <w:b/>
                <w:bCs/>
                <w:sz w:val="16"/>
                <w:szCs w:val="16"/>
              </w:rPr>
              <w:t> </w:t>
            </w:r>
            <w:r>
              <w:rPr>
                <w:rFonts w:cs="Calibri"/>
                <w:b/>
                <w:bCs/>
                <w:sz w:val="16"/>
                <w:szCs w:val="16"/>
              </w:rPr>
              <w:t>194</w:t>
            </w:r>
          </w:p>
        </w:tc>
      </w:tr>
      <w:tr w:rsidR="00B56A7B" w:rsidRPr="000C156A" w14:paraId="3610D8AD" w14:textId="77777777" w:rsidTr="00CC47BD">
        <w:trPr>
          <w:trHeight w:val="255"/>
          <w:jc w:val="center"/>
        </w:trPr>
        <w:tc>
          <w:tcPr>
            <w:tcW w:w="1980" w:type="dxa"/>
            <w:tcBorders>
              <w:top w:val="nil"/>
              <w:left w:val="single" w:sz="4" w:space="0" w:color="auto"/>
              <w:right w:val="nil"/>
            </w:tcBorders>
            <w:shd w:val="clear" w:color="auto" w:fill="auto"/>
            <w:vAlign w:val="center"/>
            <w:hideMark/>
          </w:tcPr>
          <w:p w14:paraId="56CE8F6A"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理财费用</w:t>
            </w:r>
          </w:p>
        </w:tc>
        <w:tc>
          <w:tcPr>
            <w:tcW w:w="992" w:type="dxa"/>
            <w:tcBorders>
              <w:top w:val="nil"/>
              <w:left w:val="single" w:sz="4" w:space="0" w:color="auto"/>
              <w:bottom w:val="nil"/>
              <w:right w:val="single" w:sz="4" w:space="0" w:color="auto"/>
            </w:tcBorders>
            <w:shd w:val="clear" w:color="auto" w:fill="auto"/>
            <w:noWrap/>
            <w:vAlign w:val="bottom"/>
            <w:hideMark/>
          </w:tcPr>
          <w:p w14:paraId="4D60C41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57</w:t>
            </w:r>
          </w:p>
        </w:tc>
        <w:tc>
          <w:tcPr>
            <w:tcW w:w="709" w:type="dxa"/>
            <w:tcBorders>
              <w:top w:val="nil"/>
              <w:left w:val="nil"/>
              <w:bottom w:val="nil"/>
              <w:right w:val="single" w:sz="4" w:space="0" w:color="auto"/>
            </w:tcBorders>
            <w:shd w:val="clear" w:color="auto" w:fill="auto"/>
            <w:noWrap/>
            <w:vAlign w:val="bottom"/>
            <w:hideMark/>
          </w:tcPr>
          <w:p w14:paraId="144FF72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0</w:t>
            </w:r>
          </w:p>
        </w:tc>
        <w:tc>
          <w:tcPr>
            <w:tcW w:w="992" w:type="dxa"/>
            <w:tcBorders>
              <w:top w:val="nil"/>
              <w:left w:val="nil"/>
              <w:bottom w:val="nil"/>
              <w:right w:val="single" w:sz="4" w:space="0" w:color="auto"/>
            </w:tcBorders>
            <w:shd w:val="clear" w:color="auto" w:fill="auto"/>
            <w:noWrap/>
            <w:vAlign w:val="bottom"/>
            <w:hideMark/>
          </w:tcPr>
          <w:p w14:paraId="5ACA827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w:t>
            </w:r>
          </w:p>
        </w:tc>
        <w:tc>
          <w:tcPr>
            <w:tcW w:w="992" w:type="dxa"/>
            <w:tcBorders>
              <w:top w:val="nil"/>
              <w:left w:val="nil"/>
              <w:bottom w:val="nil"/>
              <w:right w:val="single" w:sz="4" w:space="0" w:color="auto"/>
            </w:tcBorders>
            <w:shd w:val="clear" w:color="auto" w:fill="auto"/>
            <w:noWrap/>
            <w:vAlign w:val="bottom"/>
            <w:hideMark/>
          </w:tcPr>
          <w:p w14:paraId="25FBF88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6</w:t>
            </w:r>
          </w:p>
        </w:tc>
        <w:tc>
          <w:tcPr>
            <w:tcW w:w="1134" w:type="dxa"/>
            <w:tcBorders>
              <w:top w:val="nil"/>
              <w:left w:val="nil"/>
              <w:bottom w:val="nil"/>
              <w:right w:val="nil"/>
            </w:tcBorders>
            <w:shd w:val="clear" w:color="auto" w:fill="auto"/>
            <w:noWrap/>
            <w:vAlign w:val="bottom"/>
            <w:hideMark/>
          </w:tcPr>
          <w:p w14:paraId="4E794E92" w14:textId="1072A82C"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-2</w:t>
            </w:r>
            <w:r w:rsidR="00EC26EC">
              <w:rPr>
                <w:rFonts w:cs="Calibri"/>
                <w:color w:val="000000"/>
                <w:sz w:val="16"/>
                <w:szCs w:val="16"/>
              </w:rPr>
              <w:t> </w:t>
            </w:r>
            <w:r>
              <w:rPr>
                <w:rFonts w:cs="Calibri"/>
                <w:color w:val="000000"/>
                <w:sz w:val="16"/>
                <w:szCs w:val="16"/>
              </w:rPr>
              <w:t>584</w:t>
            </w:r>
          </w:p>
        </w:tc>
        <w:tc>
          <w:tcPr>
            <w:tcW w:w="993" w:type="dxa"/>
            <w:tcBorders>
              <w:top w:val="nil"/>
              <w:left w:val="single" w:sz="4" w:space="0" w:color="auto"/>
              <w:bottom w:val="nil"/>
              <w:right w:val="single" w:sz="4" w:space="0" w:color="auto"/>
            </w:tcBorders>
            <w:shd w:val="clear" w:color="auto" w:fill="auto"/>
            <w:noWrap/>
            <w:vAlign w:val="bottom"/>
            <w:hideMark/>
          </w:tcPr>
          <w:p w14:paraId="1EC80B7C" w14:textId="396A03D9"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w:t>
            </w:r>
            <w:r w:rsidR="00EC26EC">
              <w:rPr>
                <w:rFonts w:cs="Calibri"/>
                <w:b/>
                <w:bCs/>
                <w:color w:val="000000"/>
                <w:sz w:val="16"/>
                <w:szCs w:val="16"/>
              </w:rPr>
              <w:t> </w:t>
            </w:r>
            <w:r>
              <w:rPr>
                <w:rFonts w:cs="Calibri"/>
                <w:b/>
                <w:bCs/>
                <w:color w:val="000000"/>
                <w:sz w:val="16"/>
                <w:szCs w:val="16"/>
              </w:rPr>
              <w:t>521</w:t>
            </w:r>
          </w:p>
        </w:tc>
        <w:tc>
          <w:tcPr>
            <w:tcW w:w="850" w:type="dxa"/>
            <w:tcBorders>
              <w:top w:val="nil"/>
              <w:left w:val="nil"/>
              <w:bottom w:val="nil"/>
              <w:right w:val="single" w:sz="4" w:space="0" w:color="auto"/>
            </w:tcBorders>
            <w:shd w:val="clear" w:color="auto" w:fill="auto"/>
            <w:noWrap/>
            <w:vAlign w:val="bottom"/>
            <w:hideMark/>
          </w:tcPr>
          <w:p w14:paraId="7B6D62B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p>
        </w:tc>
        <w:tc>
          <w:tcPr>
            <w:tcW w:w="851" w:type="dxa"/>
            <w:tcBorders>
              <w:top w:val="nil"/>
              <w:left w:val="nil"/>
              <w:bottom w:val="nil"/>
              <w:right w:val="single" w:sz="4" w:space="0" w:color="auto"/>
            </w:tcBorders>
            <w:shd w:val="clear" w:color="auto" w:fill="auto"/>
            <w:noWrap/>
            <w:vAlign w:val="bottom"/>
            <w:hideMark/>
          </w:tcPr>
          <w:p w14:paraId="2E71226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177</w:t>
            </w:r>
          </w:p>
        </w:tc>
        <w:tc>
          <w:tcPr>
            <w:tcW w:w="864" w:type="dxa"/>
            <w:tcBorders>
              <w:top w:val="nil"/>
              <w:left w:val="nil"/>
              <w:bottom w:val="nil"/>
              <w:right w:val="single" w:sz="4" w:space="0" w:color="auto"/>
            </w:tcBorders>
            <w:shd w:val="clear" w:color="auto" w:fill="auto"/>
            <w:noWrap/>
            <w:vAlign w:val="bottom"/>
            <w:hideMark/>
          </w:tcPr>
          <w:p w14:paraId="4541C97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76</w:t>
            </w:r>
          </w:p>
        </w:tc>
        <w:tc>
          <w:tcPr>
            <w:tcW w:w="875" w:type="dxa"/>
            <w:tcBorders>
              <w:top w:val="nil"/>
              <w:left w:val="nil"/>
              <w:bottom w:val="nil"/>
              <w:right w:val="single" w:sz="4" w:space="0" w:color="auto"/>
            </w:tcBorders>
            <w:shd w:val="clear" w:color="auto" w:fill="auto"/>
            <w:noWrap/>
            <w:vAlign w:val="bottom"/>
            <w:hideMark/>
          </w:tcPr>
          <w:p w14:paraId="07DAEAB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-30</w:t>
            </w:r>
          </w:p>
        </w:tc>
        <w:tc>
          <w:tcPr>
            <w:tcW w:w="670" w:type="dxa"/>
            <w:tcBorders>
              <w:top w:val="nil"/>
              <w:left w:val="nil"/>
              <w:bottom w:val="nil"/>
              <w:right w:val="single" w:sz="4" w:space="0" w:color="auto"/>
            </w:tcBorders>
            <w:shd w:val="clear" w:color="auto" w:fill="auto"/>
            <w:noWrap/>
            <w:vAlign w:val="bottom"/>
            <w:hideMark/>
          </w:tcPr>
          <w:p w14:paraId="746A69EE" w14:textId="483D84DE"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r w:rsidR="00EC26EC">
              <w:rPr>
                <w:rFonts w:cs="Calibri"/>
                <w:color w:val="000000"/>
                <w:sz w:val="16"/>
                <w:szCs w:val="16"/>
              </w:rPr>
              <w:t> </w:t>
            </w:r>
            <w:r>
              <w:rPr>
                <w:rFonts w:cs="Calibri"/>
                <w:color w:val="000000"/>
                <w:sz w:val="16"/>
                <w:szCs w:val="16"/>
              </w:rPr>
              <w:t>726</w:t>
            </w:r>
          </w:p>
        </w:tc>
        <w:tc>
          <w:tcPr>
            <w:tcW w:w="709" w:type="dxa"/>
            <w:tcBorders>
              <w:top w:val="nil"/>
              <w:left w:val="nil"/>
              <w:bottom w:val="nil"/>
              <w:right w:val="single" w:sz="4" w:space="0" w:color="auto"/>
            </w:tcBorders>
            <w:shd w:val="clear" w:color="auto" w:fill="auto"/>
            <w:noWrap/>
            <w:vAlign w:val="bottom"/>
            <w:hideMark/>
          </w:tcPr>
          <w:p w14:paraId="316EC34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64</w:t>
            </w:r>
          </w:p>
        </w:tc>
        <w:tc>
          <w:tcPr>
            <w:tcW w:w="612" w:type="dxa"/>
            <w:tcBorders>
              <w:top w:val="nil"/>
              <w:left w:val="nil"/>
              <w:bottom w:val="nil"/>
              <w:right w:val="single" w:sz="4" w:space="0" w:color="auto"/>
            </w:tcBorders>
            <w:shd w:val="clear" w:color="auto" w:fill="auto"/>
            <w:noWrap/>
            <w:vAlign w:val="bottom"/>
            <w:hideMark/>
          </w:tcPr>
          <w:p w14:paraId="014733E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-52</w:t>
            </w:r>
          </w:p>
        </w:tc>
        <w:tc>
          <w:tcPr>
            <w:tcW w:w="806" w:type="dxa"/>
            <w:tcBorders>
              <w:top w:val="nil"/>
              <w:left w:val="nil"/>
              <w:bottom w:val="nil"/>
              <w:right w:val="single" w:sz="4" w:space="0" w:color="auto"/>
            </w:tcBorders>
            <w:shd w:val="clear" w:color="auto" w:fill="auto"/>
            <w:noWrap/>
            <w:vAlign w:val="bottom"/>
            <w:hideMark/>
          </w:tcPr>
          <w:p w14:paraId="239F9B2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rPr>
              <w:t>-1</w:t>
            </w:r>
          </w:p>
        </w:tc>
        <w:tc>
          <w:tcPr>
            <w:tcW w:w="1040" w:type="dxa"/>
            <w:tcBorders>
              <w:top w:val="nil"/>
              <w:left w:val="nil"/>
              <w:bottom w:val="nil"/>
              <w:right w:val="single" w:sz="4" w:space="0" w:color="auto"/>
            </w:tcBorders>
            <w:shd w:val="clear" w:color="auto" w:fill="auto"/>
            <w:noWrap/>
            <w:vAlign w:val="bottom"/>
            <w:hideMark/>
          </w:tcPr>
          <w:p w14:paraId="3D0F3C3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0C871A83"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rPr>
              <w:t>-561</w:t>
            </w:r>
          </w:p>
        </w:tc>
      </w:tr>
      <w:tr w:rsidR="00B56A7B" w:rsidRPr="000C156A" w14:paraId="7EE38D8E" w14:textId="77777777" w:rsidTr="00CC47BD">
        <w:trPr>
          <w:trHeight w:val="255"/>
          <w:jc w:val="center"/>
        </w:trPr>
        <w:tc>
          <w:tcPr>
            <w:tcW w:w="1980" w:type="dxa"/>
            <w:tcBorders>
              <w:left w:val="single" w:sz="4" w:space="0" w:color="auto"/>
              <w:bottom w:val="single" w:sz="4" w:space="0" w:color="auto"/>
              <w:right w:val="nil"/>
            </w:tcBorders>
            <w:shd w:val="clear" w:color="auto" w:fill="auto"/>
            <w:vAlign w:val="center"/>
            <w:hideMark/>
          </w:tcPr>
          <w:p w14:paraId="3F552A75"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p>
        </w:tc>
        <w:tc>
          <w:tcPr>
            <w:tcW w:w="992" w:type="dxa"/>
            <w:tcBorders>
              <w:top w:val="nil"/>
              <w:left w:val="single" w:sz="4" w:space="0" w:color="auto"/>
              <w:bottom w:val="nil"/>
              <w:right w:val="single" w:sz="4" w:space="0" w:color="auto"/>
            </w:tcBorders>
            <w:shd w:val="clear" w:color="auto" w:fill="auto"/>
            <w:noWrap/>
            <w:vAlign w:val="bottom"/>
            <w:hideMark/>
          </w:tcPr>
          <w:p w14:paraId="414A9A8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6617069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1C645E4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518226C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14:paraId="0915AD3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1FA27DB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37BE409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18C153B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4BB4C84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7173315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6B39AF2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1F003FA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6796F28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24E452A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6644CB4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78375C79"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p>
        </w:tc>
      </w:tr>
      <w:tr w:rsidR="00B56A7B" w:rsidRPr="000C156A" w14:paraId="28E0746F" w14:textId="77777777" w:rsidTr="00CC47BD">
        <w:trPr>
          <w:trHeight w:val="255"/>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7ABA8DAC"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费用合计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A00E2" w14:textId="73CA036C"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69</w:t>
            </w:r>
            <w:r w:rsidR="00EC26EC">
              <w:rPr>
                <w:rFonts w:cs="Calibri"/>
                <w:b/>
                <w:bCs/>
                <w:color w:val="000000"/>
                <w:sz w:val="16"/>
                <w:szCs w:val="16"/>
              </w:rPr>
              <w:t> </w:t>
            </w:r>
            <w:r>
              <w:rPr>
                <w:rFonts w:cs="Calibri"/>
                <w:b/>
                <w:bCs/>
                <w:color w:val="000000"/>
                <w:sz w:val="16"/>
                <w:szCs w:val="16"/>
              </w:rPr>
              <w:t>898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60D29E" w14:textId="12969EAE"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27</w:t>
            </w:r>
            <w:r w:rsidR="00EC26EC">
              <w:rPr>
                <w:rFonts w:cs="Calibri"/>
                <w:b/>
                <w:bCs/>
                <w:color w:val="000000"/>
                <w:sz w:val="16"/>
                <w:szCs w:val="16"/>
              </w:rPr>
              <w:t> </w:t>
            </w:r>
            <w:r>
              <w:rPr>
                <w:rFonts w:cs="Calibri"/>
                <w:b/>
                <w:bCs/>
                <w:color w:val="000000"/>
                <w:sz w:val="16"/>
                <w:szCs w:val="16"/>
              </w:rPr>
              <w:t>611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47CBC2F" w14:textId="6A40A2CD"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12</w:t>
            </w:r>
            <w:r w:rsidR="00EC26EC">
              <w:rPr>
                <w:rFonts w:cs="Calibri"/>
                <w:b/>
                <w:bCs/>
                <w:color w:val="000000"/>
                <w:sz w:val="16"/>
                <w:szCs w:val="16"/>
              </w:rPr>
              <w:t> </w:t>
            </w:r>
            <w:r>
              <w:rPr>
                <w:rFonts w:cs="Calibri"/>
                <w:b/>
                <w:bCs/>
                <w:color w:val="000000"/>
                <w:sz w:val="16"/>
                <w:szCs w:val="16"/>
              </w:rPr>
              <w:t>524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4C272D" w14:textId="766D4E26"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27</w:t>
            </w:r>
            <w:r w:rsidR="00EC26EC">
              <w:rPr>
                <w:rFonts w:cs="Calibri"/>
                <w:b/>
                <w:bCs/>
                <w:color w:val="000000"/>
                <w:sz w:val="16"/>
                <w:szCs w:val="16"/>
              </w:rPr>
              <w:t> </w:t>
            </w:r>
            <w:r>
              <w:rPr>
                <w:rFonts w:cs="Calibri"/>
                <w:b/>
                <w:bCs/>
                <w:color w:val="000000"/>
                <w:sz w:val="16"/>
                <w:szCs w:val="16"/>
              </w:rPr>
              <w:t>209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87A37D" w14:textId="19191620"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36</w:t>
            </w:r>
            <w:r w:rsidR="00EC26EC">
              <w:rPr>
                <w:rFonts w:cs="Calibri"/>
                <w:b/>
                <w:bCs/>
                <w:color w:val="000000"/>
                <w:sz w:val="16"/>
                <w:szCs w:val="16"/>
              </w:rPr>
              <w:t> </w:t>
            </w:r>
            <w:r>
              <w:rPr>
                <w:rFonts w:cs="Calibri"/>
                <w:b/>
                <w:bCs/>
                <w:color w:val="000000"/>
                <w:sz w:val="16"/>
                <w:szCs w:val="16"/>
              </w:rPr>
              <w:t>444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297F0D1" w14:textId="3149912C"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173</w:t>
            </w:r>
            <w:r w:rsidR="00EC26EC">
              <w:rPr>
                <w:rFonts w:cs="Calibri"/>
                <w:b/>
                <w:bCs/>
                <w:color w:val="000000"/>
                <w:sz w:val="16"/>
                <w:szCs w:val="16"/>
              </w:rPr>
              <w:t> </w:t>
            </w:r>
            <w:r>
              <w:rPr>
                <w:rFonts w:cs="Calibri"/>
                <w:b/>
                <w:bCs/>
                <w:color w:val="000000"/>
                <w:sz w:val="16"/>
                <w:szCs w:val="16"/>
              </w:rPr>
              <w:t>686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FE45E2"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CBE5A3"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177</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B3585B1"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92</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2F56AB39" w14:textId="05CC9696"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w:t>
            </w:r>
            <w:r w:rsidR="00EC26EC">
              <w:rPr>
                <w:rFonts w:cs="Calibri"/>
                <w:b/>
                <w:bCs/>
                <w:color w:val="000000"/>
                <w:sz w:val="16"/>
                <w:szCs w:val="16"/>
              </w:rPr>
              <w:t> </w:t>
            </w:r>
            <w:r>
              <w:rPr>
                <w:rFonts w:cs="Calibri"/>
                <w:b/>
                <w:bCs/>
                <w:color w:val="000000"/>
                <w:sz w:val="16"/>
                <w:szCs w:val="16"/>
              </w:rPr>
              <w:t>993</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2AF36DF8" w14:textId="33320D51"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12</w:t>
            </w:r>
            <w:r w:rsidR="00EC26EC">
              <w:rPr>
                <w:rFonts w:cs="Calibri"/>
                <w:b/>
                <w:bCs/>
                <w:color w:val="000000"/>
                <w:sz w:val="16"/>
                <w:szCs w:val="16"/>
              </w:rPr>
              <w:t> </w:t>
            </w:r>
            <w:r>
              <w:rPr>
                <w:rFonts w:cs="Calibri"/>
                <w:b/>
                <w:bCs/>
                <w:color w:val="000000"/>
                <w:sz w:val="16"/>
                <w:szCs w:val="16"/>
              </w:rPr>
              <w:t>422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7CE88C7"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64</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29621149"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-52</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323DF2F0" w14:textId="008FEC89"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w:t>
            </w:r>
            <w:r w:rsidR="00EC26EC">
              <w:rPr>
                <w:rFonts w:cs="Calibri"/>
                <w:b/>
                <w:bCs/>
                <w:color w:val="000000"/>
                <w:sz w:val="16"/>
                <w:szCs w:val="16"/>
              </w:rPr>
              <w:t> </w:t>
            </w:r>
            <w:r>
              <w:rPr>
                <w:rFonts w:cs="Calibri"/>
                <w:b/>
                <w:bCs/>
                <w:color w:val="000000"/>
                <w:sz w:val="16"/>
                <w:szCs w:val="16"/>
              </w:rPr>
              <w:t>244</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D9DBDBA" w14:textId="2BA577DF"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w:t>
            </w:r>
            <w:r w:rsidR="00EC26EC">
              <w:rPr>
                <w:rFonts w:cs="Calibri"/>
                <w:b/>
                <w:bCs/>
                <w:color w:val="000000"/>
                <w:sz w:val="16"/>
                <w:szCs w:val="16"/>
              </w:rPr>
              <w:t> </w:t>
            </w:r>
            <w:r>
              <w:rPr>
                <w:rFonts w:cs="Calibri"/>
                <w:b/>
                <w:bCs/>
                <w:color w:val="000000"/>
                <w:sz w:val="16"/>
                <w:szCs w:val="16"/>
              </w:rPr>
              <w:t>214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7784488E" w14:textId="0D544CE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190</w:t>
            </w:r>
            <w:r w:rsidR="00EC26EC">
              <w:rPr>
                <w:rFonts w:cs="Calibri"/>
                <w:b/>
                <w:bCs/>
                <w:color w:val="000000"/>
                <w:sz w:val="16"/>
                <w:szCs w:val="16"/>
              </w:rPr>
              <w:t> </w:t>
            </w:r>
            <w:r>
              <w:rPr>
                <w:rFonts w:cs="Calibri"/>
                <w:b/>
                <w:bCs/>
                <w:color w:val="000000"/>
                <w:sz w:val="16"/>
                <w:szCs w:val="16"/>
              </w:rPr>
              <w:t>413</w:t>
            </w:r>
          </w:p>
        </w:tc>
      </w:tr>
      <w:tr w:rsidR="00B56A7B" w:rsidRPr="000C156A" w14:paraId="53777767"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45DFA21D"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center"/>
            <w:hideMark/>
          </w:tcPr>
          <w:p w14:paraId="2F5AF992"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50251102"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390A51B1"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5BECD694"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1134" w:type="dxa"/>
            <w:tcBorders>
              <w:top w:val="nil"/>
              <w:left w:val="nil"/>
              <w:bottom w:val="nil"/>
              <w:right w:val="nil"/>
            </w:tcBorders>
            <w:shd w:val="clear" w:color="auto" w:fill="auto"/>
            <w:noWrap/>
            <w:vAlign w:val="center"/>
            <w:hideMark/>
          </w:tcPr>
          <w:p w14:paraId="27F0DF75"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center"/>
            <w:hideMark/>
          </w:tcPr>
          <w:p w14:paraId="5EB9505D"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50" w:type="dxa"/>
            <w:tcBorders>
              <w:top w:val="nil"/>
              <w:left w:val="nil"/>
              <w:bottom w:val="nil"/>
              <w:right w:val="single" w:sz="4" w:space="0" w:color="auto"/>
            </w:tcBorders>
            <w:shd w:val="clear" w:color="auto" w:fill="auto"/>
            <w:noWrap/>
            <w:vAlign w:val="center"/>
            <w:hideMark/>
          </w:tcPr>
          <w:p w14:paraId="064CD6DB"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51" w:type="dxa"/>
            <w:tcBorders>
              <w:top w:val="nil"/>
              <w:left w:val="nil"/>
              <w:bottom w:val="nil"/>
              <w:right w:val="single" w:sz="4" w:space="0" w:color="auto"/>
            </w:tcBorders>
            <w:shd w:val="clear" w:color="auto" w:fill="auto"/>
            <w:noWrap/>
            <w:vAlign w:val="center"/>
            <w:hideMark/>
          </w:tcPr>
          <w:p w14:paraId="4CDB4595"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13093D8C"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648AE439"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670" w:type="dxa"/>
            <w:tcBorders>
              <w:top w:val="nil"/>
              <w:left w:val="nil"/>
              <w:bottom w:val="nil"/>
              <w:right w:val="single" w:sz="4" w:space="0" w:color="auto"/>
            </w:tcBorders>
            <w:shd w:val="clear" w:color="auto" w:fill="auto"/>
            <w:noWrap/>
            <w:vAlign w:val="center"/>
            <w:hideMark/>
          </w:tcPr>
          <w:p w14:paraId="3F6239AC"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364B4298"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612" w:type="dxa"/>
            <w:tcBorders>
              <w:top w:val="nil"/>
              <w:left w:val="nil"/>
              <w:bottom w:val="nil"/>
              <w:right w:val="single" w:sz="4" w:space="0" w:color="auto"/>
            </w:tcBorders>
            <w:shd w:val="clear" w:color="auto" w:fill="auto"/>
            <w:noWrap/>
            <w:vAlign w:val="center"/>
            <w:hideMark/>
          </w:tcPr>
          <w:p w14:paraId="00468329"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06" w:type="dxa"/>
            <w:tcBorders>
              <w:top w:val="nil"/>
              <w:left w:val="nil"/>
              <w:bottom w:val="nil"/>
              <w:right w:val="single" w:sz="4" w:space="0" w:color="auto"/>
            </w:tcBorders>
            <w:shd w:val="clear" w:color="auto" w:fill="auto"/>
            <w:noWrap/>
            <w:vAlign w:val="center"/>
            <w:hideMark/>
          </w:tcPr>
          <w:p w14:paraId="2C226961"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1040" w:type="dxa"/>
            <w:tcBorders>
              <w:top w:val="nil"/>
              <w:left w:val="nil"/>
              <w:bottom w:val="nil"/>
              <w:right w:val="single" w:sz="4" w:space="0" w:color="auto"/>
            </w:tcBorders>
            <w:shd w:val="clear" w:color="auto" w:fill="auto"/>
            <w:noWrap/>
            <w:vAlign w:val="center"/>
            <w:hideMark/>
          </w:tcPr>
          <w:p w14:paraId="3F316B88"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65F71898"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r>
      <w:tr w:rsidR="00B56A7B" w:rsidRPr="000C156A" w14:paraId="56B47920" w14:textId="77777777" w:rsidTr="00CC47BD">
        <w:trPr>
          <w:trHeight w:val="246"/>
          <w:jc w:val="center"/>
        </w:trPr>
        <w:tc>
          <w:tcPr>
            <w:tcW w:w="1980" w:type="dxa"/>
            <w:tcBorders>
              <w:top w:val="single" w:sz="4" w:space="0" w:color="auto"/>
              <w:left w:val="single" w:sz="4" w:space="0" w:color="auto"/>
              <w:bottom w:val="single" w:sz="4" w:space="0" w:color="auto"/>
              <w:right w:val="nil"/>
            </w:tcBorders>
            <w:shd w:val="clear" w:color="auto" w:fill="auto"/>
            <w:vAlign w:val="center"/>
            <w:hideMark/>
          </w:tcPr>
          <w:p w14:paraId="292C91BF"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本期盈余</w:t>
            </w:r>
            <w:r w:rsidRPr="000C156A">
              <w:rPr>
                <w:rFonts w:asciiTheme="minorHAnsi" w:hAnsiTheme="minorHAnsi" w:cs="Arial" w:hint="eastAsia"/>
                <w:b/>
                <w:bCs/>
                <w:color w:val="000000"/>
                <w:sz w:val="16"/>
                <w:szCs w:val="16"/>
                <w:lang w:val="en-US" w:eastAsia="zh-CN"/>
              </w:rPr>
              <w:t>/</w:t>
            </w:r>
            <w:r w:rsidRPr="000C156A">
              <w:rPr>
                <w:rFonts w:asciiTheme="minorHAnsi" w:hAnsiTheme="minorHAnsi" w:cs="Arial" w:hint="eastAsia"/>
                <w:b/>
                <w:bCs/>
                <w:color w:val="000000"/>
                <w:sz w:val="16"/>
                <w:szCs w:val="16"/>
                <w:lang w:val="en-US" w:eastAsia="zh-CN"/>
              </w:rPr>
              <w:t>（赤字）</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0125F" w14:textId="6C17B556"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-69</w:t>
            </w:r>
            <w:r w:rsidR="00EC26EC">
              <w:rPr>
                <w:rFonts w:cs="Calibri"/>
                <w:b/>
                <w:bCs/>
                <w:color w:val="000000"/>
                <w:sz w:val="16"/>
                <w:szCs w:val="16"/>
              </w:rPr>
              <w:t> </w:t>
            </w:r>
            <w:r>
              <w:rPr>
                <w:rFonts w:cs="Calibri"/>
                <w:b/>
                <w:bCs/>
                <w:color w:val="000000"/>
                <w:sz w:val="16"/>
                <w:szCs w:val="16"/>
              </w:rPr>
              <w:t>858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2D9304" w14:textId="311A2D5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9</w:t>
            </w:r>
            <w:r w:rsidR="00EC26EC">
              <w:rPr>
                <w:rFonts w:cs="Calibri"/>
                <w:b/>
                <w:bCs/>
                <w:color w:val="000000"/>
                <w:sz w:val="16"/>
                <w:szCs w:val="16"/>
              </w:rPr>
              <w:t> </w:t>
            </w:r>
            <w:r>
              <w:rPr>
                <w:rFonts w:cs="Calibri"/>
                <w:b/>
                <w:bCs/>
                <w:color w:val="000000"/>
                <w:sz w:val="16"/>
                <w:szCs w:val="16"/>
              </w:rPr>
              <w:t>798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6DC563" w14:textId="3E205D0B"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-4</w:t>
            </w:r>
            <w:r w:rsidR="00EC26EC">
              <w:rPr>
                <w:rFonts w:cs="Calibri"/>
                <w:b/>
                <w:bCs/>
                <w:color w:val="000000"/>
                <w:sz w:val="16"/>
                <w:szCs w:val="16"/>
              </w:rPr>
              <w:t> </w:t>
            </w:r>
            <w:r>
              <w:rPr>
                <w:rFonts w:cs="Calibri"/>
                <w:b/>
                <w:bCs/>
                <w:color w:val="000000"/>
                <w:sz w:val="16"/>
                <w:szCs w:val="16"/>
              </w:rPr>
              <w:t>103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3A4500" w14:textId="26DB5A3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-25</w:t>
            </w:r>
            <w:r w:rsidR="00EC26EC">
              <w:rPr>
                <w:rFonts w:cs="Calibri"/>
                <w:b/>
                <w:bCs/>
                <w:color w:val="000000"/>
                <w:sz w:val="16"/>
                <w:szCs w:val="16"/>
              </w:rPr>
              <w:t> </w:t>
            </w:r>
            <w:r>
              <w:rPr>
                <w:rFonts w:cs="Calibri"/>
                <w:b/>
                <w:bCs/>
                <w:color w:val="000000"/>
                <w:sz w:val="16"/>
                <w:szCs w:val="16"/>
              </w:rPr>
              <w:t>210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75E944" w14:textId="2B36629F"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74</w:t>
            </w:r>
            <w:r w:rsidR="00EC26EC">
              <w:rPr>
                <w:rFonts w:cs="Calibri"/>
                <w:b/>
                <w:bCs/>
                <w:color w:val="000000"/>
                <w:sz w:val="16"/>
                <w:szCs w:val="16"/>
              </w:rPr>
              <w:t> </w:t>
            </w:r>
            <w:r>
              <w:rPr>
                <w:rFonts w:cs="Calibri"/>
                <w:b/>
                <w:bCs/>
                <w:color w:val="000000"/>
                <w:sz w:val="16"/>
                <w:szCs w:val="16"/>
              </w:rPr>
              <w:t>469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582AE7E" w14:textId="17439DE2"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-14</w:t>
            </w:r>
            <w:r w:rsidR="00EC26EC">
              <w:rPr>
                <w:rFonts w:cs="Calibri"/>
                <w:b/>
                <w:bCs/>
                <w:color w:val="000000"/>
                <w:sz w:val="16"/>
                <w:szCs w:val="16"/>
              </w:rPr>
              <w:t> </w:t>
            </w:r>
            <w:r>
              <w:rPr>
                <w:rFonts w:cs="Calibri"/>
                <w:b/>
                <w:bCs/>
                <w:color w:val="000000"/>
                <w:sz w:val="16"/>
                <w:szCs w:val="16"/>
              </w:rPr>
              <w:t>905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6CFAFA"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CE5358A" w14:textId="39F14AA4"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w:t>
            </w:r>
            <w:r w:rsidR="00EC26EC">
              <w:rPr>
                <w:rFonts w:cs="Calibri"/>
                <w:b/>
                <w:bCs/>
                <w:color w:val="000000"/>
                <w:sz w:val="16"/>
                <w:szCs w:val="16"/>
              </w:rPr>
              <w:t> </w:t>
            </w:r>
            <w:r>
              <w:rPr>
                <w:rFonts w:cs="Calibri"/>
                <w:b/>
                <w:bCs/>
                <w:color w:val="000000"/>
                <w:sz w:val="16"/>
                <w:szCs w:val="16"/>
              </w:rPr>
              <w:t>322</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043DE8E"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124</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46BDA4F5"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16</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746E2DC2"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-566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DE6323"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-25</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0B8E12B4"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183</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647046D3" w14:textId="5C99DD52"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-2</w:t>
            </w:r>
            <w:r w:rsidR="00EC26EC">
              <w:rPr>
                <w:rFonts w:cs="Calibri"/>
                <w:b/>
                <w:bCs/>
                <w:color w:val="000000"/>
                <w:sz w:val="16"/>
                <w:szCs w:val="16"/>
              </w:rPr>
              <w:t> </w:t>
            </w:r>
            <w:r>
              <w:rPr>
                <w:rFonts w:cs="Calibri"/>
                <w:b/>
                <w:bCs/>
                <w:color w:val="000000"/>
                <w:sz w:val="16"/>
                <w:szCs w:val="16"/>
              </w:rPr>
              <w:t>003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4259F8C6"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10A9A1E5" w14:textId="5EFA27F3"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rPr>
              <w:t>-14</w:t>
            </w:r>
            <w:r w:rsidR="00EC26EC">
              <w:rPr>
                <w:rFonts w:cs="Calibri"/>
                <w:b/>
                <w:bCs/>
                <w:color w:val="000000"/>
                <w:sz w:val="16"/>
                <w:szCs w:val="16"/>
              </w:rPr>
              <w:t> </w:t>
            </w:r>
            <w:r>
              <w:rPr>
                <w:rFonts w:cs="Calibri"/>
                <w:b/>
                <w:bCs/>
                <w:color w:val="000000"/>
                <w:sz w:val="16"/>
                <w:szCs w:val="16"/>
              </w:rPr>
              <w:t>858</w:t>
            </w:r>
          </w:p>
        </w:tc>
      </w:tr>
    </w:tbl>
    <w:p w14:paraId="64979D89" w14:textId="77777777" w:rsidR="00B56A7B" w:rsidRPr="000C156A" w:rsidRDefault="00B56A7B" w:rsidP="00B56A7B">
      <w:pPr>
        <w:pStyle w:val="Headingb"/>
        <w:spacing w:before="0" w:after="120"/>
        <w:rPr>
          <w:rFonts w:cs="Microsoft YaHei"/>
          <w:lang w:val="fr-FR" w:eastAsia="zh-CN"/>
        </w:rPr>
      </w:pPr>
      <w:r w:rsidRPr="000C156A">
        <w:rPr>
          <w:rFonts w:cs="Microsoft YaHei"/>
          <w:lang w:val="fr-FR" w:eastAsia="zh-CN"/>
        </w:rPr>
        <w:br w:type="page"/>
      </w:r>
    </w:p>
    <w:p w14:paraId="2783739A" w14:textId="3660765F" w:rsidR="00B56A7B" w:rsidRPr="00E90987" w:rsidRDefault="00B56A7B" w:rsidP="00E90987">
      <w:pPr>
        <w:rPr>
          <w:b/>
          <w:bCs/>
          <w:lang w:val="fr-FR" w:eastAsia="zh-CN"/>
        </w:rPr>
      </w:pPr>
      <w:bookmarkStart w:id="1162" w:name="_Toc73518726"/>
      <w:bookmarkStart w:id="1163" w:name="_Toc73518873"/>
      <w:bookmarkStart w:id="1164" w:name="_Toc73519273"/>
      <w:bookmarkStart w:id="1165" w:name="_Toc73636312"/>
      <w:bookmarkStart w:id="1166" w:name="_Toc110264020"/>
      <w:bookmarkStart w:id="1167" w:name="_Toc110264099"/>
      <w:bookmarkStart w:id="1168" w:name="_Toc110265272"/>
      <w:r w:rsidRPr="00E90987">
        <w:rPr>
          <w:rFonts w:hint="eastAsia"/>
          <w:b/>
          <w:bCs/>
          <w:lang w:val="fr-FR" w:eastAsia="zh-CN"/>
        </w:rPr>
        <w:lastRenderedPageBreak/>
        <w:t>分部门报告</w:t>
      </w:r>
      <w:r w:rsidRPr="00E90987">
        <w:rPr>
          <w:rFonts w:hint="eastAsia"/>
          <w:b/>
          <w:bCs/>
          <w:lang w:val="fr-FR" w:eastAsia="zh-CN"/>
        </w:rPr>
        <w:t xml:space="preserve"> </w:t>
      </w:r>
      <w:r w:rsidRPr="00E90987">
        <w:rPr>
          <w:b/>
          <w:bCs/>
          <w:lang w:val="fr-FR" w:eastAsia="zh-CN"/>
        </w:rPr>
        <w:t>– 202</w:t>
      </w:r>
      <w:r w:rsidR="00E90987" w:rsidRPr="00E90987">
        <w:rPr>
          <w:b/>
          <w:bCs/>
          <w:lang w:val="fr-FR" w:eastAsia="zh-CN"/>
        </w:rPr>
        <w:t>0</w:t>
      </w:r>
      <w:r w:rsidRPr="00E90987">
        <w:rPr>
          <w:rFonts w:hint="eastAsia"/>
          <w:b/>
          <w:bCs/>
          <w:lang w:val="fr-FR" w:eastAsia="zh-CN"/>
        </w:rPr>
        <w:t>年财务业绩报表</w:t>
      </w:r>
      <w:bookmarkEnd w:id="1148"/>
      <w:bookmarkEnd w:id="1149"/>
      <w:bookmarkEnd w:id="1150"/>
      <w:bookmarkEnd w:id="1151"/>
      <w:bookmarkEnd w:id="1152"/>
      <w:bookmarkEnd w:id="1153"/>
      <w:bookmarkEnd w:id="1154"/>
      <w:bookmarkEnd w:id="1155"/>
      <w:bookmarkEnd w:id="1156"/>
      <w:bookmarkEnd w:id="1157"/>
      <w:bookmarkEnd w:id="1158"/>
      <w:bookmarkEnd w:id="1159"/>
      <w:bookmarkEnd w:id="1162"/>
      <w:bookmarkEnd w:id="1163"/>
      <w:bookmarkEnd w:id="1164"/>
      <w:bookmarkEnd w:id="1165"/>
      <w:bookmarkEnd w:id="1166"/>
      <w:bookmarkEnd w:id="1167"/>
      <w:bookmarkEnd w:id="1168"/>
    </w:p>
    <w:tbl>
      <w:tblPr>
        <w:tblW w:w="15871" w:type="dxa"/>
        <w:jc w:val="center"/>
        <w:tblLook w:val="04A0" w:firstRow="1" w:lastRow="0" w:firstColumn="1" w:lastColumn="0" w:noHBand="0" w:noVBand="1"/>
      </w:tblPr>
      <w:tblGrid>
        <w:gridCol w:w="1980"/>
        <w:gridCol w:w="992"/>
        <w:gridCol w:w="709"/>
        <w:gridCol w:w="992"/>
        <w:gridCol w:w="992"/>
        <w:gridCol w:w="1134"/>
        <w:gridCol w:w="993"/>
        <w:gridCol w:w="850"/>
        <w:gridCol w:w="851"/>
        <w:gridCol w:w="864"/>
        <w:gridCol w:w="875"/>
        <w:gridCol w:w="670"/>
        <w:gridCol w:w="709"/>
        <w:gridCol w:w="612"/>
        <w:gridCol w:w="806"/>
        <w:gridCol w:w="1040"/>
        <w:gridCol w:w="802"/>
      </w:tblGrid>
      <w:tr w:rsidR="00B56A7B" w:rsidRPr="000C156A" w14:paraId="72D5CD54" w14:textId="77777777" w:rsidTr="00CC47BD">
        <w:trPr>
          <w:trHeight w:val="675"/>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bookmarkEnd w:id="1160"/>
          <w:bookmarkEnd w:id="1161"/>
          <w:p w14:paraId="78F6A4D2"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单位</w:t>
            </w:r>
            <w:r w:rsidRPr="000C156A">
              <w:rPr>
                <w:rFonts w:asciiTheme="minorHAnsi" w:hAnsiTheme="minorHAnsi" w:cs="Arial"/>
                <w:b/>
                <w:bCs/>
                <w:color w:val="000000"/>
                <w:sz w:val="16"/>
                <w:szCs w:val="16"/>
                <w:lang w:val="en-US" w:eastAsia="zh-CN"/>
              </w:rPr>
              <w:t>：千瑞郎</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291E103D"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总秘</w:t>
            </w:r>
            <w:r w:rsidRPr="000C156A">
              <w:rPr>
                <w:b/>
                <w:noProof/>
                <w:sz w:val="16"/>
                <w:szCs w:val="16"/>
                <w:lang w:val="en-US" w:eastAsia="zh-CN"/>
              </w:rPr>
              <w:br/>
            </w:r>
            <w:r w:rsidRPr="000C156A">
              <w:rPr>
                <w:rFonts w:hint="eastAsia"/>
                <w:b/>
                <w:noProof/>
                <w:sz w:val="16"/>
                <w:szCs w:val="16"/>
                <w:lang w:val="en-US"/>
              </w:rPr>
              <w:t>书处</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0161C90F"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无线电通信</w:t>
            </w:r>
            <w:r w:rsidRPr="000C156A">
              <w:rPr>
                <w:b/>
                <w:noProof/>
                <w:sz w:val="16"/>
                <w:szCs w:val="16"/>
                <w:lang w:val="en-US" w:eastAsia="zh-CN"/>
              </w:rPr>
              <w:br/>
            </w:r>
            <w:r w:rsidRPr="000C156A">
              <w:rPr>
                <w:rFonts w:hint="eastAsia"/>
                <w:b/>
                <w:noProof/>
                <w:sz w:val="16"/>
                <w:szCs w:val="16"/>
                <w:lang w:val="en-US"/>
              </w:rPr>
              <w:t>部门</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1F6AF036"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电信标准化部门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FE17"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rPr>
              <w:t>电信发展部门</w:t>
            </w:r>
          </w:p>
        </w:tc>
        <w:tc>
          <w:tcPr>
            <w:tcW w:w="1134" w:type="dxa"/>
            <w:tcBorders>
              <w:top w:val="single" w:sz="4" w:space="0" w:color="auto"/>
              <w:left w:val="nil"/>
              <w:bottom w:val="single" w:sz="4" w:space="0" w:color="auto"/>
              <w:right w:val="nil"/>
            </w:tcBorders>
            <w:shd w:val="clear" w:color="auto" w:fill="auto"/>
            <w:vAlign w:val="center"/>
            <w:hideMark/>
          </w:tcPr>
          <w:p w14:paraId="36599FB8"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zh-CN"/>
              </w:rPr>
            </w:pPr>
            <w:r w:rsidRPr="000C156A">
              <w:rPr>
                <w:rFonts w:hint="eastAsia"/>
                <w:b/>
                <w:noProof/>
                <w:sz w:val="16"/>
                <w:szCs w:val="16"/>
                <w:lang w:val="en-US" w:eastAsia="zh-CN"/>
              </w:rPr>
              <w:t>不归属任何一个分部门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13275"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b/>
                <w:noProof/>
                <w:sz w:val="16"/>
                <w:szCs w:val="16"/>
                <w:lang w:val="en-US" w:eastAsia="zh-CN"/>
              </w:rPr>
              <w:t>1000+1010</w:t>
            </w:r>
            <w:r w:rsidRPr="000C156A">
              <w:rPr>
                <w:rFonts w:hint="eastAsia"/>
                <w:b/>
                <w:noProof/>
                <w:sz w:val="16"/>
                <w:szCs w:val="16"/>
                <w:lang w:val="en-US" w:eastAsia="zh-CN"/>
              </w:rPr>
              <w:t>资金合计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097975"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新办公楼</w:t>
            </w:r>
            <w:r w:rsidRPr="000C156A">
              <w:rPr>
                <w:rFonts w:asciiTheme="minorHAnsi" w:hAnsiTheme="minorHAnsi" w:cs="Arial"/>
                <w:b/>
                <w:bCs/>
                <w:color w:val="000000"/>
                <w:sz w:val="16"/>
                <w:szCs w:val="16"/>
                <w:lang w:val="en-US" w:eastAsia="zh-CN"/>
              </w:rPr>
              <w:t>基金</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857E3C"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cs="Arial" w:hint="eastAsia"/>
                <w:b/>
                <w:bCs/>
                <w:color w:val="000000"/>
                <w:sz w:val="16"/>
                <w:szCs w:val="16"/>
                <w:lang w:val="en-US" w:eastAsia="zh-CN"/>
              </w:rPr>
              <w:t>新办公楼储备金</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034879AD"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保险</w:t>
            </w:r>
            <w:r w:rsidRPr="000C156A">
              <w:rPr>
                <w:b/>
                <w:noProof/>
                <w:sz w:val="16"/>
                <w:szCs w:val="16"/>
                <w:lang w:val="en-US" w:eastAsia="zh-CN"/>
              </w:rPr>
              <w:br/>
            </w:r>
            <w:r w:rsidRPr="000C156A">
              <w:rPr>
                <w:rFonts w:hint="eastAsia"/>
                <w:b/>
                <w:noProof/>
                <w:sz w:val="16"/>
                <w:szCs w:val="16"/>
                <w:lang w:val="en-US" w:eastAsia="zh-CN"/>
              </w:rPr>
              <w:t>资金</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E7085F7"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自愿</w:t>
            </w:r>
            <w:r w:rsidRPr="000C156A">
              <w:rPr>
                <w:b/>
                <w:noProof/>
                <w:sz w:val="16"/>
                <w:szCs w:val="16"/>
                <w:lang w:val="en-US" w:eastAsia="zh-CN"/>
              </w:rPr>
              <w:br/>
            </w:r>
            <w:r w:rsidRPr="000C156A">
              <w:rPr>
                <w:rFonts w:hint="eastAsia"/>
                <w:b/>
                <w:noProof/>
                <w:sz w:val="16"/>
                <w:szCs w:val="16"/>
                <w:lang w:val="en-US" w:eastAsia="zh-CN"/>
              </w:rPr>
              <w:t>捐款</w:t>
            </w:r>
          </w:p>
        </w:tc>
        <w:tc>
          <w:tcPr>
            <w:tcW w:w="670" w:type="dxa"/>
            <w:tcBorders>
              <w:top w:val="single" w:sz="4" w:space="0" w:color="auto"/>
              <w:left w:val="nil"/>
              <w:bottom w:val="single" w:sz="4" w:space="0" w:color="auto"/>
              <w:right w:val="single" w:sz="4" w:space="0" w:color="auto"/>
            </w:tcBorders>
            <w:shd w:val="clear" w:color="auto" w:fill="auto"/>
            <w:vAlign w:val="center"/>
            <w:hideMark/>
          </w:tcPr>
          <w:p w14:paraId="0DD01D57"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asciiTheme="minorHAnsi" w:hAnsiTheme="minorHAnsi" w:cs="Arial"/>
                <w:b/>
                <w:bCs/>
                <w:color w:val="000000"/>
                <w:sz w:val="16"/>
                <w:szCs w:val="16"/>
                <w:lang w:val="en-US" w:eastAsia="zh-CN"/>
              </w:rPr>
              <w:t>FIT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025D76"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b/>
                <w:noProof/>
                <w:sz w:val="16"/>
                <w:szCs w:val="16"/>
                <w:lang w:val="en-US" w:eastAsia="zh-CN"/>
              </w:rPr>
              <w:t>ICT</w:t>
            </w:r>
            <w:r w:rsidRPr="000C156A">
              <w:rPr>
                <w:b/>
                <w:noProof/>
                <w:sz w:val="16"/>
                <w:szCs w:val="16"/>
                <w:lang w:val="en-US" w:eastAsia="zh-CN"/>
              </w:rPr>
              <w:br/>
            </w:r>
            <w:r w:rsidRPr="000C156A">
              <w:rPr>
                <w:rFonts w:hint="eastAsia"/>
                <w:b/>
                <w:noProof/>
                <w:sz w:val="16"/>
                <w:szCs w:val="16"/>
                <w:lang w:val="en-US" w:eastAsia="zh-CN"/>
              </w:rPr>
              <w:t>发展</w:t>
            </w:r>
            <w:r w:rsidRPr="000C156A">
              <w:rPr>
                <w:b/>
                <w:noProof/>
                <w:sz w:val="16"/>
                <w:szCs w:val="16"/>
                <w:lang w:val="en-US" w:eastAsia="zh-CN"/>
              </w:rPr>
              <w:br/>
            </w:r>
            <w:r w:rsidRPr="000C156A">
              <w:rPr>
                <w:rFonts w:hint="eastAsia"/>
                <w:b/>
                <w:noProof/>
                <w:sz w:val="16"/>
                <w:szCs w:val="16"/>
                <w:lang w:val="en-US" w:eastAsia="zh-CN"/>
              </w:rPr>
              <w:t>基金</w:t>
            </w:r>
          </w:p>
        </w:tc>
        <w:tc>
          <w:tcPr>
            <w:tcW w:w="612" w:type="dxa"/>
            <w:tcBorders>
              <w:top w:val="single" w:sz="4" w:space="0" w:color="auto"/>
              <w:left w:val="nil"/>
              <w:bottom w:val="single" w:sz="4" w:space="0" w:color="auto"/>
              <w:right w:val="single" w:sz="4" w:space="0" w:color="auto"/>
            </w:tcBorders>
            <w:shd w:val="clear" w:color="auto" w:fill="auto"/>
            <w:vAlign w:val="center"/>
            <w:hideMark/>
          </w:tcPr>
          <w:p w14:paraId="69C83CF3"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b/>
                <w:noProof/>
                <w:sz w:val="16"/>
                <w:szCs w:val="16"/>
                <w:lang w:val="en-US" w:eastAsia="zh-CN"/>
              </w:rPr>
              <w:t>UNDP</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41D72240"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电信展</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549C145" w14:textId="77777777" w:rsidR="00B56A7B" w:rsidRPr="000C156A" w:rsidRDefault="00B56A7B" w:rsidP="00CC47BD">
            <w:pPr>
              <w:overflowPunct/>
              <w:autoSpaceDE/>
              <w:autoSpaceDN/>
              <w:adjustRightInd/>
              <w:spacing w:before="0"/>
              <w:jc w:val="center"/>
              <w:textAlignment w:val="auto"/>
              <w:rPr>
                <w:rFonts w:eastAsia="Times New Roman" w:cs="Calibri"/>
                <w:b/>
                <w:bCs/>
                <w:sz w:val="16"/>
                <w:szCs w:val="16"/>
                <w:lang w:eastAsia="en-GB"/>
              </w:rPr>
            </w:pPr>
            <w:r w:rsidRPr="000C156A">
              <w:rPr>
                <w:rFonts w:hint="eastAsia"/>
                <w:b/>
                <w:noProof/>
                <w:sz w:val="16"/>
                <w:szCs w:val="16"/>
                <w:lang w:val="en-US" w:eastAsia="zh-CN"/>
              </w:rPr>
              <w:t>部门间</w:t>
            </w:r>
            <w:r w:rsidRPr="000C156A">
              <w:rPr>
                <w:b/>
                <w:noProof/>
                <w:sz w:val="16"/>
                <w:szCs w:val="16"/>
                <w:lang w:val="en-US" w:eastAsia="zh-CN"/>
              </w:rPr>
              <w:br/>
            </w:r>
            <w:r w:rsidRPr="000C156A">
              <w:rPr>
                <w:rFonts w:hint="eastAsia"/>
                <w:b/>
                <w:noProof/>
                <w:sz w:val="16"/>
                <w:szCs w:val="16"/>
                <w:lang w:val="en-US" w:eastAsia="zh-CN"/>
              </w:rPr>
              <w:t>冲销</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298873F8" w14:textId="77777777" w:rsidR="00B56A7B" w:rsidRPr="000C156A" w:rsidRDefault="00B56A7B" w:rsidP="00CC47BD">
            <w:pPr>
              <w:overflowPunct/>
              <w:autoSpaceDE/>
              <w:autoSpaceDN/>
              <w:adjustRightInd/>
              <w:spacing w:before="0"/>
              <w:jc w:val="center"/>
              <w:textAlignment w:val="auto"/>
              <w:rPr>
                <w:rFonts w:eastAsia="Times New Roman" w:cs="Calibri"/>
                <w:b/>
                <w:bCs/>
                <w:color w:val="000000"/>
                <w:sz w:val="16"/>
                <w:szCs w:val="16"/>
                <w:lang w:eastAsia="en-GB"/>
              </w:rPr>
            </w:pPr>
            <w:r w:rsidRPr="000C156A">
              <w:rPr>
                <w:rFonts w:hint="eastAsia"/>
                <w:b/>
                <w:noProof/>
                <w:sz w:val="16"/>
                <w:szCs w:val="16"/>
                <w:lang w:val="en-US" w:eastAsia="zh-CN"/>
              </w:rPr>
              <w:t>合计</w:t>
            </w:r>
          </w:p>
        </w:tc>
      </w:tr>
      <w:tr w:rsidR="00B56A7B" w:rsidRPr="000C156A" w14:paraId="76DA7B7E"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0F33005C"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ascii="SimSun" w:hAnsi="SimSun" w:cs="SimSun" w:hint="eastAsia"/>
                <w:b/>
                <w:bCs/>
                <w:color w:val="000000"/>
                <w:sz w:val="16"/>
                <w:szCs w:val="16"/>
                <w:lang w:eastAsia="zh-CN"/>
              </w:rPr>
              <w:t>收入</w:t>
            </w:r>
          </w:p>
        </w:tc>
        <w:tc>
          <w:tcPr>
            <w:tcW w:w="992" w:type="dxa"/>
            <w:tcBorders>
              <w:top w:val="nil"/>
              <w:left w:val="single" w:sz="4" w:space="0" w:color="auto"/>
              <w:bottom w:val="nil"/>
              <w:right w:val="single" w:sz="4" w:space="0" w:color="auto"/>
            </w:tcBorders>
            <w:shd w:val="clear" w:color="auto" w:fill="auto"/>
            <w:noWrap/>
            <w:vAlign w:val="bottom"/>
            <w:hideMark/>
          </w:tcPr>
          <w:p w14:paraId="32A1922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7B71B07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538CE468"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5F2355C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1134" w:type="dxa"/>
            <w:tcBorders>
              <w:top w:val="nil"/>
              <w:left w:val="nil"/>
              <w:bottom w:val="nil"/>
              <w:right w:val="nil"/>
            </w:tcBorders>
            <w:shd w:val="clear" w:color="auto" w:fill="auto"/>
            <w:noWrap/>
            <w:vAlign w:val="bottom"/>
            <w:hideMark/>
          </w:tcPr>
          <w:p w14:paraId="699D9D2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5EA22141"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0CE296C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6BBF13CD"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1C679291"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4C6E782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450441D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4F5EAE7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7E590C5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393C178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515FD52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648253E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r>
      <w:tr w:rsidR="00B56A7B" w:rsidRPr="000C156A" w14:paraId="26691D40"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36C08D28"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13F3FF1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128DDAB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670D6624"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081458F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1134" w:type="dxa"/>
            <w:tcBorders>
              <w:top w:val="nil"/>
              <w:left w:val="nil"/>
              <w:bottom w:val="nil"/>
              <w:right w:val="nil"/>
            </w:tcBorders>
            <w:shd w:val="clear" w:color="auto" w:fill="auto"/>
            <w:noWrap/>
            <w:vAlign w:val="bottom"/>
            <w:hideMark/>
          </w:tcPr>
          <w:p w14:paraId="0FA6703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7F2C08C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5759C4D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29E11A0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3BB0B25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04B7BDF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17FF128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2F75C90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54AE46D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3CE1A25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371EC35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3237EC18"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r>
      <w:tr w:rsidR="00B56A7B" w:rsidRPr="000C156A" w14:paraId="419D3D44" w14:textId="77777777" w:rsidTr="00CC47BD">
        <w:trPr>
          <w:trHeight w:val="255"/>
          <w:jc w:val="center"/>
        </w:trPr>
        <w:tc>
          <w:tcPr>
            <w:tcW w:w="1980" w:type="dxa"/>
            <w:tcBorders>
              <w:top w:val="nil"/>
              <w:left w:val="single" w:sz="4" w:space="0" w:color="auto"/>
              <w:bottom w:val="nil"/>
              <w:right w:val="nil"/>
            </w:tcBorders>
            <w:shd w:val="clear" w:color="auto" w:fill="FFFFFF" w:themeFill="background1"/>
            <w:vAlign w:val="center"/>
            <w:hideMark/>
          </w:tcPr>
          <w:p w14:paraId="2993F37F"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asciiTheme="minorHAnsi" w:hAnsiTheme="minorHAnsi" w:cs="Arial" w:hint="eastAsia"/>
                <w:color w:val="000000"/>
                <w:sz w:val="16"/>
                <w:szCs w:val="16"/>
                <w:lang w:val="en-US" w:eastAsia="zh-CN"/>
              </w:rPr>
              <w:t>分摊会费</w:t>
            </w:r>
          </w:p>
        </w:tc>
        <w:tc>
          <w:tcPr>
            <w:tcW w:w="992" w:type="dxa"/>
            <w:tcBorders>
              <w:top w:val="nil"/>
              <w:left w:val="single" w:sz="4" w:space="0" w:color="auto"/>
              <w:bottom w:val="nil"/>
              <w:right w:val="single" w:sz="4" w:space="0" w:color="auto"/>
            </w:tcBorders>
            <w:shd w:val="clear" w:color="auto" w:fill="auto"/>
            <w:noWrap/>
            <w:vAlign w:val="bottom"/>
            <w:hideMark/>
          </w:tcPr>
          <w:p w14:paraId="2BF12169"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709" w:type="dxa"/>
            <w:tcBorders>
              <w:top w:val="nil"/>
              <w:left w:val="nil"/>
              <w:bottom w:val="nil"/>
              <w:right w:val="single" w:sz="4" w:space="0" w:color="auto"/>
            </w:tcBorders>
            <w:shd w:val="clear" w:color="auto" w:fill="auto"/>
            <w:noWrap/>
            <w:vAlign w:val="bottom"/>
            <w:hideMark/>
          </w:tcPr>
          <w:p w14:paraId="5C9B7D8D" w14:textId="2B0B2C7B"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6</w:t>
            </w:r>
            <w:r w:rsidR="00EC26EC">
              <w:rPr>
                <w:rFonts w:cs="Calibri"/>
                <w:sz w:val="16"/>
                <w:szCs w:val="16"/>
                <w:lang w:eastAsia="en-GB"/>
              </w:rPr>
              <w:t> </w:t>
            </w:r>
            <w:r w:rsidRPr="008124C5">
              <w:rPr>
                <w:rFonts w:cs="Calibri"/>
                <w:sz w:val="16"/>
                <w:szCs w:val="16"/>
                <w:lang w:eastAsia="en-GB"/>
              </w:rPr>
              <w:t>544</w:t>
            </w:r>
          </w:p>
        </w:tc>
        <w:tc>
          <w:tcPr>
            <w:tcW w:w="992" w:type="dxa"/>
            <w:tcBorders>
              <w:top w:val="nil"/>
              <w:left w:val="nil"/>
              <w:bottom w:val="nil"/>
              <w:right w:val="single" w:sz="4" w:space="0" w:color="auto"/>
            </w:tcBorders>
            <w:shd w:val="clear" w:color="auto" w:fill="auto"/>
            <w:noWrap/>
            <w:vAlign w:val="bottom"/>
            <w:hideMark/>
          </w:tcPr>
          <w:p w14:paraId="542C8434" w14:textId="74FD4D90"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8</w:t>
            </w:r>
            <w:r w:rsidR="00EC26EC">
              <w:rPr>
                <w:rFonts w:cs="Calibri"/>
                <w:sz w:val="16"/>
                <w:szCs w:val="16"/>
                <w:lang w:eastAsia="en-GB"/>
              </w:rPr>
              <w:t> </w:t>
            </w:r>
            <w:r w:rsidRPr="008124C5">
              <w:rPr>
                <w:rFonts w:cs="Calibri"/>
                <w:sz w:val="16"/>
                <w:szCs w:val="16"/>
                <w:lang w:eastAsia="en-GB"/>
              </w:rPr>
              <w:t>099</w:t>
            </w:r>
          </w:p>
        </w:tc>
        <w:tc>
          <w:tcPr>
            <w:tcW w:w="992" w:type="dxa"/>
            <w:tcBorders>
              <w:top w:val="nil"/>
              <w:left w:val="nil"/>
              <w:bottom w:val="nil"/>
              <w:right w:val="single" w:sz="4" w:space="0" w:color="auto"/>
            </w:tcBorders>
            <w:shd w:val="clear" w:color="auto" w:fill="auto"/>
            <w:noWrap/>
            <w:vAlign w:val="bottom"/>
            <w:hideMark/>
          </w:tcPr>
          <w:p w14:paraId="4AD8B401" w14:textId="65AB31FF"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1</w:t>
            </w:r>
            <w:r w:rsidR="00EC26EC">
              <w:rPr>
                <w:rFonts w:cs="Calibri"/>
                <w:sz w:val="16"/>
                <w:szCs w:val="16"/>
                <w:lang w:eastAsia="en-GB"/>
              </w:rPr>
              <w:t> </w:t>
            </w:r>
            <w:r w:rsidRPr="008124C5">
              <w:rPr>
                <w:rFonts w:cs="Calibri"/>
                <w:sz w:val="16"/>
                <w:szCs w:val="16"/>
                <w:lang w:eastAsia="en-GB"/>
              </w:rPr>
              <w:t>407</w:t>
            </w:r>
          </w:p>
        </w:tc>
        <w:tc>
          <w:tcPr>
            <w:tcW w:w="1134" w:type="dxa"/>
            <w:tcBorders>
              <w:top w:val="nil"/>
              <w:left w:val="nil"/>
              <w:bottom w:val="nil"/>
              <w:right w:val="nil"/>
            </w:tcBorders>
            <w:shd w:val="clear" w:color="auto" w:fill="auto"/>
            <w:noWrap/>
            <w:vAlign w:val="bottom"/>
            <w:hideMark/>
          </w:tcPr>
          <w:p w14:paraId="767E6087" w14:textId="5796B800"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109</w:t>
            </w:r>
            <w:r w:rsidR="00EC26EC">
              <w:rPr>
                <w:rFonts w:cs="Calibri"/>
                <w:sz w:val="16"/>
                <w:szCs w:val="16"/>
                <w:lang w:eastAsia="en-GB"/>
              </w:rPr>
              <w:t> </w:t>
            </w:r>
            <w:r w:rsidRPr="008124C5">
              <w:rPr>
                <w:rFonts w:cs="Calibri"/>
                <w:sz w:val="16"/>
                <w:szCs w:val="16"/>
                <w:lang w:eastAsia="en-GB"/>
              </w:rPr>
              <w:t>691</w:t>
            </w:r>
          </w:p>
        </w:tc>
        <w:tc>
          <w:tcPr>
            <w:tcW w:w="993" w:type="dxa"/>
            <w:tcBorders>
              <w:top w:val="nil"/>
              <w:left w:val="single" w:sz="4" w:space="0" w:color="auto"/>
              <w:bottom w:val="nil"/>
              <w:right w:val="single" w:sz="4" w:space="0" w:color="auto"/>
            </w:tcBorders>
            <w:shd w:val="clear" w:color="auto" w:fill="auto"/>
            <w:noWrap/>
            <w:vAlign w:val="bottom"/>
            <w:hideMark/>
          </w:tcPr>
          <w:p w14:paraId="694A16E6" w14:textId="296D601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25</w:t>
            </w:r>
            <w:r w:rsidR="00EC26EC">
              <w:rPr>
                <w:rFonts w:cs="Calibri"/>
                <w:b/>
                <w:bCs/>
                <w:sz w:val="16"/>
                <w:szCs w:val="16"/>
                <w:lang w:eastAsia="en-GB"/>
              </w:rPr>
              <w:t> </w:t>
            </w:r>
            <w:r w:rsidRPr="008124C5">
              <w:rPr>
                <w:rFonts w:cs="Calibri"/>
                <w:b/>
                <w:bCs/>
                <w:sz w:val="16"/>
                <w:szCs w:val="16"/>
                <w:lang w:eastAsia="en-GB"/>
              </w:rPr>
              <w:t>741</w:t>
            </w:r>
          </w:p>
        </w:tc>
        <w:tc>
          <w:tcPr>
            <w:tcW w:w="850" w:type="dxa"/>
            <w:tcBorders>
              <w:top w:val="nil"/>
              <w:left w:val="nil"/>
              <w:bottom w:val="nil"/>
              <w:right w:val="single" w:sz="4" w:space="0" w:color="auto"/>
            </w:tcBorders>
            <w:shd w:val="clear" w:color="auto" w:fill="auto"/>
            <w:noWrap/>
            <w:vAlign w:val="bottom"/>
            <w:hideMark/>
          </w:tcPr>
          <w:p w14:paraId="5A5D592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4A31568D"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61D239F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75" w:type="dxa"/>
            <w:tcBorders>
              <w:top w:val="nil"/>
              <w:left w:val="nil"/>
              <w:bottom w:val="nil"/>
              <w:right w:val="nil"/>
            </w:tcBorders>
            <w:shd w:val="clear" w:color="auto" w:fill="auto"/>
            <w:noWrap/>
            <w:vAlign w:val="bottom"/>
            <w:hideMark/>
          </w:tcPr>
          <w:p w14:paraId="59066AE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single" w:sz="4" w:space="0" w:color="auto"/>
              <w:bottom w:val="nil"/>
              <w:right w:val="nil"/>
            </w:tcBorders>
            <w:shd w:val="clear" w:color="auto" w:fill="auto"/>
            <w:noWrap/>
            <w:vAlign w:val="bottom"/>
            <w:hideMark/>
          </w:tcPr>
          <w:p w14:paraId="6641211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single" w:sz="4" w:space="0" w:color="auto"/>
              <w:bottom w:val="nil"/>
              <w:right w:val="nil"/>
            </w:tcBorders>
            <w:shd w:val="clear" w:color="auto" w:fill="auto"/>
            <w:noWrap/>
            <w:vAlign w:val="bottom"/>
            <w:hideMark/>
          </w:tcPr>
          <w:p w14:paraId="6BA09B5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single" w:sz="4" w:space="0" w:color="auto"/>
              <w:bottom w:val="nil"/>
              <w:right w:val="single" w:sz="4" w:space="0" w:color="auto"/>
            </w:tcBorders>
            <w:shd w:val="clear" w:color="auto" w:fill="auto"/>
            <w:noWrap/>
            <w:vAlign w:val="bottom"/>
            <w:hideMark/>
          </w:tcPr>
          <w:p w14:paraId="0B746D3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0C8DABC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nil"/>
            </w:tcBorders>
            <w:shd w:val="clear" w:color="auto" w:fill="auto"/>
            <w:noWrap/>
            <w:vAlign w:val="bottom"/>
            <w:hideMark/>
          </w:tcPr>
          <w:p w14:paraId="32037C8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single" w:sz="4" w:space="0" w:color="auto"/>
              <w:bottom w:val="nil"/>
              <w:right w:val="single" w:sz="4" w:space="0" w:color="auto"/>
            </w:tcBorders>
            <w:shd w:val="clear" w:color="auto" w:fill="auto"/>
            <w:noWrap/>
            <w:vAlign w:val="bottom"/>
            <w:hideMark/>
          </w:tcPr>
          <w:p w14:paraId="4ACD50B0" w14:textId="40701E33"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lang w:eastAsia="en-GB"/>
              </w:rPr>
              <w:t>1</w:t>
            </w:r>
            <w:r w:rsidRPr="008124C5">
              <w:rPr>
                <w:rFonts w:cs="Calibri"/>
                <w:b/>
                <w:bCs/>
                <w:sz w:val="16"/>
                <w:szCs w:val="16"/>
                <w:lang w:eastAsia="en-GB"/>
              </w:rPr>
              <w:t>25</w:t>
            </w:r>
            <w:r w:rsidR="00EC26EC">
              <w:rPr>
                <w:rFonts w:cs="Calibri"/>
                <w:b/>
                <w:bCs/>
                <w:sz w:val="16"/>
                <w:szCs w:val="16"/>
                <w:lang w:eastAsia="en-GB"/>
              </w:rPr>
              <w:t> </w:t>
            </w:r>
            <w:r w:rsidRPr="008124C5">
              <w:rPr>
                <w:rFonts w:cs="Calibri"/>
                <w:b/>
                <w:bCs/>
                <w:sz w:val="16"/>
                <w:szCs w:val="16"/>
                <w:lang w:eastAsia="en-GB"/>
              </w:rPr>
              <w:t>741</w:t>
            </w:r>
          </w:p>
        </w:tc>
      </w:tr>
      <w:tr w:rsidR="00B56A7B" w:rsidRPr="000C156A" w14:paraId="7BA581FF"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48441E90"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noProof/>
                <w:sz w:val="16"/>
                <w:szCs w:val="16"/>
                <w:lang w:val="en-US" w:eastAsia="zh-CN"/>
              </w:rPr>
              <w:t>自愿捐</w:t>
            </w:r>
            <w:r w:rsidRPr="000C156A">
              <w:rPr>
                <w:rFonts w:hint="eastAsia"/>
                <w:noProof/>
                <w:sz w:val="16"/>
                <w:szCs w:val="16"/>
                <w:lang w:val="en-US" w:eastAsia="zh-CN"/>
              </w:rPr>
              <w:t>款</w:t>
            </w:r>
          </w:p>
        </w:tc>
        <w:tc>
          <w:tcPr>
            <w:tcW w:w="992" w:type="dxa"/>
            <w:tcBorders>
              <w:top w:val="nil"/>
              <w:left w:val="single" w:sz="4" w:space="0" w:color="auto"/>
              <w:bottom w:val="nil"/>
              <w:right w:val="single" w:sz="4" w:space="0" w:color="auto"/>
            </w:tcBorders>
            <w:shd w:val="clear" w:color="auto" w:fill="auto"/>
            <w:noWrap/>
            <w:vAlign w:val="bottom"/>
            <w:hideMark/>
          </w:tcPr>
          <w:p w14:paraId="7855516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709" w:type="dxa"/>
            <w:tcBorders>
              <w:top w:val="nil"/>
              <w:left w:val="nil"/>
              <w:bottom w:val="nil"/>
              <w:right w:val="single" w:sz="4" w:space="0" w:color="auto"/>
            </w:tcBorders>
            <w:shd w:val="clear" w:color="auto" w:fill="auto"/>
            <w:noWrap/>
            <w:vAlign w:val="bottom"/>
            <w:hideMark/>
          </w:tcPr>
          <w:p w14:paraId="7C1FD29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992" w:type="dxa"/>
            <w:tcBorders>
              <w:top w:val="nil"/>
              <w:left w:val="nil"/>
              <w:bottom w:val="nil"/>
              <w:right w:val="single" w:sz="4" w:space="0" w:color="auto"/>
            </w:tcBorders>
            <w:shd w:val="clear" w:color="auto" w:fill="auto"/>
            <w:noWrap/>
            <w:vAlign w:val="bottom"/>
            <w:hideMark/>
          </w:tcPr>
          <w:p w14:paraId="6BE01C9D"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992" w:type="dxa"/>
            <w:tcBorders>
              <w:top w:val="nil"/>
              <w:left w:val="nil"/>
              <w:bottom w:val="nil"/>
              <w:right w:val="single" w:sz="4" w:space="0" w:color="auto"/>
            </w:tcBorders>
            <w:shd w:val="clear" w:color="auto" w:fill="auto"/>
            <w:noWrap/>
            <w:vAlign w:val="bottom"/>
            <w:hideMark/>
          </w:tcPr>
          <w:p w14:paraId="0FB6A0C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1134" w:type="dxa"/>
            <w:tcBorders>
              <w:top w:val="nil"/>
              <w:left w:val="nil"/>
              <w:bottom w:val="nil"/>
              <w:right w:val="nil"/>
            </w:tcBorders>
            <w:shd w:val="clear" w:color="auto" w:fill="auto"/>
            <w:noWrap/>
            <w:vAlign w:val="bottom"/>
            <w:hideMark/>
          </w:tcPr>
          <w:p w14:paraId="6C43DCB8"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993" w:type="dxa"/>
            <w:tcBorders>
              <w:top w:val="nil"/>
              <w:left w:val="single" w:sz="4" w:space="0" w:color="auto"/>
              <w:bottom w:val="nil"/>
              <w:right w:val="single" w:sz="4" w:space="0" w:color="auto"/>
            </w:tcBorders>
            <w:shd w:val="clear" w:color="auto" w:fill="auto"/>
            <w:noWrap/>
            <w:vAlign w:val="bottom"/>
            <w:hideMark/>
          </w:tcPr>
          <w:p w14:paraId="02776F8A"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w:t>
            </w:r>
          </w:p>
        </w:tc>
        <w:tc>
          <w:tcPr>
            <w:tcW w:w="850" w:type="dxa"/>
            <w:tcBorders>
              <w:top w:val="nil"/>
              <w:left w:val="nil"/>
              <w:bottom w:val="nil"/>
              <w:right w:val="single" w:sz="4" w:space="0" w:color="auto"/>
            </w:tcBorders>
            <w:shd w:val="clear" w:color="auto" w:fill="auto"/>
            <w:noWrap/>
            <w:vAlign w:val="bottom"/>
            <w:hideMark/>
          </w:tcPr>
          <w:p w14:paraId="3AFEBBCD"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597789E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59F353DD"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75" w:type="dxa"/>
            <w:tcBorders>
              <w:top w:val="nil"/>
              <w:left w:val="nil"/>
              <w:bottom w:val="nil"/>
              <w:right w:val="single" w:sz="4" w:space="0" w:color="auto"/>
            </w:tcBorders>
            <w:shd w:val="clear" w:color="auto" w:fill="auto"/>
            <w:noWrap/>
            <w:vAlign w:val="bottom"/>
            <w:hideMark/>
          </w:tcPr>
          <w:p w14:paraId="66E52E68" w14:textId="3DD2ABC9"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3</w:t>
            </w:r>
            <w:r w:rsidR="00EC26EC">
              <w:rPr>
                <w:rFonts w:cs="Calibri"/>
                <w:color w:val="000000"/>
                <w:sz w:val="16"/>
                <w:szCs w:val="16"/>
                <w:lang w:eastAsia="en-GB"/>
              </w:rPr>
              <w:t> </w:t>
            </w:r>
            <w:r w:rsidRPr="008124C5">
              <w:rPr>
                <w:rFonts w:cs="Calibri"/>
                <w:color w:val="000000"/>
                <w:sz w:val="16"/>
                <w:szCs w:val="16"/>
                <w:lang w:eastAsia="en-GB"/>
              </w:rPr>
              <w:t>002</w:t>
            </w:r>
          </w:p>
        </w:tc>
        <w:tc>
          <w:tcPr>
            <w:tcW w:w="670" w:type="dxa"/>
            <w:tcBorders>
              <w:top w:val="nil"/>
              <w:left w:val="nil"/>
              <w:bottom w:val="nil"/>
              <w:right w:val="single" w:sz="4" w:space="0" w:color="auto"/>
            </w:tcBorders>
            <w:shd w:val="clear" w:color="auto" w:fill="auto"/>
            <w:noWrap/>
            <w:vAlign w:val="bottom"/>
            <w:hideMark/>
          </w:tcPr>
          <w:p w14:paraId="013245EB" w14:textId="00587A95"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5</w:t>
            </w:r>
            <w:r w:rsidR="00EC26EC">
              <w:rPr>
                <w:rFonts w:cs="Calibri"/>
                <w:color w:val="000000"/>
                <w:sz w:val="16"/>
                <w:szCs w:val="16"/>
                <w:lang w:eastAsia="en-GB"/>
              </w:rPr>
              <w:t> </w:t>
            </w:r>
            <w:r w:rsidRPr="008124C5">
              <w:rPr>
                <w:rFonts w:cs="Calibri"/>
                <w:color w:val="000000"/>
                <w:sz w:val="16"/>
                <w:szCs w:val="16"/>
                <w:lang w:eastAsia="en-GB"/>
              </w:rPr>
              <w:t>236</w:t>
            </w:r>
          </w:p>
        </w:tc>
        <w:tc>
          <w:tcPr>
            <w:tcW w:w="709" w:type="dxa"/>
            <w:tcBorders>
              <w:top w:val="nil"/>
              <w:left w:val="nil"/>
              <w:bottom w:val="nil"/>
              <w:right w:val="single" w:sz="4" w:space="0" w:color="auto"/>
            </w:tcBorders>
            <w:shd w:val="clear" w:color="auto" w:fill="auto"/>
            <w:noWrap/>
            <w:vAlign w:val="bottom"/>
            <w:hideMark/>
          </w:tcPr>
          <w:p w14:paraId="00B0FEB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-5</w:t>
            </w:r>
          </w:p>
        </w:tc>
        <w:tc>
          <w:tcPr>
            <w:tcW w:w="612" w:type="dxa"/>
            <w:tcBorders>
              <w:top w:val="nil"/>
              <w:left w:val="nil"/>
              <w:bottom w:val="nil"/>
              <w:right w:val="single" w:sz="4" w:space="0" w:color="auto"/>
            </w:tcBorders>
            <w:shd w:val="clear" w:color="auto" w:fill="auto"/>
            <w:noWrap/>
            <w:vAlign w:val="bottom"/>
            <w:hideMark/>
          </w:tcPr>
          <w:p w14:paraId="2127C09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66</w:t>
            </w:r>
          </w:p>
        </w:tc>
        <w:tc>
          <w:tcPr>
            <w:tcW w:w="806" w:type="dxa"/>
            <w:tcBorders>
              <w:top w:val="nil"/>
              <w:left w:val="nil"/>
              <w:bottom w:val="nil"/>
              <w:right w:val="single" w:sz="4" w:space="0" w:color="auto"/>
            </w:tcBorders>
            <w:shd w:val="clear" w:color="auto" w:fill="auto"/>
            <w:noWrap/>
            <w:vAlign w:val="bottom"/>
            <w:hideMark/>
          </w:tcPr>
          <w:p w14:paraId="0D14429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1040" w:type="dxa"/>
            <w:tcBorders>
              <w:top w:val="nil"/>
              <w:left w:val="nil"/>
              <w:bottom w:val="nil"/>
              <w:right w:val="single" w:sz="4" w:space="0" w:color="auto"/>
            </w:tcBorders>
            <w:shd w:val="clear" w:color="auto" w:fill="auto"/>
            <w:noWrap/>
            <w:vAlign w:val="bottom"/>
            <w:hideMark/>
          </w:tcPr>
          <w:p w14:paraId="5D4BBBB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02" w:type="dxa"/>
            <w:tcBorders>
              <w:top w:val="nil"/>
              <w:left w:val="nil"/>
              <w:bottom w:val="nil"/>
              <w:right w:val="single" w:sz="4" w:space="0" w:color="auto"/>
            </w:tcBorders>
            <w:shd w:val="clear" w:color="auto" w:fill="auto"/>
            <w:noWrap/>
            <w:vAlign w:val="bottom"/>
            <w:hideMark/>
          </w:tcPr>
          <w:p w14:paraId="3D6C37CD" w14:textId="48E1506E"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8</w:t>
            </w:r>
            <w:r w:rsidR="00EC26EC">
              <w:rPr>
                <w:rFonts w:cs="Calibri"/>
                <w:b/>
                <w:bCs/>
                <w:sz w:val="16"/>
                <w:szCs w:val="16"/>
                <w:lang w:eastAsia="en-GB"/>
              </w:rPr>
              <w:t> </w:t>
            </w:r>
            <w:r w:rsidRPr="008124C5">
              <w:rPr>
                <w:rFonts w:cs="Calibri"/>
                <w:b/>
                <w:bCs/>
                <w:sz w:val="16"/>
                <w:szCs w:val="16"/>
                <w:lang w:eastAsia="en-GB"/>
              </w:rPr>
              <w:t>300</w:t>
            </w:r>
          </w:p>
        </w:tc>
      </w:tr>
      <w:tr w:rsidR="00B56A7B" w:rsidRPr="000C156A" w14:paraId="40063261"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1778FB44"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asciiTheme="minorHAnsi" w:hAnsiTheme="minorHAnsi" w:cs="Arial" w:hint="eastAsia"/>
                <w:sz w:val="16"/>
                <w:szCs w:val="16"/>
                <w:lang w:val="en-US" w:eastAsia="zh-CN"/>
              </w:rPr>
              <w:t>出版物</w:t>
            </w:r>
          </w:p>
        </w:tc>
        <w:tc>
          <w:tcPr>
            <w:tcW w:w="992" w:type="dxa"/>
            <w:tcBorders>
              <w:top w:val="nil"/>
              <w:left w:val="single" w:sz="4" w:space="0" w:color="auto"/>
              <w:bottom w:val="nil"/>
              <w:right w:val="single" w:sz="4" w:space="0" w:color="auto"/>
            </w:tcBorders>
            <w:shd w:val="clear" w:color="auto" w:fill="auto"/>
            <w:noWrap/>
            <w:vAlign w:val="bottom"/>
            <w:hideMark/>
          </w:tcPr>
          <w:p w14:paraId="174C1B4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5</w:t>
            </w:r>
          </w:p>
        </w:tc>
        <w:tc>
          <w:tcPr>
            <w:tcW w:w="709" w:type="dxa"/>
            <w:tcBorders>
              <w:top w:val="nil"/>
              <w:left w:val="nil"/>
              <w:bottom w:val="nil"/>
              <w:right w:val="single" w:sz="4" w:space="0" w:color="auto"/>
            </w:tcBorders>
            <w:shd w:val="clear" w:color="auto" w:fill="auto"/>
            <w:noWrap/>
            <w:vAlign w:val="bottom"/>
            <w:hideMark/>
          </w:tcPr>
          <w:p w14:paraId="5DBF0F6A" w14:textId="0E3014C1"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16</w:t>
            </w:r>
            <w:r w:rsidR="00EC26EC">
              <w:rPr>
                <w:rFonts w:cs="Calibri"/>
                <w:sz w:val="16"/>
                <w:szCs w:val="16"/>
                <w:lang w:eastAsia="en-GB"/>
              </w:rPr>
              <w:t> </w:t>
            </w:r>
            <w:r w:rsidRPr="008124C5">
              <w:rPr>
                <w:rFonts w:cs="Calibri"/>
                <w:sz w:val="16"/>
                <w:szCs w:val="16"/>
                <w:lang w:eastAsia="en-GB"/>
              </w:rPr>
              <w:t>995</w:t>
            </w:r>
          </w:p>
        </w:tc>
        <w:tc>
          <w:tcPr>
            <w:tcW w:w="992" w:type="dxa"/>
            <w:tcBorders>
              <w:top w:val="nil"/>
              <w:left w:val="nil"/>
              <w:bottom w:val="nil"/>
              <w:right w:val="single" w:sz="4" w:space="0" w:color="auto"/>
            </w:tcBorders>
            <w:shd w:val="clear" w:color="auto" w:fill="auto"/>
            <w:noWrap/>
            <w:vAlign w:val="bottom"/>
            <w:hideMark/>
          </w:tcPr>
          <w:p w14:paraId="05BF3E3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17</w:t>
            </w:r>
          </w:p>
        </w:tc>
        <w:tc>
          <w:tcPr>
            <w:tcW w:w="992" w:type="dxa"/>
            <w:tcBorders>
              <w:top w:val="nil"/>
              <w:left w:val="nil"/>
              <w:bottom w:val="nil"/>
              <w:right w:val="single" w:sz="4" w:space="0" w:color="auto"/>
            </w:tcBorders>
            <w:shd w:val="clear" w:color="auto" w:fill="auto"/>
            <w:noWrap/>
            <w:vAlign w:val="bottom"/>
            <w:hideMark/>
          </w:tcPr>
          <w:p w14:paraId="14C1616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72</w:t>
            </w:r>
          </w:p>
        </w:tc>
        <w:tc>
          <w:tcPr>
            <w:tcW w:w="1134" w:type="dxa"/>
            <w:tcBorders>
              <w:top w:val="nil"/>
              <w:left w:val="nil"/>
              <w:bottom w:val="nil"/>
              <w:right w:val="nil"/>
            </w:tcBorders>
            <w:shd w:val="clear" w:color="auto" w:fill="auto"/>
            <w:noWrap/>
            <w:vAlign w:val="bottom"/>
            <w:hideMark/>
          </w:tcPr>
          <w:p w14:paraId="59C2551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27</w:t>
            </w:r>
          </w:p>
        </w:tc>
        <w:tc>
          <w:tcPr>
            <w:tcW w:w="993" w:type="dxa"/>
            <w:tcBorders>
              <w:top w:val="nil"/>
              <w:left w:val="single" w:sz="4" w:space="0" w:color="auto"/>
              <w:bottom w:val="nil"/>
              <w:right w:val="single" w:sz="4" w:space="0" w:color="auto"/>
            </w:tcBorders>
            <w:shd w:val="clear" w:color="auto" w:fill="auto"/>
            <w:noWrap/>
            <w:vAlign w:val="bottom"/>
            <w:hideMark/>
          </w:tcPr>
          <w:p w14:paraId="0F47B87D" w14:textId="36DB5875"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17</w:t>
            </w:r>
            <w:r w:rsidR="00EC26EC">
              <w:rPr>
                <w:rFonts w:cs="Calibri"/>
                <w:b/>
                <w:bCs/>
                <w:sz w:val="16"/>
                <w:szCs w:val="16"/>
                <w:lang w:eastAsia="en-GB"/>
              </w:rPr>
              <w:t> </w:t>
            </w:r>
            <w:r w:rsidRPr="008124C5">
              <w:rPr>
                <w:rFonts w:cs="Calibri"/>
                <w:b/>
                <w:bCs/>
                <w:sz w:val="16"/>
                <w:szCs w:val="16"/>
                <w:lang w:eastAsia="en-GB"/>
              </w:rPr>
              <w:t>116</w:t>
            </w:r>
          </w:p>
        </w:tc>
        <w:tc>
          <w:tcPr>
            <w:tcW w:w="850" w:type="dxa"/>
            <w:tcBorders>
              <w:top w:val="nil"/>
              <w:left w:val="nil"/>
              <w:bottom w:val="nil"/>
              <w:right w:val="single" w:sz="4" w:space="0" w:color="auto"/>
            </w:tcBorders>
            <w:shd w:val="clear" w:color="auto" w:fill="auto"/>
            <w:noWrap/>
            <w:vAlign w:val="bottom"/>
            <w:hideMark/>
          </w:tcPr>
          <w:p w14:paraId="4D7D586B"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5CB5E5D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4940968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4DDB457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70" w:type="dxa"/>
            <w:tcBorders>
              <w:top w:val="nil"/>
              <w:left w:val="nil"/>
              <w:bottom w:val="nil"/>
              <w:right w:val="single" w:sz="4" w:space="0" w:color="auto"/>
            </w:tcBorders>
            <w:shd w:val="clear" w:color="auto" w:fill="auto"/>
            <w:noWrap/>
            <w:vAlign w:val="bottom"/>
            <w:hideMark/>
          </w:tcPr>
          <w:p w14:paraId="70055F5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709" w:type="dxa"/>
            <w:tcBorders>
              <w:top w:val="nil"/>
              <w:left w:val="nil"/>
              <w:bottom w:val="nil"/>
              <w:right w:val="single" w:sz="4" w:space="0" w:color="auto"/>
            </w:tcBorders>
            <w:shd w:val="clear" w:color="auto" w:fill="auto"/>
            <w:noWrap/>
            <w:vAlign w:val="bottom"/>
            <w:hideMark/>
          </w:tcPr>
          <w:p w14:paraId="1928714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3F8E088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46EB1B0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1040" w:type="dxa"/>
            <w:tcBorders>
              <w:top w:val="nil"/>
              <w:left w:val="nil"/>
              <w:bottom w:val="nil"/>
              <w:right w:val="single" w:sz="4" w:space="0" w:color="auto"/>
            </w:tcBorders>
            <w:shd w:val="clear" w:color="auto" w:fill="auto"/>
            <w:noWrap/>
            <w:vAlign w:val="bottom"/>
            <w:hideMark/>
          </w:tcPr>
          <w:p w14:paraId="4478EDE1"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02" w:type="dxa"/>
            <w:tcBorders>
              <w:top w:val="nil"/>
              <w:left w:val="nil"/>
              <w:bottom w:val="nil"/>
              <w:right w:val="single" w:sz="4" w:space="0" w:color="auto"/>
            </w:tcBorders>
            <w:shd w:val="clear" w:color="auto" w:fill="auto"/>
            <w:noWrap/>
            <w:vAlign w:val="bottom"/>
            <w:hideMark/>
          </w:tcPr>
          <w:p w14:paraId="6E4AA0C2" w14:textId="20C60051"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17</w:t>
            </w:r>
            <w:r w:rsidR="00EC26EC">
              <w:rPr>
                <w:rFonts w:cs="Calibri"/>
                <w:b/>
                <w:bCs/>
                <w:sz w:val="16"/>
                <w:szCs w:val="16"/>
                <w:lang w:eastAsia="en-GB"/>
              </w:rPr>
              <w:t> </w:t>
            </w:r>
            <w:r w:rsidRPr="008124C5">
              <w:rPr>
                <w:rFonts w:cs="Calibri"/>
                <w:b/>
                <w:bCs/>
                <w:sz w:val="16"/>
                <w:szCs w:val="16"/>
                <w:lang w:eastAsia="en-GB"/>
              </w:rPr>
              <w:t>116</w:t>
            </w:r>
          </w:p>
        </w:tc>
      </w:tr>
      <w:tr w:rsidR="00B56A7B" w:rsidRPr="000C156A" w14:paraId="3B3FF5CF"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48C78F7A"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asciiTheme="minorHAnsi" w:hAnsiTheme="minorHAnsi" w:cs="Arial" w:hint="eastAsia"/>
                <w:sz w:val="16"/>
                <w:szCs w:val="16"/>
                <w:lang w:val="en-US" w:eastAsia="zh-CN"/>
              </w:rPr>
              <w:t>成本回收</w:t>
            </w:r>
          </w:p>
        </w:tc>
        <w:tc>
          <w:tcPr>
            <w:tcW w:w="992" w:type="dxa"/>
            <w:tcBorders>
              <w:top w:val="nil"/>
              <w:left w:val="single" w:sz="4" w:space="0" w:color="auto"/>
              <w:bottom w:val="nil"/>
              <w:right w:val="single" w:sz="4" w:space="0" w:color="auto"/>
            </w:tcBorders>
            <w:shd w:val="clear" w:color="auto" w:fill="auto"/>
            <w:noWrap/>
            <w:vAlign w:val="bottom"/>
            <w:hideMark/>
          </w:tcPr>
          <w:p w14:paraId="2AD805CD"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19</w:t>
            </w:r>
          </w:p>
        </w:tc>
        <w:tc>
          <w:tcPr>
            <w:tcW w:w="709" w:type="dxa"/>
            <w:tcBorders>
              <w:top w:val="nil"/>
              <w:left w:val="nil"/>
              <w:bottom w:val="nil"/>
              <w:right w:val="single" w:sz="4" w:space="0" w:color="auto"/>
            </w:tcBorders>
            <w:shd w:val="clear" w:color="auto" w:fill="auto"/>
            <w:noWrap/>
            <w:vAlign w:val="bottom"/>
            <w:hideMark/>
          </w:tcPr>
          <w:p w14:paraId="3C635214" w14:textId="0F660B73"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13</w:t>
            </w:r>
            <w:r w:rsidR="00EC26EC">
              <w:rPr>
                <w:rFonts w:cs="Calibri"/>
                <w:sz w:val="16"/>
                <w:szCs w:val="16"/>
                <w:lang w:eastAsia="en-GB"/>
              </w:rPr>
              <w:t> </w:t>
            </w:r>
            <w:r w:rsidRPr="008124C5">
              <w:rPr>
                <w:rFonts w:cs="Calibri"/>
                <w:sz w:val="16"/>
                <w:szCs w:val="16"/>
                <w:lang w:eastAsia="en-GB"/>
              </w:rPr>
              <w:t>631</w:t>
            </w:r>
          </w:p>
        </w:tc>
        <w:tc>
          <w:tcPr>
            <w:tcW w:w="992" w:type="dxa"/>
            <w:tcBorders>
              <w:top w:val="nil"/>
              <w:left w:val="nil"/>
              <w:bottom w:val="nil"/>
              <w:right w:val="single" w:sz="4" w:space="0" w:color="auto"/>
            </w:tcBorders>
            <w:shd w:val="clear" w:color="auto" w:fill="auto"/>
            <w:noWrap/>
            <w:vAlign w:val="bottom"/>
            <w:hideMark/>
          </w:tcPr>
          <w:p w14:paraId="4950A37B"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264</w:t>
            </w:r>
          </w:p>
        </w:tc>
        <w:tc>
          <w:tcPr>
            <w:tcW w:w="992" w:type="dxa"/>
            <w:tcBorders>
              <w:top w:val="nil"/>
              <w:left w:val="nil"/>
              <w:bottom w:val="nil"/>
              <w:right w:val="single" w:sz="4" w:space="0" w:color="auto"/>
            </w:tcBorders>
            <w:shd w:val="clear" w:color="auto" w:fill="auto"/>
            <w:noWrap/>
            <w:vAlign w:val="bottom"/>
            <w:hideMark/>
          </w:tcPr>
          <w:p w14:paraId="359C73D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236</w:t>
            </w:r>
          </w:p>
        </w:tc>
        <w:tc>
          <w:tcPr>
            <w:tcW w:w="1134" w:type="dxa"/>
            <w:tcBorders>
              <w:top w:val="nil"/>
              <w:left w:val="nil"/>
              <w:bottom w:val="nil"/>
              <w:right w:val="nil"/>
            </w:tcBorders>
            <w:shd w:val="clear" w:color="auto" w:fill="auto"/>
            <w:noWrap/>
            <w:vAlign w:val="bottom"/>
            <w:hideMark/>
          </w:tcPr>
          <w:p w14:paraId="4E149D87" w14:textId="0C4B9BA5"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1</w:t>
            </w:r>
            <w:r w:rsidR="00EC26EC">
              <w:rPr>
                <w:rFonts w:cs="Calibri"/>
                <w:sz w:val="16"/>
                <w:szCs w:val="16"/>
                <w:lang w:eastAsia="en-GB"/>
              </w:rPr>
              <w:t> </w:t>
            </w:r>
            <w:r w:rsidRPr="008124C5">
              <w:rPr>
                <w:rFonts w:cs="Calibri"/>
                <w:sz w:val="16"/>
                <w:szCs w:val="16"/>
                <w:lang w:eastAsia="en-GB"/>
              </w:rPr>
              <w:t>383</w:t>
            </w:r>
          </w:p>
        </w:tc>
        <w:tc>
          <w:tcPr>
            <w:tcW w:w="993" w:type="dxa"/>
            <w:tcBorders>
              <w:top w:val="nil"/>
              <w:left w:val="single" w:sz="4" w:space="0" w:color="auto"/>
              <w:bottom w:val="nil"/>
              <w:right w:val="single" w:sz="4" w:space="0" w:color="auto"/>
            </w:tcBorders>
            <w:shd w:val="clear" w:color="auto" w:fill="auto"/>
            <w:noWrap/>
            <w:vAlign w:val="bottom"/>
            <w:hideMark/>
          </w:tcPr>
          <w:p w14:paraId="07EC1425" w14:textId="25F98C2A"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15</w:t>
            </w:r>
            <w:r w:rsidR="00EC26EC">
              <w:rPr>
                <w:rFonts w:cs="Calibri"/>
                <w:b/>
                <w:bCs/>
                <w:sz w:val="16"/>
                <w:szCs w:val="16"/>
                <w:lang w:eastAsia="en-GB"/>
              </w:rPr>
              <w:t> </w:t>
            </w:r>
            <w:r w:rsidRPr="008124C5">
              <w:rPr>
                <w:rFonts w:cs="Calibri"/>
                <w:b/>
                <w:bCs/>
                <w:sz w:val="16"/>
                <w:szCs w:val="16"/>
                <w:lang w:eastAsia="en-GB"/>
              </w:rPr>
              <w:t>534</w:t>
            </w:r>
          </w:p>
        </w:tc>
        <w:tc>
          <w:tcPr>
            <w:tcW w:w="850" w:type="dxa"/>
            <w:tcBorders>
              <w:top w:val="nil"/>
              <w:left w:val="nil"/>
              <w:bottom w:val="nil"/>
              <w:right w:val="single" w:sz="4" w:space="0" w:color="auto"/>
            </w:tcBorders>
            <w:shd w:val="clear" w:color="auto" w:fill="auto"/>
            <w:noWrap/>
            <w:vAlign w:val="bottom"/>
            <w:hideMark/>
          </w:tcPr>
          <w:p w14:paraId="06CD899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16241789"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01A7A6A9"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75" w:type="dxa"/>
            <w:tcBorders>
              <w:top w:val="nil"/>
              <w:left w:val="nil"/>
              <w:bottom w:val="nil"/>
              <w:right w:val="single" w:sz="4" w:space="0" w:color="auto"/>
            </w:tcBorders>
            <w:shd w:val="clear" w:color="auto" w:fill="auto"/>
            <w:noWrap/>
            <w:vAlign w:val="bottom"/>
            <w:hideMark/>
          </w:tcPr>
          <w:p w14:paraId="17B1443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70" w:type="dxa"/>
            <w:tcBorders>
              <w:top w:val="nil"/>
              <w:left w:val="nil"/>
              <w:bottom w:val="nil"/>
              <w:right w:val="single" w:sz="4" w:space="0" w:color="auto"/>
            </w:tcBorders>
            <w:shd w:val="clear" w:color="auto" w:fill="auto"/>
            <w:noWrap/>
            <w:vAlign w:val="bottom"/>
            <w:hideMark/>
          </w:tcPr>
          <w:p w14:paraId="06939D6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709" w:type="dxa"/>
            <w:tcBorders>
              <w:top w:val="nil"/>
              <w:left w:val="nil"/>
              <w:bottom w:val="nil"/>
              <w:right w:val="single" w:sz="4" w:space="0" w:color="auto"/>
            </w:tcBorders>
            <w:shd w:val="clear" w:color="auto" w:fill="auto"/>
            <w:noWrap/>
            <w:vAlign w:val="bottom"/>
            <w:hideMark/>
          </w:tcPr>
          <w:p w14:paraId="680A0AB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644ACB1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245E0C0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1040" w:type="dxa"/>
            <w:tcBorders>
              <w:top w:val="nil"/>
              <w:left w:val="nil"/>
              <w:bottom w:val="nil"/>
              <w:right w:val="single" w:sz="4" w:space="0" w:color="auto"/>
            </w:tcBorders>
            <w:shd w:val="clear" w:color="auto" w:fill="auto"/>
            <w:noWrap/>
            <w:vAlign w:val="bottom"/>
            <w:hideMark/>
          </w:tcPr>
          <w:p w14:paraId="46FFED6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6343CDED" w14:textId="447B6B0E"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Pr>
                <w:rFonts w:cs="Calibri"/>
                <w:b/>
                <w:bCs/>
                <w:sz w:val="16"/>
                <w:szCs w:val="16"/>
                <w:lang w:eastAsia="en-GB"/>
              </w:rPr>
              <w:t>1</w:t>
            </w:r>
            <w:r w:rsidRPr="008124C5">
              <w:rPr>
                <w:rFonts w:cs="Calibri"/>
                <w:b/>
                <w:bCs/>
                <w:sz w:val="16"/>
                <w:szCs w:val="16"/>
                <w:lang w:eastAsia="en-GB"/>
              </w:rPr>
              <w:t>5</w:t>
            </w:r>
            <w:r w:rsidR="00EC26EC">
              <w:rPr>
                <w:rFonts w:cs="Calibri"/>
                <w:b/>
                <w:bCs/>
                <w:sz w:val="16"/>
                <w:szCs w:val="16"/>
                <w:lang w:eastAsia="en-GB"/>
              </w:rPr>
              <w:t> </w:t>
            </w:r>
            <w:r w:rsidRPr="008124C5">
              <w:rPr>
                <w:rFonts w:cs="Calibri"/>
                <w:b/>
                <w:bCs/>
                <w:sz w:val="16"/>
                <w:szCs w:val="16"/>
                <w:lang w:eastAsia="en-GB"/>
              </w:rPr>
              <w:t>534</w:t>
            </w:r>
          </w:p>
        </w:tc>
      </w:tr>
      <w:tr w:rsidR="00B56A7B" w:rsidRPr="000C156A" w14:paraId="1791D443"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1FC5D194"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其它收入</w:t>
            </w:r>
          </w:p>
        </w:tc>
        <w:tc>
          <w:tcPr>
            <w:tcW w:w="992" w:type="dxa"/>
            <w:tcBorders>
              <w:top w:val="nil"/>
              <w:left w:val="single" w:sz="4" w:space="0" w:color="auto"/>
              <w:bottom w:val="nil"/>
              <w:right w:val="single" w:sz="4" w:space="0" w:color="auto"/>
            </w:tcBorders>
            <w:shd w:val="clear" w:color="auto" w:fill="auto"/>
            <w:noWrap/>
            <w:vAlign w:val="bottom"/>
            <w:hideMark/>
          </w:tcPr>
          <w:p w14:paraId="0305EA4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9</w:t>
            </w:r>
          </w:p>
        </w:tc>
        <w:tc>
          <w:tcPr>
            <w:tcW w:w="709" w:type="dxa"/>
            <w:tcBorders>
              <w:top w:val="nil"/>
              <w:left w:val="nil"/>
              <w:bottom w:val="nil"/>
              <w:right w:val="single" w:sz="4" w:space="0" w:color="auto"/>
            </w:tcBorders>
            <w:shd w:val="clear" w:color="auto" w:fill="auto"/>
            <w:noWrap/>
            <w:vAlign w:val="bottom"/>
            <w:hideMark/>
          </w:tcPr>
          <w:p w14:paraId="14F901D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218</w:t>
            </w:r>
          </w:p>
        </w:tc>
        <w:tc>
          <w:tcPr>
            <w:tcW w:w="992" w:type="dxa"/>
            <w:tcBorders>
              <w:top w:val="nil"/>
              <w:left w:val="nil"/>
              <w:bottom w:val="nil"/>
              <w:right w:val="single" w:sz="4" w:space="0" w:color="auto"/>
            </w:tcBorders>
            <w:shd w:val="clear" w:color="auto" w:fill="auto"/>
            <w:noWrap/>
            <w:vAlign w:val="bottom"/>
            <w:hideMark/>
          </w:tcPr>
          <w:p w14:paraId="2FC7F4A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2501F5A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3</w:t>
            </w:r>
          </w:p>
        </w:tc>
        <w:tc>
          <w:tcPr>
            <w:tcW w:w="1134" w:type="dxa"/>
            <w:tcBorders>
              <w:top w:val="nil"/>
              <w:left w:val="nil"/>
              <w:bottom w:val="nil"/>
              <w:right w:val="nil"/>
            </w:tcBorders>
            <w:shd w:val="clear" w:color="auto" w:fill="auto"/>
            <w:noWrap/>
            <w:vAlign w:val="bottom"/>
            <w:hideMark/>
          </w:tcPr>
          <w:p w14:paraId="5739BD9E" w14:textId="5EE648FA"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-1</w:t>
            </w:r>
            <w:r w:rsidR="00EC26EC">
              <w:rPr>
                <w:rFonts w:cs="Calibri"/>
                <w:sz w:val="16"/>
                <w:szCs w:val="16"/>
                <w:lang w:eastAsia="en-GB"/>
              </w:rPr>
              <w:t> </w:t>
            </w:r>
            <w:r w:rsidRPr="008124C5">
              <w:rPr>
                <w:rFonts w:cs="Calibri"/>
                <w:sz w:val="16"/>
                <w:szCs w:val="16"/>
                <w:lang w:eastAsia="en-GB"/>
              </w:rPr>
              <w:t>126</w:t>
            </w:r>
          </w:p>
        </w:tc>
        <w:tc>
          <w:tcPr>
            <w:tcW w:w="993" w:type="dxa"/>
            <w:tcBorders>
              <w:top w:val="nil"/>
              <w:left w:val="single" w:sz="4" w:space="0" w:color="auto"/>
              <w:bottom w:val="nil"/>
              <w:right w:val="single" w:sz="4" w:space="0" w:color="auto"/>
            </w:tcBorders>
            <w:shd w:val="clear" w:color="auto" w:fill="auto"/>
            <w:noWrap/>
            <w:vAlign w:val="bottom"/>
            <w:hideMark/>
          </w:tcPr>
          <w:p w14:paraId="5D2C27D8"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-896</w:t>
            </w:r>
          </w:p>
        </w:tc>
        <w:tc>
          <w:tcPr>
            <w:tcW w:w="850" w:type="dxa"/>
            <w:tcBorders>
              <w:top w:val="nil"/>
              <w:left w:val="nil"/>
              <w:bottom w:val="nil"/>
              <w:right w:val="single" w:sz="4" w:space="0" w:color="auto"/>
            </w:tcBorders>
            <w:shd w:val="clear" w:color="auto" w:fill="auto"/>
            <w:noWrap/>
            <w:vAlign w:val="bottom"/>
            <w:hideMark/>
          </w:tcPr>
          <w:p w14:paraId="0201745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0CD82204" w14:textId="3318737F"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10</w:t>
            </w:r>
            <w:r w:rsidR="00EC26EC">
              <w:rPr>
                <w:rFonts w:cs="Calibri"/>
                <w:sz w:val="16"/>
                <w:szCs w:val="16"/>
                <w:lang w:eastAsia="en-GB"/>
              </w:rPr>
              <w:t> </w:t>
            </w:r>
            <w:r w:rsidRPr="008124C5">
              <w:rPr>
                <w:rFonts w:cs="Calibri"/>
                <w:sz w:val="16"/>
                <w:szCs w:val="16"/>
                <w:lang w:eastAsia="en-GB"/>
              </w:rPr>
              <w:t>000</w:t>
            </w:r>
          </w:p>
        </w:tc>
        <w:tc>
          <w:tcPr>
            <w:tcW w:w="864" w:type="dxa"/>
            <w:tcBorders>
              <w:top w:val="nil"/>
              <w:left w:val="nil"/>
              <w:bottom w:val="nil"/>
              <w:right w:val="single" w:sz="4" w:space="0" w:color="auto"/>
            </w:tcBorders>
            <w:shd w:val="clear" w:color="auto" w:fill="auto"/>
            <w:noWrap/>
            <w:vAlign w:val="bottom"/>
            <w:hideMark/>
          </w:tcPr>
          <w:p w14:paraId="5A9DBE1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75" w:type="dxa"/>
            <w:tcBorders>
              <w:top w:val="nil"/>
              <w:left w:val="nil"/>
              <w:bottom w:val="nil"/>
              <w:right w:val="single" w:sz="4" w:space="0" w:color="auto"/>
            </w:tcBorders>
            <w:shd w:val="clear" w:color="auto" w:fill="auto"/>
            <w:noWrap/>
            <w:vAlign w:val="bottom"/>
            <w:hideMark/>
          </w:tcPr>
          <w:p w14:paraId="7092192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70" w:type="dxa"/>
            <w:tcBorders>
              <w:top w:val="nil"/>
              <w:left w:val="nil"/>
              <w:bottom w:val="nil"/>
              <w:right w:val="single" w:sz="4" w:space="0" w:color="auto"/>
            </w:tcBorders>
            <w:shd w:val="clear" w:color="auto" w:fill="auto"/>
            <w:noWrap/>
            <w:vAlign w:val="bottom"/>
            <w:hideMark/>
          </w:tcPr>
          <w:p w14:paraId="2FDC403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21</w:t>
            </w:r>
          </w:p>
        </w:tc>
        <w:tc>
          <w:tcPr>
            <w:tcW w:w="709" w:type="dxa"/>
            <w:tcBorders>
              <w:top w:val="nil"/>
              <w:left w:val="nil"/>
              <w:bottom w:val="nil"/>
              <w:right w:val="single" w:sz="4" w:space="0" w:color="auto"/>
            </w:tcBorders>
            <w:shd w:val="clear" w:color="auto" w:fill="auto"/>
            <w:noWrap/>
            <w:vAlign w:val="bottom"/>
            <w:hideMark/>
          </w:tcPr>
          <w:p w14:paraId="2F99583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28DA6A6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5E31009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54</w:t>
            </w:r>
          </w:p>
        </w:tc>
        <w:tc>
          <w:tcPr>
            <w:tcW w:w="1040" w:type="dxa"/>
            <w:tcBorders>
              <w:top w:val="nil"/>
              <w:left w:val="nil"/>
              <w:bottom w:val="nil"/>
              <w:right w:val="single" w:sz="4" w:space="0" w:color="auto"/>
            </w:tcBorders>
            <w:shd w:val="clear" w:color="auto" w:fill="auto"/>
            <w:noWrap/>
            <w:vAlign w:val="bottom"/>
            <w:hideMark/>
          </w:tcPr>
          <w:p w14:paraId="18F11892" w14:textId="297FCDE8"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-1</w:t>
            </w:r>
            <w:r w:rsidR="00EC26EC">
              <w:rPr>
                <w:rFonts w:cs="Calibri"/>
                <w:sz w:val="16"/>
                <w:szCs w:val="16"/>
                <w:lang w:eastAsia="en-GB"/>
              </w:rPr>
              <w:t> </w:t>
            </w:r>
            <w:r w:rsidRPr="008124C5">
              <w:rPr>
                <w:rFonts w:cs="Calibri"/>
                <w:sz w:val="16"/>
                <w:szCs w:val="16"/>
                <w:lang w:eastAsia="en-GB"/>
              </w:rPr>
              <w:t>614</w:t>
            </w:r>
          </w:p>
        </w:tc>
        <w:tc>
          <w:tcPr>
            <w:tcW w:w="802" w:type="dxa"/>
            <w:tcBorders>
              <w:top w:val="nil"/>
              <w:left w:val="nil"/>
              <w:bottom w:val="nil"/>
              <w:right w:val="single" w:sz="4" w:space="0" w:color="auto"/>
            </w:tcBorders>
            <w:shd w:val="clear" w:color="auto" w:fill="auto"/>
            <w:noWrap/>
            <w:vAlign w:val="bottom"/>
            <w:hideMark/>
          </w:tcPr>
          <w:p w14:paraId="74485FD8" w14:textId="6E971C89"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7</w:t>
            </w:r>
            <w:r w:rsidR="00EC26EC">
              <w:rPr>
                <w:rFonts w:cs="Calibri"/>
                <w:b/>
                <w:bCs/>
                <w:sz w:val="16"/>
                <w:szCs w:val="16"/>
                <w:lang w:eastAsia="en-GB"/>
              </w:rPr>
              <w:t> </w:t>
            </w:r>
            <w:r w:rsidRPr="008124C5">
              <w:rPr>
                <w:rFonts w:cs="Calibri"/>
                <w:b/>
                <w:bCs/>
                <w:sz w:val="16"/>
                <w:szCs w:val="16"/>
                <w:lang w:eastAsia="en-GB"/>
              </w:rPr>
              <w:t>564</w:t>
            </w:r>
          </w:p>
        </w:tc>
      </w:tr>
      <w:tr w:rsidR="00B56A7B" w:rsidRPr="000C156A" w14:paraId="0F0A0807"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5088CC4E"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理财收入</w:t>
            </w:r>
          </w:p>
        </w:tc>
        <w:tc>
          <w:tcPr>
            <w:tcW w:w="992" w:type="dxa"/>
            <w:tcBorders>
              <w:top w:val="nil"/>
              <w:left w:val="single" w:sz="4" w:space="0" w:color="auto"/>
              <w:bottom w:val="nil"/>
              <w:right w:val="single" w:sz="4" w:space="0" w:color="auto"/>
            </w:tcBorders>
            <w:shd w:val="clear" w:color="auto" w:fill="auto"/>
            <w:noWrap/>
            <w:vAlign w:val="bottom"/>
            <w:hideMark/>
          </w:tcPr>
          <w:p w14:paraId="2B12AE7E"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0</w:t>
            </w:r>
          </w:p>
        </w:tc>
        <w:tc>
          <w:tcPr>
            <w:tcW w:w="709" w:type="dxa"/>
            <w:tcBorders>
              <w:top w:val="nil"/>
              <w:left w:val="nil"/>
              <w:bottom w:val="nil"/>
              <w:right w:val="single" w:sz="4" w:space="0" w:color="auto"/>
            </w:tcBorders>
            <w:shd w:val="clear" w:color="auto" w:fill="auto"/>
            <w:noWrap/>
            <w:vAlign w:val="bottom"/>
            <w:hideMark/>
          </w:tcPr>
          <w:p w14:paraId="06BCEFAB"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943291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408B68FD"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2</w:t>
            </w:r>
          </w:p>
        </w:tc>
        <w:tc>
          <w:tcPr>
            <w:tcW w:w="1134" w:type="dxa"/>
            <w:tcBorders>
              <w:top w:val="nil"/>
              <w:left w:val="nil"/>
              <w:bottom w:val="nil"/>
              <w:right w:val="nil"/>
            </w:tcBorders>
            <w:shd w:val="clear" w:color="auto" w:fill="auto"/>
            <w:noWrap/>
            <w:vAlign w:val="bottom"/>
            <w:hideMark/>
          </w:tcPr>
          <w:p w14:paraId="3F477665" w14:textId="379036A8"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-4</w:t>
            </w:r>
            <w:r w:rsidR="00EC26EC">
              <w:rPr>
                <w:rFonts w:cs="Calibri"/>
                <w:sz w:val="16"/>
                <w:szCs w:val="16"/>
                <w:lang w:eastAsia="en-GB"/>
              </w:rPr>
              <w:t> </w:t>
            </w:r>
            <w:r w:rsidRPr="008124C5">
              <w:rPr>
                <w:rFonts w:cs="Calibri"/>
                <w:sz w:val="16"/>
                <w:szCs w:val="16"/>
                <w:lang w:eastAsia="en-GB"/>
              </w:rPr>
              <w:t>790</w:t>
            </w:r>
          </w:p>
        </w:tc>
        <w:tc>
          <w:tcPr>
            <w:tcW w:w="993" w:type="dxa"/>
            <w:tcBorders>
              <w:top w:val="nil"/>
              <w:left w:val="single" w:sz="4" w:space="0" w:color="auto"/>
              <w:bottom w:val="nil"/>
              <w:right w:val="single" w:sz="4" w:space="0" w:color="auto"/>
            </w:tcBorders>
            <w:shd w:val="clear" w:color="auto" w:fill="auto"/>
            <w:noWrap/>
            <w:vAlign w:val="bottom"/>
            <w:hideMark/>
          </w:tcPr>
          <w:p w14:paraId="3395DB48" w14:textId="7B321C43"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-4</w:t>
            </w:r>
            <w:r w:rsidR="00EC26EC">
              <w:rPr>
                <w:rFonts w:cs="Calibri"/>
                <w:b/>
                <w:bCs/>
                <w:sz w:val="16"/>
                <w:szCs w:val="16"/>
                <w:lang w:eastAsia="en-GB"/>
              </w:rPr>
              <w:t> </w:t>
            </w:r>
            <w:r w:rsidRPr="008124C5">
              <w:rPr>
                <w:rFonts w:cs="Calibri"/>
                <w:b/>
                <w:bCs/>
                <w:sz w:val="16"/>
                <w:szCs w:val="16"/>
                <w:lang w:eastAsia="en-GB"/>
              </w:rPr>
              <w:t>789</w:t>
            </w:r>
          </w:p>
        </w:tc>
        <w:tc>
          <w:tcPr>
            <w:tcW w:w="850" w:type="dxa"/>
            <w:tcBorders>
              <w:top w:val="nil"/>
              <w:left w:val="nil"/>
              <w:bottom w:val="nil"/>
              <w:right w:val="single" w:sz="4" w:space="0" w:color="auto"/>
            </w:tcBorders>
            <w:shd w:val="clear" w:color="auto" w:fill="auto"/>
            <w:noWrap/>
            <w:vAlign w:val="bottom"/>
            <w:hideMark/>
          </w:tcPr>
          <w:p w14:paraId="170A23C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7B0BAC8F"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11</w:t>
            </w:r>
          </w:p>
        </w:tc>
        <w:tc>
          <w:tcPr>
            <w:tcW w:w="864" w:type="dxa"/>
            <w:tcBorders>
              <w:top w:val="nil"/>
              <w:left w:val="nil"/>
              <w:bottom w:val="nil"/>
              <w:right w:val="single" w:sz="4" w:space="0" w:color="auto"/>
            </w:tcBorders>
            <w:shd w:val="clear" w:color="auto" w:fill="auto"/>
            <w:noWrap/>
            <w:vAlign w:val="bottom"/>
            <w:hideMark/>
          </w:tcPr>
          <w:p w14:paraId="09E7E24A"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sz w:val="16"/>
                <w:szCs w:val="16"/>
                <w:lang w:eastAsia="en-GB"/>
              </w:rPr>
              <w:t>29</w:t>
            </w:r>
          </w:p>
        </w:tc>
        <w:tc>
          <w:tcPr>
            <w:tcW w:w="875" w:type="dxa"/>
            <w:tcBorders>
              <w:top w:val="nil"/>
              <w:left w:val="nil"/>
              <w:bottom w:val="nil"/>
              <w:right w:val="single" w:sz="4" w:space="0" w:color="auto"/>
            </w:tcBorders>
            <w:shd w:val="clear" w:color="auto" w:fill="auto"/>
            <w:noWrap/>
            <w:vAlign w:val="bottom"/>
            <w:hideMark/>
          </w:tcPr>
          <w:p w14:paraId="1FE0D99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62</w:t>
            </w:r>
          </w:p>
        </w:tc>
        <w:tc>
          <w:tcPr>
            <w:tcW w:w="670" w:type="dxa"/>
            <w:tcBorders>
              <w:top w:val="nil"/>
              <w:left w:val="nil"/>
              <w:bottom w:val="nil"/>
              <w:right w:val="single" w:sz="4" w:space="0" w:color="auto"/>
            </w:tcBorders>
            <w:shd w:val="clear" w:color="auto" w:fill="auto"/>
            <w:noWrap/>
            <w:vAlign w:val="bottom"/>
            <w:hideMark/>
          </w:tcPr>
          <w:p w14:paraId="100781B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486</w:t>
            </w:r>
          </w:p>
        </w:tc>
        <w:tc>
          <w:tcPr>
            <w:tcW w:w="709" w:type="dxa"/>
            <w:tcBorders>
              <w:top w:val="nil"/>
              <w:left w:val="nil"/>
              <w:bottom w:val="nil"/>
              <w:right w:val="single" w:sz="4" w:space="0" w:color="auto"/>
            </w:tcBorders>
            <w:shd w:val="clear" w:color="auto" w:fill="auto"/>
            <w:noWrap/>
            <w:vAlign w:val="bottom"/>
            <w:hideMark/>
          </w:tcPr>
          <w:p w14:paraId="0B0834D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156</w:t>
            </w:r>
          </w:p>
        </w:tc>
        <w:tc>
          <w:tcPr>
            <w:tcW w:w="612" w:type="dxa"/>
            <w:tcBorders>
              <w:top w:val="nil"/>
              <w:left w:val="nil"/>
              <w:bottom w:val="nil"/>
              <w:right w:val="single" w:sz="4" w:space="0" w:color="auto"/>
            </w:tcBorders>
            <w:shd w:val="clear" w:color="auto" w:fill="auto"/>
            <w:noWrap/>
            <w:vAlign w:val="bottom"/>
            <w:hideMark/>
          </w:tcPr>
          <w:p w14:paraId="54E0743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176</w:t>
            </w:r>
          </w:p>
        </w:tc>
        <w:tc>
          <w:tcPr>
            <w:tcW w:w="806" w:type="dxa"/>
            <w:tcBorders>
              <w:top w:val="nil"/>
              <w:left w:val="nil"/>
              <w:bottom w:val="nil"/>
              <w:right w:val="single" w:sz="4" w:space="0" w:color="auto"/>
            </w:tcBorders>
            <w:shd w:val="clear" w:color="auto" w:fill="auto"/>
            <w:noWrap/>
            <w:vAlign w:val="bottom"/>
            <w:hideMark/>
          </w:tcPr>
          <w:p w14:paraId="41D69CA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-12</w:t>
            </w:r>
          </w:p>
        </w:tc>
        <w:tc>
          <w:tcPr>
            <w:tcW w:w="1040" w:type="dxa"/>
            <w:tcBorders>
              <w:top w:val="nil"/>
              <w:left w:val="nil"/>
              <w:bottom w:val="nil"/>
              <w:right w:val="single" w:sz="4" w:space="0" w:color="auto"/>
            </w:tcBorders>
            <w:shd w:val="clear" w:color="auto" w:fill="auto"/>
            <w:noWrap/>
            <w:vAlign w:val="bottom"/>
            <w:hideMark/>
          </w:tcPr>
          <w:p w14:paraId="61454BA6"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3A73FEFD" w14:textId="7C17179F"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5B24EB">
              <w:rPr>
                <w:rFonts w:cs="Calibri"/>
                <w:b/>
                <w:bCs/>
                <w:sz w:val="16"/>
                <w:szCs w:val="16"/>
                <w:lang w:eastAsia="en-GB"/>
              </w:rPr>
              <w:t>- 3</w:t>
            </w:r>
            <w:r w:rsidR="00EC26EC">
              <w:rPr>
                <w:rFonts w:cs="Calibri"/>
                <w:b/>
                <w:bCs/>
                <w:sz w:val="16"/>
                <w:szCs w:val="16"/>
                <w:lang w:eastAsia="en-GB"/>
              </w:rPr>
              <w:t> </w:t>
            </w:r>
            <w:r w:rsidRPr="005B24EB">
              <w:rPr>
                <w:rFonts w:cs="Calibri"/>
                <w:b/>
                <w:bCs/>
                <w:sz w:val="16"/>
                <w:szCs w:val="16"/>
                <w:lang w:eastAsia="en-GB"/>
              </w:rPr>
              <w:t>880</w:t>
            </w:r>
          </w:p>
        </w:tc>
      </w:tr>
      <w:tr w:rsidR="00B56A7B" w:rsidRPr="000C156A" w14:paraId="6410B985"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0EE2BF66"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2BD57124"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366237B0"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70FF2AF5"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081FF8E9"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1134" w:type="dxa"/>
            <w:tcBorders>
              <w:top w:val="nil"/>
              <w:left w:val="nil"/>
              <w:bottom w:val="nil"/>
              <w:right w:val="nil"/>
            </w:tcBorders>
            <w:shd w:val="clear" w:color="auto" w:fill="auto"/>
            <w:noWrap/>
            <w:vAlign w:val="bottom"/>
            <w:hideMark/>
          </w:tcPr>
          <w:p w14:paraId="4D9CB884"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105F90C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3D42AAB7"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419C08B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1A0662D1"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0209B0B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48CD063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7C744C7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14A7467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7046B17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631346E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7594AF29"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p>
        </w:tc>
      </w:tr>
      <w:tr w:rsidR="00B56A7B" w:rsidRPr="000C156A" w14:paraId="371F890C" w14:textId="77777777" w:rsidTr="00CC47BD">
        <w:trPr>
          <w:trHeight w:val="255"/>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70AA0672"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hint="eastAsia"/>
                <w:b/>
                <w:bCs/>
                <w:noProof/>
                <w:sz w:val="16"/>
                <w:szCs w:val="16"/>
                <w:lang w:val="en-US"/>
              </w:rPr>
              <w:t>收入合计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6292B"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2623DF" w14:textId="0F854823"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37</w:t>
            </w:r>
            <w:r w:rsidR="00EC26EC">
              <w:rPr>
                <w:rFonts w:cs="Calibri"/>
                <w:b/>
                <w:bCs/>
                <w:color w:val="000000"/>
                <w:sz w:val="16"/>
                <w:szCs w:val="16"/>
                <w:lang w:eastAsia="en-GB"/>
              </w:rPr>
              <w:t> </w:t>
            </w:r>
            <w:r w:rsidRPr="008124C5">
              <w:rPr>
                <w:rFonts w:cs="Calibri"/>
                <w:b/>
                <w:bCs/>
                <w:color w:val="000000"/>
                <w:sz w:val="16"/>
                <w:szCs w:val="16"/>
                <w:lang w:eastAsia="en-GB"/>
              </w:rPr>
              <w:t>389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3B0643" w14:textId="68D9B564"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8</w:t>
            </w:r>
            <w:r w:rsidR="00EC26EC">
              <w:rPr>
                <w:rFonts w:cs="Calibri"/>
                <w:b/>
                <w:bCs/>
                <w:color w:val="000000"/>
                <w:sz w:val="16"/>
                <w:szCs w:val="16"/>
                <w:lang w:eastAsia="en-GB"/>
              </w:rPr>
              <w:t> </w:t>
            </w:r>
            <w:r w:rsidRPr="008124C5">
              <w:rPr>
                <w:rFonts w:cs="Calibri"/>
                <w:b/>
                <w:bCs/>
                <w:color w:val="000000"/>
                <w:sz w:val="16"/>
                <w:szCs w:val="16"/>
                <w:lang w:eastAsia="en-GB"/>
              </w:rPr>
              <w:t>380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6C39E5" w14:textId="33EAC01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w:t>
            </w:r>
            <w:r w:rsidR="00EC26EC">
              <w:rPr>
                <w:rFonts w:cs="Calibri"/>
                <w:b/>
                <w:bCs/>
                <w:color w:val="000000"/>
                <w:sz w:val="16"/>
                <w:szCs w:val="16"/>
                <w:lang w:eastAsia="en-GB"/>
              </w:rPr>
              <w:t> </w:t>
            </w:r>
            <w:r w:rsidRPr="008124C5">
              <w:rPr>
                <w:rFonts w:cs="Calibri"/>
                <w:b/>
                <w:bCs/>
                <w:color w:val="000000"/>
                <w:sz w:val="16"/>
                <w:szCs w:val="16"/>
                <w:lang w:eastAsia="en-GB"/>
              </w:rPr>
              <w:t>720</w:t>
            </w:r>
          </w:p>
        </w:tc>
        <w:tc>
          <w:tcPr>
            <w:tcW w:w="1134" w:type="dxa"/>
            <w:tcBorders>
              <w:top w:val="single" w:sz="4" w:space="0" w:color="auto"/>
              <w:left w:val="nil"/>
              <w:bottom w:val="single" w:sz="4" w:space="0" w:color="auto"/>
              <w:right w:val="nil"/>
            </w:tcBorders>
            <w:shd w:val="clear" w:color="auto" w:fill="auto"/>
            <w:noWrap/>
            <w:vAlign w:val="center"/>
            <w:hideMark/>
          </w:tcPr>
          <w:p w14:paraId="51F5BBEA" w14:textId="2A6D8FFA"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105</w:t>
            </w:r>
            <w:r w:rsidR="00EC26EC">
              <w:rPr>
                <w:rFonts w:cs="Calibri"/>
                <w:b/>
                <w:bCs/>
                <w:color w:val="000000"/>
                <w:sz w:val="16"/>
                <w:szCs w:val="16"/>
                <w:lang w:eastAsia="en-GB"/>
              </w:rPr>
              <w:t> </w:t>
            </w:r>
            <w:r w:rsidRPr="008124C5">
              <w:rPr>
                <w:rFonts w:cs="Calibri"/>
                <w:b/>
                <w:bCs/>
                <w:color w:val="000000"/>
                <w:sz w:val="16"/>
                <w:szCs w:val="16"/>
                <w:lang w:eastAsia="en-GB"/>
              </w:rPr>
              <w:t>184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6E2E9" w14:textId="538A2E3E"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152</w:t>
            </w:r>
            <w:r w:rsidR="00EC26EC">
              <w:rPr>
                <w:rFonts w:cs="Calibri"/>
                <w:b/>
                <w:bCs/>
                <w:color w:val="000000"/>
                <w:sz w:val="16"/>
                <w:szCs w:val="16"/>
                <w:lang w:eastAsia="en-GB"/>
              </w:rPr>
              <w:t> </w:t>
            </w:r>
            <w:r w:rsidRPr="008124C5">
              <w:rPr>
                <w:rFonts w:cs="Calibri"/>
                <w:b/>
                <w:bCs/>
                <w:color w:val="000000"/>
                <w:sz w:val="16"/>
                <w:szCs w:val="16"/>
                <w:lang w:eastAsia="en-GB"/>
              </w:rPr>
              <w:t>705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ABFBDB"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E9DA06" w14:textId="2CC9073B"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10</w:t>
            </w:r>
            <w:r w:rsidR="00EC26EC">
              <w:rPr>
                <w:rFonts w:cs="Calibri"/>
                <w:b/>
                <w:bCs/>
                <w:color w:val="000000"/>
                <w:sz w:val="16"/>
                <w:szCs w:val="16"/>
                <w:lang w:eastAsia="en-GB"/>
              </w:rPr>
              <w:t> </w:t>
            </w:r>
            <w:r w:rsidRPr="008124C5">
              <w:rPr>
                <w:rFonts w:cs="Calibri"/>
                <w:b/>
                <w:bCs/>
                <w:color w:val="000000"/>
                <w:sz w:val="16"/>
                <w:szCs w:val="16"/>
                <w:lang w:eastAsia="en-GB"/>
              </w:rPr>
              <w:t>011</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15DED60"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29</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4B684382" w14:textId="72F04CC3"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3</w:t>
            </w:r>
            <w:r w:rsidR="00EC26EC">
              <w:rPr>
                <w:rFonts w:cs="Calibri"/>
                <w:b/>
                <w:bCs/>
                <w:color w:val="000000"/>
                <w:sz w:val="16"/>
                <w:szCs w:val="16"/>
                <w:lang w:eastAsia="en-GB"/>
              </w:rPr>
              <w:t> </w:t>
            </w:r>
            <w:r w:rsidRPr="008124C5">
              <w:rPr>
                <w:rFonts w:cs="Calibri"/>
                <w:b/>
                <w:bCs/>
                <w:color w:val="000000"/>
                <w:sz w:val="16"/>
                <w:szCs w:val="16"/>
                <w:lang w:eastAsia="en-GB"/>
              </w:rPr>
              <w:t>064</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79F29E93" w14:textId="1441CB2F"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5</w:t>
            </w:r>
            <w:r w:rsidR="00EC26EC">
              <w:rPr>
                <w:rFonts w:cs="Calibri"/>
                <w:b/>
                <w:bCs/>
                <w:color w:val="000000"/>
                <w:sz w:val="16"/>
                <w:szCs w:val="16"/>
                <w:lang w:eastAsia="en-GB"/>
              </w:rPr>
              <w:t> </w:t>
            </w:r>
            <w:r w:rsidRPr="008124C5">
              <w:rPr>
                <w:rFonts w:cs="Calibri"/>
                <w:b/>
                <w:bCs/>
                <w:color w:val="000000"/>
                <w:sz w:val="16"/>
                <w:szCs w:val="16"/>
                <w:lang w:eastAsia="en-GB"/>
              </w:rPr>
              <w:t>743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BA7120"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151</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6A92BF0D"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lang w:eastAsia="en-GB"/>
              </w:rPr>
              <w:t>2</w:t>
            </w:r>
            <w:r w:rsidRPr="008124C5">
              <w:rPr>
                <w:rFonts w:cs="Calibri"/>
                <w:b/>
                <w:bCs/>
                <w:color w:val="000000"/>
                <w:sz w:val="16"/>
                <w:szCs w:val="16"/>
                <w:lang w:eastAsia="en-GB"/>
              </w:rPr>
              <w:t>43</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1AB83B41"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42</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8C5E4D0" w14:textId="4F6837A0"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5B24EB">
              <w:rPr>
                <w:rFonts w:cs="Calibri"/>
                <w:b/>
                <w:bCs/>
                <w:color w:val="000000"/>
                <w:sz w:val="16"/>
                <w:szCs w:val="16"/>
                <w:lang w:eastAsia="en-GB"/>
              </w:rPr>
              <w:t>-1</w:t>
            </w:r>
            <w:r w:rsidR="00EC26EC">
              <w:rPr>
                <w:rFonts w:cs="Calibri"/>
                <w:b/>
                <w:bCs/>
                <w:color w:val="000000"/>
                <w:sz w:val="16"/>
                <w:szCs w:val="16"/>
                <w:lang w:eastAsia="en-GB"/>
              </w:rPr>
              <w:t> </w:t>
            </w:r>
            <w:r w:rsidRPr="005B24EB">
              <w:rPr>
                <w:rFonts w:cs="Calibri"/>
                <w:b/>
                <w:bCs/>
                <w:color w:val="000000"/>
                <w:sz w:val="16"/>
                <w:szCs w:val="16"/>
                <w:lang w:eastAsia="en-GB"/>
              </w:rPr>
              <w:t>614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4AE7BBE1" w14:textId="43DF2E0C"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5B24EB">
              <w:rPr>
                <w:rFonts w:cs="Calibri"/>
                <w:b/>
                <w:bCs/>
                <w:color w:val="000000"/>
                <w:sz w:val="16"/>
                <w:szCs w:val="16"/>
                <w:lang w:eastAsia="en-GB"/>
              </w:rPr>
              <w:t>170</w:t>
            </w:r>
            <w:r w:rsidR="00EC26EC">
              <w:rPr>
                <w:rFonts w:cs="Calibri"/>
                <w:b/>
                <w:bCs/>
                <w:color w:val="000000"/>
                <w:sz w:val="16"/>
                <w:szCs w:val="16"/>
                <w:lang w:eastAsia="en-GB"/>
              </w:rPr>
              <w:t> </w:t>
            </w:r>
            <w:r w:rsidRPr="005B24EB">
              <w:rPr>
                <w:rFonts w:cs="Calibri"/>
                <w:b/>
                <w:bCs/>
                <w:color w:val="000000"/>
                <w:sz w:val="16"/>
                <w:szCs w:val="16"/>
                <w:lang w:eastAsia="en-GB"/>
              </w:rPr>
              <w:t>373</w:t>
            </w:r>
          </w:p>
        </w:tc>
      </w:tr>
      <w:tr w:rsidR="00B56A7B" w:rsidRPr="000C156A" w14:paraId="4381DC00"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4FD950D3"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hint="eastAsia"/>
                <w:b/>
                <w:bCs/>
                <w:noProof/>
                <w:sz w:val="16"/>
                <w:szCs w:val="16"/>
                <w:lang w:val="en-US"/>
              </w:rPr>
              <w:t>费用</w:t>
            </w:r>
          </w:p>
        </w:tc>
        <w:tc>
          <w:tcPr>
            <w:tcW w:w="992" w:type="dxa"/>
            <w:tcBorders>
              <w:top w:val="nil"/>
              <w:left w:val="single" w:sz="4" w:space="0" w:color="auto"/>
              <w:bottom w:val="nil"/>
              <w:right w:val="single" w:sz="4" w:space="0" w:color="auto"/>
            </w:tcBorders>
            <w:shd w:val="clear" w:color="auto" w:fill="auto"/>
            <w:noWrap/>
            <w:vAlign w:val="bottom"/>
            <w:hideMark/>
          </w:tcPr>
          <w:p w14:paraId="5EFE82B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64E9C56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7746E43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75AE367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14:paraId="376BA83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382199C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7C163A6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7BCBF8C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5B12F4E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014943D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72BB67D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1A8C794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1A1679A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6B44FC9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509B044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6600B08C"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r>
      <w:tr w:rsidR="00B56A7B" w:rsidRPr="000C156A" w14:paraId="7ECD6C88"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67E1D07A"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p>
        </w:tc>
        <w:tc>
          <w:tcPr>
            <w:tcW w:w="992" w:type="dxa"/>
            <w:tcBorders>
              <w:top w:val="nil"/>
              <w:left w:val="single" w:sz="4" w:space="0" w:color="auto"/>
              <w:bottom w:val="nil"/>
              <w:right w:val="single" w:sz="4" w:space="0" w:color="auto"/>
            </w:tcBorders>
            <w:shd w:val="clear" w:color="auto" w:fill="auto"/>
            <w:noWrap/>
            <w:vAlign w:val="bottom"/>
            <w:hideMark/>
          </w:tcPr>
          <w:p w14:paraId="5D07C86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0EA05A2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38AF8D9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41D7CA9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14:paraId="0E851DC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23D3A02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08B4AC2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163C0FE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193C022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2E2BE3E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64D28B7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7C3DA58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64032C1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68BE58B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695E952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6C8D2B92"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p>
        </w:tc>
      </w:tr>
      <w:tr w:rsidR="00B56A7B" w:rsidRPr="000C156A" w14:paraId="5FE501D7"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29C99E36"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人员</w:t>
            </w:r>
            <w:r w:rsidRPr="000C156A">
              <w:rPr>
                <w:rFonts w:hint="eastAsia"/>
                <w:noProof/>
                <w:sz w:val="16"/>
                <w:szCs w:val="16"/>
                <w:lang w:val="en-US"/>
              </w:rPr>
              <w:t>费用</w:t>
            </w:r>
          </w:p>
        </w:tc>
        <w:tc>
          <w:tcPr>
            <w:tcW w:w="992" w:type="dxa"/>
            <w:tcBorders>
              <w:top w:val="nil"/>
              <w:left w:val="single" w:sz="4" w:space="0" w:color="auto"/>
              <w:bottom w:val="nil"/>
              <w:right w:val="single" w:sz="4" w:space="0" w:color="auto"/>
            </w:tcBorders>
            <w:shd w:val="clear" w:color="auto" w:fill="auto"/>
            <w:noWrap/>
            <w:vAlign w:val="bottom"/>
            <w:hideMark/>
          </w:tcPr>
          <w:p w14:paraId="36C73A63" w14:textId="7AF73C52"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60</w:t>
            </w:r>
            <w:r w:rsidR="00EC26EC">
              <w:rPr>
                <w:rFonts w:cs="Calibri"/>
                <w:color w:val="000000"/>
                <w:sz w:val="16"/>
                <w:szCs w:val="16"/>
                <w:lang w:eastAsia="en-GB"/>
              </w:rPr>
              <w:t> </w:t>
            </w:r>
            <w:r w:rsidRPr="008124C5">
              <w:rPr>
                <w:rFonts w:cs="Calibri"/>
                <w:color w:val="000000"/>
                <w:sz w:val="16"/>
                <w:szCs w:val="16"/>
                <w:lang w:eastAsia="en-GB"/>
              </w:rPr>
              <w:t>672</w:t>
            </w:r>
          </w:p>
        </w:tc>
        <w:tc>
          <w:tcPr>
            <w:tcW w:w="709" w:type="dxa"/>
            <w:tcBorders>
              <w:top w:val="nil"/>
              <w:left w:val="nil"/>
              <w:bottom w:val="nil"/>
              <w:right w:val="single" w:sz="4" w:space="0" w:color="auto"/>
            </w:tcBorders>
            <w:shd w:val="clear" w:color="auto" w:fill="auto"/>
            <w:noWrap/>
            <w:vAlign w:val="bottom"/>
            <w:hideMark/>
          </w:tcPr>
          <w:p w14:paraId="1417A75B" w14:textId="09D697B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lang w:eastAsia="en-GB"/>
              </w:rPr>
              <w:t>2</w:t>
            </w:r>
            <w:r w:rsidRPr="008124C5">
              <w:rPr>
                <w:rFonts w:cs="Calibri"/>
                <w:color w:val="000000"/>
                <w:sz w:val="16"/>
                <w:szCs w:val="16"/>
                <w:lang w:eastAsia="en-GB"/>
              </w:rPr>
              <w:t>5</w:t>
            </w:r>
            <w:r w:rsidR="00EC26EC">
              <w:rPr>
                <w:rFonts w:cs="Calibri"/>
                <w:color w:val="000000"/>
                <w:sz w:val="16"/>
                <w:szCs w:val="16"/>
                <w:lang w:eastAsia="en-GB"/>
              </w:rPr>
              <w:t> </w:t>
            </w:r>
            <w:r w:rsidRPr="008124C5">
              <w:rPr>
                <w:rFonts w:cs="Calibri"/>
                <w:color w:val="000000"/>
                <w:sz w:val="16"/>
                <w:szCs w:val="16"/>
                <w:lang w:eastAsia="en-GB"/>
              </w:rPr>
              <w:t>419</w:t>
            </w:r>
          </w:p>
        </w:tc>
        <w:tc>
          <w:tcPr>
            <w:tcW w:w="992" w:type="dxa"/>
            <w:tcBorders>
              <w:top w:val="nil"/>
              <w:left w:val="nil"/>
              <w:bottom w:val="nil"/>
              <w:right w:val="single" w:sz="4" w:space="0" w:color="auto"/>
            </w:tcBorders>
            <w:shd w:val="clear" w:color="auto" w:fill="auto"/>
            <w:noWrap/>
            <w:vAlign w:val="bottom"/>
            <w:hideMark/>
          </w:tcPr>
          <w:p w14:paraId="6A7C1B28" w14:textId="3F6742E1"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11</w:t>
            </w:r>
            <w:r w:rsidR="00EC26EC">
              <w:rPr>
                <w:rFonts w:cs="Calibri"/>
                <w:color w:val="000000"/>
                <w:sz w:val="16"/>
                <w:szCs w:val="16"/>
                <w:lang w:eastAsia="en-GB"/>
              </w:rPr>
              <w:t> </w:t>
            </w:r>
            <w:r w:rsidRPr="008124C5">
              <w:rPr>
                <w:rFonts w:cs="Calibri"/>
                <w:color w:val="000000"/>
                <w:sz w:val="16"/>
                <w:szCs w:val="16"/>
                <w:lang w:eastAsia="en-GB"/>
              </w:rPr>
              <w:t>926</w:t>
            </w:r>
          </w:p>
        </w:tc>
        <w:tc>
          <w:tcPr>
            <w:tcW w:w="992" w:type="dxa"/>
            <w:tcBorders>
              <w:top w:val="nil"/>
              <w:left w:val="nil"/>
              <w:bottom w:val="nil"/>
              <w:right w:val="single" w:sz="4" w:space="0" w:color="auto"/>
            </w:tcBorders>
            <w:shd w:val="clear" w:color="auto" w:fill="auto"/>
            <w:noWrap/>
            <w:vAlign w:val="bottom"/>
            <w:hideMark/>
          </w:tcPr>
          <w:p w14:paraId="362ACA36" w14:textId="27A82FB2"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22</w:t>
            </w:r>
            <w:r w:rsidR="00EC26EC">
              <w:rPr>
                <w:rFonts w:cs="Calibri"/>
                <w:color w:val="000000"/>
                <w:sz w:val="16"/>
                <w:szCs w:val="16"/>
                <w:lang w:eastAsia="en-GB"/>
              </w:rPr>
              <w:t> </w:t>
            </w:r>
            <w:r w:rsidRPr="008124C5">
              <w:rPr>
                <w:rFonts w:cs="Calibri"/>
                <w:color w:val="000000"/>
                <w:sz w:val="16"/>
                <w:szCs w:val="16"/>
                <w:lang w:eastAsia="en-GB"/>
              </w:rPr>
              <w:t>426</w:t>
            </w:r>
          </w:p>
        </w:tc>
        <w:tc>
          <w:tcPr>
            <w:tcW w:w="1134" w:type="dxa"/>
            <w:tcBorders>
              <w:top w:val="nil"/>
              <w:left w:val="nil"/>
              <w:bottom w:val="nil"/>
              <w:right w:val="single" w:sz="4" w:space="0" w:color="auto"/>
            </w:tcBorders>
            <w:shd w:val="clear" w:color="auto" w:fill="auto"/>
            <w:noWrap/>
            <w:vAlign w:val="bottom"/>
            <w:hideMark/>
          </w:tcPr>
          <w:p w14:paraId="229C5D0D" w14:textId="33A44C9B"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28</w:t>
            </w:r>
            <w:r w:rsidR="00EC26EC">
              <w:rPr>
                <w:rFonts w:cs="Calibri"/>
                <w:color w:val="000000"/>
                <w:sz w:val="16"/>
                <w:szCs w:val="16"/>
                <w:lang w:eastAsia="en-GB"/>
              </w:rPr>
              <w:t> </w:t>
            </w:r>
            <w:r w:rsidRPr="008124C5">
              <w:rPr>
                <w:rFonts w:cs="Calibri"/>
                <w:color w:val="000000"/>
                <w:sz w:val="16"/>
                <w:szCs w:val="16"/>
                <w:lang w:eastAsia="en-GB"/>
              </w:rPr>
              <w:t>123</w:t>
            </w:r>
          </w:p>
        </w:tc>
        <w:tc>
          <w:tcPr>
            <w:tcW w:w="993" w:type="dxa"/>
            <w:tcBorders>
              <w:top w:val="nil"/>
              <w:left w:val="nil"/>
              <w:bottom w:val="nil"/>
              <w:right w:val="single" w:sz="4" w:space="0" w:color="auto"/>
            </w:tcBorders>
            <w:shd w:val="clear" w:color="auto" w:fill="auto"/>
            <w:noWrap/>
            <w:vAlign w:val="bottom"/>
            <w:hideMark/>
          </w:tcPr>
          <w:p w14:paraId="63AA709F" w14:textId="5F3E6818"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148</w:t>
            </w:r>
            <w:r w:rsidR="00EC26EC">
              <w:rPr>
                <w:rFonts w:cs="Calibri"/>
                <w:b/>
                <w:bCs/>
                <w:color w:val="000000"/>
                <w:sz w:val="16"/>
                <w:szCs w:val="16"/>
                <w:lang w:eastAsia="en-GB"/>
              </w:rPr>
              <w:t> </w:t>
            </w:r>
            <w:r w:rsidRPr="008124C5">
              <w:rPr>
                <w:rFonts w:cs="Calibri"/>
                <w:b/>
                <w:bCs/>
                <w:color w:val="000000"/>
                <w:sz w:val="16"/>
                <w:szCs w:val="16"/>
                <w:lang w:eastAsia="en-GB"/>
              </w:rPr>
              <w:t>567</w:t>
            </w:r>
          </w:p>
        </w:tc>
        <w:tc>
          <w:tcPr>
            <w:tcW w:w="850" w:type="dxa"/>
            <w:tcBorders>
              <w:top w:val="nil"/>
              <w:left w:val="nil"/>
              <w:bottom w:val="nil"/>
              <w:right w:val="single" w:sz="4" w:space="0" w:color="auto"/>
            </w:tcBorders>
            <w:shd w:val="clear" w:color="auto" w:fill="auto"/>
            <w:noWrap/>
            <w:vAlign w:val="bottom"/>
            <w:hideMark/>
          </w:tcPr>
          <w:p w14:paraId="1CAF66B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10055ED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3914337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17</w:t>
            </w:r>
          </w:p>
        </w:tc>
        <w:tc>
          <w:tcPr>
            <w:tcW w:w="875" w:type="dxa"/>
            <w:tcBorders>
              <w:top w:val="nil"/>
              <w:left w:val="nil"/>
              <w:bottom w:val="nil"/>
              <w:right w:val="single" w:sz="4" w:space="0" w:color="auto"/>
            </w:tcBorders>
            <w:shd w:val="clear" w:color="auto" w:fill="auto"/>
            <w:noWrap/>
            <w:vAlign w:val="bottom"/>
            <w:hideMark/>
          </w:tcPr>
          <w:p w14:paraId="57069858" w14:textId="56E2EE2F"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r w:rsidR="00EC26EC">
              <w:rPr>
                <w:rFonts w:cs="Calibri"/>
                <w:color w:val="000000"/>
                <w:sz w:val="16"/>
                <w:szCs w:val="16"/>
                <w:lang w:eastAsia="en-GB"/>
              </w:rPr>
              <w:t> </w:t>
            </w:r>
            <w:r w:rsidRPr="008124C5">
              <w:rPr>
                <w:rFonts w:cs="Calibri"/>
                <w:color w:val="000000"/>
                <w:sz w:val="16"/>
                <w:szCs w:val="16"/>
                <w:lang w:eastAsia="en-GB"/>
              </w:rPr>
              <w:t>165</w:t>
            </w:r>
          </w:p>
        </w:tc>
        <w:tc>
          <w:tcPr>
            <w:tcW w:w="670" w:type="dxa"/>
            <w:tcBorders>
              <w:top w:val="nil"/>
              <w:left w:val="nil"/>
              <w:bottom w:val="nil"/>
              <w:right w:val="single" w:sz="4" w:space="0" w:color="auto"/>
            </w:tcBorders>
            <w:shd w:val="clear" w:color="auto" w:fill="auto"/>
            <w:noWrap/>
            <w:vAlign w:val="bottom"/>
            <w:hideMark/>
          </w:tcPr>
          <w:p w14:paraId="330F5271" w14:textId="3C54EFF4"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r w:rsidR="00EC26EC">
              <w:rPr>
                <w:rFonts w:cs="Calibri"/>
                <w:color w:val="000000"/>
                <w:sz w:val="16"/>
                <w:szCs w:val="16"/>
                <w:lang w:eastAsia="en-GB"/>
              </w:rPr>
              <w:t> </w:t>
            </w:r>
            <w:r w:rsidRPr="008124C5">
              <w:rPr>
                <w:rFonts w:cs="Calibri"/>
                <w:color w:val="000000"/>
                <w:sz w:val="16"/>
                <w:szCs w:val="16"/>
                <w:lang w:eastAsia="en-GB"/>
              </w:rPr>
              <w:t>913</w:t>
            </w:r>
          </w:p>
        </w:tc>
        <w:tc>
          <w:tcPr>
            <w:tcW w:w="709" w:type="dxa"/>
            <w:tcBorders>
              <w:top w:val="nil"/>
              <w:left w:val="nil"/>
              <w:bottom w:val="nil"/>
              <w:right w:val="single" w:sz="4" w:space="0" w:color="auto"/>
            </w:tcBorders>
            <w:shd w:val="clear" w:color="auto" w:fill="auto"/>
            <w:noWrap/>
            <w:vAlign w:val="bottom"/>
            <w:hideMark/>
          </w:tcPr>
          <w:p w14:paraId="6DDA972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75E5DF2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0EADC9BC" w14:textId="32F4CBC2"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w:t>
            </w:r>
            <w:r w:rsidR="00EC26EC">
              <w:rPr>
                <w:rFonts w:cs="Calibri"/>
                <w:color w:val="000000"/>
                <w:sz w:val="16"/>
                <w:szCs w:val="16"/>
                <w:lang w:eastAsia="en-GB"/>
              </w:rPr>
              <w:t> </w:t>
            </w:r>
            <w:r w:rsidRPr="008124C5">
              <w:rPr>
                <w:rFonts w:cs="Calibri"/>
                <w:color w:val="000000"/>
                <w:sz w:val="16"/>
                <w:szCs w:val="16"/>
                <w:lang w:eastAsia="en-GB"/>
              </w:rPr>
              <w:t>163</w:t>
            </w:r>
          </w:p>
        </w:tc>
        <w:tc>
          <w:tcPr>
            <w:tcW w:w="1040" w:type="dxa"/>
            <w:tcBorders>
              <w:top w:val="nil"/>
              <w:left w:val="nil"/>
              <w:bottom w:val="nil"/>
              <w:right w:val="single" w:sz="4" w:space="0" w:color="auto"/>
            </w:tcBorders>
            <w:shd w:val="clear" w:color="auto" w:fill="auto"/>
            <w:noWrap/>
            <w:vAlign w:val="bottom"/>
            <w:hideMark/>
          </w:tcPr>
          <w:p w14:paraId="3C20F58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2" w:type="dxa"/>
            <w:tcBorders>
              <w:top w:val="nil"/>
              <w:left w:val="nil"/>
              <w:bottom w:val="nil"/>
              <w:right w:val="single" w:sz="4" w:space="0" w:color="auto"/>
            </w:tcBorders>
            <w:shd w:val="clear" w:color="auto" w:fill="auto"/>
            <w:noWrap/>
            <w:vAlign w:val="bottom"/>
            <w:hideMark/>
          </w:tcPr>
          <w:p w14:paraId="577934A2" w14:textId="60EA3111"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153</w:t>
            </w:r>
            <w:r w:rsidR="00EC26EC">
              <w:rPr>
                <w:rFonts w:cs="Calibri"/>
                <w:b/>
                <w:bCs/>
                <w:sz w:val="16"/>
                <w:szCs w:val="16"/>
                <w:lang w:eastAsia="en-GB"/>
              </w:rPr>
              <w:t> </w:t>
            </w:r>
            <w:r w:rsidRPr="008124C5">
              <w:rPr>
                <w:rFonts w:cs="Calibri"/>
                <w:b/>
                <w:bCs/>
                <w:sz w:val="16"/>
                <w:szCs w:val="16"/>
                <w:lang w:eastAsia="en-GB"/>
              </w:rPr>
              <w:t>825</w:t>
            </w:r>
          </w:p>
        </w:tc>
      </w:tr>
      <w:tr w:rsidR="00B56A7B" w:rsidRPr="000C156A" w14:paraId="43EE1E31"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6F8490E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30</w:t>
            </w:r>
          </w:p>
        </w:tc>
        <w:tc>
          <w:tcPr>
            <w:tcW w:w="992" w:type="dxa"/>
            <w:tcBorders>
              <w:top w:val="nil"/>
              <w:left w:val="single" w:sz="4" w:space="0" w:color="auto"/>
              <w:bottom w:val="nil"/>
              <w:right w:val="single" w:sz="4" w:space="0" w:color="auto"/>
            </w:tcBorders>
            <w:shd w:val="clear" w:color="auto" w:fill="auto"/>
            <w:noWrap/>
            <w:vAlign w:val="bottom"/>
            <w:hideMark/>
          </w:tcPr>
          <w:p w14:paraId="4BB73100" w14:textId="46276E81"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46</w:t>
            </w:r>
            <w:r w:rsidR="00EC26EC">
              <w:rPr>
                <w:rFonts w:cs="Calibri"/>
                <w:color w:val="000000"/>
                <w:sz w:val="16"/>
                <w:szCs w:val="16"/>
                <w:lang w:eastAsia="en-GB"/>
              </w:rPr>
              <w:t> </w:t>
            </w:r>
            <w:r w:rsidRPr="008124C5">
              <w:rPr>
                <w:rFonts w:cs="Calibri"/>
                <w:color w:val="000000"/>
                <w:sz w:val="16"/>
                <w:szCs w:val="16"/>
                <w:lang w:eastAsia="en-GB"/>
              </w:rPr>
              <w:t>266</w:t>
            </w:r>
          </w:p>
        </w:tc>
        <w:tc>
          <w:tcPr>
            <w:tcW w:w="709" w:type="dxa"/>
            <w:tcBorders>
              <w:top w:val="nil"/>
              <w:left w:val="nil"/>
              <w:bottom w:val="nil"/>
              <w:right w:val="single" w:sz="4" w:space="0" w:color="auto"/>
            </w:tcBorders>
            <w:shd w:val="clear" w:color="auto" w:fill="auto"/>
            <w:noWrap/>
            <w:vAlign w:val="bottom"/>
            <w:hideMark/>
          </w:tcPr>
          <w:p w14:paraId="4DDFB36D" w14:textId="7FBB205A"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19</w:t>
            </w:r>
            <w:r w:rsidR="00EC26EC">
              <w:rPr>
                <w:rFonts w:cs="Calibri"/>
                <w:color w:val="000000"/>
                <w:sz w:val="16"/>
                <w:szCs w:val="16"/>
                <w:lang w:eastAsia="en-GB"/>
              </w:rPr>
              <w:t> </w:t>
            </w:r>
            <w:r w:rsidRPr="008124C5">
              <w:rPr>
                <w:rFonts w:cs="Calibri"/>
                <w:color w:val="000000"/>
                <w:sz w:val="16"/>
                <w:szCs w:val="16"/>
                <w:lang w:eastAsia="en-GB"/>
              </w:rPr>
              <w:t>442</w:t>
            </w:r>
          </w:p>
        </w:tc>
        <w:tc>
          <w:tcPr>
            <w:tcW w:w="992" w:type="dxa"/>
            <w:tcBorders>
              <w:top w:val="nil"/>
              <w:left w:val="nil"/>
              <w:bottom w:val="nil"/>
              <w:right w:val="single" w:sz="4" w:space="0" w:color="auto"/>
            </w:tcBorders>
            <w:shd w:val="clear" w:color="auto" w:fill="auto"/>
            <w:noWrap/>
            <w:vAlign w:val="bottom"/>
            <w:hideMark/>
          </w:tcPr>
          <w:p w14:paraId="19F3420E" w14:textId="331E712A"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8</w:t>
            </w:r>
            <w:r w:rsidR="00EC26EC">
              <w:rPr>
                <w:rFonts w:cs="Calibri"/>
                <w:color w:val="000000"/>
                <w:sz w:val="16"/>
                <w:szCs w:val="16"/>
                <w:lang w:eastAsia="en-GB"/>
              </w:rPr>
              <w:t> </w:t>
            </w:r>
            <w:r w:rsidRPr="008124C5">
              <w:rPr>
                <w:rFonts w:cs="Calibri"/>
                <w:color w:val="000000"/>
                <w:sz w:val="16"/>
                <w:szCs w:val="16"/>
                <w:lang w:eastAsia="en-GB"/>
              </w:rPr>
              <w:t>898</w:t>
            </w:r>
          </w:p>
        </w:tc>
        <w:tc>
          <w:tcPr>
            <w:tcW w:w="992" w:type="dxa"/>
            <w:tcBorders>
              <w:top w:val="nil"/>
              <w:left w:val="nil"/>
              <w:bottom w:val="nil"/>
              <w:right w:val="single" w:sz="4" w:space="0" w:color="auto"/>
            </w:tcBorders>
            <w:shd w:val="clear" w:color="auto" w:fill="auto"/>
            <w:noWrap/>
            <w:vAlign w:val="bottom"/>
            <w:hideMark/>
          </w:tcPr>
          <w:p w14:paraId="2439C451" w14:textId="324CEC79"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16</w:t>
            </w:r>
            <w:r w:rsidR="00EC26EC">
              <w:rPr>
                <w:rFonts w:cs="Calibri"/>
                <w:color w:val="000000"/>
                <w:sz w:val="16"/>
                <w:szCs w:val="16"/>
                <w:lang w:eastAsia="en-GB"/>
              </w:rPr>
              <w:t> </w:t>
            </w:r>
            <w:r w:rsidRPr="008124C5">
              <w:rPr>
                <w:rFonts w:cs="Calibri"/>
                <w:color w:val="000000"/>
                <w:sz w:val="16"/>
                <w:szCs w:val="16"/>
                <w:lang w:eastAsia="en-GB"/>
              </w:rPr>
              <w:t>590</w:t>
            </w:r>
          </w:p>
        </w:tc>
        <w:tc>
          <w:tcPr>
            <w:tcW w:w="1134" w:type="dxa"/>
            <w:tcBorders>
              <w:top w:val="nil"/>
              <w:left w:val="nil"/>
              <w:bottom w:val="nil"/>
              <w:right w:val="nil"/>
            </w:tcBorders>
            <w:shd w:val="clear" w:color="auto" w:fill="auto"/>
            <w:noWrap/>
            <w:vAlign w:val="bottom"/>
            <w:hideMark/>
          </w:tcPr>
          <w:p w14:paraId="572D17D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lang w:eastAsia="en-GB"/>
              </w:rPr>
              <w:t>10</w:t>
            </w:r>
            <w:r w:rsidRPr="008124C5">
              <w:rPr>
                <w:rFonts w:cs="Calibri"/>
                <w:color w:val="000000"/>
                <w:sz w:val="16"/>
                <w:szCs w:val="16"/>
                <w:lang w:eastAsia="en-GB"/>
              </w:rPr>
              <w:t>1</w:t>
            </w:r>
          </w:p>
        </w:tc>
        <w:tc>
          <w:tcPr>
            <w:tcW w:w="993" w:type="dxa"/>
            <w:tcBorders>
              <w:top w:val="nil"/>
              <w:left w:val="single" w:sz="4" w:space="0" w:color="auto"/>
              <w:bottom w:val="nil"/>
              <w:right w:val="single" w:sz="4" w:space="0" w:color="auto"/>
            </w:tcBorders>
            <w:shd w:val="clear" w:color="auto" w:fill="auto"/>
            <w:noWrap/>
            <w:vAlign w:val="bottom"/>
            <w:hideMark/>
          </w:tcPr>
          <w:p w14:paraId="77F95B37" w14:textId="699DD24F"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91</w:t>
            </w:r>
            <w:r w:rsidR="00EC26EC">
              <w:rPr>
                <w:rFonts w:cs="Calibri"/>
                <w:b/>
                <w:bCs/>
                <w:color w:val="000000"/>
                <w:sz w:val="16"/>
                <w:szCs w:val="16"/>
                <w:lang w:eastAsia="en-GB"/>
              </w:rPr>
              <w:t> </w:t>
            </w:r>
            <w:r w:rsidRPr="008124C5">
              <w:rPr>
                <w:rFonts w:cs="Calibri"/>
                <w:b/>
                <w:bCs/>
                <w:color w:val="000000"/>
                <w:sz w:val="16"/>
                <w:szCs w:val="16"/>
                <w:lang w:eastAsia="en-GB"/>
              </w:rPr>
              <w:t>296</w:t>
            </w:r>
          </w:p>
        </w:tc>
        <w:tc>
          <w:tcPr>
            <w:tcW w:w="850" w:type="dxa"/>
            <w:tcBorders>
              <w:top w:val="nil"/>
              <w:left w:val="nil"/>
              <w:bottom w:val="nil"/>
              <w:right w:val="single" w:sz="4" w:space="0" w:color="auto"/>
            </w:tcBorders>
            <w:shd w:val="clear" w:color="auto" w:fill="auto"/>
            <w:noWrap/>
            <w:vAlign w:val="bottom"/>
            <w:hideMark/>
          </w:tcPr>
          <w:p w14:paraId="342D365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458A1D5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5E9470D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75" w:type="dxa"/>
            <w:tcBorders>
              <w:top w:val="nil"/>
              <w:left w:val="nil"/>
              <w:bottom w:val="nil"/>
              <w:right w:val="single" w:sz="4" w:space="0" w:color="auto"/>
            </w:tcBorders>
            <w:shd w:val="clear" w:color="auto" w:fill="auto"/>
            <w:noWrap/>
            <w:vAlign w:val="bottom"/>
            <w:hideMark/>
          </w:tcPr>
          <w:p w14:paraId="7FBABB7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922</w:t>
            </w:r>
          </w:p>
        </w:tc>
        <w:tc>
          <w:tcPr>
            <w:tcW w:w="670" w:type="dxa"/>
            <w:tcBorders>
              <w:top w:val="nil"/>
              <w:left w:val="nil"/>
              <w:bottom w:val="nil"/>
              <w:right w:val="single" w:sz="4" w:space="0" w:color="auto"/>
            </w:tcBorders>
            <w:shd w:val="clear" w:color="auto" w:fill="auto"/>
            <w:noWrap/>
            <w:vAlign w:val="bottom"/>
            <w:hideMark/>
          </w:tcPr>
          <w:p w14:paraId="39B643EE" w14:textId="3D60E3F8"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r w:rsidR="00EC26EC">
              <w:rPr>
                <w:rFonts w:cs="Calibri"/>
                <w:color w:val="000000"/>
                <w:sz w:val="16"/>
                <w:szCs w:val="16"/>
                <w:lang w:eastAsia="en-GB"/>
              </w:rPr>
              <w:t> </w:t>
            </w:r>
            <w:r w:rsidRPr="008124C5">
              <w:rPr>
                <w:rFonts w:cs="Calibri"/>
                <w:color w:val="000000"/>
                <w:sz w:val="16"/>
                <w:szCs w:val="16"/>
                <w:lang w:eastAsia="en-GB"/>
              </w:rPr>
              <w:t>404</w:t>
            </w:r>
          </w:p>
        </w:tc>
        <w:tc>
          <w:tcPr>
            <w:tcW w:w="709" w:type="dxa"/>
            <w:tcBorders>
              <w:top w:val="nil"/>
              <w:left w:val="nil"/>
              <w:bottom w:val="nil"/>
              <w:right w:val="single" w:sz="4" w:space="0" w:color="auto"/>
            </w:tcBorders>
            <w:shd w:val="clear" w:color="auto" w:fill="auto"/>
            <w:noWrap/>
            <w:vAlign w:val="bottom"/>
            <w:hideMark/>
          </w:tcPr>
          <w:p w14:paraId="2058E5C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0D74588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43757E06" w14:textId="7B8E75FD"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r w:rsidR="00EC26EC">
              <w:rPr>
                <w:rFonts w:cs="Calibri"/>
                <w:color w:val="000000"/>
                <w:sz w:val="16"/>
                <w:szCs w:val="16"/>
                <w:lang w:eastAsia="en-GB"/>
              </w:rPr>
              <w:t> </w:t>
            </w:r>
            <w:r w:rsidRPr="008124C5">
              <w:rPr>
                <w:rFonts w:cs="Calibri"/>
                <w:color w:val="000000"/>
                <w:sz w:val="16"/>
                <w:szCs w:val="16"/>
                <w:lang w:eastAsia="en-GB"/>
              </w:rPr>
              <w:t>657</w:t>
            </w:r>
          </w:p>
        </w:tc>
        <w:tc>
          <w:tcPr>
            <w:tcW w:w="1040" w:type="dxa"/>
            <w:tcBorders>
              <w:top w:val="nil"/>
              <w:left w:val="nil"/>
              <w:bottom w:val="nil"/>
              <w:right w:val="single" w:sz="4" w:space="0" w:color="auto"/>
            </w:tcBorders>
            <w:shd w:val="clear" w:color="auto" w:fill="auto"/>
            <w:noWrap/>
            <w:vAlign w:val="bottom"/>
            <w:hideMark/>
          </w:tcPr>
          <w:p w14:paraId="0D70887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2" w:type="dxa"/>
            <w:tcBorders>
              <w:top w:val="nil"/>
              <w:left w:val="nil"/>
              <w:bottom w:val="nil"/>
              <w:right w:val="single" w:sz="4" w:space="0" w:color="auto"/>
            </w:tcBorders>
            <w:shd w:val="clear" w:color="auto" w:fill="auto"/>
            <w:noWrap/>
            <w:vAlign w:val="bottom"/>
            <w:hideMark/>
          </w:tcPr>
          <w:p w14:paraId="31311B39" w14:textId="047035E8"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95</w:t>
            </w:r>
            <w:r w:rsidR="00EC26EC">
              <w:rPr>
                <w:rFonts w:cs="Calibri"/>
                <w:b/>
                <w:bCs/>
                <w:sz w:val="16"/>
                <w:szCs w:val="16"/>
                <w:lang w:eastAsia="en-GB"/>
              </w:rPr>
              <w:t> </w:t>
            </w:r>
            <w:r w:rsidRPr="008124C5">
              <w:rPr>
                <w:rFonts w:cs="Calibri"/>
                <w:b/>
                <w:bCs/>
                <w:sz w:val="16"/>
                <w:szCs w:val="16"/>
                <w:lang w:eastAsia="en-GB"/>
              </w:rPr>
              <w:t>278</w:t>
            </w:r>
          </w:p>
        </w:tc>
      </w:tr>
      <w:tr w:rsidR="00B56A7B" w:rsidRPr="000C156A" w14:paraId="1000E8E1"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2109186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0C156A">
              <w:rPr>
                <w:rFonts w:eastAsia="Times New Roman" w:cs="Calibri"/>
                <w:color w:val="000000"/>
                <w:sz w:val="16"/>
                <w:szCs w:val="16"/>
                <w:lang w:eastAsia="en-GB"/>
              </w:rPr>
              <w:t>31</w:t>
            </w:r>
          </w:p>
        </w:tc>
        <w:tc>
          <w:tcPr>
            <w:tcW w:w="992" w:type="dxa"/>
            <w:tcBorders>
              <w:top w:val="nil"/>
              <w:left w:val="single" w:sz="4" w:space="0" w:color="auto"/>
              <w:bottom w:val="nil"/>
              <w:right w:val="single" w:sz="4" w:space="0" w:color="auto"/>
            </w:tcBorders>
            <w:shd w:val="clear" w:color="auto" w:fill="auto"/>
            <w:noWrap/>
            <w:vAlign w:val="bottom"/>
            <w:hideMark/>
          </w:tcPr>
          <w:p w14:paraId="74F97EF4" w14:textId="63FC6B4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14</w:t>
            </w:r>
            <w:r w:rsidR="00EC26EC">
              <w:rPr>
                <w:rFonts w:cs="Calibri"/>
                <w:color w:val="000000"/>
                <w:sz w:val="16"/>
                <w:szCs w:val="16"/>
                <w:lang w:eastAsia="en-GB"/>
              </w:rPr>
              <w:t> </w:t>
            </w:r>
            <w:r w:rsidRPr="008124C5">
              <w:rPr>
                <w:rFonts w:cs="Calibri"/>
                <w:color w:val="000000"/>
                <w:sz w:val="16"/>
                <w:szCs w:val="16"/>
                <w:lang w:eastAsia="en-GB"/>
              </w:rPr>
              <w:t>406</w:t>
            </w:r>
          </w:p>
        </w:tc>
        <w:tc>
          <w:tcPr>
            <w:tcW w:w="709" w:type="dxa"/>
            <w:tcBorders>
              <w:top w:val="nil"/>
              <w:left w:val="nil"/>
              <w:bottom w:val="nil"/>
              <w:right w:val="single" w:sz="4" w:space="0" w:color="auto"/>
            </w:tcBorders>
            <w:shd w:val="clear" w:color="auto" w:fill="auto"/>
            <w:noWrap/>
            <w:vAlign w:val="bottom"/>
            <w:hideMark/>
          </w:tcPr>
          <w:p w14:paraId="2288538C" w14:textId="239DBFAB"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5</w:t>
            </w:r>
            <w:r w:rsidR="00EC26EC">
              <w:rPr>
                <w:rFonts w:cs="Calibri"/>
                <w:color w:val="000000"/>
                <w:sz w:val="16"/>
                <w:szCs w:val="16"/>
                <w:lang w:eastAsia="en-GB"/>
              </w:rPr>
              <w:t> </w:t>
            </w:r>
            <w:r w:rsidRPr="008124C5">
              <w:rPr>
                <w:rFonts w:cs="Calibri"/>
                <w:color w:val="000000"/>
                <w:sz w:val="16"/>
                <w:szCs w:val="16"/>
                <w:lang w:eastAsia="en-GB"/>
              </w:rPr>
              <w:t>977</w:t>
            </w:r>
          </w:p>
        </w:tc>
        <w:tc>
          <w:tcPr>
            <w:tcW w:w="992" w:type="dxa"/>
            <w:tcBorders>
              <w:top w:val="nil"/>
              <w:left w:val="nil"/>
              <w:bottom w:val="nil"/>
              <w:right w:val="single" w:sz="4" w:space="0" w:color="auto"/>
            </w:tcBorders>
            <w:shd w:val="clear" w:color="auto" w:fill="auto"/>
            <w:noWrap/>
            <w:vAlign w:val="bottom"/>
            <w:hideMark/>
          </w:tcPr>
          <w:p w14:paraId="62F9F3E7" w14:textId="1864E48E"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3</w:t>
            </w:r>
            <w:r w:rsidR="00EC26EC">
              <w:rPr>
                <w:rFonts w:cs="Calibri"/>
                <w:color w:val="000000"/>
                <w:sz w:val="16"/>
                <w:szCs w:val="16"/>
                <w:lang w:eastAsia="en-GB"/>
              </w:rPr>
              <w:t> </w:t>
            </w:r>
            <w:r w:rsidRPr="008124C5">
              <w:rPr>
                <w:rFonts w:cs="Calibri"/>
                <w:color w:val="000000"/>
                <w:sz w:val="16"/>
                <w:szCs w:val="16"/>
                <w:lang w:eastAsia="en-GB"/>
              </w:rPr>
              <w:t>029</w:t>
            </w:r>
          </w:p>
        </w:tc>
        <w:tc>
          <w:tcPr>
            <w:tcW w:w="992" w:type="dxa"/>
            <w:tcBorders>
              <w:top w:val="nil"/>
              <w:left w:val="nil"/>
              <w:bottom w:val="nil"/>
              <w:right w:val="single" w:sz="4" w:space="0" w:color="auto"/>
            </w:tcBorders>
            <w:shd w:val="clear" w:color="auto" w:fill="auto"/>
            <w:noWrap/>
            <w:vAlign w:val="bottom"/>
            <w:hideMark/>
          </w:tcPr>
          <w:p w14:paraId="2A0EE127" w14:textId="43EC0B30"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5</w:t>
            </w:r>
            <w:r w:rsidR="00EC26EC">
              <w:rPr>
                <w:rFonts w:cs="Calibri"/>
                <w:color w:val="000000"/>
                <w:sz w:val="16"/>
                <w:szCs w:val="16"/>
                <w:lang w:eastAsia="en-GB"/>
              </w:rPr>
              <w:t> </w:t>
            </w:r>
            <w:r w:rsidRPr="008124C5">
              <w:rPr>
                <w:rFonts w:cs="Calibri"/>
                <w:color w:val="000000"/>
                <w:sz w:val="16"/>
                <w:szCs w:val="16"/>
                <w:lang w:eastAsia="en-GB"/>
              </w:rPr>
              <w:t>836</w:t>
            </w:r>
          </w:p>
        </w:tc>
        <w:tc>
          <w:tcPr>
            <w:tcW w:w="1134" w:type="dxa"/>
            <w:tcBorders>
              <w:top w:val="nil"/>
              <w:left w:val="nil"/>
              <w:bottom w:val="nil"/>
              <w:right w:val="nil"/>
            </w:tcBorders>
            <w:shd w:val="clear" w:color="auto" w:fill="auto"/>
            <w:noWrap/>
            <w:vAlign w:val="bottom"/>
            <w:hideMark/>
          </w:tcPr>
          <w:p w14:paraId="17E04ECA" w14:textId="386997FC"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28</w:t>
            </w:r>
            <w:r w:rsidR="00EC26EC">
              <w:rPr>
                <w:rFonts w:cs="Calibri"/>
                <w:color w:val="000000"/>
                <w:sz w:val="16"/>
                <w:szCs w:val="16"/>
                <w:lang w:eastAsia="en-GB"/>
              </w:rPr>
              <w:t> </w:t>
            </w:r>
            <w:r w:rsidRPr="008124C5">
              <w:rPr>
                <w:rFonts w:cs="Calibri"/>
                <w:color w:val="000000"/>
                <w:sz w:val="16"/>
                <w:szCs w:val="16"/>
                <w:lang w:eastAsia="en-GB"/>
              </w:rPr>
              <w:t>023</w:t>
            </w:r>
          </w:p>
        </w:tc>
        <w:tc>
          <w:tcPr>
            <w:tcW w:w="993" w:type="dxa"/>
            <w:tcBorders>
              <w:top w:val="nil"/>
              <w:left w:val="single" w:sz="4" w:space="0" w:color="auto"/>
              <w:bottom w:val="nil"/>
              <w:right w:val="single" w:sz="4" w:space="0" w:color="auto"/>
            </w:tcBorders>
            <w:shd w:val="clear" w:color="auto" w:fill="auto"/>
            <w:noWrap/>
            <w:vAlign w:val="bottom"/>
            <w:hideMark/>
          </w:tcPr>
          <w:p w14:paraId="133B6903" w14:textId="64D6A62D"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57</w:t>
            </w:r>
            <w:r w:rsidR="00EC26EC">
              <w:rPr>
                <w:rFonts w:cs="Calibri"/>
                <w:b/>
                <w:bCs/>
                <w:color w:val="000000"/>
                <w:sz w:val="16"/>
                <w:szCs w:val="16"/>
                <w:lang w:eastAsia="en-GB"/>
              </w:rPr>
              <w:t> </w:t>
            </w:r>
            <w:r w:rsidRPr="008124C5">
              <w:rPr>
                <w:rFonts w:cs="Calibri"/>
                <w:b/>
                <w:bCs/>
                <w:color w:val="000000"/>
                <w:sz w:val="16"/>
                <w:szCs w:val="16"/>
                <w:lang w:eastAsia="en-GB"/>
              </w:rPr>
              <w:t>272</w:t>
            </w:r>
          </w:p>
        </w:tc>
        <w:tc>
          <w:tcPr>
            <w:tcW w:w="850" w:type="dxa"/>
            <w:tcBorders>
              <w:top w:val="nil"/>
              <w:left w:val="nil"/>
              <w:bottom w:val="nil"/>
              <w:right w:val="single" w:sz="4" w:space="0" w:color="auto"/>
            </w:tcBorders>
            <w:shd w:val="clear" w:color="auto" w:fill="auto"/>
            <w:noWrap/>
            <w:vAlign w:val="bottom"/>
            <w:hideMark/>
          </w:tcPr>
          <w:p w14:paraId="6938527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30C03F7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5A4EFCA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17</w:t>
            </w:r>
          </w:p>
        </w:tc>
        <w:tc>
          <w:tcPr>
            <w:tcW w:w="875" w:type="dxa"/>
            <w:tcBorders>
              <w:top w:val="nil"/>
              <w:left w:val="nil"/>
              <w:bottom w:val="nil"/>
              <w:right w:val="single" w:sz="4" w:space="0" w:color="auto"/>
            </w:tcBorders>
            <w:shd w:val="clear" w:color="auto" w:fill="auto"/>
            <w:noWrap/>
            <w:vAlign w:val="bottom"/>
            <w:hideMark/>
          </w:tcPr>
          <w:p w14:paraId="233FD01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243</w:t>
            </w:r>
          </w:p>
        </w:tc>
        <w:tc>
          <w:tcPr>
            <w:tcW w:w="670" w:type="dxa"/>
            <w:tcBorders>
              <w:top w:val="nil"/>
              <w:left w:val="nil"/>
              <w:bottom w:val="nil"/>
              <w:right w:val="single" w:sz="4" w:space="0" w:color="auto"/>
            </w:tcBorders>
            <w:shd w:val="clear" w:color="auto" w:fill="auto"/>
            <w:noWrap/>
            <w:vAlign w:val="bottom"/>
            <w:hideMark/>
          </w:tcPr>
          <w:p w14:paraId="621EBD0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509</w:t>
            </w:r>
          </w:p>
        </w:tc>
        <w:tc>
          <w:tcPr>
            <w:tcW w:w="709" w:type="dxa"/>
            <w:tcBorders>
              <w:top w:val="nil"/>
              <w:left w:val="nil"/>
              <w:bottom w:val="nil"/>
              <w:right w:val="single" w:sz="4" w:space="0" w:color="auto"/>
            </w:tcBorders>
            <w:shd w:val="clear" w:color="auto" w:fill="auto"/>
            <w:noWrap/>
            <w:vAlign w:val="bottom"/>
            <w:hideMark/>
          </w:tcPr>
          <w:p w14:paraId="504671A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3982479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5602443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507</w:t>
            </w:r>
          </w:p>
        </w:tc>
        <w:tc>
          <w:tcPr>
            <w:tcW w:w="1040" w:type="dxa"/>
            <w:tcBorders>
              <w:top w:val="nil"/>
              <w:left w:val="nil"/>
              <w:bottom w:val="nil"/>
              <w:right w:val="single" w:sz="4" w:space="0" w:color="auto"/>
            </w:tcBorders>
            <w:shd w:val="clear" w:color="auto" w:fill="auto"/>
            <w:noWrap/>
            <w:vAlign w:val="bottom"/>
            <w:hideMark/>
          </w:tcPr>
          <w:p w14:paraId="3000380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2" w:type="dxa"/>
            <w:tcBorders>
              <w:top w:val="nil"/>
              <w:left w:val="nil"/>
              <w:bottom w:val="nil"/>
              <w:right w:val="single" w:sz="4" w:space="0" w:color="auto"/>
            </w:tcBorders>
            <w:shd w:val="clear" w:color="auto" w:fill="auto"/>
            <w:noWrap/>
            <w:vAlign w:val="bottom"/>
            <w:hideMark/>
          </w:tcPr>
          <w:p w14:paraId="1371CE38" w14:textId="58D8911C"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58</w:t>
            </w:r>
            <w:r w:rsidR="00EC26EC">
              <w:rPr>
                <w:rFonts w:cs="Calibri"/>
                <w:b/>
                <w:bCs/>
                <w:sz w:val="16"/>
                <w:szCs w:val="16"/>
                <w:lang w:eastAsia="en-GB"/>
              </w:rPr>
              <w:t> </w:t>
            </w:r>
            <w:r w:rsidRPr="008124C5">
              <w:rPr>
                <w:rFonts w:cs="Calibri"/>
                <w:b/>
                <w:bCs/>
                <w:sz w:val="16"/>
                <w:szCs w:val="16"/>
                <w:lang w:eastAsia="en-GB"/>
              </w:rPr>
              <w:t>547</w:t>
            </w:r>
          </w:p>
        </w:tc>
      </w:tr>
      <w:tr w:rsidR="00B56A7B" w:rsidRPr="000C156A" w14:paraId="2FB5E0A1"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0DF2AB80"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公务差旅</w:t>
            </w:r>
            <w:r w:rsidRPr="000C156A">
              <w:rPr>
                <w:noProof/>
                <w:sz w:val="16"/>
                <w:szCs w:val="16"/>
                <w:lang w:val="en-US"/>
              </w:rPr>
              <w:t>费</w:t>
            </w:r>
            <w:r w:rsidRPr="000C156A">
              <w:rPr>
                <w:rFonts w:hint="eastAsia"/>
                <w:noProof/>
                <w:sz w:val="16"/>
                <w:szCs w:val="16"/>
                <w:lang w:val="en-US"/>
              </w:rPr>
              <w:t>用</w:t>
            </w:r>
          </w:p>
        </w:tc>
        <w:tc>
          <w:tcPr>
            <w:tcW w:w="992" w:type="dxa"/>
            <w:tcBorders>
              <w:top w:val="nil"/>
              <w:left w:val="single" w:sz="4" w:space="0" w:color="auto"/>
              <w:bottom w:val="nil"/>
              <w:right w:val="single" w:sz="4" w:space="0" w:color="auto"/>
            </w:tcBorders>
            <w:shd w:val="clear" w:color="auto" w:fill="auto"/>
            <w:noWrap/>
            <w:vAlign w:val="bottom"/>
            <w:hideMark/>
          </w:tcPr>
          <w:p w14:paraId="31AA03F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105</w:t>
            </w:r>
          </w:p>
        </w:tc>
        <w:tc>
          <w:tcPr>
            <w:tcW w:w="709" w:type="dxa"/>
            <w:tcBorders>
              <w:top w:val="nil"/>
              <w:left w:val="nil"/>
              <w:bottom w:val="nil"/>
              <w:right w:val="single" w:sz="4" w:space="0" w:color="auto"/>
            </w:tcBorders>
            <w:shd w:val="clear" w:color="auto" w:fill="auto"/>
            <w:noWrap/>
            <w:vAlign w:val="bottom"/>
            <w:hideMark/>
          </w:tcPr>
          <w:p w14:paraId="6267435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142</w:t>
            </w:r>
          </w:p>
        </w:tc>
        <w:tc>
          <w:tcPr>
            <w:tcW w:w="992" w:type="dxa"/>
            <w:tcBorders>
              <w:top w:val="nil"/>
              <w:left w:val="nil"/>
              <w:bottom w:val="nil"/>
              <w:right w:val="single" w:sz="4" w:space="0" w:color="auto"/>
            </w:tcBorders>
            <w:shd w:val="clear" w:color="auto" w:fill="auto"/>
            <w:noWrap/>
            <w:vAlign w:val="bottom"/>
            <w:hideMark/>
          </w:tcPr>
          <w:p w14:paraId="2E8E6EC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147</w:t>
            </w:r>
          </w:p>
        </w:tc>
        <w:tc>
          <w:tcPr>
            <w:tcW w:w="992" w:type="dxa"/>
            <w:tcBorders>
              <w:top w:val="nil"/>
              <w:left w:val="nil"/>
              <w:bottom w:val="nil"/>
              <w:right w:val="single" w:sz="4" w:space="0" w:color="auto"/>
            </w:tcBorders>
            <w:shd w:val="clear" w:color="auto" w:fill="auto"/>
            <w:noWrap/>
            <w:vAlign w:val="bottom"/>
            <w:hideMark/>
          </w:tcPr>
          <w:p w14:paraId="293D189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313</w:t>
            </w:r>
          </w:p>
        </w:tc>
        <w:tc>
          <w:tcPr>
            <w:tcW w:w="1134" w:type="dxa"/>
            <w:tcBorders>
              <w:top w:val="nil"/>
              <w:left w:val="nil"/>
              <w:bottom w:val="nil"/>
              <w:right w:val="nil"/>
            </w:tcBorders>
            <w:shd w:val="clear" w:color="auto" w:fill="auto"/>
            <w:noWrap/>
            <w:vAlign w:val="bottom"/>
            <w:hideMark/>
          </w:tcPr>
          <w:p w14:paraId="27E5579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993" w:type="dxa"/>
            <w:tcBorders>
              <w:top w:val="nil"/>
              <w:left w:val="single" w:sz="4" w:space="0" w:color="auto"/>
              <w:bottom w:val="nil"/>
              <w:right w:val="single" w:sz="4" w:space="0" w:color="auto"/>
            </w:tcBorders>
            <w:shd w:val="clear" w:color="auto" w:fill="auto"/>
            <w:noWrap/>
            <w:vAlign w:val="bottom"/>
            <w:hideMark/>
          </w:tcPr>
          <w:p w14:paraId="245CE8B6"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707</w:t>
            </w:r>
          </w:p>
        </w:tc>
        <w:tc>
          <w:tcPr>
            <w:tcW w:w="850" w:type="dxa"/>
            <w:tcBorders>
              <w:top w:val="nil"/>
              <w:left w:val="nil"/>
              <w:bottom w:val="nil"/>
              <w:right w:val="single" w:sz="4" w:space="0" w:color="auto"/>
            </w:tcBorders>
            <w:shd w:val="clear" w:color="auto" w:fill="auto"/>
            <w:noWrap/>
            <w:vAlign w:val="bottom"/>
            <w:hideMark/>
          </w:tcPr>
          <w:p w14:paraId="1B5846D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24A26CD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0636399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694B31C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17</w:t>
            </w:r>
          </w:p>
        </w:tc>
        <w:tc>
          <w:tcPr>
            <w:tcW w:w="670" w:type="dxa"/>
            <w:tcBorders>
              <w:top w:val="nil"/>
              <w:left w:val="nil"/>
              <w:bottom w:val="nil"/>
              <w:right w:val="single" w:sz="4" w:space="0" w:color="auto"/>
            </w:tcBorders>
            <w:shd w:val="clear" w:color="auto" w:fill="auto"/>
            <w:noWrap/>
            <w:vAlign w:val="bottom"/>
            <w:hideMark/>
          </w:tcPr>
          <w:p w14:paraId="04C0E7A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250</w:t>
            </w:r>
          </w:p>
        </w:tc>
        <w:tc>
          <w:tcPr>
            <w:tcW w:w="709" w:type="dxa"/>
            <w:tcBorders>
              <w:top w:val="nil"/>
              <w:left w:val="nil"/>
              <w:bottom w:val="nil"/>
              <w:right w:val="single" w:sz="4" w:space="0" w:color="auto"/>
            </w:tcBorders>
            <w:shd w:val="clear" w:color="auto" w:fill="auto"/>
            <w:noWrap/>
            <w:vAlign w:val="bottom"/>
            <w:hideMark/>
          </w:tcPr>
          <w:p w14:paraId="77829A2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68617AE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7EB4BF9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28</w:t>
            </w:r>
          </w:p>
        </w:tc>
        <w:tc>
          <w:tcPr>
            <w:tcW w:w="1040" w:type="dxa"/>
            <w:tcBorders>
              <w:top w:val="nil"/>
              <w:left w:val="nil"/>
              <w:bottom w:val="nil"/>
              <w:right w:val="single" w:sz="4" w:space="0" w:color="auto"/>
            </w:tcBorders>
            <w:shd w:val="clear" w:color="auto" w:fill="auto"/>
            <w:noWrap/>
            <w:vAlign w:val="bottom"/>
            <w:hideMark/>
          </w:tcPr>
          <w:p w14:paraId="7725FAB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2" w:type="dxa"/>
            <w:tcBorders>
              <w:top w:val="nil"/>
              <w:left w:val="nil"/>
              <w:bottom w:val="nil"/>
              <w:right w:val="single" w:sz="4" w:space="0" w:color="auto"/>
            </w:tcBorders>
            <w:shd w:val="clear" w:color="auto" w:fill="auto"/>
            <w:noWrap/>
            <w:vAlign w:val="bottom"/>
            <w:hideMark/>
          </w:tcPr>
          <w:p w14:paraId="0710EF38" w14:textId="4C0C3A8A"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1</w:t>
            </w:r>
            <w:r w:rsidR="00EC26EC">
              <w:rPr>
                <w:rFonts w:cs="Calibri"/>
                <w:b/>
                <w:bCs/>
                <w:sz w:val="16"/>
                <w:szCs w:val="16"/>
                <w:lang w:eastAsia="en-GB"/>
              </w:rPr>
              <w:t> </w:t>
            </w:r>
            <w:r w:rsidRPr="008124C5">
              <w:rPr>
                <w:rFonts w:cs="Calibri"/>
                <w:b/>
                <w:bCs/>
                <w:sz w:val="16"/>
                <w:szCs w:val="16"/>
                <w:lang w:eastAsia="en-GB"/>
              </w:rPr>
              <w:t>003</w:t>
            </w:r>
          </w:p>
        </w:tc>
      </w:tr>
      <w:tr w:rsidR="00B56A7B" w:rsidRPr="000C156A" w14:paraId="16E2E7C8"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6F775D8C"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rPr>
              <w:t>合同服务</w:t>
            </w:r>
          </w:p>
        </w:tc>
        <w:tc>
          <w:tcPr>
            <w:tcW w:w="992" w:type="dxa"/>
            <w:tcBorders>
              <w:top w:val="nil"/>
              <w:left w:val="single" w:sz="4" w:space="0" w:color="auto"/>
              <w:bottom w:val="nil"/>
              <w:right w:val="single" w:sz="4" w:space="0" w:color="auto"/>
            </w:tcBorders>
            <w:shd w:val="clear" w:color="auto" w:fill="auto"/>
            <w:noWrap/>
            <w:vAlign w:val="bottom"/>
            <w:hideMark/>
          </w:tcPr>
          <w:p w14:paraId="514CB4A0" w14:textId="70B94F71"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5</w:t>
            </w:r>
            <w:r w:rsidR="00EC26EC">
              <w:rPr>
                <w:rFonts w:cs="Calibri"/>
                <w:color w:val="000000"/>
                <w:sz w:val="16"/>
                <w:szCs w:val="16"/>
                <w:lang w:eastAsia="en-GB"/>
              </w:rPr>
              <w:t> </w:t>
            </w:r>
            <w:r w:rsidRPr="008124C5">
              <w:rPr>
                <w:rFonts w:cs="Calibri"/>
                <w:color w:val="000000"/>
                <w:sz w:val="16"/>
                <w:szCs w:val="16"/>
                <w:lang w:eastAsia="en-GB"/>
              </w:rPr>
              <w:t>565</w:t>
            </w:r>
          </w:p>
        </w:tc>
        <w:tc>
          <w:tcPr>
            <w:tcW w:w="709" w:type="dxa"/>
            <w:tcBorders>
              <w:top w:val="nil"/>
              <w:left w:val="nil"/>
              <w:bottom w:val="nil"/>
              <w:right w:val="single" w:sz="4" w:space="0" w:color="auto"/>
            </w:tcBorders>
            <w:shd w:val="clear" w:color="auto" w:fill="auto"/>
            <w:noWrap/>
            <w:vAlign w:val="bottom"/>
            <w:hideMark/>
          </w:tcPr>
          <w:p w14:paraId="06BA463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470</w:t>
            </w:r>
          </w:p>
        </w:tc>
        <w:tc>
          <w:tcPr>
            <w:tcW w:w="992" w:type="dxa"/>
            <w:tcBorders>
              <w:top w:val="nil"/>
              <w:left w:val="nil"/>
              <w:bottom w:val="nil"/>
              <w:right w:val="single" w:sz="4" w:space="0" w:color="auto"/>
            </w:tcBorders>
            <w:shd w:val="clear" w:color="auto" w:fill="auto"/>
            <w:noWrap/>
            <w:vAlign w:val="bottom"/>
            <w:hideMark/>
          </w:tcPr>
          <w:p w14:paraId="3323F7D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746</w:t>
            </w:r>
          </w:p>
        </w:tc>
        <w:tc>
          <w:tcPr>
            <w:tcW w:w="992" w:type="dxa"/>
            <w:tcBorders>
              <w:top w:val="nil"/>
              <w:left w:val="nil"/>
              <w:bottom w:val="nil"/>
              <w:right w:val="single" w:sz="4" w:space="0" w:color="auto"/>
            </w:tcBorders>
            <w:shd w:val="clear" w:color="auto" w:fill="auto"/>
            <w:noWrap/>
            <w:vAlign w:val="bottom"/>
            <w:hideMark/>
          </w:tcPr>
          <w:p w14:paraId="05E7700A" w14:textId="2390DF6C"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3</w:t>
            </w:r>
            <w:r w:rsidR="00EC26EC">
              <w:rPr>
                <w:rFonts w:cs="Calibri"/>
                <w:color w:val="000000"/>
                <w:sz w:val="16"/>
                <w:szCs w:val="16"/>
                <w:lang w:eastAsia="en-GB"/>
              </w:rPr>
              <w:t> </w:t>
            </w:r>
            <w:r w:rsidRPr="008124C5">
              <w:rPr>
                <w:rFonts w:cs="Calibri"/>
                <w:color w:val="000000"/>
                <w:sz w:val="16"/>
                <w:szCs w:val="16"/>
                <w:lang w:eastAsia="en-GB"/>
              </w:rPr>
              <w:t>701</w:t>
            </w:r>
          </w:p>
        </w:tc>
        <w:tc>
          <w:tcPr>
            <w:tcW w:w="1134" w:type="dxa"/>
            <w:tcBorders>
              <w:top w:val="nil"/>
              <w:left w:val="nil"/>
              <w:bottom w:val="nil"/>
              <w:right w:val="nil"/>
            </w:tcBorders>
            <w:shd w:val="clear" w:color="auto" w:fill="auto"/>
            <w:noWrap/>
            <w:vAlign w:val="bottom"/>
            <w:hideMark/>
          </w:tcPr>
          <w:p w14:paraId="1AC1D1F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945</w:t>
            </w:r>
          </w:p>
        </w:tc>
        <w:tc>
          <w:tcPr>
            <w:tcW w:w="993" w:type="dxa"/>
            <w:tcBorders>
              <w:top w:val="nil"/>
              <w:left w:val="single" w:sz="4" w:space="0" w:color="auto"/>
              <w:bottom w:val="nil"/>
              <w:right w:val="single" w:sz="4" w:space="0" w:color="auto"/>
            </w:tcBorders>
            <w:shd w:val="clear" w:color="auto" w:fill="auto"/>
            <w:noWrap/>
            <w:vAlign w:val="bottom"/>
            <w:hideMark/>
          </w:tcPr>
          <w:p w14:paraId="18A03876" w14:textId="00FEA402"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11</w:t>
            </w:r>
            <w:r w:rsidR="00EC26EC">
              <w:rPr>
                <w:rFonts w:cs="Calibri"/>
                <w:b/>
                <w:bCs/>
                <w:color w:val="000000"/>
                <w:sz w:val="16"/>
                <w:szCs w:val="16"/>
                <w:lang w:eastAsia="en-GB"/>
              </w:rPr>
              <w:t> </w:t>
            </w:r>
            <w:r w:rsidRPr="008124C5">
              <w:rPr>
                <w:rFonts w:cs="Calibri"/>
                <w:b/>
                <w:bCs/>
                <w:color w:val="000000"/>
                <w:sz w:val="16"/>
                <w:szCs w:val="16"/>
                <w:lang w:eastAsia="en-GB"/>
              </w:rPr>
              <w:t>426</w:t>
            </w:r>
          </w:p>
        </w:tc>
        <w:tc>
          <w:tcPr>
            <w:tcW w:w="850" w:type="dxa"/>
            <w:tcBorders>
              <w:top w:val="nil"/>
              <w:left w:val="nil"/>
              <w:bottom w:val="nil"/>
              <w:right w:val="single" w:sz="4" w:space="0" w:color="auto"/>
            </w:tcBorders>
            <w:shd w:val="clear" w:color="auto" w:fill="auto"/>
            <w:noWrap/>
            <w:vAlign w:val="bottom"/>
            <w:hideMark/>
          </w:tcPr>
          <w:p w14:paraId="55A2D0E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6234CCB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1E9E550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75" w:type="dxa"/>
            <w:tcBorders>
              <w:top w:val="nil"/>
              <w:left w:val="nil"/>
              <w:bottom w:val="nil"/>
              <w:right w:val="single" w:sz="4" w:space="0" w:color="auto"/>
            </w:tcBorders>
            <w:shd w:val="clear" w:color="auto" w:fill="auto"/>
            <w:noWrap/>
            <w:vAlign w:val="bottom"/>
            <w:hideMark/>
          </w:tcPr>
          <w:p w14:paraId="3B31EC5A" w14:textId="7FE47FA8"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r w:rsidR="00EC26EC">
              <w:rPr>
                <w:rFonts w:cs="Calibri"/>
                <w:color w:val="000000"/>
                <w:sz w:val="16"/>
                <w:szCs w:val="16"/>
                <w:lang w:eastAsia="en-GB"/>
              </w:rPr>
              <w:t> </w:t>
            </w:r>
            <w:r w:rsidRPr="008124C5">
              <w:rPr>
                <w:rFonts w:cs="Calibri"/>
                <w:color w:val="000000"/>
                <w:sz w:val="16"/>
                <w:szCs w:val="16"/>
                <w:lang w:eastAsia="en-GB"/>
              </w:rPr>
              <w:t>399</w:t>
            </w:r>
          </w:p>
        </w:tc>
        <w:tc>
          <w:tcPr>
            <w:tcW w:w="670" w:type="dxa"/>
            <w:tcBorders>
              <w:top w:val="nil"/>
              <w:left w:val="nil"/>
              <w:bottom w:val="nil"/>
              <w:right w:val="single" w:sz="4" w:space="0" w:color="auto"/>
            </w:tcBorders>
            <w:shd w:val="clear" w:color="auto" w:fill="auto"/>
            <w:noWrap/>
            <w:vAlign w:val="bottom"/>
            <w:hideMark/>
          </w:tcPr>
          <w:p w14:paraId="0545129D" w14:textId="7D20BE52"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r w:rsidR="00EC26EC">
              <w:rPr>
                <w:rFonts w:cs="Calibri"/>
                <w:color w:val="000000"/>
                <w:sz w:val="16"/>
                <w:szCs w:val="16"/>
                <w:lang w:eastAsia="en-GB"/>
              </w:rPr>
              <w:t> </w:t>
            </w:r>
            <w:r w:rsidRPr="008124C5">
              <w:rPr>
                <w:rFonts w:cs="Calibri"/>
                <w:color w:val="000000"/>
                <w:sz w:val="16"/>
                <w:szCs w:val="16"/>
                <w:lang w:eastAsia="en-GB"/>
              </w:rPr>
              <w:t>567</w:t>
            </w:r>
          </w:p>
        </w:tc>
        <w:tc>
          <w:tcPr>
            <w:tcW w:w="709" w:type="dxa"/>
            <w:tcBorders>
              <w:top w:val="nil"/>
              <w:left w:val="nil"/>
              <w:bottom w:val="nil"/>
              <w:right w:val="single" w:sz="4" w:space="0" w:color="auto"/>
            </w:tcBorders>
            <w:shd w:val="clear" w:color="auto" w:fill="auto"/>
            <w:noWrap/>
            <w:vAlign w:val="bottom"/>
            <w:hideMark/>
          </w:tcPr>
          <w:p w14:paraId="45E7C35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673CA95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1D38F07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120</w:t>
            </w:r>
          </w:p>
        </w:tc>
        <w:tc>
          <w:tcPr>
            <w:tcW w:w="1040" w:type="dxa"/>
            <w:tcBorders>
              <w:top w:val="nil"/>
              <w:left w:val="nil"/>
              <w:bottom w:val="nil"/>
              <w:right w:val="single" w:sz="4" w:space="0" w:color="auto"/>
            </w:tcBorders>
            <w:shd w:val="clear" w:color="auto" w:fill="auto"/>
            <w:noWrap/>
            <w:vAlign w:val="bottom"/>
            <w:hideMark/>
          </w:tcPr>
          <w:p w14:paraId="2C6E66E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2" w:type="dxa"/>
            <w:tcBorders>
              <w:top w:val="nil"/>
              <w:left w:val="nil"/>
              <w:bottom w:val="nil"/>
              <w:right w:val="single" w:sz="4" w:space="0" w:color="auto"/>
            </w:tcBorders>
            <w:shd w:val="clear" w:color="auto" w:fill="auto"/>
            <w:noWrap/>
            <w:vAlign w:val="bottom"/>
            <w:hideMark/>
          </w:tcPr>
          <w:p w14:paraId="226EFCBF" w14:textId="5FB26659"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14</w:t>
            </w:r>
            <w:r w:rsidR="00EC26EC">
              <w:rPr>
                <w:rFonts w:cs="Calibri"/>
                <w:b/>
                <w:bCs/>
                <w:sz w:val="16"/>
                <w:szCs w:val="16"/>
                <w:lang w:eastAsia="en-GB"/>
              </w:rPr>
              <w:t> </w:t>
            </w:r>
            <w:r w:rsidRPr="008124C5">
              <w:rPr>
                <w:rFonts w:cs="Calibri"/>
                <w:b/>
                <w:bCs/>
                <w:sz w:val="16"/>
                <w:szCs w:val="16"/>
                <w:lang w:eastAsia="en-GB"/>
              </w:rPr>
              <w:t>512</w:t>
            </w:r>
          </w:p>
        </w:tc>
      </w:tr>
      <w:tr w:rsidR="00B56A7B" w:rsidRPr="000C156A" w14:paraId="49268665" w14:textId="77777777" w:rsidTr="00CC47BD">
        <w:trPr>
          <w:trHeight w:val="303"/>
          <w:jc w:val="center"/>
        </w:trPr>
        <w:tc>
          <w:tcPr>
            <w:tcW w:w="1980" w:type="dxa"/>
            <w:tcBorders>
              <w:top w:val="nil"/>
              <w:left w:val="single" w:sz="4" w:space="0" w:color="auto"/>
              <w:bottom w:val="nil"/>
              <w:right w:val="nil"/>
            </w:tcBorders>
            <w:shd w:val="clear" w:color="auto" w:fill="auto"/>
            <w:vAlign w:val="center"/>
            <w:hideMark/>
          </w:tcPr>
          <w:p w14:paraId="19E2A692"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zh-CN"/>
              </w:rPr>
            </w:pPr>
            <w:r w:rsidRPr="000C156A">
              <w:rPr>
                <w:rFonts w:hint="eastAsia"/>
                <w:noProof/>
                <w:sz w:val="16"/>
                <w:szCs w:val="16"/>
                <w:lang w:val="en-US" w:eastAsia="zh-CN"/>
              </w:rPr>
              <w:t>房屋设备租金和维护费</w:t>
            </w:r>
          </w:p>
        </w:tc>
        <w:tc>
          <w:tcPr>
            <w:tcW w:w="992" w:type="dxa"/>
            <w:tcBorders>
              <w:top w:val="nil"/>
              <w:left w:val="single" w:sz="4" w:space="0" w:color="auto"/>
              <w:bottom w:val="nil"/>
              <w:right w:val="single" w:sz="4" w:space="0" w:color="auto"/>
            </w:tcBorders>
            <w:shd w:val="clear" w:color="auto" w:fill="auto"/>
            <w:noWrap/>
            <w:vAlign w:val="center"/>
            <w:hideMark/>
          </w:tcPr>
          <w:p w14:paraId="271CEA62" w14:textId="4C588A2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w:t>
            </w:r>
            <w:r w:rsidR="00EC26EC">
              <w:rPr>
                <w:rFonts w:cs="Calibri"/>
                <w:color w:val="000000"/>
                <w:sz w:val="16"/>
                <w:szCs w:val="16"/>
                <w:lang w:eastAsia="en-GB"/>
              </w:rPr>
              <w:t> </w:t>
            </w:r>
            <w:r w:rsidRPr="008124C5">
              <w:rPr>
                <w:rFonts w:cs="Calibri"/>
                <w:color w:val="000000"/>
                <w:sz w:val="16"/>
                <w:szCs w:val="16"/>
                <w:lang w:eastAsia="en-GB"/>
              </w:rPr>
              <w:t>750</w:t>
            </w:r>
          </w:p>
        </w:tc>
        <w:tc>
          <w:tcPr>
            <w:tcW w:w="709" w:type="dxa"/>
            <w:tcBorders>
              <w:top w:val="nil"/>
              <w:left w:val="nil"/>
              <w:bottom w:val="nil"/>
              <w:right w:val="single" w:sz="4" w:space="0" w:color="auto"/>
            </w:tcBorders>
            <w:shd w:val="clear" w:color="auto" w:fill="auto"/>
            <w:noWrap/>
            <w:vAlign w:val="center"/>
            <w:hideMark/>
          </w:tcPr>
          <w:p w14:paraId="1B58860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w:t>
            </w:r>
          </w:p>
        </w:tc>
        <w:tc>
          <w:tcPr>
            <w:tcW w:w="992" w:type="dxa"/>
            <w:tcBorders>
              <w:top w:val="nil"/>
              <w:left w:val="nil"/>
              <w:bottom w:val="nil"/>
              <w:right w:val="single" w:sz="4" w:space="0" w:color="auto"/>
            </w:tcBorders>
            <w:shd w:val="clear" w:color="auto" w:fill="auto"/>
            <w:noWrap/>
            <w:vAlign w:val="center"/>
            <w:hideMark/>
          </w:tcPr>
          <w:p w14:paraId="2E1B490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3</w:t>
            </w:r>
          </w:p>
        </w:tc>
        <w:tc>
          <w:tcPr>
            <w:tcW w:w="992" w:type="dxa"/>
            <w:tcBorders>
              <w:top w:val="nil"/>
              <w:left w:val="nil"/>
              <w:bottom w:val="nil"/>
              <w:right w:val="single" w:sz="4" w:space="0" w:color="auto"/>
            </w:tcBorders>
            <w:shd w:val="clear" w:color="auto" w:fill="auto"/>
            <w:noWrap/>
            <w:vAlign w:val="center"/>
            <w:hideMark/>
          </w:tcPr>
          <w:p w14:paraId="67CDAD7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24</w:t>
            </w:r>
          </w:p>
        </w:tc>
        <w:tc>
          <w:tcPr>
            <w:tcW w:w="1134" w:type="dxa"/>
            <w:tcBorders>
              <w:top w:val="nil"/>
              <w:left w:val="nil"/>
              <w:bottom w:val="nil"/>
              <w:right w:val="nil"/>
            </w:tcBorders>
            <w:shd w:val="clear" w:color="auto" w:fill="auto"/>
            <w:noWrap/>
            <w:vAlign w:val="center"/>
            <w:hideMark/>
          </w:tcPr>
          <w:p w14:paraId="5884AE3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226</w:t>
            </w:r>
          </w:p>
        </w:tc>
        <w:tc>
          <w:tcPr>
            <w:tcW w:w="993" w:type="dxa"/>
            <w:tcBorders>
              <w:top w:val="nil"/>
              <w:left w:val="single" w:sz="4" w:space="0" w:color="auto"/>
              <w:bottom w:val="nil"/>
              <w:right w:val="single" w:sz="4" w:space="0" w:color="auto"/>
            </w:tcBorders>
            <w:shd w:val="clear" w:color="auto" w:fill="auto"/>
            <w:noWrap/>
            <w:vAlign w:val="center"/>
            <w:hideMark/>
          </w:tcPr>
          <w:p w14:paraId="751C0A62" w14:textId="7BB8AD42"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3</w:t>
            </w:r>
            <w:r w:rsidR="00EC26EC">
              <w:rPr>
                <w:rFonts w:cs="Calibri"/>
                <w:b/>
                <w:bCs/>
                <w:color w:val="000000"/>
                <w:sz w:val="16"/>
                <w:szCs w:val="16"/>
                <w:lang w:eastAsia="en-GB"/>
              </w:rPr>
              <w:t> </w:t>
            </w:r>
            <w:r w:rsidRPr="008124C5">
              <w:rPr>
                <w:rFonts w:cs="Calibri"/>
                <w:b/>
                <w:bCs/>
                <w:color w:val="000000"/>
                <w:sz w:val="16"/>
                <w:szCs w:val="16"/>
                <w:lang w:eastAsia="en-GB"/>
              </w:rPr>
              <w:t>004</w:t>
            </w:r>
          </w:p>
        </w:tc>
        <w:tc>
          <w:tcPr>
            <w:tcW w:w="850" w:type="dxa"/>
            <w:tcBorders>
              <w:top w:val="nil"/>
              <w:left w:val="nil"/>
              <w:bottom w:val="nil"/>
              <w:right w:val="single" w:sz="4" w:space="0" w:color="auto"/>
            </w:tcBorders>
            <w:shd w:val="clear" w:color="auto" w:fill="auto"/>
            <w:noWrap/>
            <w:vAlign w:val="center"/>
            <w:hideMark/>
          </w:tcPr>
          <w:p w14:paraId="4FC7375B" w14:textId="77777777" w:rsidR="00B56A7B" w:rsidRPr="000C156A" w:rsidRDefault="00B56A7B" w:rsidP="00CC47BD">
            <w:pPr>
              <w:overflowPunct/>
              <w:autoSpaceDE/>
              <w:autoSpaceDN/>
              <w:adjustRightInd/>
              <w:spacing w:before="0"/>
              <w:jc w:val="right"/>
              <w:textAlignment w:val="auto"/>
              <w:rPr>
                <w:rFonts w:eastAsia="Times New Roman" w:cs="Calibri"/>
                <w:sz w:val="16"/>
                <w:szCs w:val="16"/>
                <w:lang w:eastAsia="en-GB"/>
              </w:rPr>
            </w:pPr>
            <w:r w:rsidRPr="008124C5">
              <w:rPr>
                <w:rFonts w:cs="Calibri"/>
                <w:color w:val="000000"/>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28A36B5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205899F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021700D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70" w:type="dxa"/>
            <w:tcBorders>
              <w:top w:val="nil"/>
              <w:left w:val="nil"/>
              <w:bottom w:val="nil"/>
              <w:right w:val="single" w:sz="4" w:space="0" w:color="auto"/>
            </w:tcBorders>
            <w:shd w:val="clear" w:color="auto" w:fill="auto"/>
            <w:noWrap/>
            <w:vAlign w:val="center"/>
            <w:hideMark/>
          </w:tcPr>
          <w:p w14:paraId="4787A10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709" w:type="dxa"/>
            <w:tcBorders>
              <w:top w:val="nil"/>
              <w:left w:val="nil"/>
              <w:bottom w:val="nil"/>
              <w:right w:val="single" w:sz="4" w:space="0" w:color="auto"/>
            </w:tcBorders>
            <w:shd w:val="clear" w:color="auto" w:fill="auto"/>
            <w:noWrap/>
            <w:vAlign w:val="center"/>
            <w:hideMark/>
          </w:tcPr>
          <w:p w14:paraId="3939657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69F70BA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4586FC0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1040" w:type="dxa"/>
            <w:tcBorders>
              <w:top w:val="nil"/>
              <w:left w:val="nil"/>
              <w:bottom w:val="nil"/>
              <w:right w:val="single" w:sz="4" w:space="0" w:color="auto"/>
            </w:tcBorders>
            <w:shd w:val="clear" w:color="auto" w:fill="auto"/>
            <w:noWrap/>
            <w:vAlign w:val="center"/>
            <w:hideMark/>
          </w:tcPr>
          <w:p w14:paraId="66807EA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6A869C49" w14:textId="670C5E6C"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3</w:t>
            </w:r>
            <w:r w:rsidR="00EC26EC">
              <w:rPr>
                <w:rFonts w:cs="Calibri"/>
                <w:b/>
                <w:bCs/>
                <w:sz w:val="16"/>
                <w:szCs w:val="16"/>
                <w:lang w:eastAsia="en-GB"/>
              </w:rPr>
              <w:t> </w:t>
            </w:r>
            <w:r w:rsidRPr="008124C5">
              <w:rPr>
                <w:rFonts w:cs="Calibri"/>
                <w:b/>
                <w:bCs/>
                <w:sz w:val="16"/>
                <w:szCs w:val="16"/>
                <w:lang w:eastAsia="en-GB"/>
              </w:rPr>
              <w:t>004</w:t>
            </w:r>
          </w:p>
        </w:tc>
      </w:tr>
      <w:tr w:rsidR="00B56A7B" w:rsidRPr="000C156A" w14:paraId="4CDB51CC"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65FE9D6A"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rPr>
              <w:t>设备和办公用品</w:t>
            </w:r>
          </w:p>
        </w:tc>
        <w:tc>
          <w:tcPr>
            <w:tcW w:w="992" w:type="dxa"/>
            <w:tcBorders>
              <w:top w:val="nil"/>
              <w:left w:val="single" w:sz="4" w:space="0" w:color="auto"/>
              <w:bottom w:val="nil"/>
              <w:right w:val="single" w:sz="4" w:space="0" w:color="auto"/>
            </w:tcBorders>
            <w:shd w:val="clear" w:color="auto" w:fill="auto"/>
            <w:noWrap/>
            <w:vAlign w:val="bottom"/>
            <w:hideMark/>
          </w:tcPr>
          <w:p w14:paraId="73E9EBB5" w14:textId="71D9A8E1"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r w:rsidR="00EC26EC">
              <w:rPr>
                <w:rFonts w:cs="Calibri"/>
                <w:color w:val="000000"/>
                <w:sz w:val="16"/>
                <w:szCs w:val="16"/>
                <w:lang w:eastAsia="en-GB"/>
              </w:rPr>
              <w:t> </w:t>
            </w:r>
            <w:r w:rsidRPr="008124C5">
              <w:rPr>
                <w:rFonts w:cs="Calibri"/>
                <w:color w:val="000000"/>
                <w:sz w:val="16"/>
                <w:szCs w:val="16"/>
                <w:lang w:eastAsia="en-GB"/>
              </w:rPr>
              <w:t>192</w:t>
            </w:r>
          </w:p>
        </w:tc>
        <w:tc>
          <w:tcPr>
            <w:tcW w:w="709" w:type="dxa"/>
            <w:tcBorders>
              <w:top w:val="nil"/>
              <w:left w:val="nil"/>
              <w:bottom w:val="nil"/>
              <w:right w:val="single" w:sz="4" w:space="0" w:color="auto"/>
            </w:tcBorders>
            <w:shd w:val="clear" w:color="auto" w:fill="auto"/>
            <w:noWrap/>
            <w:vAlign w:val="bottom"/>
            <w:hideMark/>
          </w:tcPr>
          <w:p w14:paraId="700476C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lang w:eastAsia="en-GB"/>
              </w:rPr>
              <w:t>3</w:t>
            </w:r>
            <w:r w:rsidRPr="008124C5">
              <w:rPr>
                <w:rFonts w:cs="Calibri"/>
                <w:color w:val="000000"/>
                <w:sz w:val="16"/>
                <w:szCs w:val="16"/>
                <w:lang w:eastAsia="en-GB"/>
              </w:rPr>
              <w:t>54</w:t>
            </w:r>
          </w:p>
        </w:tc>
        <w:tc>
          <w:tcPr>
            <w:tcW w:w="992" w:type="dxa"/>
            <w:tcBorders>
              <w:top w:val="nil"/>
              <w:left w:val="nil"/>
              <w:bottom w:val="nil"/>
              <w:right w:val="single" w:sz="4" w:space="0" w:color="auto"/>
            </w:tcBorders>
            <w:shd w:val="clear" w:color="auto" w:fill="auto"/>
            <w:noWrap/>
            <w:vAlign w:val="bottom"/>
            <w:hideMark/>
          </w:tcPr>
          <w:p w14:paraId="764DFCE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121</w:t>
            </w:r>
          </w:p>
        </w:tc>
        <w:tc>
          <w:tcPr>
            <w:tcW w:w="992" w:type="dxa"/>
            <w:tcBorders>
              <w:top w:val="nil"/>
              <w:left w:val="nil"/>
              <w:bottom w:val="nil"/>
              <w:right w:val="single" w:sz="4" w:space="0" w:color="auto"/>
            </w:tcBorders>
            <w:shd w:val="clear" w:color="auto" w:fill="auto"/>
            <w:noWrap/>
            <w:vAlign w:val="bottom"/>
            <w:hideMark/>
          </w:tcPr>
          <w:p w14:paraId="28ECC5F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207</w:t>
            </w:r>
          </w:p>
        </w:tc>
        <w:tc>
          <w:tcPr>
            <w:tcW w:w="1134" w:type="dxa"/>
            <w:tcBorders>
              <w:top w:val="nil"/>
              <w:left w:val="nil"/>
              <w:bottom w:val="nil"/>
              <w:right w:val="nil"/>
            </w:tcBorders>
            <w:shd w:val="clear" w:color="auto" w:fill="auto"/>
            <w:noWrap/>
            <w:vAlign w:val="bottom"/>
            <w:hideMark/>
          </w:tcPr>
          <w:p w14:paraId="1E73AC0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696</w:t>
            </w:r>
          </w:p>
        </w:tc>
        <w:tc>
          <w:tcPr>
            <w:tcW w:w="993" w:type="dxa"/>
            <w:tcBorders>
              <w:top w:val="nil"/>
              <w:left w:val="single" w:sz="4" w:space="0" w:color="auto"/>
              <w:bottom w:val="nil"/>
              <w:right w:val="single" w:sz="4" w:space="0" w:color="auto"/>
            </w:tcBorders>
            <w:shd w:val="clear" w:color="auto" w:fill="auto"/>
            <w:noWrap/>
            <w:vAlign w:val="bottom"/>
            <w:hideMark/>
          </w:tcPr>
          <w:p w14:paraId="569ABEAA" w14:textId="561B1F7D"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2</w:t>
            </w:r>
            <w:r w:rsidR="00EC26EC">
              <w:rPr>
                <w:rFonts w:cs="Calibri"/>
                <w:b/>
                <w:bCs/>
                <w:color w:val="000000"/>
                <w:sz w:val="16"/>
                <w:szCs w:val="16"/>
                <w:lang w:eastAsia="en-GB"/>
              </w:rPr>
              <w:t> </w:t>
            </w:r>
            <w:r w:rsidRPr="008124C5">
              <w:rPr>
                <w:rFonts w:cs="Calibri"/>
                <w:b/>
                <w:bCs/>
                <w:color w:val="000000"/>
                <w:sz w:val="16"/>
                <w:szCs w:val="16"/>
                <w:lang w:eastAsia="en-GB"/>
              </w:rPr>
              <w:t>569</w:t>
            </w:r>
          </w:p>
        </w:tc>
        <w:tc>
          <w:tcPr>
            <w:tcW w:w="850" w:type="dxa"/>
            <w:tcBorders>
              <w:top w:val="nil"/>
              <w:left w:val="nil"/>
              <w:bottom w:val="nil"/>
              <w:right w:val="single" w:sz="4" w:space="0" w:color="auto"/>
            </w:tcBorders>
            <w:shd w:val="clear" w:color="auto" w:fill="auto"/>
            <w:noWrap/>
            <w:vAlign w:val="bottom"/>
            <w:hideMark/>
          </w:tcPr>
          <w:p w14:paraId="099155D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27975AB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p>
        </w:tc>
        <w:tc>
          <w:tcPr>
            <w:tcW w:w="864" w:type="dxa"/>
            <w:tcBorders>
              <w:top w:val="nil"/>
              <w:left w:val="nil"/>
              <w:bottom w:val="nil"/>
              <w:right w:val="single" w:sz="4" w:space="0" w:color="auto"/>
            </w:tcBorders>
            <w:shd w:val="clear" w:color="auto" w:fill="auto"/>
            <w:noWrap/>
            <w:vAlign w:val="bottom"/>
            <w:hideMark/>
          </w:tcPr>
          <w:p w14:paraId="74802C7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75" w:type="dxa"/>
            <w:tcBorders>
              <w:top w:val="nil"/>
              <w:left w:val="nil"/>
              <w:bottom w:val="nil"/>
              <w:right w:val="single" w:sz="4" w:space="0" w:color="auto"/>
            </w:tcBorders>
            <w:shd w:val="clear" w:color="auto" w:fill="auto"/>
            <w:noWrap/>
            <w:vAlign w:val="bottom"/>
            <w:hideMark/>
          </w:tcPr>
          <w:p w14:paraId="7436D97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15</w:t>
            </w:r>
          </w:p>
        </w:tc>
        <w:tc>
          <w:tcPr>
            <w:tcW w:w="670" w:type="dxa"/>
            <w:tcBorders>
              <w:top w:val="nil"/>
              <w:left w:val="nil"/>
              <w:bottom w:val="nil"/>
              <w:right w:val="single" w:sz="4" w:space="0" w:color="auto"/>
            </w:tcBorders>
            <w:shd w:val="clear" w:color="auto" w:fill="auto"/>
            <w:noWrap/>
            <w:vAlign w:val="bottom"/>
            <w:hideMark/>
          </w:tcPr>
          <w:p w14:paraId="7740F34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309</w:t>
            </w:r>
          </w:p>
        </w:tc>
        <w:tc>
          <w:tcPr>
            <w:tcW w:w="709" w:type="dxa"/>
            <w:tcBorders>
              <w:top w:val="nil"/>
              <w:left w:val="nil"/>
              <w:bottom w:val="nil"/>
              <w:right w:val="single" w:sz="4" w:space="0" w:color="auto"/>
            </w:tcBorders>
            <w:shd w:val="clear" w:color="auto" w:fill="auto"/>
            <w:noWrap/>
            <w:vAlign w:val="bottom"/>
            <w:hideMark/>
          </w:tcPr>
          <w:p w14:paraId="11C2F22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7ED0443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16D4E1F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w:t>
            </w:r>
          </w:p>
        </w:tc>
        <w:tc>
          <w:tcPr>
            <w:tcW w:w="1040" w:type="dxa"/>
            <w:tcBorders>
              <w:top w:val="nil"/>
              <w:left w:val="nil"/>
              <w:bottom w:val="nil"/>
              <w:right w:val="single" w:sz="4" w:space="0" w:color="auto"/>
            </w:tcBorders>
            <w:shd w:val="clear" w:color="auto" w:fill="auto"/>
            <w:noWrap/>
            <w:vAlign w:val="bottom"/>
            <w:hideMark/>
          </w:tcPr>
          <w:p w14:paraId="7FEDBCB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2" w:type="dxa"/>
            <w:tcBorders>
              <w:top w:val="nil"/>
              <w:left w:val="nil"/>
              <w:bottom w:val="nil"/>
              <w:right w:val="single" w:sz="4" w:space="0" w:color="auto"/>
            </w:tcBorders>
            <w:shd w:val="clear" w:color="auto" w:fill="auto"/>
            <w:noWrap/>
            <w:vAlign w:val="bottom"/>
            <w:hideMark/>
          </w:tcPr>
          <w:p w14:paraId="5E6E69BD" w14:textId="6896B883"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2</w:t>
            </w:r>
            <w:r w:rsidR="00EC26EC">
              <w:rPr>
                <w:rFonts w:cs="Calibri"/>
                <w:b/>
                <w:bCs/>
                <w:sz w:val="16"/>
                <w:szCs w:val="16"/>
                <w:lang w:eastAsia="en-GB"/>
              </w:rPr>
              <w:t> </w:t>
            </w:r>
            <w:r w:rsidRPr="008124C5">
              <w:rPr>
                <w:rFonts w:cs="Calibri"/>
                <w:b/>
                <w:bCs/>
                <w:sz w:val="16"/>
                <w:szCs w:val="16"/>
                <w:lang w:eastAsia="en-GB"/>
              </w:rPr>
              <w:t>896</w:t>
            </w:r>
          </w:p>
        </w:tc>
      </w:tr>
      <w:tr w:rsidR="00B56A7B" w:rsidRPr="000C156A" w14:paraId="026544C2"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14DDECA8"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rPr>
              <w:t>折旧</w:t>
            </w:r>
          </w:p>
        </w:tc>
        <w:tc>
          <w:tcPr>
            <w:tcW w:w="992" w:type="dxa"/>
            <w:tcBorders>
              <w:top w:val="nil"/>
              <w:left w:val="single" w:sz="4" w:space="0" w:color="auto"/>
              <w:bottom w:val="nil"/>
              <w:right w:val="single" w:sz="4" w:space="0" w:color="auto"/>
            </w:tcBorders>
            <w:shd w:val="clear" w:color="auto" w:fill="auto"/>
            <w:noWrap/>
            <w:vAlign w:val="bottom"/>
            <w:hideMark/>
          </w:tcPr>
          <w:p w14:paraId="20CCB1F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709" w:type="dxa"/>
            <w:tcBorders>
              <w:top w:val="nil"/>
              <w:left w:val="nil"/>
              <w:bottom w:val="nil"/>
              <w:right w:val="single" w:sz="4" w:space="0" w:color="auto"/>
            </w:tcBorders>
            <w:shd w:val="clear" w:color="auto" w:fill="auto"/>
            <w:noWrap/>
            <w:vAlign w:val="bottom"/>
            <w:hideMark/>
          </w:tcPr>
          <w:p w14:paraId="67D313E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992" w:type="dxa"/>
            <w:tcBorders>
              <w:top w:val="nil"/>
              <w:left w:val="nil"/>
              <w:bottom w:val="nil"/>
              <w:right w:val="single" w:sz="4" w:space="0" w:color="auto"/>
            </w:tcBorders>
            <w:shd w:val="clear" w:color="auto" w:fill="auto"/>
            <w:noWrap/>
            <w:vAlign w:val="bottom"/>
            <w:hideMark/>
          </w:tcPr>
          <w:p w14:paraId="27AFB5A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992" w:type="dxa"/>
            <w:tcBorders>
              <w:top w:val="nil"/>
              <w:left w:val="nil"/>
              <w:bottom w:val="nil"/>
              <w:right w:val="single" w:sz="4" w:space="0" w:color="auto"/>
            </w:tcBorders>
            <w:shd w:val="clear" w:color="auto" w:fill="auto"/>
            <w:noWrap/>
            <w:vAlign w:val="bottom"/>
            <w:hideMark/>
          </w:tcPr>
          <w:p w14:paraId="1AD9742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14:paraId="2348FE5E" w14:textId="7A22D20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16</w:t>
            </w:r>
            <w:r w:rsidR="00EC26EC">
              <w:rPr>
                <w:rFonts w:cs="Calibri"/>
                <w:color w:val="000000"/>
                <w:sz w:val="16"/>
                <w:szCs w:val="16"/>
                <w:lang w:eastAsia="en-GB"/>
              </w:rPr>
              <w:t> </w:t>
            </w:r>
            <w:r w:rsidRPr="008124C5">
              <w:rPr>
                <w:rFonts w:cs="Calibri"/>
                <w:color w:val="000000"/>
                <w:sz w:val="16"/>
                <w:szCs w:val="16"/>
                <w:lang w:eastAsia="en-GB"/>
              </w:rPr>
              <w:t>437</w:t>
            </w:r>
          </w:p>
        </w:tc>
        <w:tc>
          <w:tcPr>
            <w:tcW w:w="993" w:type="dxa"/>
            <w:tcBorders>
              <w:top w:val="nil"/>
              <w:left w:val="single" w:sz="4" w:space="0" w:color="auto"/>
              <w:bottom w:val="nil"/>
              <w:right w:val="single" w:sz="4" w:space="0" w:color="auto"/>
            </w:tcBorders>
            <w:shd w:val="clear" w:color="auto" w:fill="auto"/>
            <w:noWrap/>
            <w:vAlign w:val="bottom"/>
            <w:hideMark/>
          </w:tcPr>
          <w:p w14:paraId="42531099" w14:textId="4B84051E"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16</w:t>
            </w:r>
            <w:r w:rsidR="00EC26EC">
              <w:rPr>
                <w:rFonts w:cs="Calibri"/>
                <w:b/>
                <w:bCs/>
                <w:color w:val="000000"/>
                <w:sz w:val="16"/>
                <w:szCs w:val="16"/>
                <w:lang w:eastAsia="en-GB"/>
              </w:rPr>
              <w:t> </w:t>
            </w:r>
            <w:r w:rsidRPr="008124C5">
              <w:rPr>
                <w:rFonts w:cs="Calibri"/>
                <w:b/>
                <w:bCs/>
                <w:color w:val="000000"/>
                <w:sz w:val="16"/>
                <w:szCs w:val="16"/>
                <w:lang w:eastAsia="en-GB"/>
              </w:rPr>
              <w:t>437</w:t>
            </w:r>
          </w:p>
        </w:tc>
        <w:tc>
          <w:tcPr>
            <w:tcW w:w="850" w:type="dxa"/>
            <w:tcBorders>
              <w:top w:val="nil"/>
              <w:left w:val="nil"/>
              <w:bottom w:val="nil"/>
              <w:right w:val="single" w:sz="4" w:space="0" w:color="auto"/>
            </w:tcBorders>
            <w:shd w:val="clear" w:color="auto" w:fill="auto"/>
            <w:noWrap/>
            <w:vAlign w:val="bottom"/>
            <w:hideMark/>
          </w:tcPr>
          <w:p w14:paraId="07B09D1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1D88521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11C19C5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75" w:type="dxa"/>
            <w:tcBorders>
              <w:top w:val="nil"/>
              <w:left w:val="nil"/>
              <w:bottom w:val="nil"/>
              <w:right w:val="single" w:sz="4" w:space="0" w:color="auto"/>
            </w:tcBorders>
            <w:shd w:val="clear" w:color="auto" w:fill="auto"/>
            <w:noWrap/>
            <w:vAlign w:val="bottom"/>
            <w:hideMark/>
          </w:tcPr>
          <w:p w14:paraId="4B98601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161</w:t>
            </w:r>
          </w:p>
        </w:tc>
        <w:tc>
          <w:tcPr>
            <w:tcW w:w="670" w:type="dxa"/>
            <w:tcBorders>
              <w:top w:val="nil"/>
              <w:left w:val="nil"/>
              <w:bottom w:val="nil"/>
              <w:right w:val="single" w:sz="4" w:space="0" w:color="auto"/>
            </w:tcBorders>
            <w:shd w:val="clear" w:color="auto" w:fill="auto"/>
            <w:noWrap/>
            <w:vAlign w:val="bottom"/>
            <w:hideMark/>
          </w:tcPr>
          <w:p w14:paraId="2FAC51E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709" w:type="dxa"/>
            <w:tcBorders>
              <w:top w:val="nil"/>
              <w:left w:val="nil"/>
              <w:bottom w:val="nil"/>
              <w:right w:val="single" w:sz="4" w:space="0" w:color="auto"/>
            </w:tcBorders>
            <w:shd w:val="clear" w:color="auto" w:fill="auto"/>
            <w:noWrap/>
            <w:vAlign w:val="bottom"/>
            <w:hideMark/>
          </w:tcPr>
          <w:p w14:paraId="00CF50E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2C5E9D8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44CE436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1040" w:type="dxa"/>
            <w:tcBorders>
              <w:top w:val="nil"/>
              <w:left w:val="nil"/>
              <w:bottom w:val="nil"/>
              <w:right w:val="single" w:sz="4" w:space="0" w:color="auto"/>
            </w:tcBorders>
            <w:shd w:val="clear" w:color="auto" w:fill="auto"/>
            <w:noWrap/>
            <w:vAlign w:val="bottom"/>
            <w:hideMark/>
          </w:tcPr>
          <w:p w14:paraId="37FD637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2" w:type="dxa"/>
            <w:tcBorders>
              <w:top w:val="nil"/>
              <w:left w:val="nil"/>
              <w:bottom w:val="nil"/>
              <w:right w:val="single" w:sz="4" w:space="0" w:color="auto"/>
            </w:tcBorders>
            <w:shd w:val="clear" w:color="auto" w:fill="auto"/>
            <w:noWrap/>
            <w:vAlign w:val="bottom"/>
            <w:hideMark/>
          </w:tcPr>
          <w:p w14:paraId="0EDE54BB" w14:textId="035A4CC1"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16</w:t>
            </w:r>
            <w:r w:rsidR="00EC26EC">
              <w:rPr>
                <w:rFonts w:cs="Calibri"/>
                <w:b/>
                <w:bCs/>
                <w:sz w:val="16"/>
                <w:szCs w:val="16"/>
                <w:lang w:eastAsia="en-GB"/>
              </w:rPr>
              <w:t> </w:t>
            </w:r>
            <w:r w:rsidRPr="008124C5">
              <w:rPr>
                <w:rFonts w:cs="Calibri"/>
                <w:b/>
                <w:bCs/>
                <w:sz w:val="16"/>
                <w:szCs w:val="16"/>
                <w:lang w:eastAsia="en-GB"/>
              </w:rPr>
              <w:t>598</w:t>
            </w:r>
          </w:p>
        </w:tc>
      </w:tr>
      <w:tr w:rsidR="00B56A7B" w:rsidRPr="000C156A" w14:paraId="53D78FBB" w14:textId="77777777" w:rsidTr="00CC47BD">
        <w:trPr>
          <w:trHeight w:val="202"/>
          <w:jc w:val="center"/>
        </w:trPr>
        <w:tc>
          <w:tcPr>
            <w:tcW w:w="1980" w:type="dxa"/>
            <w:tcBorders>
              <w:top w:val="nil"/>
              <w:left w:val="single" w:sz="4" w:space="0" w:color="auto"/>
              <w:bottom w:val="nil"/>
              <w:right w:val="nil"/>
            </w:tcBorders>
            <w:shd w:val="clear" w:color="auto" w:fill="auto"/>
            <w:vAlign w:val="center"/>
            <w:hideMark/>
          </w:tcPr>
          <w:p w14:paraId="020B6A26" w14:textId="77777777" w:rsidR="00B56A7B" w:rsidRPr="000C156A" w:rsidRDefault="00B56A7B" w:rsidP="00CC47BD">
            <w:pPr>
              <w:overflowPunct/>
              <w:autoSpaceDE/>
              <w:autoSpaceDN/>
              <w:adjustRightInd/>
              <w:spacing w:before="40"/>
              <w:textAlignment w:val="auto"/>
              <w:rPr>
                <w:rFonts w:eastAsia="Times New Roman" w:cs="Calibri"/>
                <w:color w:val="000000"/>
                <w:sz w:val="16"/>
                <w:szCs w:val="16"/>
                <w:lang w:eastAsia="zh-CN"/>
              </w:rPr>
            </w:pPr>
            <w:r w:rsidRPr="000C156A">
              <w:rPr>
                <w:rFonts w:hint="eastAsia"/>
                <w:noProof/>
                <w:sz w:val="16"/>
                <w:szCs w:val="16"/>
                <w:lang w:val="en-US" w:eastAsia="zh-CN"/>
              </w:rPr>
              <w:t>运输、电信和服务费用</w:t>
            </w:r>
          </w:p>
        </w:tc>
        <w:tc>
          <w:tcPr>
            <w:tcW w:w="992" w:type="dxa"/>
            <w:tcBorders>
              <w:top w:val="nil"/>
              <w:left w:val="single" w:sz="4" w:space="0" w:color="auto"/>
              <w:bottom w:val="nil"/>
              <w:right w:val="single" w:sz="4" w:space="0" w:color="auto"/>
            </w:tcBorders>
            <w:shd w:val="clear" w:color="auto" w:fill="auto"/>
            <w:noWrap/>
            <w:vAlign w:val="bottom"/>
            <w:hideMark/>
          </w:tcPr>
          <w:p w14:paraId="0AF3D29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899</w:t>
            </w:r>
          </w:p>
        </w:tc>
        <w:tc>
          <w:tcPr>
            <w:tcW w:w="709" w:type="dxa"/>
            <w:tcBorders>
              <w:top w:val="nil"/>
              <w:left w:val="nil"/>
              <w:bottom w:val="nil"/>
              <w:right w:val="single" w:sz="4" w:space="0" w:color="auto"/>
            </w:tcBorders>
            <w:shd w:val="clear" w:color="auto" w:fill="auto"/>
            <w:noWrap/>
            <w:vAlign w:val="bottom"/>
            <w:hideMark/>
          </w:tcPr>
          <w:p w14:paraId="46E3418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17556CE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p>
        </w:tc>
        <w:tc>
          <w:tcPr>
            <w:tcW w:w="992" w:type="dxa"/>
            <w:tcBorders>
              <w:top w:val="nil"/>
              <w:left w:val="nil"/>
              <w:bottom w:val="nil"/>
              <w:right w:val="single" w:sz="4" w:space="0" w:color="auto"/>
            </w:tcBorders>
            <w:shd w:val="clear" w:color="auto" w:fill="auto"/>
            <w:noWrap/>
            <w:vAlign w:val="bottom"/>
            <w:hideMark/>
          </w:tcPr>
          <w:p w14:paraId="433F4BD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44</w:t>
            </w:r>
          </w:p>
        </w:tc>
        <w:tc>
          <w:tcPr>
            <w:tcW w:w="1134" w:type="dxa"/>
            <w:tcBorders>
              <w:top w:val="nil"/>
              <w:left w:val="nil"/>
              <w:bottom w:val="nil"/>
              <w:right w:val="nil"/>
            </w:tcBorders>
            <w:shd w:val="clear" w:color="auto" w:fill="auto"/>
            <w:noWrap/>
            <w:vAlign w:val="bottom"/>
            <w:hideMark/>
          </w:tcPr>
          <w:p w14:paraId="6E4CFE8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655</w:t>
            </w:r>
          </w:p>
        </w:tc>
        <w:tc>
          <w:tcPr>
            <w:tcW w:w="993" w:type="dxa"/>
            <w:tcBorders>
              <w:top w:val="nil"/>
              <w:left w:val="single" w:sz="4" w:space="0" w:color="auto"/>
              <w:bottom w:val="nil"/>
              <w:right w:val="single" w:sz="4" w:space="0" w:color="auto"/>
            </w:tcBorders>
            <w:shd w:val="clear" w:color="auto" w:fill="auto"/>
            <w:noWrap/>
            <w:vAlign w:val="bottom"/>
            <w:hideMark/>
          </w:tcPr>
          <w:p w14:paraId="1ACD33D9" w14:textId="284AF11B"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w:t>
            </w:r>
            <w:r w:rsidR="00EC26EC">
              <w:rPr>
                <w:rFonts w:cs="Calibri"/>
                <w:b/>
                <w:bCs/>
                <w:color w:val="000000"/>
                <w:sz w:val="16"/>
                <w:szCs w:val="16"/>
                <w:lang w:eastAsia="en-GB"/>
              </w:rPr>
              <w:t> </w:t>
            </w:r>
            <w:r w:rsidRPr="008124C5">
              <w:rPr>
                <w:rFonts w:cs="Calibri"/>
                <w:b/>
                <w:bCs/>
                <w:color w:val="000000"/>
                <w:sz w:val="16"/>
                <w:szCs w:val="16"/>
                <w:lang w:eastAsia="en-GB"/>
              </w:rPr>
              <w:t>597</w:t>
            </w:r>
          </w:p>
        </w:tc>
        <w:tc>
          <w:tcPr>
            <w:tcW w:w="850" w:type="dxa"/>
            <w:tcBorders>
              <w:top w:val="nil"/>
              <w:left w:val="nil"/>
              <w:bottom w:val="nil"/>
              <w:right w:val="single" w:sz="4" w:space="0" w:color="auto"/>
            </w:tcBorders>
            <w:shd w:val="clear" w:color="auto" w:fill="auto"/>
            <w:noWrap/>
            <w:vAlign w:val="bottom"/>
            <w:hideMark/>
          </w:tcPr>
          <w:p w14:paraId="4D4AC54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4880010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71B42C2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75" w:type="dxa"/>
            <w:tcBorders>
              <w:top w:val="nil"/>
              <w:left w:val="nil"/>
              <w:bottom w:val="nil"/>
              <w:right w:val="single" w:sz="4" w:space="0" w:color="auto"/>
            </w:tcBorders>
            <w:shd w:val="clear" w:color="auto" w:fill="auto"/>
            <w:noWrap/>
            <w:vAlign w:val="bottom"/>
            <w:hideMark/>
          </w:tcPr>
          <w:p w14:paraId="280EC05E"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0</w:t>
            </w:r>
          </w:p>
        </w:tc>
        <w:tc>
          <w:tcPr>
            <w:tcW w:w="670" w:type="dxa"/>
            <w:tcBorders>
              <w:top w:val="nil"/>
              <w:left w:val="nil"/>
              <w:bottom w:val="nil"/>
              <w:right w:val="single" w:sz="4" w:space="0" w:color="auto"/>
            </w:tcBorders>
            <w:shd w:val="clear" w:color="auto" w:fill="auto"/>
            <w:noWrap/>
            <w:vAlign w:val="bottom"/>
            <w:hideMark/>
          </w:tcPr>
          <w:p w14:paraId="58F694B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p>
        </w:tc>
        <w:tc>
          <w:tcPr>
            <w:tcW w:w="709" w:type="dxa"/>
            <w:tcBorders>
              <w:top w:val="nil"/>
              <w:left w:val="nil"/>
              <w:bottom w:val="nil"/>
              <w:right w:val="single" w:sz="4" w:space="0" w:color="auto"/>
            </w:tcBorders>
            <w:shd w:val="clear" w:color="auto" w:fill="auto"/>
            <w:noWrap/>
            <w:vAlign w:val="bottom"/>
            <w:hideMark/>
          </w:tcPr>
          <w:p w14:paraId="06B3FDA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4216F35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058149B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1040" w:type="dxa"/>
            <w:tcBorders>
              <w:top w:val="nil"/>
              <w:left w:val="nil"/>
              <w:bottom w:val="nil"/>
              <w:right w:val="single" w:sz="4" w:space="0" w:color="auto"/>
            </w:tcBorders>
            <w:shd w:val="clear" w:color="auto" w:fill="auto"/>
            <w:noWrap/>
            <w:vAlign w:val="bottom"/>
            <w:hideMark/>
          </w:tcPr>
          <w:p w14:paraId="4BF68CE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2" w:type="dxa"/>
            <w:tcBorders>
              <w:top w:val="nil"/>
              <w:left w:val="nil"/>
              <w:bottom w:val="nil"/>
              <w:right w:val="single" w:sz="4" w:space="0" w:color="auto"/>
            </w:tcBorders>
            <w:shd w:val="clear" w:color="auto" w:fill="auto"/>
            <w:noWrap/>
            <w:vAlign w:val="bottom"/>
            <w:hideMark/>
          </w:tcPr>
          <w:p w14:paraId="4C898C48" w14:textId="3448274D"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1</w:t>
            </w:r>
            <w:r w:rsidR="00EC26EC">
              <w:rPr>
                <w:rFonts w:cs="Calibri"/>
                <w:b/>
                <w:bCs/>
                <w:sz w:val="16"/>
                <w:szCs w:val="16"/>
                <w:lang w:eastAsia="en-GB"/>
              </w:rPr>
              <w:t> </w:t>
            </w:r>
            <w:r w:rsidRPr="008124C5">
              <w:rPr>
                <w:rFonts w:cs="Calibri"/>
                <w:b/>
                <w:bCs/>
                <w:sz w:val="16"/>
                <w:szCs w:val="16"/>
                <w:lang w:eastAsia="en-GB"/>
              </w:rPr>
              <w:t>599</w:t>
            </w:r>
          </w:p>
        </w:tc>
      </w:tr>
      <w:tr w:rsidR="00B56A7B" w:rsidRPr="000C156A" w14:paraId="0D23DF47" w14:textId="77777777" w:rsidTr="00CC47BD">
        <w:trPr>
          <w:trHeight w:val="233"/>
          <w:jc w:val="center"/>
        </w:trPr>
        <w:tc>
          <w:tcPr>
            <w:tcW w:w="1980" w:type="dxa"/>
            <w:tcBorders>
              <w:top w:val="nil"/>
              <w:left w:val="single" w:sz="4" w:space="0" w:color="auto"/>
              <w:bottom w:val="nil"/>
              <w:right w:val="nil"/>
            </w:tcBorders>
            <w:shd w:val="clear" w:color="auto" w:fill="auto"/>
            <w:vAlign w:val="center"/>
            <w:hideMark/>
          </w:tcPr>
          <w:p w14:paraId="0FB1D027" w14:textId="77777777" w:rsidR="00B56A7B" w:rsidRPr="000C156A" w:rsidRDefault="00B56A7B" w:rsidP="00CC47BD">
            <w:pPr>
              <w:overflowPunct/>
              <w:autoSpaceDE/>
              <w:autoSpaceDN/>
              <w:adjustRightInd/>
              <w:spacing w:before="40"/>
              <w:textAlignment w:val="auto"/>
              <w:rPr>
                <w:rFonts w:eastAsia="Times New Roman" w:cs="Calibri"/>
                <w:color w:val="000000"/>
                <w:sz w:val="16"/>
                <w:szCs w:val="16"/>
                <w:lang w:eastAsia="zh-CN"/>
              </w:rPr>
            </w:pPr>
            <w:r w:rsidRPr="000C156A">
              <w:rPr>
                <w:rFonts w:hint="eastAsia"/>
                <w:noProof/>
                <w:sz w:val="16"/>
                <w:szCs w:val="16"/>
                <w:lang w:val="en-US" w:eastAsia="zh-CN"/>
              </w:rPr>
              <w:t>账目审计和跨组织缴费</w:t>
            </w:r>
          </w:p>
        </w:tc>
        <w:tc>
          <w:tcPr>
            <w:tcW w:w="992" w:type="dxa"/>
            <w:tcBorders>
              <w:top w:val="nil"/>
              <w:left w:val="single" w:sz="4" w:space="0" w:color="auto"/>
              <w:bottom w:val="nil"/>
              <w:right w:val="single" w:sz="4" w:space="0" w:color="auto"/>
            </w:tcBorders>
            <w:shd w:val="clear" w:color="auto" w:fill="auto"/>
            <w:noWrap/>
            <w:vAlign w:val="center"/>
            <w:hideMark/>
          </w:tcPr>
          <w:p w14:paraId="338B2C2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6</w:t>
            </w:r>
          </w:p>
        </w:tc>
        <w:tc>
          <w:tcPr>
            <w:tcW w:w="709" w:type="dxa"/>
            <w:tcBorders>
              <w:top w:val="nil"/>
              <w:left w:val="nil"/>
              <w:bottom w:val="nil"/>
              <w:right w:val="single" w:sz="4" w:space="0" w:color="auto"/>
            </w:tcBorders>
            <w:shd w:val="clear" w:color="auto" w:fill="auto"/>
            <w:noWrap/>
            <w:vAlign w:val="center"/>
            <w:hideMark/>
          </w:tcPr>
          <w:p w14:paraId="7D28BE2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992" w:type="dxa"/>
            <w:tcBorders>
              <w:top w:val="nil"/>
              <w:left w:val="nil"/>
              <w:bottom w:val="nil"/>
              <w:right w:val="single" w:sz="4" w:space="0" w:color="auto"/>
            </w:tcBorders>
            <w:shd w:val="clear" w:color="auto" w:fill="auto"/>
            <w:noWrap/>
            <w:vAlign w:val="center"/>
            <w:hideMark/>
          </w:tcPr>
          <w:p w14:paraId="1F14125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992" w:type="dxa"/>
            <w:tcBorders>
              <w:top w:val="nil"/>
              <w:left w:val="nil"/>
              <w:bottom w:val="nil"/>
              <w:right w:val="single" w:sz="4" w:space="0" w:color="auto"/>
            </w:tcBorders>
            <w:shd w:val="clear" w:color="auto" w:fill="auto"/>
            <w:noWrap/>
            <w:vAlign w:val="center"/>
            <w:hideMark/>
          </w:tcPr>
          <w:p w14:paraId="60119A8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35</w:t>
            </w:r>
          </w:p>
        </w:tc>
        <w:tc>
          <w:tcPr>
            <w:tcW w:w="1134" w:type="dxa"/>
            <w:tcBorders>
              <w:top w:val="nil"/>
              <w:left w:val="nil"/>
              <w:bottom w:val="nil"/>
              <w:right w:val="nil"/>
            </w:tcBorders>
            <w:shd w:val="clear" w:color="auto" w:fill="auto"/>
            <w:noWrap/>
            <w:vAlign w:val="center"/>
            <w:hideMark/>
          </w:tcPr>
          <w:p w14:paraId="1E61387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441</w:t>
            </w:r>
          </w:p>
        </w:tc>
        <w:tc>
          <w:tcPr>
            <w:tcW w:w="993" w:type="dxa"/>
            <w:tcBorders>
              <w:top w:val="nil"/>
              <w:left w:val="single" w:sz="4" w:space="0" w:color="auto"/>
              <w:bottom w:val="nil"/>
              <w:right w:val="single" w:sz="4" w:space="0" w:color="auto"/>
            </w:tcBorders>
            <w:shd w:val="clear" w:color="auto" w:fill="auto"/>
            <w:noWrap/>
            <w:vAlign w:val="center"/>
            <w:hideMark/>
          </w:tcPr>
          <w:p w14:paraId="12BFA212"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481</w:t>
            </w:r>
          </w:p>
        </w:tc>
        <w:tc>
          <w:tcPr>
            <w:tcW w:w="850" w:type="dxa"/>
            <w:tcBorders>
              <w:top w:val="nil"/>
              <w:left w:val="nil"/>
              <w:bottom w:val="nil"/>
              <w:right w:val="single" w:sz="4" w:space="0" w:color="auto"/>
            </w:tcBorders>
            <w:shd w:val="clear" w:color="auto" w:fill="auto"/>
            <w:noWrap/>
            <w:vAlign w:val="center"/>
            <w:hideMark/>
          </w:tcPr>
          <w:p w14:paraId="5CB93D8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51" w:type="dxa"/>
            <w:tcBorders>
              <w:top w:val="nil"/>
              <w:left w:val="nil"/>
              <w:bottom w:val="nil"/>
              <w:right w:val="single" w:sz="4" w:space="0" w:color="auto"/>
            </w:tcBorders>
            <w:shd w:val="clear" w:color="auto" w:fill="auto"/>
            <w:noWrap/>
            <w:vAlign w:val="center"/>
            <w:hideMark/>
          </w:tcPr>
          <w:p w14:paraId="497ACF6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07731DA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75" w:type="dxa"/>
            <w:tcBorders>
              <w:top w:val="nil"/>
              <w:left w:val="nil"/>
              <w:bottom w:val="nil"/>
              <w:right w:val="single" w:sz="4" w:space="0" w:color="auto"/>
            </w:tcBorders>
            <w:shd w:val="clear" w:color="auto" w:fill="auto"/>
            <w:noWrap/>
            <w:vAlign w:val="center"/>
            <w:hideMark/>
          </w:tcPr>
          <w:p w14:paraId="664444FC"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70" w:type="dxa"/>
            <w:tcBorders>
              <w:top w:val="nil"/>
              <w:left w:val="nil"/>
              <w:bottom w:val="nil"/>
              <w:right w:val="single" w:sz="4" w:space="0" w:color="auto"/>
            </w:tcBorders>
            <w:shd w:val="clear" w:color="auto" w:fill="auto"/>
            <w:noWrap/>
            <w:vAlign w:val="center"/>
            <w:hideMark/>
          </w:tcPr>
          <w:p w14:paraId="64176AC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0</w:t>
            </w:r>
          </w:p>
        </w:tc>
        <w:tc>
          <w:tcPr>
            <w:tcW w:w="709" w:type="dxa"/>
            <w:tcBorders>
              <w:top w:val="nil"/>
              <w:left w:val="nil"/>
              <w:bottom w:val="nil"/>
              <w:right w:val="single" w:sz="4" w:space="0" w:color="auto"/>
            </w:tcBorders>
            <w:shd w:val="clear" w:color="auto" w:fill="auto"/>
            <w:noWrap/>
            <w:vAlign w:val="center"/>
            <w:hideMark/>
          </w:tcPr>
          <w:p w14:paraId="716888C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center"/>
            <w:hideMark/>
          </w:tcPr>
          <w:p w14:paraId="5254C38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center"/>
            <w:hideMark/>
          </w:tcPr>
          <w:p w14:paraId="18DE5F4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1040" w:type="dxa"/>
            <w:tcBorders>
              <w:top w:val="nil"/>
              <w:left w:val="nil"/>
              <w:bottom w:val="nil"/>
              <w:right w:val="single" w:sz="4" w:space="0" w:color="auto"/>
            </w:tcBorders>
            <w:shd w:val="clear" w:color="auto" w:fill="auto"/>
            <w:noWrap/>
            <w:vAlign w:val="center"/>
            <w:hideMark/>
          </w:tcPr>
          <w:p w14:paraId="25F9C79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2" w:type="dxa"/>
            <w:tcBorders>
              <w:top w:val="nil"/>
              <w:left w:val="nil"/>
              <w:bottom w:val="nil"/>
              <w:right w:val="single" w:sz="4" w:space="0" w:color="auto"/>
            </w:tcBorders>
            <w:shd w:val="clear" w:color="auto" w:fill="auto"/>
            <w:noWrap/>
            <w:vAlign w:val="center"/>
            <w:hideMark/>
          </w:tcPr>
          <w:p w14:paraId="7A6B9AF0"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482</w:t>
            </w:r>
          </w:p>
        </w:tc>
      </w:tr>
      <w:tr w:rsidR="00B56A7B" w:rsidRPr="000C156A" w14:paraId="13EFAA6B"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34396476"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其他</w:t>
            </w:r>
            <w:r w:rsidRPr="000C156A">
              <w:rPr>
                <w:rFonts w:hint="eastAsia"/>
                <w:noProof/>
                <w:sz w:val="16"/>
                <w:szCs w:val="16"/>
                <w:lang w:val="en-US"/>
              </w:rPr>
              <w:t>费用</w:t>
            </w:r>
          </w:p>
        </w:tc>
        <w:tc>
          <w:tcPr>
            <w:tcW w:w="992" w:type="dxa"/>
            <w:tcBorders>
              <w:top w:val="nil"/>
              <w:left w:val="single" w:sz="4" w:space="0" w:color="auto"/>
              <w:bottom w:val="nil"/>
              <w:right w:val="single" w:sz="4" w:space="0" w:color="auto"/>
            </w:tcBorders>
            <w:shd w:val="clear" w:color="auto" w:fill="auto"/>
            <w:noWrap/>
            <w:vAlign w:val="bottom"/>
            <w:hideMark/>
          </w:tcPr>
          <w:p w14:paraId="18CFC92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24</w:t>
            </w:r>
          </w:p>
        </w:tc>
        <w:tc>
          <w:tcPr>
            <w:tcW w:w="709" w:type="dxa"/>
            <w:tcBorders>
              <w:top w:val="nil"/>
              <w:left w:val="nil"/>
              <w:bottom w:val="nil"/>
              <w:right w:val="single" w:sz="4" w:space="0" w:color="auto"/>
            </w:tcBorders>
            <w:shd w:val="clear" w:color="auto" w:fill="auto"/>
            <w:noWrap/>
            <w:vAlign w:val="bottom"/>
            <w:hideMark/>
          </w:tcPr>
          <w:p w14:paraId="76649F2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Pr>
                <w:rFonts w:cs="Calibri"/>
                <w:color w:val="000000"/>
                <w:sz w:val="16"/>
                <w:szCs w:val="16"/>
                <w:lang w:eastAsia="en-GB"/>
              </w:rPr>
              <w:t>9</w:t>
            </w:r>
            <w:r w:rsidRPr="008124C5">
              <w:rPr>
                <w:rFonts w:cs="Calibri"/>
                <w:color w:val="000000"/>
                <w:sz w:val="16"/>
                <w:szCs w:val="16"/>
                <w:lang w:eastAsia="en-GB"/>
              </w:rPr>
              <w:t>25</w:t>
            </w:r>
          </w:p>
        </w:tc>
        <w:tc>
          <w:tcPr>
            <w:tcW w:w="992" w:type="dxa"/>
            <w:tcBorders>
              <w:top w:val="nil"/>
              <w:left w:val="nil"/>
              <w:bottom w:val="nil"/>
              <w:right w:val="single" w:sz="4" w:space="0" w:color="auto"/>
            </w:tcBorders>
            <w:shd w:val="clear" w:color="auto" w:fill="auto"/>
            <w:noWrap/>
            <w:vAlign w:val="bottom"/>
            <w:hideMark/>
          </w:tcPr>
          <w:p w14:paraId="0D3B828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6</w:t>
            </w:r>
          </w:p>
        </w:tc>
        <w:tc>
          <w:tcPr>
            <w:tcW w:w="992" w:type="dxa"/>
            <w:tcBorders>
              <w:top w:val="nil"/>
              <w:left w:val="nil"/>
              <w:bottom w:val="nil"/>
              <w:right w:val="single" w:sz="4" w:space="0" w:color="auto"/>
            </w:tcBorders>
            <w:shd w:val="clear" w:color="auto" w:fill="auto"/>
            <w:noWrap/>
            <w:vAlign w:val="bottom"/>
            <w:hideMark/>
          </w:tcPr>
          <w:p w14:paraId="3F0B2E37" w14:textId="7C0634EA"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3</w:t>
            </w:r>
            <w:r w:rsidR="00EC26EC">
              <w:rPr>
                <w:rFonts w:cs="Calibri"/>
                <w:color w:val="000000"/>
                <w:sz w:val="16"/>
                <w:szCs w:val="16"/>
                <w:lang w:eastAsia="en-GB"/>
              </w:rPr>
              <w:t> </w:t>
            </w:r>
            <w:r w:rsidRPr="008124C5">
              <w:rPr>
                <w:rFonts w:cs="Calibri"/>
                <w:color w:val="000000"/>
                <w:sz w:val="16"/>
                <w:szCs w:val="16"/>
                <w:lang w:eastAsia="en-GB"/>
              </w:rPr>
              <w:t>041</w:t>
            </w:r>
          </w:p>
        </w:tc>
        <w:tc>
          <w:tcPr>
            <w:tcW w:w="1134" w:type="dxa"/>
            <w:tcBorders>
              <w:top w:val="nil"/>
              <w:left w:val="nil"/>
              <w:bottom w:val="nil"/>
              <w:right w:val="nil"/>
            </w:tcBorders>
            <w:shd w:val="clear" w:color="auto" w:fill="auto"/>
            <w:noWrap/>
            <w:vAlign w:val="bottom"/>
            <w:hideMark/>
          </w:tcPr>
          <w:p w14:paraId="2AF8BE29" w14:textId="5BCA7306"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5</w:t>
            </w:r>
            <w:r w:rsidR="00EC26EC">
              <w:rPr>
                <w:rFonts w:cs="Calibri"/>
                <w:color w:val="000000"/>
                <w:sz w:val="16"/>
                <w:szCs w:val="16"/>
                <w:lang w:eastAsia="en-GB"/>
              </w:rPr>
              <w:t> </w:t>
            </w:r>
            <w:r w:rsidRPr="008124C5">
              <w:rPr>
                <w:rFonts w:cs="Calibri"/>
                <w:color w:val="000000"/>
                <w:sz w:val="16"/>
                <w:szCs w:val="16"/>
                <w:lang w:eastAsia="en-GB"/>
              </w:rPr>
              <w:t>528</w:t>
            </w:r>
          </w:p>
        </w:tc>
        <w:tc>
          <w:tcPr>
            <w:tcW w:w="993" w:type="dxa"/>
            <w:tcBorders>
              <w:top w:val="nil"/>
              <w:left w:val="single" w:sz="4" w:space="0" w:color="auto"/>
              <w:bottom w:val="nil"/>
              <w:right w:val="single" w:sz="4" w:space="0" w:color="auto"/>
            </w:tcBorders>
            <w:shd w:val="clear" w:color="auto" w:fill="auto"/>
            <w:noWrap/>
            <w:vAlign w:val="bottom"/>
            <w:hideMark/>
          </w:tcPr>
          <w:p w14:paraId="23A3FDFE" w14:textId="542785C8"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9</w:t>
            </w:r>
            <w:r w:rsidR="00EC26EC">
              <w:rPr>
                <w:rFonts w:cs="Calibri"/>
                <w:b/>
                <w:bCs/>
                <w:color w:val="000000"/>
                <w:sz w:val="16"/>
                <w:szCs w:val="16"/>
                <w:lang w:eastAsia="en-GB"/>
              </w:rPr>
              <w:t> </w:t>
            </w:r>
            <w:r w:rsidRPr="008124C5">
              <w:rPr>
                <w:rFonts w:cs="Calibri"/>
                <w:b/>
                <w:bCs/>
                <w:color w:val="000000"/>
                <w:sz w:val="16"/>
                <w:szCs w:val="16"/>
                <w:lang w:eastAsia="en-GB"/>
              </w:rPr>
              <w:t>524</w:t>
            </w:r>
          </w:p>
        </w:tc>
        <w:tc>
          <w:tcPr>
            <w:tcW w:w="850" w:type="dxa"/>
            <w:tcBorders>
              <w:top w:val="nil"/>
              <w:left w:val="nil"/>
              <w:bottom w:val="nil"/>
              <w:right w:val="single" w:sz="4" w:space="0" w:color="auto"/>
            </w:tcBorders>
            <w:shd w:val="clear" w:color="auto" w:fill="auto"/>
            <w:noWrap/>
            <w:vAlign w:val="bottom"/>
            <w:hideMark/>
          </w:tcPr>
          <w:p w14:paraId="6553BD9B"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51" w:type="dxa"/>
            <w:tcBorders>
              <w:top w:val="nil"/>
              <w:left w:val="nil"/>
              <w:bottom w:val="nil"/>
              <w:right w:val="single" w:sz="4" w:space="0" w:color="auto"/>
            </w:tcBorders>
            <w:shd w:val="clear" w:color="auto" w:fill="auto"/>
            <w:noWrap/>
            <w:vAlign w:val="bottom"/>
            <w:hideMark/>
          </w:tcPr>
          <w:p w14:paraId="589DD653"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3A34010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781818F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32</w:t>
            </w:r>
          </w:p>
        </w:tc>
        <w:tc>
          <w:tcPr>
            <w:tcW w:w="670" w:type="dxa"/>
            <w:tcBorders>
              <w:top w:val="nil"/>
              <w:left w:val="nil"/>
              <w:bottom w:val="nil"/>
              <w:right w:val="single" w:sz="4" w:space="0" w:color="auto"/>
            </w:tcBorders>
            <w:shd w:val="clear" w:color="auto" w:fill="auto"/>
            <w:noWrap/>
            <w:vAlign w:val="bottom"/>
            <w:hideMark/>
          </w:tcPr>
          <w:p w14:paraId="4F82E17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237</w:t>
            </w:r>
          </w:p>
        </w:tc>
        <w:tc>
          <w:tcPr>
            <w:tcW w:w="709" w:type="dxa"/>
            <w:tcBorders>
              <w:top w:val="nil"/>
              <w:left w:val="nil"/>
              <w:bottom w:val="nil"/>
              <w:right w:val="single" w:sz="4" w:space="0" w:color="auto"/>
            </w:tcBorders>
            <w:shd w:val="clear" w:color="auto" w:fill="auto"/>
            <w:noWrap/>
            <w:vAlign w:val="bottom"/>
            <w:hideMark/>
          </w:tcPr>
          <w:p w14:paraId="6B10B0B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612" w:type="dxa"/>
            <w:tcBorders>
              <w:top w:val="nil"/>
              <w:left w:val="nil"/>
              <w:bottom w:val="nil"/>
              <w:right w:val="single" w:sz="4" w:space="0" w:color="auto"/>
            </w:tcBorders>
            <w:shd w:val="clear" w:color="auto" w:fill="auto"/>
            <w:noWrap/>
            <w:vAlign w:val="bottom"/>
            <w:hideMark/>
          </w:tcPr>
          <w:p w14:paraId="7A57C9B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w:t>
            </w:r>
          </w:p>
        </w:tc>
        <w:tc>
          <w:tcPr>
            <w:tcW w:w="806" w:type="dxa"/>
            <w:tcBorders>
              <w:top w:val="nil"/>
              <w:left w:val="nil"/>
              <w:bottom w:val="nil"/>
              <w:right w:val="single" w:sz="4" w:space="0" w:color="auto"/>
            </w:tcBorders>
            <w:shd w:val="clear" w:color="auto" w:fill="auto"/>
            <w:noWrap/>
            <w:vAlign w:val="bottom"/>
            <w:hideMark/>
          </w:tcPr>
          <w:p w14:paraId="14E3950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-354</w:t>
            </w:r>
          </w:p>
        </w:tc>
        <w:tc>
          <w:tcPr>
            <w:tcW w:w="1040" w:type="dxa"/>
            <w:tcBorders>
              <w:top w:val="nil"/>
              <w:left w:val="nil"/>
              <w:bottom w:val="nil"/>
              <w:right w:val="single" w:sz="4" w:space="0" w:color="auto"/>
            </w:tcBorders>
            <w:shd w:val="clear" w:color="auto" w:fill="auto"/>
            <w:noWrap/>
            <w:vAlign w:val="bottom"/>
            <w:hideMark/>
          </w:tcPr>
          <w:p w14:paraId="79D82180" w14:textId="533A57EE"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r w:rsidR="00EC26EC">
              <w:rPr>
                <w:rFonts w:cs="Calibri"/>
                <w:color w:val="000000"/>
                <w:sz w:val="16"/>
                <w:szCs w:val="16"/>
                <w:lang w:eastAsia="en-GB"/>
              </w:rPr>
              <w:t> </w:t>
            </w:r>
            <w:r w:rsidRPr="008124C5">
              <w:rPr>
                <w:rFonts w:cs="Calibri"/>
                <w:color w:val="000000"/>
                <w:sz w:val="16"/>
                <w:szCs w:val="16"/>
                <w:lang w:eastAsia="en-GB"/>
              </w:rPr>
              <w:t>614</w:t>
            </w:r>
          </w:p>
        </w:tc>
        <w:tc>
          <w:tcPr>
            <w:tcW w:w="802" w:type="dxa"/>
            <w:tcBorders>
              <w:top w:val="nil"/>
              <w:left w:val="nil"/>
              <w:bottom w:val="nil"/>
              <w:right w:val="single" w:sz="4" w:space="0" w:color="auto"/>
            </w:tcBorders>
            <w:shd w:val="clear" w:color="auto" w:fill="auto"/>
            <w:noWrap/>
            <w:vAlign w:val="bottom"/>
            <w:hideMark/>
          </w:tcPr>
          <w:p w14:paraId="738A190B" w14:textId="06C37755"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8124C5">
              <w:rPr>
                <w:rFonts w:cs="Calibri"/>
                <w:b/>
                <w:bCs/>
                <w:sz w:val="16"/>
                <w:szCs w:val="16"/>
                <w:lang w:eastAsia="en-GB"/>
              </w:rPr>
              <w:t>7</w:t>
            </w:r>
            <w:r w:rsidR="00EC26EC">
              <w:rPr>
                <w:rFonts w:cs="Calibri"/>
                <w:b/>
                <w:bCs/>
                <w:sz w:val="16"/>
                <w:szCs w:val="16"/>
                <w:lang w:eastAsia="en-GB"/>
              </w:rPr>
              <w:t> </w:t>
            </w:r>
            <w:r w:rsidRPr="008124C5">
              <w:rPr>
                <w:rFonts w:cs="Calibri"/>
                <w:b/>
                <w:bCs/>
                <w:sz w:val="16"/>
                <w:szCs w:val="16"/>
                <w:lang w:eastAsia="en-GB"/>
              </w:rPr>
              <w:t>824</w:t>
            </w:r>
          </w:p>
        </w:tc>
      </w:tr>
      <w:tr w:rsidR="00B56A7B" w:rsidRPr="000C156A" w14:paraId="7A7409AB" w14:textId="77777777" w:rsidTr="00CC47BD">
        <w:trPr>
          <w:trHeight w:val="255"/>
          <w:jc w:val="center"/>
        </w:trPr>
        <w:tc>
          <w:tcPr>
            <w:tcW w:w="1980" w:type="dxa"/>
            <w:tcBorders>
              <w:top w:val="nil"/>
              <w:left w:val="single" w:sz="4" w:space="0" w:color="auto"/>
              <w:right w:val="nil"/>
            </w:tcBorders>
            <w:shd w:val="clear" w:color="auto" w:fill="auto"/>
            <w:vAlign w:val="center"/>
            <w:hideMark/>
          </w:tcPr>
          <w:p w14:paraId="6C69823E"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r w:rsidRPr="000C156A">
              <w:rPr>
                <w:rFonts w:hint="eastAsia"/>
                <w:noProof/>
                <w:sz w:val="16"/>
                <w:szCs w:val="16"/>
                <w:lang w:val="en-US" w:eastAsia="zh-CN"/>
              </w:rPr>
              <w:t>理财费用</w:t>
            </w:r>
          </w:p>
        </w:tc>
        <w:tc>
          <w:tcPr>
            <w:tcW w:w="992" w:type="dxa"/>
            <w:tcBorders>
              <w:top w:val="nil"/>
              <w:left w:val="single" w:sz="4" w:space="0" w:color="auto"/>
              <w:bottom w:val="nil"/>
              <w:right w:val="single" w:sz="4" w:space="0" w:color="auto"/>
            </w:tcBorders>
            <w:shd w:val="clear" w:color="auto" w:fill="auto"/>
            <w:noWrap/>
            <w:vAlign w:val="bottom"/>
            <w:hideMark/>
          </w:tcPr>
          <w:p w14:paraId="26B6674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62</w:t>
            </w:r>
          </w:p>
        </w:tc>
        <w:tc>
          <w:tcPr>
            <w:tcW w:w="709" w:type="dxa"/>
            <w:tcBorders>
              <w:top w:val="nil"/>
              <w:left w:val="nil"/>
              <w:bottom w:val="nil"/>
              <w:right w:val="single" w:sz="4" w:space="0" w:color="auto"/>
            </w:tcBorders>
            <w:shd w:val="clear" w:color="auto" w:fill="auto"/>
            <w:noWrap/>
            <w:vAlign w:val="bottom"/>
            <w:hideMark/>
          </w:tcPr>
          <w:p w14:paraId="3EA4F83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0</w:t>
            </w:r>
          </w:p>
        </w:tc>
        <w:tc>
          <w:tcPr>
            <w:tcW w:w="992" w:type="dxa"/>
            <w:tcBorders>
              <w:top w:val="nil"/>
              <w:left w:val="nil"/>
              <w:bottom w:val="nil"/>
              <w:right w:val="single" w:sz="4" w:space="0" w:color="auto"/>
            </w:tcBorders>
            <w:shd w:val="clear" w:color="auto" w:fill="auto"/>
            <w:noWrap/>
            <w:vAlign w:val="bottom"/>
            <w:hideMark/>
          </w:tcPr>
          <w:p w14:paraId="59D3459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w:t>
            </w:r>
          </w:p>
        </w:tc>
        <w:tc>
          <w:tcPr>
            <w:tcW w:w="992" w:type="dxa"/>
            <w:tcBorders>
              <w:top w:val="nil"/>
              <w:left w:val="nil"/>
              <w:bottom w:val="nil"/>
              <w:right w:val="single" w:sz="4" w:space="0" w:color="auto"/>
            </w:tcBorders>
            <w:shd w:val="clear" w:color="auto" w:fill="auto"/>
            <w:noWrap/>
            <w:vAlign w:val="bottom"/>
            <w:hideMark/>
          </w:tcPr>
          <w:p w14:paraId="1922D75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9</w:t>
            </w:r>
          </w:p>
        </w:tc>
        <w:tc>
          <w:tcPr>
            <w:tcW w:w="1134" w:type="dxa"/>
            <w:tcBorders>
              <w:top w:val="nil"/>
              <w:left w:val="nil"/>
              <w:bottom w:val="nil"/>
              <w:right w:val="nil"/>
            </w:tcBorders>
            <w:shd w:val="clear" w:color="auto" w:fill="auto"/>
            <w:noWrap/>
            <w:vAlign w:val="bottom"/>
            <w:hideMark/>
          </w:tcPr>
          <w:p w14:paraId="68AB80F0" w14:textId="23344C20"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11</w:t>
            </w:r>
            <w:r w:rsidR="00EC26EC">
              <w:rPr>
                <w:rFonts w:cs="Calibri"/>
                <w:color w:val="000000"/>
                <w:sz w:val="16"/>
                <w:szCs w:val="16"/>
                <w:lang w:eastAsia="en-GB"/>
              </w:rPr>
              <w:t> </w:t>
            </w:r>
            <w:r w:rsidRPr="008124C5">
              <w:rPr>
                <w:rFonts w:cs="Calibri"/>
                <w:color w:val="000000"/>
                <w:sz w:val="16"/>
                <w:szCs w:val="16"/>
                <w:lang w:eastAsia="en-GB"/>
              </w:rPr>
              <w:t>687</w:t>
            </w:r>
          </w:p>
        </w:tc>
        <w:tc>
          <w:tcPr>
            <w:tcW w:w="993" w:type="dxa"/>
            <w:tcBorders>
              <w:top w:val="nil"/>
              <w:left w:val="single" w:sz="4" w:space="0" w:color="auto"/>
              <w:bottom w:val="nil"/>
              <w:right w:val="single" w:sz="4" w:space="0" w:color="auto"/>
            </w:tcBorders>
            <w:shd w:val="clear" w:color="auto" w:fill="auto"/>
            <w:noWrap/>
            <w:vAlign w:val="bottom"/>
            <w:hideMark/>
          </w:tcPr>
          <w:p w14:paraId="167E65B6" w14:textId="7E9DE899"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11</w:t>
            </w:r>
            <w:r w:rsidR="00EC26EC">
              <w:rPr>
                <w:rFonts w:cs="Calibri"/>
                <w:b/>
                <w:bCs/>
                <w:color w:val="000000"/>
                <w:sz w:val="16"/>
                <w:szCs w:val="16"/>
                <w:lang w:eastAsia="en-GB"/>
              </w:rPr>
              <w:t> </w:t>
            </w:r>
            <w:r w:rsidRPr="008124C5">
              <w:rPr>
                <w:rFonts w:cs="Calibri"/>
                <w:b/>
                <w:bCs/>
                <w:color w:val="000000"/>
                <w:sz w:val="16"/>
                <w:szCs w:val="16"/>
                <w:lang w:eastAsia="en-GB"/>
              </w:rPr>
              <w:t>759</w:t>
            </w:r>
          </w:p>
        </w:tc>
        <w:tc>
          <w:tcPr>
            <w:tcW w:w="850" w:type="dxa"/>
            <w:tcBorders>
              <w:top w:val="nil"/>
              <w:left w:val="nil"/>
              <w:bottom w:val="nil"/>
              <w:right w:val="single" w:sz="4" w:space="0" w:color="auto"/>
            </w:tcBorders>
            <w:shd w:val="clear" w:color="auto" w:fill="auto"/>
            <w:noWrap/>
            <w:vAlign w:val="bottom"/>
            <w:hideMark/>
          </w:tcPr>
          <w:p w14:paraId="0A10A78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0</w:t>
            </w:r>
          </w:p>
        </w:tc>
        <w:tc>
          <w:tcPr>
            <w:tcW w:w="851" w:type="dxa"/>
            <w:tcBorders>
              <w:top w:val="nil"/>
              <w:left w:val="nil"/>
              <w:bottom w:val="nil"/>
              <w:right w:val="single" w:sz="4" w:space="0" w:color="auto"/>
            </w:tcBorders>
            <w:shd w:val="clear" w:color="auto" w:fill="auto"/>
            <w:noWrap/>
            <w:vAlign w:val="bottom"/>
            <w:hideMark/>
          </w:tcPr>
          <w:p w14:paraId="3BF7803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345</w:t>
            </w:r>
          </w:p>
        </w:tc>
        <w:tc>
          <w:tcPr>
            <w:tcW w:w="864" w:type="dxa"/>
            <w:tcBorders>
              <w:top w:val="nil"/>
              <w:left w:val="nil"/>
              <w:bottom w:val="nil"/>
              <w:right w:val="single" w:sz="4" w:space="0" w:color="auto"/>
            </w:tcBorders>
            <w:shd w:val="clear" w:color="auto" w:fill="auto"/>
            <w:noWrap/>
            <w:vAlign w:val="bottom"/>
            <w:hideMark/>
          </w:tcPr>
          <w:p w14:paraId="20FDC0B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414</w:t>
            </w:r>
          </w:p>
        </w:tc>
        <w:tc>
          <w:tcPr>
            <w:tcW w:w="875" w:type="dxa"/>
            <w:tcBorders>
              <w:top w:val="nil"/>
              <w:left w:val="nil"/>
              <w:bottom w:val="nil"/>
              <w:right w:val="single" w:sz="4" w:space="0" w:color="auto"/>
            </w:tcBorders>
            <w:shd w:val="clear" w:color="auto" w:fill="auto"/>
            <w:noWrap/>
            <w:vAlign w:val="bottom"/>
            <w:hideMark/>
          </w:tcPr>
          <w:p w14:paraId="41D6784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483</w:t>
            </w:r>
          </w:p>
        </w:tc>
        <w:tc>
          <w:tcPr>
            <w:tcW w:w="670" w:type="dxa"/>
            <w:tcBorders>
              <w:top w:val="nil"/>
              <w:left w:val="nil"/>
              <w:bottom w:val="nil"/>
              <w:right w:val="single" w:sz="4" w:space="0" w:color="auto"/>
            </w:tcBorders>
            <w:shd w:val="clear" w:color="auto" w:fill="auto"/>
            <w:noWrap/>
            <w:vAlign w:val="bottom"/>
            <w:hideMark/>
          </w:tcPr>
          <w:p w14:paraId="5BD03EA9" w14:textId="642BD055"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w:t>
            </w:r>
            <w:r w:rsidR="00EC26EC">
              <w:rPr>
                <w:rFonts w:cs="Calibri"/>
                <w:color w:val="000000"/>
                <w:sz w:val="16"/>
                <w:szCs w:val="16"/>
                <w:lang w:eastAsia="en-GB"/>
              </w:rPr>
              <w:t> </w:t>
            </w:r>
            <w:r w:rsidRPr="008124C5">
              <w:rPr>
                <w:rFonts w:cs="Calibri"/>
                <w:color w:val="000000"/>
                <w:sz w:val="16"/>
                <w:szCs w:val="16"/>
                <w:lang w:eastAsia="en-GB"/>
              </w:rPr>
              <w:t>485</w:t>
            </w:r>
          </w:p>
        </w:tc>
        <w:tc>
          <w:tcPr>
            <w:tcW w:w="709" w:type="dxa"/>
            <w:tcBorders>
              <w:top w:val="nil"/>
              <w:left w:val="nil"/>
              <w:bottom w:val="nil"/>
              <w:right w:val="single" w:sz="4" w:space="0" w:color="auto"/>
            </w:tcBorders>
            <w:shd w:val="clear" w:color="auto" w:fill="auto"/>
            <w:noWrap/>
            <w:vAlign w:val="bottom"/>
            <w:hideMark/>
          </w:tcPr>
          <w:p w14:paraId="5F00CC8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151</w:t>
            </w:r>
          </w:p>
        </w:tc>
        <w:tc>
          <w:tcPr>
            <w:tcW w:w="612" w:type="dxa"/>
            <w:tcBorders>
              <w:top w:val="nil"/>
              <w:left w:val="nil"/>
              <w:bottom w:val="nil"/>
              <w:right w:val="single" w:sz="4" w:space="0" w:color="auto"/>
            </w:tcBorders>
            <w:shd w:val="clear" w:color="auto" w:fill="auto"/>
            <w:noWrap/>
            <w:vAlign w:val="bottom"/>
            <w:hideMark/>
          </w:tcPr>
          <w:p w14:paraId="3CB46AC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243</w:t>
            </w:r>
          </w:p>
        </w:tc>
        <w:tc>
          <w:tcPr>
            <w:tcW w:w="806" w:type="dxa"/>
            <w:tcBorders>
              <w:top w:val="nil"/>
              <w:left w:val="nil"/>
              <w:bottom w:val="nil"/>
              <w:right w:val="single" w:sz="4" w:space="0" w:color="auto"/>
            </w:tcBorders>
            <w:shd w:val="clear" w:color="auto" w:fill="auto"/>
            <w:noWrap/>
            <w:vAlign w:val="bottom"/>
            <w:hideMark/>
          </w:tcPr>
          <w:p w14:paraId="7070620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r w:rsidRPr="008124C5">
              <w:rPr>
                <w:rFonts w:cs="Calibri"/>
                <w:color w:val="000000"/>
                <w:sz w:val="16"/>
                <w:szCs w:val="16"/>
                <w:lang w:eastAsia="en-GB"/>
              </w:rPr>
              <w:t>9</w:t>
            </w:r>
          </w:p>
        </w:tc>
        <w:tc>
          <w:tcPr>
            <w:tcW w:w="1040" w:type="dxa"/>
            <w:tcBorders>
              <w:top w:val="nil"/>
              <w:left w:val="nil"/>
              <w:bottom w:val="nil"/>
              <w:right w:val="single" w:sz="4" w:space="0" w:color="auto"/>
            </w:tcBorders>
            <w:shd w:val="clear" w:color="auto" w:fill="auto"/>
            <w:noWrap/>
            <w:vAlign w:val="bottom"/>
            <w:hideMark/>
          </w:tcPr>
          <w:p w14:paraId="226D804F"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5DE0218D" w14:textId="724EA8BE"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r w:rsidRPr="005B24EB">
              <w:rPr>
                <w:rFonts w:cs="Calibri"/>
                <w:b/>
                <w:bCs/>
                <w:sz w:val="16"/>
                <w:szCs w:val="16"/>
                <w:lang w:eastAsia="en-GB"/>
              </w:rPr>
              <w:t>15</w:t>
            </w:r>
            <w:r w:rsidR="00EC26EC">
              <w:rPr>
                <w:rFonts w:cs="Calibri"/>
                <w:b/>
                <w:bCs/>
                <w:sz w:val="16"/>
                <w:szCs w:val="16"/>
                <w:lang w:eastAsia="en-GB"/>
              </w:rPr>
              <w:t> </w:t>
            </w:r>
            <w:r w:rsidRPr="005B24EB">
              <w:rPr>
                <w:rFonts w:cs="Calibri"/>
                <w:b/>
                <w:bCs/>
                <w:sz w:val="16"/>
                <w:szCs w:val="16"/>
                <w:lang w:eastAsia="en-GB"/>
              </w:rPr>
              <w:t>889</w:t>
            </w:r>
          </w:p>
        </w:tc>
      </w:tr>
      <w:tr w:rsidR="00B56A7B" w:rsidRPr="000C156A" w14:paraId="7FD1DDA7" w14:textId="77777777" w:rsidTr="00CC47BD">
        <w:trPr>
          <w:trHeight w:val="255"/>
          <w:jc w:val="center"/>
        </w:trPr>
        <w:tc>
          <w:tcPr>
            <w:tcW w:w="1980" w:type="dxa"/>
            <w:tcBorders>
              <w:left w:val="single" w:sz="4" w:space="0" w:color="auto"/>
              <w:bottom w:val="single" w:sz="4" w:space="0" w:color="auto"/>
              <w:right w:val="nil"/>
            </w:tcBorders>
            <w:shd w:val="clear" w:color="auto" w:fill="auto"/>
            <w:vAlign w:val="center"/>
            <w:hideMark/>
          </w:tcPr>
          <w:p w14:paraId="50A3D118" w14:textId="77777777" w:rsidR="00B56A7B" w:rsidRPr="000C156A" w:rsidRDefault="00B56A7B" w:rsidP="00CC47BD">
            <w:pPr>
              <w:overflowPunct/>
              <w:autoSpaceDE/>
              <w:autoSpaceDN/>
              <w:adjustRightInd/>
              <w:spacing w:before="0"/>
              <w:textAlignment w:val="auto"/>
              <w:rPr>
                <w:rFonts w:eastAsia="Times New Roman" w:cs="Calibri"/>
                <w:color w:val="000000"/>
                <w:sz w:val="16"/>
                <w:szCs w:val="16"/>
                <w:lang w:eastAsia="en-GB"/>
              </w:rPr>
            </w:pPr>
          </w:p>
        </w:tc>
        <w:tc>
          <w:tcPr>
            <w:tcW w:w="992" w:type="dxa"/>
            <w:tcBorders>
              <w:top w:val="nil"/>
              <w:left w:val="single" w:sz="4" w:space="0" w:color="auto"/>
              <w:bottom w:val="nil"/>
              <w:right w:val="single" w:sz="4" w:space="0" w:color="auto"/>
            </w:tcBorders>
            <w:shd w:val="clear" w:color="auto" w:fill="auto"/>
            <w:noWrap/>
            <w:vAlign w:val="bottom"/>
            <w:hideMark/>
          </w:tcPr>
          <w:p w14:paraId="379955D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107E137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4FBC615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2" w:type="dxa"/>
            <w:tcBorders>
              <w:top w:val="nil"/>
              <w:left w:val="nil"/>
              <w:bottom w:val="nil"/>
              <w:right w:val="single" w:sz="4" w:space="0" w:color="auto"/>
            </w:tcBorders>
            <w:shd w:val="clear" w:color="auto" w:fill="auto"/>
            <w:noWrap/>
            <w:vAlign w:val="bottom"/>
            <w:hideMark/>
          </w:tcPr>
          <w:p w14:paraId="08F0170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14:paraId="7DB07D79"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76CA768D"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0" w:type="dxa"/>
            <w:tcBorders>
              <w:top w:val="nil"/>
              <w:left w:val="nil"/>
              <w:bottom w:val="nil"/>
              <w:right w:val="single" w:sz="4" w:space="0" w:color="auto"/>
            </w:tcBorders>
            <w:shd w:val="clear" w:color="auto" w:fill="auto"/>
            <w:noWrap/>
            <w:vAlign w:val="bottom"/>
            <w:hideMark/>
          </w:tcPr>
          <w:p w14:paraId="5032F921"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51" w:type="dxa"/>
            <w:tcBorders>
              <w:top w:val="nil"/>
              <w:left w:val="nil"/>
              <w:bottom w:val="nil"/>
              <w:right w:val="single" w:sz="4" w:space="0" w:color="auto"/>
            </w:tcBorders>
            <w:shd w:val="clear" w:color="auto" w:fill="auto"/>
            <w:noWrap/>
            <w:vAlign w:val="bottom"/>
            <w:hideMark/>
          </w:tcPr>
          <w:p w14:paraId="4E8C5535"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64" w:type="dxa"/>
            <w:tcBorders>
              <w:top w:val="nil"/>
              <w:left w:val="nil"/>
              <w:bottom w:val="nil"/>
              <w:right w:val="single" w:sz="4" w:space="0" w:color="auto"/>
            </w:tcBorders>
            <w:shd w:val="clear" w:color="auto" w:fill="auto"/>
            <w:noWrap/>
            <w:vAlign w:val="bottom"/>
            <w:hideMark/>
          </w:tcPr>
          <w:p w14:paraId="78ADB382"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75" w:type="dxa"/>
            <w:tcBorders>
              <w:top w:val="nil"/>
              <w:left w:val="nil"/>
              <w:bottom w:val="nil"/>
              <w:right w:val="single" w:sz="4" w:space="0" w:color="auto"/>
            </w:tcBorders>
            <w:shd w:val="clear" w:color="auto" w:fill="auto"/>
            <w:noWrap/>
            <w:vAlign w:val="bottom"/>
            <w:hideMark/>
          </w:tcPr>
          <w:p w14:paraId="3ACC7997"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70" w:type="dxa"/>
            <w:tcBorders>
              <w:top w:val="nil"/>
              <w:left w:val="nil"/>
              <w:bottom w:val="nil"/>
              <w:right w:val="single" w:sz="4" w:space="0" w:color="auto"/>
            </w:tcBorders>
            <w:shd w:val="clear" w:color="auto" w:fill="auto"/>
            <w:noWrap/>
            <w:vAlign w:val="bottom"/>
            <w:hideMark/>
          </w:tcPr>
          <w:p w14:paraId="516156F8"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709" w:type="dxa"/>
            <w:tcBorders>
              <w:top w:val="nil"/>
              <w:left w:val="nil"/>
              <w:bottom w:val="nil"/>
              <w:right w:val="single" w:sz="4" w:space="0" w:color="auto"/>
            </w:tcBorders>
            <w:shd w:val="clear" w:color="auto" w:fill="auto"/>
            <w:noWrap/>
            <w:vAlign w:val="bottom"/>
            <w:hideMark/>
          </w:tcPr>
          <w:p w14:paraId="1E523C04"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612" w:type="dxa"/>
            <w:tcBorders>
              <w:top w:val="nil"/>
              <w:left w:val="nil"/>
              <w:bottom w:val="nil"/>
              <w:right w:val="single" w:sz="4" w:space="0" w:color="auto"/>
            </w:tcBorders>
            <w:shd w:val="clear" w:color="auto" w:fill="auto"/>
            <w:noWrap/>
            <w:vAlign w:val="bottom"/>
            <w:hideMark/>
          </w:tcPr>
          <w:p w14:paraId="53D529B6"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6" w:type="dxa"/>
            <w:tcBorders>
              <w:top w:val="nil"/>
              <w:left w:val="nil"/>
              <w:bottom w:val="nil"/>
              <w:right w:val="single" w:sz="4" w:space="0" w:color="auto"/>
            </w:tcBorders>
            <w:shd w:val="clear" w:color="auto" w:fill="auto"/>
            <w:noWrap/>
            <w:vAlign w:val="bottom"/>
            <w:hideMark/>
          </w:tcPr>
          <w:p w14:paraId="33AE172A"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1040" w:type="dxa"/>
            <w:tcBorders>
              <w:top w:val="nil"/>
              <w:left w:val="nil"/>
              <w:bottom w:val="nil"/>
              <w:right w:val="single" w:sz="4" w:space="0" w:color="auto"/>
            </w:tcBorders>
            <w:shd w:val="clear" w:color="auto" w:fill="auto"/>
            <w:noWrap/>
            <w:vAlign w:val="bottom"/>
            <w:hideMark/>
          </w:tcPr>
          <w:p w14:paraId="38BB7D40" w14:textId="77777777" w:rsidR="00B56A7B" w:rsidRPr="000C156A" w:rsidRDefault="00B56A7B" w:rsidP="00CC47BD">
            <w:pPr>
              <w:overflowPunct/>
              <w:autoSpaceDE/>
              <w:autoSpaceDN/>
              <w:adjustRightInd/>
              <w:spacing w:before="0"/>
              <w:jc w:val="right"/>
              <w:textAlignment w:val="auto"/>
              <w:rPr>
                <w:rFonts w:eastAsia="Times New Roman" w:cs="Calibri"/>
                <w:color w:val="000000"/>
                <w:sz w:val="16"/>
                <w:szCs w:val="16"/>
                <w:lang w:eastAsia="en-GB"/>
              </w:rPr>
            </w:pPr>
          </w:p>
        </w:tc>
        <w:tc>
          <w:tcPr>
            <w:tcW w:w="802" w:type="dxa"/>
            <w:tcBorders>
              <w:top w:val="nil"/>
              <w:left w:val="nil"/>
              <w:bottom w:val="nil"/>
              <w:right w:val="single" w:sz="4" w:space="0" w:color="auto"/>
            </w:tcBorders>
            <w:shd w:val="clear" w:color="auto" w:fill="auto"/>
            <w:noWrap/>
            <w:vAlign w:val="bottom"/>
            <w:hideMark/>
          </w:tcPr>
          <w:p w14:paraId="0BC0D5AC" w14:textId="77777777" w:rsidR="00B56A7B" w:rsidRPr="000C156A" w:rsidRDefault="00B56A7B" w:rsidP="00CC47BD">
            <w:pPr>
              <w:overflowPunct/>
              <w:autoSpaceDE/>
              <w:autoSpaceDN/>
              <w:adjustRightInd/>
              <w:spacing w:before="0"/>
              <w:jc w:val="right"/>
              <w:textAlignment w:val="auto"/>
              <w:rPr>
                <w:rFonts w:eastAsia="Times New Roman" w:cs="Calibri"/>
                <w:b/>
                <w:bCs/>
                <w:sz w:val="16"/>
                <w:szCs w:val="16"/>
                <w:lang w:eastAsia="en-GB"/>
              </w:rPr>
            </w:pPr>
          </w:p>
        </w:tc>
      </w:tr>
      <w:tr w:rsidR="00B56A7B" w:rsidRPr="000C156A" w14:paraId="40869643" w14:textId="77777777" w:rsidTr="00CC47BD">
        <w:trPr>
          <w:trHeight w:val="255"/>
          <w:jc w:val="center"/>
        </w:trPr>
        <w:tc>
          <w:tcPr>
            <w:tcW w:w="1980" w:type="dxa"/>
            <w:tcBorders>
              <w:top w:val="single" w:sz="4" w:space="0" w:color="auto"/>
              <w:left w:val="single" w:sz="4" w:space="0" w:color="auto"/>
              <w:bottom w:val="single" w:sz="4" w:space="0" w:color="auto"/>
              <w:right w:val="nil"/>
            </w:tcBorders>
            <w:shd w:val="clear" w:color="auto" w:fill="auto"/>
            <w:noWrap/>
            <w:vAlign w:val="center"/>
            <w:hideMark/>
          </w:tcPr>
          <w:p w14:paraId="31315C62"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费用合计</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1FA3C" w14:textId="46D5CEA2"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71</w:t>
            </w:r>
            <w:r w:rsidR="00EC26EC">
              <w:rPr>
                <w:rFonts w:cs="Calibri"/>
                <w:b/>
                <w:bCs/>
                <w:color w:val="000000"/>
                <w:sz w:val="16"/>
                <w:szCs w:val="16"/>
                <w:lang w:eastAsia="en-GB"/>
              </w:rPr>
              <w:t> </w:t>
            </w:r>
            <w:r w:rsidRPr="008124C5">
              <w:rPr>
                <w:rFonts w:cs="Calibri"/>
                <w:b/>
                <w:bCs/>
                <w:color w:val="000000"/>
                <w:sz w:val="16"/>
                <w:szCs w:val="16"/>
                <w:lang w:eastAsia="en-GB"/>
              </w:rPr>
              <w:t>275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D9B972" w14:textId="23AC1239"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27</w:t>
            </w:r>
            <w:r w:rsidR="00EC26EC">
              <w:rPr>
                <w:rFonts w:cs="Calibri"/>
                <w:b/>
                <w:bCs/>
                <w:color w:val="000000"/>
                <w:sz w:val="16"/>
                <w:szCs w:val="16"/>
                <w:lang w:eastAsia="en-GB"/>
              </w:rPr>
              <w:t> </w:t>
            </w:r>
            <w:r w:rsidRPr="008124C5">
              <w:rPr>
                <w:rFonts w:cs="Calibri"/>
                <w:b/>
                <w:bCs/>
                <w:color w:val="000000"/>
                <w:sz w:val="16"/>
                <w:szCs w:val="16"/>
                <w:lang w:eastAsia="en-GB"/>
              </w:rPr>
              <w:t>312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AC289A" w14:textId="17686AF1"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12</w:t>
            </w:r>
            <w:r w:rsidR="00EC26EC">
              <w:rPr>
                <w:rFonts w:cs="Calibri"/>
                <w:b/>
                <w:bCs/>
                <w:color w:val="000000"/>
                <w:sz w:val="16"/>
                <w:szCs w:val="16"/>
                <w:lang w:eastAsia="en-GB"/>
              </w:rPr>
              <w:t> </w:t>
            </w:r>
            <w:r w:rsidRPr="008124C5">
              <w:rPr>
                <w:rFonts w:cs="Calibri"/>
                <w:b/>
                <w:bCs/>
                <w:color w:val="000000"/>
                <w:sz w:val="16"/>
                <w:szCs w:val="16"/>
                <w:lang w:eastAsia="en-GB"/>
              </w:rPr>
              <w:t>949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9E5BC9" w14:textId="47E1E728"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29</w:t>
            </w:r>
            <w:r w:rsidR="00EC26EC">
              <w:rPr>
                <w:rFonts w:cs="Calibri"/>
                <w:b/>
                <w:bCs/>
                <w:color w:val="000000"/>
                <w:sz w:val="16"/>
                <w:szCs w:val="16"/>
                <w:lang w:eastAsia="en-GB"/>
              </w:rPr>
              <w:t> </w:t>
            </w:r>
            <w:r w:rsidRPr="008124C5">
              <w:rPr>
                <w:rFonts w:cs="Calibri"/>
                <w:b/>
                <w:bCs/>
                <w:color w:val="000000"/>
                <w:sz w:val="16"/>
                <w:szCs w:val="16"/>
                <w:lang w:eastAsia="en-GB"/>
              </w:rPr>
              <w:t>799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33FE91" w14:textId="4B9F9FB2"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64</w:t>
            </w:r>
            <w:r w:rsidR="00EC26EC">
              <w:rPr>
                <w:rFonts w:cs="Calibri"/>
                <w:b/>
                <w:bCs/>
                <w:color w:val="000000"/>
                <w:sz w:val="16"/>
                <w:szCs w:val="16"/>
                <w:lang w:eastAsia="en-GB"/>
              </w:rPr>
              <w:t> </w:t>
            </w:r>
            <w:r w:rsidRPr="008124C5">
              <w:rPr>
                <w:rFonts w:cs="Calibri"/>
                <w:b/>
                <w:bCs/>
                <w:color w:val="000000"/>
                <w:sz w:val="16"/>
                <w:szCs w:val="16"/>
                <w:lang w:eastAsia="en-GB"/>
              </w:rPr>
              <w:t>737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8B9E4A2" w14:textId="30250AE4"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206</w:t>
            </w:r>
            <w:r w:rsidR="00EC26EC">
              <w:rPr>
                <w:rFonts w:cs="Calibri"/>
                <w:b/>
                <w:bCs/>
                <w:color w:val="000000"/>
                <w:sz w:val="16"/>
                <w:szCs w:val="16"/>
                <w:lang w:eastAsia="en-GB"/>
              </w:rPr>
              <w:t> </w:t>
            </w:r>
            <w:r w:rsidRPr="008124C5">
              <w:rPr>
                <w:rFonts w:cs="Calibri"/>
                <w:b/>
                <w:bCs/>
                <w:color w:val="000000"/>
                <w:sz w:val="16"/>
                <w:szCs w:val="16"/>
                <w:lang w:eastAsia="en-GB"/>
              </w:rPr>
              <w:t>072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E84DA2B"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9B269C1"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346</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C8FEB8E"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431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084C6348" w14:textId="0E220423"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3</w:t>
            </w:r>
            <w:r w:rsidR="00EC26EC">
              <w:rPr>
                <w:rFonts w:cs="Calibri"/>
                <w:b/>
                <w:bCs/>
                <w:color w:val="000000"/>
                <w:sz w:val="16"/>
                <w:szCs w:val="16"/>
                <w:lang w:eastAsia="en-GB"/>
              </w:rPr>
              <w:t> </w:t>
            </w:r>
            <w:r w:rsidRPr="008124C5">
              <w:rPr>
                <w:rFonts w:cs="Calibri"/>
                <w:b/>
                <w:bCs/>
                <w:color w:val="000000"/>
                <w:sz w:val="16"/>
                <w:szCs w:val="16"/>
                <w:lang w:eastAsia="en-GB"/>
              </w:rPr>
              <w:t>272</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75897993" w14:textId="4D2E0BF6"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6</w:t>
            </w:r>
            <w:r w:rsidR="00EC26EC">
              <w:rPr>
                <w:rFonts w:cs="Calibri"/>
                <w:b/>
                <w:bCs/>
                <w:color w:val="000000"/>
                <w:sz w:val="16"/>
                <w:szCs w:val="16"/>
                <w:lang w:eastAsia="en-GB"/>
              </w:rPr>
              <w:t> </w:t>
            </w:r>
            <w:r w:rsidRPr="008124C5">
              <w:rPr>
                <w:rFonts w:cs="Calibri"/>
                <w:b/>
                <w:bCs/>
                <w:color w:val="000000"/>
                <w:sz w:val="16"/>
                <w:szCs w:val="16"/>
                <w:lang w:eastAsia="en-GB"/>
              </w:rPr>
              <w:t>762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09F3FD"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151</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36E206DB"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243</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182DC026" w14:textId="2C09649B"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w:t>
            </w:r>
            <w:r w:rsidR="00EC26EC">
              <w:rPr>
                <w:rFonts w:cs="Calibri"/>
                <w:b/>
                <w:bCs/>
                <w:color w:val="000000"/>
                <w:sz w:val="16"/>
                <w:szCs w:val="16"/>
                <w:lang w:eastAsia="en-GB"/>
              </w:rPr>
              <w:t> </w:t>
            </w:r>
            <w:r w:rsidRPr="008124C5">
              <w:rPr>
                <w:rFonts w:cs="Calibri"/>
                <w:b/>
                <w:bCs/>
                <w:color w:val="000000"/>
                <w:sz w:val="16"/>
                <w:szCs w:val="16"/>
                <w:lang w:eastAsia="en-GB"/>
              </w:rPr>
              <w:t>970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2E313B50" w14:textId="6D45AEE9"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5B24EB">
              <w:rPr>
                <w:rFonts w:cs="Calibri"/>
                <w:b/>
                <w:bCs/>
                <w:color w:val="000000"/>
                <w:sz w:val="16"/>
                <w:szCs w:val="16"/>
                <w:lang w:eastAsia="en-GB"/>
              </w:rPr>
              <w:t>-1</w:t>
            </w:r>
            <w:r w:rsidR="00EC26EC">
              <w:rPr>
                <w:rFonts w:cs="Calibri"/>
                <w:b/>
                <w:bCs/>
                <w:color w:val="000000"/>
                <w:sz w:val="16"/>
                <w:szCs w:val="16"/>
                <w:lang w:eastAsia="en-GB"/>
              </w:rPr>
              <w:t> </w:t>
            </w:r>
            <w:r w:rsidRPr="005B24EB">
              <w:rPr>
                <w:rFonts w:cs="Calibri"/>
                <w:b/>
                <w:bCs/>
                <w:color w:val="000000"/>
                <w:sz w:val="16"/>
                <w:szCs w:val="16"/>
                <w:lang w:eastAsia="en-GB"/>
              </w:rPr>
              <w:t>614</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31BD26CF" w14:textId="242A1CDC"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5B24EB">
              <w:rPr>
                <w:rFonts w:cs="Calibri"/>
                <w:b/>
                <w:bCs/>
                <w:color w:val="000000"/>
                <w:sz w:val="16"/>
                <w:szCs w:val="16"/>
                <w:lang w:eastAsia="en-GB"/>
              </w:rPr>
              <w:t>217</w:t>
            </w:r>
            <w:r w:rsidR="00EC26EC">
              <w:rPr>
                <w:rFonts w:cs="Calibri"/>
                <w:b/>
                <w:bCs/>
                <w:color w:val="000000"/>
                <w:sz w:val="16"/>
                <w:szCs w:val="16"/>
                <w:lang w:eastAsia="en-GB"/>
              </w:rPr>
              <w:t> </w:t>
            </w:r>
            <w:r w:rsidRPr="005B24EB">
              <w:rPr>
                <w:rFonts w:cs="Calibri"/>
                <w:b/>
                <w:bCs/>
                <w:color w:val="000000"/>
                <w:sz w:val="16"/>
                <w:szCs w:val="16"/>
                <w:lang w:eastAsia="en-GB"/>
              </w:rPr>
              <w:t>632</w:t>
            </w:r>
          </w:p>
        </w:tc>
      </w:tr>
      <w:tr w:rsidR="00B56A7B" w:rsidRPr="000C156A" w14:paraId="11AF3933" w14:textId="77777777" w:rsidTr="00CC47BD">
        <w:trPr>
          <w:trHeight w:val="255"/>
          <w:jc w:val="center"/>
        </w:trPr>
        <w:tc>
          <w:tcPr>
            <w:tcW w:w="1980" w:type="dxa"/>
            <w:tcBorders>
              <w:top w:val="nil"/>
              <w:left w:val="single" w:sz="4" w:space="0" w:color="auto"/>
              <w:bottom w:val="nil"/>
              <w:right w:val="nil"/>
            </w:tcBorders>
            <w:shd w:val="clear" w:color="auto" w:fill="auto"/>
            <w:vAlign w:val="center"/>
            <w:hideMark/>
          </w:tcPr>
          <w:p w14:paraId="063F51A0"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eastAsia="Times New Roman" w:cs="Calibri"/>
                <w:b/>
                <w:bCs/>
                <w:color w:val="000000"/>
                <w:sz w:val="16"/>
                <w:szCs w:val="16"/>
                <w:lang w:eastAsia="en-GB"/>
              </w:rPr>
              <w:t> </w:t>
            </w:r>
          </w:p>
        </w:tc>
        <w:tc>
          <w:tcPr>
            <w:tcW w:w="992" w:type="dxa"/>
            <w:tcBorders>
              <w:top w:val="nil"/>
              <w:left w:val="single" w:sz="4" w:space="0" w:color="auto"/>
              <w:bottom w:val="nil"/>
              <w:right w:val="single" w:sz="4" w:space="0" w:color="auto"/>
            </w:tcBorders>
            <w:shd w:val="clear" w:color="auto" w:fill="auto"/>
            <w:noWrap/>
            <w:vAlign w:val="center"/>
            <w:hideMark/>
          </w:tcPr>
          <w:p w14:paraId="462B0CF7"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7C9D2F27"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3526D9B0"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992" w:type="dxa"/>
            <w:tcBorders>
              <w:top w:val="nil"/>
              <w:left w:val="nil"/>
              <w:bottom w:val="nil"/>
              <w:right w:val="single" w:sz="4" w:space="0" w:color="auto"/>
            </w:tcBorders>
            <w:shd w:val="clear" w:color="auto" w:fill="auto"/>
            <w:noWrap/>
            <w:vAlign w:val="center"/>
            <w:hideMark/>
          </w:tcPr>
          <w:p w14:paraId="2E7A0BC8"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1134" w:type="dxa"/>
            <w:tcBorders>
              <w:top w:val="nil"/>
              <w:left w:val="nil"/>
              <w:bottom w:val="nil"/>
              <w:right w:val="nil"/>
            </w:tcBorders>
            <w:shd w:val="clear" w:color="auto" w:fill="auto"/>
            <w:noWrap/>
            <w:vAlign w:val="center"/>
            <w:hideMark/>
          </w:tcPr>
          <w:p w14:paraId="1B22BF24"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993" w:type="dxa"/>
            <w:tcBorders>
              <w:top w:val="nil"/>
              <w:left w:val="single" w:sz="4" w:space="0" w:color="auto"/>
              <w:bottom w:val="nil"/>
              <w:right w:val="single" w:sz="4" w:space="0" w:color="auto"/>
            </w:tcBorders>
            <w:shd w:val="clear" w:color="auto" w:fill="auto"/>
            <w:noWrap/>
            <w:vAlign w:val="center"/>
            <w:hideMark/>
          </w:tcPr>
          <w:p w14:paraId="1F0B867F"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50" w:type="dxa"/>
            <w:tcBorders>
              <w:top w:val="nil"/>
              <w:left w:val="nil"/>
              <w:bottom w:val="nil"/>
              <w:right w:val="single" w:sz="4" w:space="0" w:color="auto"/>
            </w:tcBorders>
            <w:shd w:val="clear" w:color="auto" w:fill="auto"/>
            <w:noWrap/>
            <w:vAlign w:val="center"/>
            <w:hideMark/>
          </w:tcPr>
          <w:p w14:paraId="18337561"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51" w:type="dxa"/>
            <w:tcBorders>
              <w:top w:val="nil"/>
              <w:left w:val="nil"/>
              <w:bottom w:val="nil"/>
              <w:right w:val="single" w:sz="4" w:space="0" w:color="auto"/>
            </w:tcBorders>
            <w:shd w:val="clear" w:color="auto" w:fill="auto"/>
            <w:noWrap/>
            <w:vAlign w:val="center"/>
            <w:hideMark/>
          </w:tcPr>
          <w:p w14:paraId="092AC968"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64" w:type="dxa"/>
            <w:tcBorders>
              <w:top w:val="nil"/>
              <w:left w:val="nil"/>
              <w:bottom w:val="nil"/>
              <w:right w:val="single" w:sz="4" w:space="0" w:color="auto"/>
            </w:tcBorders>
            <w:shd w:val="clear" w:color="auto" w:fill="auto"/>
            <w:noWrap/>
            <w:vAlign w:val="center"/>
            <w:hideMark/>
          </w:tcPr>
          <w:p w14:paraId="497D52FA"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75" w:type="dxa"/>
            <w:tcBorders>
              <w:top w:val="nil"/>
              <w:left w:val="nil"/>
              <w:bottom w:val="nil"/>
              <w:right w:val="single" w:sz="4" w:space="0" w:color="auto"/>
            </w:tcBorders>
            <w:shd w:val="clear" w:color="auto" w:fill="auto"/>
            <w:noWrap/>
            <w:vAlign w:val="center"/>
            <w:hideMark/>
          </w:tcPr>
          <w:p w14:paraId="67E52380"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670" w:type="dxa"/>
            <w:tcBorders>
              <w:top w:val="nil"/>
              <w:left w:val="nil"/>
              <w:bottom w:val="nil"/>
              <w:right w:val="single" w:sz="4" w:space="0" w:color="auto"/>
            </w:tcBorders>
            <w:shd w:val="clear" w:color="auto" w:fill="auto"/>
            <w:noWrap/>
            <w:vAlign w:val="center"/>
            <w:hideMark/>
          </w:tcPr>
          <w:p w14:paraId="5C8FC7CE"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709" w:type="dxa"/>
            <w:tcBorders>
              <w:top w:val="nil"/>
              <w:left w:val="nil"/>
              <w:bottom w:val="nil"/>
              <w:right w:val="single" w:sz="4" w:space="0" w:color="auto"/>
            </w:tcBorders>
            <w:shd w:val="clear" w:color="auto" w:fill="auto"/>
            <w:noWrap/>
            <w:vAlign w:val="center"/>
            <w:hideMark/>
          </w:tcPr>
          <w:p w14:paraId="12F10FAB"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612" w:type="dxa"/>
            <w:tcBorders>
              <w:top w:val="nil"/>
              <w:left w:val="nil"/>
              <w:bottom w:val="nil"/>
              <w:right w:val="single" w:sz="4" w:space="0" w:color="auto"/>
            </w:tcBorders>
            <w:shd w:val="clear" w:color="auto" w:fill="auto"/>
            <w:noWrap/>
            <w:vAlign w:val="center"/>
            <w:hideMark/>
          </w:tcPr>
          <w:p w14:paraId="44F2C0D4"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06" w:type="dxa"/>
            <w:tcBorders>
              <w:top w:val="nil"/>
              <w:left w:val="nil"/>
              <w:bottom w:val="nil"/>
              <w:right w:val="single" w:sz="4" w:space="0" w:color="auto"/>
            </w:tcBorders>
            <w:shd w:val="clear" w:color="auto" w:fill="auto"/>
            <w:noWrap/>
            <w:vAlign w:val="center"/>
            <w:hideMark/>
          </w:tcPr>
          <w:p w14:paraId="2FDC5737"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1040" w:type="dxa"/>
            <w:tcBorders>
              <w:top w:val="nil"/>
              <w:left w:val="nil"/>
              <w:bottom w:val="nil"/>
              <w:right w:val="single" w:sz="4" w:space="0" w:color="auto"/>
            </w:tcBorders>
            <w:shd w:val="clear" w:color="auto" w:fill="auto"/>
            <w:noWrap/>
            <w:vAlign w:val="center"/>
            <w:hideMark/>
          </w:tcPr>
          <w:p w14:paraId="330A966C"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c>
          <w:tcPr>
            <w:tcW w:w="802" w:type="dxa"/>
            <w:tcBorders>
              <w:top w:val="nil"/>
              <w:left w:val="nil"/>
              <w:bottom w:val="nil"/>
              <w:right w:val="single" w:sz="4" w:space="0" w:color="auto"/>
            </w:tcBorders>
            <w:shd w:val="clear" w:color="auto" w:fill="auto"/>
            <w:noWrap/>
            <w:vAlign w:val="center"/>
            <w:hideMark/>
          </w:tcPr>
          <w:p w14:paraId="383984FA"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p>
        </w:tc>
      </w:tr>
      <w:tr w:rsidR="00B56A7B" w:rsidRPr="000C156A" w14:paraId="0BFED595" w14:textId="77777777" w:rsidTr="00CC47BD">
        <w:trPr>
          <w:trHeight w:val="246"/>
          <w:jc w:val="center"/>
        </w:trPr>
        <w:tc>
          <w:tcPr>
            <w:tcW w:w="1980" w:type="dxa"/>
            <w:tcBorders>
              <w:top w:val="single" w:sz="4" w:space="0" w:color="auto"/>
              <w:left w:val="single" w:sz="4" w:space="0" w:color="auto"/>
              <w:bottom w:val="single" w:sz="4" w:space="0" w:color="auto"/>
              <w:right w:val="nil"/>
            </w:tcBorders>
            <w:shd w:val="clear" w:color="auto" w:fill="auto"/>
            <w:vAlign w:val="center"/>
            <w:hideMark/>
          </w:tcPr>
          <w:p w14:paraId="0A320CDB" w14:textId="77777777" w:rsidR="00B56A7B" w:rsidRPr="000C156A" w:rsidRDefault="00B56A7B" w:rsidP="00CC47BD">
            <w:pPr>
              <w:overflowPunct/>
              <w:autoSpaceDE/>
              <w:autoSpaceDN/>
              <w:adjustRightInd/>
              <w:spacing w:before="0"/>
              <w:textAlignment w:val="auto"/>
              <w:rPr>
                <w:rFonts w:eastAsia="Times New Roman" w:cs="Calibri"/>
                <w:b/>
                <w:bCs/>
                <w:color w:val="000000"/>
                <w:sz w:val="16"/>
                <w:szCs w:val="16"/>
                <w:lang w:eastAsia="en-GB"/>
              </w:rPr>
            </w:pPr>
            <w:r w:rsidRPr="000C156A">
              <w:rPr>
                <w:rFonts w:asciiTheme="minorHAnsi" w:hAnsiTheme="minorHAnsi" w:cs="Arial" w:hint="eastAsia"/>
                <w:b/>
                <w:bCs/>
                <w:color w:val="000000"/>
                <w:sz w:val="16"/>
                <w:szCs w:val="16"/>
                <w:lang w:val="en-US" w:eastAsia="zh-CN"/>
              </w:rPr>
              <w:t>本期盈余</w:t>
            </w:r>
            <w:r w:rsidRPr="000C156A">
              <w:rPr>
                <w:rFonts w:asciiTheme="minorHAnsi" w:hAnsiTheme="minorHAnsi" w:cs="Arial" w:hint="eastAsia"/>
                <w:b/>
                <w:bCs/>
                <w:color w:val="000000"/>
                <w:sz w:val="16"/>
                <w:szCs w:val="16"/>
                <w:lang w:val="en-US" w:eastAsia="zh-CN"/>
              </w:rPr>
              <w:t>/</w:t>
            </w:r>
            <w:r w:rsidRPr="000C156A">
              <w:rPr>
                <w:rFonts w:asciiTheme="minorHAnsi" w:hAnsiTheme="minorHAnsi" w:cs="Arial" w:hint="eastAsia"/>
                <w:b/>
                <w:bCs/>
                <w:color w:val="000000"/>
                <w:sz w:val="16"/>
                <w:szCs w:val="16"/>
                <w:lang w:val="en-US" w:eastAsia="zh-CN"/>
              </w:rPr>
              <w:t>（赤字）</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F14B" w14:textId="276015B6"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-71</w:t>
            </w:r>
            <w:r w:rsidR="00EC26EC">
              <w:rPr>
                <w:rFonts w:cs="Calibri"/>
                <w:b/>
                <w:bCs/>
                <w:color w:val="000000"/>
                <w:sz w:val="16"/>
                <w:szCs w:val="16"/>
                <w:lang w:eastAsia="en-GB"/>
              </w:rPr>
              <w:t> </w:t>
            </w:r>
            <w:r w:rsidRPr="008124C5">
              <w:rPr>
                <w:rFonts w:cs="Calibri"/>
                <w:b/>
                <w:bCs/>
                <w:color w:val="000000"/>
                <w:sz w:val="16"/>
                <w:szCs w:val="16"/>
                <w:lang w:eastAsia="en-GB"/>
              </w:rPr>
              <w:t>243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ECABE1" w14:textId="714214D4"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Pr>
                <w:rFonts w:cs="Calibri"/>
                <w:b/>
                <w:bCs/>
                <w:color w:val="000000"/>
                <w:sz w:val="16"/>
                <w:szCs w:val="16"/>
                <w:lang w:eastAsia="en-GB"/>
              </w:rPr>
              <w:t>1</w:t>
            </w:r>
            <w:r w:rsidRPr="008124C5">
              <w:rPr>
                <w:rFonts w:cs="Calibri"/>
                <w:b/>
                <w:bCs/>
                <w:color w:val="000000"/>
                <w:sz w:val="16"/>
                <w:szCs w:val="16"/>
                <w:lang w:eastAsia="en-GB"/>
              </w:rPr>
              <w:t>0</w:t>
            </w:r>
            <w:r w:rsidR="00EC26EC">
              <w:rPr>
                <w:rFonts w:cs="Calibri"/>
                <w:b/>
                <w:bCs/>
                <w:color w:val="000000"/>
                <w:sz w:val="16"/>
                <w:szCs w:val="16"/>
                <w:lang w:eastAsia="en-GB"/>
              </w:rPr>
              <w:t> </w:t>
            </w:r>
            <w:r w:rsidRPr="008124C5">
              <w:rPr>
                <w:rFonts w:cs="Calibri"/>
                <w:b/>
                <w:bCs/>
                <w:color w:val="000000"/>
                <w:sz w:val="16"/>
                <w:szCs w:val="16"/>
                <w:lang w:eastAsia="en-GB"/>
              </w:rPr>
              <w:t>077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8AA436" w14:textId="41BAF56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-4</w:t>
            </w:r>
            <w:r w:rsidR="00EC26EC">
              <w:rPr>
                <w:rFonts w:cs="Calibri"/>
                <w:b/>
                <w:bCs/>
                <w:color w:val="000000"/>
                <w:sz w:val="16"/>
                <w:szCs w:val="16"/>
                <w:lang w:eastAsia="en-GB"/>
              </w:rPr>
              <w:t> </w:t>
            </w:r>
            <w:r w:rsidRPr="008124C5">
              <w:rPr>
                <w:rFonts w:cs="Calibri"/>
                <w:b/>
                <w:bCs/>
                <w:color w:val="000000"/>
                <w:sz w:val="16"/>
                <w:szCs w:val="16"/>
                <w:lang w:eastAsia="en-GB"/>
              </w:rPr>
              <w:t>569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1CAA4C7" w14:textId="11AB5C82"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-28</w:t>
            </w:r>
            <w:r w:rsidR="00EC26EC">
              <w:rPr>
                <w:rFonts w:cs="Calibri"/>
                <w:b/>
                <w:bCs/>
                <w:color w:val="000000"/>
                <w:sz w:val="16"/>
                <w:szCs w:val="16"/>
                <w:lang w:eastAsia="en-GB"/>
              </w:rPr>
              <w:t> </w:t>
            </w:r>
            <w:r w:rsidRPr="008124C5">
              <w:rPr>
                <w:rFonts w:cs="Calibri"/>
                <w:b/>
                <w:bCs/>
                <w:color w:val="000000"/>
                <w:sz w:val="16"/>
                <w:szCs w:val="16"/>
                <w:lang w:eastAsia="en-GB"/>
              </w:rPr>
              <w:t>080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20351F" w14:textId="469BF51A"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40</w:t>
            </w:r>
            <w:r w:rsidR="00EC26EC">
              <w:rPr>
                <w:rFonts w:cs="Calibri"/>
                <w:b/>
                <w:bCs/>
                <w:color w:val="000000"/>
                <w:sz w:val="16"/>
                <w:szCs w:val="16"/>
                <w:lang w:eastAsia="en-GB"/>
              </w:rPr>
              <w:t> </w:t>
            </w:r>
            <w:r w:rsidRPr="008124C5">
              <w:rPr>
                <w:rFonts w:cs="Calibri"/>
                <w:b/>
                <w:bCs/>
                <w:color w:val="000000"/>
                <w:sz w:val="16"/>
                <w:szCs w:val="16"/>
                <w:lang w:eastAsia="en-GB"/>
              </w:rPr>
              <w:t>446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CA29D08" w14:textId="4AB08FA4"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-53</w:t>
            </w:r>
            <w:r w:rsidR="00EC26EC">
              <w:rPr>
                <w:rFonts w:cs="Calibri"/>
                <w:b/>
                <w:bCs/>
                <w:color w:val="000000"/>
                <w:sz w:val="16"/>
                <w:szCs w:val="16"/>
                <w:lang w:eastAsia="en-GB"/>
              </w:rPr>
              <w:t> </w:t>
            </w:r>
            <w:r w:rsidRPr="008124C5">
              <w:rPr>
                <w:rFonts w:cs="Calibri"/>
                <w:b/>
                <w:bCs/>
                <w:color w:val="000000"/>
                <w:sz w:val="16"/>
                <w:szCs w:val="16"/>
                <w:lang w:eastAsia="en-GB"/>
              </w:rPr>
              <w:t>368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6F33A5"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61CFE9C" w14:textId="36026FF0"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9</w:t>
            </w:r>
            <w:r w:rsidR="00EC26EC">
              <w:rPr>
                <w:rFonts w:cs="Calibri"/>
                <w:b/>
                <w:bCs/>
                <w:color w:val="000000"/>
                <w:sz w:val="16"/>
                <w:szCs w:val="16"/>
                <w:lang w:eastAsia="en-GB"/>
              </w:rPr>
              <w:t> </w:t>
            </w:r>
            <w:r w:rsidRPr="008124C5">
              <w:rPr>
                <w:rFonts w:cs="Calibri"/>
                <w:b/>
                <w:bCs/>
                <w:color w:val="000000"/>
                <w:sz w:val="16"/>
                <w:szCs w:val="16"/>
                <w:lang w:eastAsia="en-GB"/>
              </w:rPr>
              <w:t>665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21606CF5"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-401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0B40B505"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-208</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4C6D3544" w14:textId="40B46651"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w:t>
            </w:r>
            <w:r w:rsidR="00EC26EC">
              <w:rPr>
                <w:rFonts w:cs="Calibri"/>
                <w:b/>
                <w:bCs/>
                <w:color w:val="000000"/>
                <w:sz w:val="16"/>
                <w:szCs w:val="16"/>
                <w:lang w:eastAsia="en-GB"/>
              </w:rPr>
              <w:t> </w:t>
            </w:r>
            <w:r w:rsidRPr="008124C5">
              <w:rPr>
                <w:rFonts w:cs="Calibri"/>
                <w:b/>
                <w:bCs/>
                <w:color w:val="000000"/>
                <w:sz w:val="16"/>
                <w:szCs w:val="16"/>
                <w:lang w:eastAsia="en-GB"/>
              </w:rPr>
              <w:t>019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4A1513D"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0BB65B58"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6DDAEBB3" w14:textId="40463A64"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-1</w:t>
            </w:r>
            <w:r w:rsidR="00EC26EC">
              <w:rPr>
                <w:rFonts w:cs="Calibri"/>
                <w:b/>
                <w:bCs/>
                <w:color w:val="000000"/>
                <w:sz w:val="16"/>
                <w:szCs w:val="16"/>
                <w:lang w:eastAsia="en-GB"/>
              </w:rPr>
              <w:t> </w:t>
            </w:r>
            <w:r w:rsidRPr="008124C5">
              <w:rPr>
                <w:rFonts w:cs="Calibri"/>
                <w:b/>
                <w:bCs/>
                <w:color w:val="000000"/>
                <w:sz w:val="16"/>
                <w:szCs w:val="16"/>
                <w:lang w:eastAsia="en-GB"/>
              </w:rPr>
              <w:t>928</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02911CBB" w14:textId="77777777"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1407D83A" w14:textId="2CFD7EE1" w:rsidR="00B56A7B" w:rsidRPr="000C156A" w:rsidRDefault="00B56A7B" w:rsidP="00CC47BD">
            <w:pPr>
              <w:overflowPunct/>
              <w:autoSpaceDE/>
              <w:autoSpaceDN/>
              <w:adjustRightInd/>
              <w:spacing w:before="0"/>
              <w:jc w:val="right"/>
              <w:textAlignment w:val="auto"/>
              <w:rPr>
                <w:rFonts w:eastAsia="Times New Roman" w:cs="Calibri"/>
                <w:b/>
                <w:bCs/>
                <w:color w:val="000000"/>
                <w:sz w:val="16"/>
                <w:szCs w:val="16"/>
                <w:lang w:eastAsia="en-GB"/>
              </w:rPr>
            </w:pPr>
            <w:r w:rsidRPr="008124C5">
              <w:rPr>
                <w:rFonts w:cs="Calibri"/>
                <w:b/>
                <w:bCs/>
                <w:color w:val="000000"/>
                <w:sz w:val="16"/>
                <w:szCs w:val="16"/>
                <w:lang w:eastAsia="en-GB"/>
              </w:rPr>
              <w:t>-47</w:t>
            </w:r>
            <w:r w:rsidR="00EC26EC">
              <w:rPr>
                <w:rFonts w:cs="Calibri"/>
                <w:b/>
                <w:bCs/>
                <w:color w:val="000000"/>
                <w:sz w:val="16"/>
                <w:szCs w:val="16"/>
                <w:lang w:eastAsia="en-GB"/>
              </w:rPr>
              <w:t> </w:t>
            </w:r>
            <w:r w:rsidRPr="008124C5">
              <w:rPr>
                <w:rFonts w:cs="Calibri"/>
                <w:b/>
                <w:bCs/>
                <w:color w:val="000000"/>
                <w:sz w:val="16"/>
                <w:szCs w:val="16"/>
                <w:lang w:eastAsia="en-GB"/>
              </w:rPr>
              <w:t>259</w:t>
            </w:r>
          </w:p>
        </w:tc>
      </w:tr>
    </w:tbl>
    <w:p w14:paraId="4A547B90" w14:textId="77777777" w:rsidR="00B56A7B" w:rsidRPr="000C156A" w:rsidRDefault="00B56A7B" w:rsidP="00B56A7B">
      <w:pPr>
        <w:rPr>
          <w:lang w:val="en-US" w:eastAsia="zh-CN"/>
        </w:rPr>
        <w:sectPr w:rsidR="00B56A7B" w:rsidRPr="000C156A" w:rsidSect="003A64C9">
          <w:headerReference w:type="first" r:id="rId43"/>
          <w:footerReference w:type="first" r:id="rId44"/>
          <w:pgSz w:w="16834" w:h="11907" w:orient="landscape"/>
          <w:pgMar w:top="1134" w:right="1418" w:bottom="1134" w:left="1418" w:header="720" w:footer="720" w:gutter="0"/>
          <w:paperSrc w:first="7" w:other="7"/>
          <w:cols w:space="720"/>
          <w:titlePg/>
          <w:docGrid w:linePitch="326"/>
        </w:sectPr>
      </w:pPr>
    </w:p>
    <w:p w14:paraId="26151343" w14:textId="77777777" w:rsidR="00B56A7B" w:rsidRPr="000C156A" w:rsidRDefault="00B56A7B" w:rsidP="00B56A7B">
      <w:pPr>
        <w:pStyle w:val="Heading1"/>
        <w:spacing w:before="240" w:after="240"/>
        <w:rPr>
          <w:rFonts w:cs="Microsoft YaHei"/>
          <w:sz w:val="24"/>
          <w:szCs w:val="24"/>
          <w:lang w:val="fr-FR" w:eastAsia="zh-CN"/>
        </w:rPr>
      </w:pPr>
      <w:bookmarkStart w:id="1169" w:name="_Toc482892586"/>
      <w:bookmarkStart w:id="1170" w:name="_Toc511813770"/>
      <w:bookmarkStart w:id="1171" w:name="_Toc511817853"/>
      <w:bookmarkStart w:id="1172" w:name="_Toc520280753"/>
      <w:bookmarkStart w:id="1173" w:name="_Toc10536847"/>
      <w:bookmarkStart w:id="1174" w:name="_Toc41905899"/>
      <w:bookmarkStart w:id="1175" w:name="_Toc41906920"/>
      <w:bookmarkStart w:id="1176" w:name="_Toc41908069"/>
      <w:bookmarkStart w:id="1177" w:name="_Toc73518727"/>
      <w:bookmarkStart w:id="1178" w:name="_Toc73518874"/>
      <w:bookmarkStart w:id="1179" w:name="_Toc73519274"/>
      <w:bookmarkStart w:id="1180" w:name="_Toc110264021"/>
      <w:bookmarkStart w:id="1181" w:name="_Toc110264100"/>
      <w:bookmarkStart w:id="1182" w:name="_Toc110265745"/>
      <w:bookmarkStart w:id="1183" w:name="_Toc110330115"/>
      <w:bookmarkStart w:id="1184" w:name="_Toc110330280"/>
      <w:bookmarkStart w:id="1185" w:name="_Toc387089405"/>
      <w:bookmarkStart w:id="1186" w:name="_Toc329165810"/>
      <w:bookmarkStart w:id="1187" w:name="_Toc387089407"/>
      <w:bookmarkStart w:id="1188" w:name="_Toc329165812"/>
      <w:bookmarkStart w:id="1189" w:name="_Toc329011662"/>
      <w:bookmarkStart w:id="1190" w:name="_Toc305764120"/>
      <w:r w:rsidRPr="000C156A">
        <w:rPr>
          <w:rFonts w:cs="Microsoft YaHei" w:hint="eastAsia"/>
          <w:sz w:val="24"/>
          <w:szCs w:val="24"/>
          <w:lang w:val="fr-FR" w:eastAsia="zh-CN"/>
        </w:rPr>
        <w:lastRenderedPageBreak/>
        <w:t>说明</w:t>
      </w:r>
      <w:r w:rsidRPr="000C156A">
        <w:rPr>
          <w:rFonts w:cs="Microsoft YaHei"/>
          <w:sz w:val="24"/>
          <w:szCs w:val="24"/>
          <w:lang w:val="fr-FR" w:eastAsia="zh-CN"/>
        </w:rPr>
        <w:t>25</w:t>
      </w:r>
      <w:r w:rsidRPr="000C156A">
        <w:rPr>
          <w:rFonts w:cs="Microsoft YaHei"/>
          <w:sz w:val="24"/>
          <w:szCs w:val="24"/>
          <w:lang w:val="fr-FR" w:eastAsia="zh-CN"/>
        </w:rPr>
        <w:tab/>
      </w:r>
      <w:r w:rsidRPr="000C156A">
        <w:rPr>
          <w:rFonts w:cs="Microsoft YaHei" w:hint="eastAsia"/>
          <w:sz w:val="24"/>
          <w:szCs w:val="24"/>
          <w:lang w:val="fr-FR" w:eastAsia="zh-CN"/>
        </w:rPr>
        <w:t>区域代表处</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tbl>
      <w:tblPr>
        <w:tblW w:w="10719" w:type="dxa"/>
        <w:tblInd w:w="-567" w:type="dxa"/>
        <w:tblLook w:val="04A0" w:firstRow="1" w:lastRow="0" w:firstColumn="1" w:lastColumn="0" w:noHBand="0" w:noVBand="1"/>
      </w:tblPr>
      <w:tblGrid>
        <w:gridCol w:w="1886"/>
        <w:gridCol w:w="683"/>
        <w:gridCol w:w="857"/>
        <w:gridCol w:w="695"/>
        <w:gridCol w:w="866"/>
        <w:gridCol w:w="711"/>
        <w:gridCol w:w="726"/>
        <w:gridCol w:w="789"/>
        <w:gridCol w:w="683"/>
        <w:gridCol w:w="693"/>
        <w:gridCol w:w="726"/>
        <w:gridCol w:w="678"/>
        <w:gridCol w:w="726"/>
      </w:tblGrid>
      <w:tr w:rsidR="00B56A7B" w:rsidRPr="00EC42E8" w14:paraId="7D939BA3" w14:textId="77777777" w:rsidTr="00CC47BD">
        <w:trPr>
          <w:trHeight w:val="220"/>
        </w:trPr>
        <w:tc>
          <w:tcPr>
            <w:tcW w:w="1886" w:type="dxa"/>
            <w:noWrap/>
            <w:vAlign w:val="bottom"/>
            <w:hideMark/>
          </w:tcPr>
          <w:p w14:paraId="1190C3EA" w14:textId="77777777" w:rsidR="00B56A7B" w:rsidRPr="00EC42E8" w:rsidRDefault="00B56A7B" w:rsidP="00CC47BD">
            <w:pPr>
              <w:rPr>
                <w:sz w:val="18"/>
                <w:szCs w:val="18"/>
                <w:lang w:val="en-US" w:eastAsia="zh-CN"/>
              </w:rPr>
            </w:pPr>
          </w:p>
        </w:tc>
        <w:tc>
          <w:tcPr>
            <w:tcW w:w="1540" w:type="dxa"/>
            <w:gridSpan w:val="2"/>
            <w:tcBorders>
              <w:top w:val="single" w:sz="8" w:space="0" w:color="auto"/>
              <w:left w:val="single" w:sz="8" w:space="0" w:color="auto"/>
              <w:bottom w:val="single" w:sz="8" w:space="0" w:color="auto"/>
              <w:right w:val="single" w:sz="8" w:space="0" w:color="000000"/>
            </w:tcBorders>
            <w:noWrap/>
            <w:vAlign w:val="bottom"/>
            <w:hideMark/>
          </w:tcPr>
          <w:p w14:paraId="79B8A1ED"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非洲</w:t>
            </w:r>
          </w:p>
        </w:tc>
        <w:tc>
          <w:tcPr>
            <w:tcW w:w="1561" w:type="dxa"/>
            <w:gridSpan w:val="2"/>
            <w:tcBorders>
              <w:top w:val="single" w:sz="8" w:space="0" w:color="auto"/>
              <w:left w:val="nil"/>
              <w:bottom w:val="single" w:sz="8" w:space="0" w:color="auto"/>
              <w:right w:val="single" w:sz="8" w:space="0" w:color="000000"/>
            </w:tcBorders>
            <w:noWrap/>
            <w:vAlign w:val="bottom"/>
            <w:hideMark/>
          </w:tcPr>
          <w:p w14:paraId="3B28EA99"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美洲</w:t>
            </w:r>
          </w:p>
        </w:tc>
        <w:tc>
          <w:tcPr>
            <w:tcW w:w="1437" w:type="dxa"/>
            <w:gridSpan w:val="2"/>
            <w:tcBorders>
              <w:top w:val="single" w:sz="8" w:space="0" w:color="auto"/>
              <w:left w:val="nil"/>
              <w:bottom w:val="single" w:sz="8" w:space="0" w:color="auto"/>
              <w:right w:val="single" w:sz="8" w:space="0" w:color="000000"/>
            </w:tcBorders>
            <w:noWrap/>
            <w:vAlign w:val="bottom"/>
            <w:hideMark/>
          </w:tcPr>
          <w:p w14:paraId="2BBCBFD5"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阿拉伯</w:t>
            </w:r>
          </w:p>
        </w:tc>
        <w:tc>
          <w:tcPr>
            <w:tcW w:w="1472" w:type="dxa"/>
            <w:gridSpan w:val="2"/>
            <w:tcBorders>
              <w:top w:val="single" w:sz="8" w:space="0" w:color="auto"/>
              <w:left w:val="nil"/>
              <w:bottom w:val="single" w:sz="8" w:space="0" w:color="auto"/>
              <w:right w:val="single" w:sz="8" w:space="0" w:color="000000"/>
            </w:tcBorders>
            <w:noWrap/>
            <w:vAlign w:val="bottom"/>
            <w:hideMark/>
          </w:tcPr>
          <w:p w14:paraId="03181677"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亚太</w:t>
            </w:r>
          </w:p>
        </w:tc>
        <w:tc>
          <w:tcPr>
            <w:tcW w:w="1419" w:type="dxa"/>
            <w:gridSpan w:val="2"/>
            <w:tcBorders>
              <w:top w:val="single" w:sz="8" w:space="0" w:color="auto"/>
              <w:left w:val="nil"/>
              <w:bottom w:val="single" w:sz="8" w:space="0" w:color="auto"/>
              <w:right w:val="single" w:sz="8" w:space="0" w:color="000000"/>
            </w:tcBorders>
            <w:noWrap/>
            <w:vAlign w:val="bottom"/>
            <w:hideMark/>
          </w:tcPr>
          <w:p w14:paraId="4E227CAA"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独联体</w:t>
            </w:r>
          </w:p>
        </w:tc>
        <w:tc>
          <w:tcPr>
            <w:tcW w:w="1404" w:type="dxa"/>
            <w:gridSpan w:val="2"/>
            <w:tcBorders>
              <w:top w:val="single" w:sz="8" w:space="0" w:color="auto"/>
              <w:left w:val="nil"/>
              <w:bottom w:val="single" w:sz="8" w:space="0" w:color="auto"/>
              <w:right w:val="single" w:sz="8" w:space="0" w:color="000000"/>
            </w:tcBorders>
            <w:noWrap/>
            <w:vAlign w:val="bottom"/>
            <w:hideMark/>
          </w:tcPr>
          <w:p w14:paraId="1C1570C3"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欧洲</w:t>
            </w:r>
          </w:p>
        </w:tc>
      </w:tr>
      <w:tr w:rsidR="00B56A7B" w:rsidRPr="00EC42E8" w14:paraId="7B1A427D" w14:textId="77777777" w:rsidTr="00CC47BD">
        <w:trPr>
          <w:trHeight w:val="306"/>
        </w:trPr>
        <w:tc>
          <w:tcPr>
            <w:tcW w:w="1886" w:type="dxa"/>
            <w:tcBorders>
              <w:top w:val="nil"/>
              <w:left w:val="nil"/>
              <w:bottom w:val="single" w:sz="8" w:space="0" w:color="auto"/>
              <w:right w:val="nil"/>
            </w:tcBorders>
            <w:noWrap/>
            <w:vAlign w:val="bottom"/>
            <w:hideMark/>
          </w:tcPr>
          <w:p w14:paraId="22C6C243" w14:textId="77777777" w:rsidR="00B56A7B" w:rsidRPr="00EC42E8" w:rsidRDefault="00B56A7B" w:rsidP="00CC47BD">
            <w:pPr>
              <w:overflowPunct/>
              <w:adjustRightInd/>
              <w:spacing w:before="0"/>
              <w:rPr>
                <w:rFonts w:ascii="Arial" w:hAnsi="Arial" w:cs="Arial"/>
                <w:color w:val="000000"/>
                <w:sz w:val="18"/>
                <w:szCs w:val="18"/>
                <w:lang w:val="en-US" w:eastAsia="zh-CN"/>
              </w:rPr>
            </w:pPr>
            <w:r w:rsidRPr="00EC42E8">
              <w:rPr>
                <w:rFonts w:ascii="Arial" w:hAnsi="Arial" w:cs="Arial"/>
                <w:color w:val="000000"/>
                <w:sz w:val="18"/>
                <w:szCs w:val="18"/>
                <w:lang w:val="en-US" w:eastAsia="zh-CN"/>
              </w:rPr>
              <w:t> </w:t>
            </w:r>
          </w:p>
        </w:tc>
        <w:tc>
          <w:tcPr>
            <w:tcW w:w="683" w:type="dxa"/>
            <w:tcBorders>
              <w:top w:val="nil"/>
              <w:left w:val="single" w:sz="8" w:space="0" w:color="auto"/>
              <w:bottom w:val="single" w:sz="8" w:space="0" w:color="auto"/>
              <w:right w:val="nil"/>
            </w:tcBorders>
            <w:noWrap/>
            <w:vAlign w:val="center"/>
            <w:hideMark/>
          </w:tcPr>
          <w:p w14:paraId="3E175C88"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预算</w:t>
            </w:r>
          </w:p>
        </w:tc>
        <w:tc>
          <w:tcPr>
            <w:tcW w:w="857" w:type="dxa"/>
            <w:tcBorders>
              <w:top w:val="nil"/>
              <w:left w:val="nil"/>
              <w:bottom w:val="single" w:sz="8" w:space="0" w:color="auto"/>
              <w:right w:val="single" w:sz="8" w:space="0" w:color="auto"/>
            </w:tcBorders>
            <w:noWrap/>
            <w:vAlign w:val="center"/>
            <w:hideMark/>
          </w:tcPr>
          <w:p w14:paraId="21459F3B"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实际</w:t>
            </w:r>
          </w:p>
        </w:tc>
        <w:tc>
          <w:tcPr>
            <w:tcW w:w="695" w:type="dxa"/>
            <w:tcBorders>
              <w:top w:val="nil"/>
              <w:left w:val="nil"/>
              <w:bottom w:val="single" w:sz="8" w:space="0" w:color="auto"/>
              <w:right w:val="nil"/>
            </w:tcBorders>
            <w:noWrap/>
            <w:vAlign w:val="center"/>
            <w:hideMark/>
          </w:tcPr>
          <w:p w14:paraId="06FA5B66"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预算</w:t>
            </w:r>
          </w:p>
        </w:tc>
        <w:tc>
          <w:tcPr>
            <w:tcW w:w="866" w:type="dxa"/>
            <w:tcBorders>
              <w:top w:val="nil"/>
              <w:left w:val="nil"/>
              <w:bottom w:val="single" w:sz="8" w:space="0" w:color="auto"/>
              <w:right w:val="single" w:sz="8" w:space="0" w:color="auto"/>
            </w:tcBorders>
            <w:noWrap/>
            <w:vAlign w:val="center"/>
            <w:hideMark/>
          </w:tcPr>
          <w:p w14:paraId="4D911E0A"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实际</w:t>
            </w:r>
          </w:p>
        </w:tc>
        <w:tc>
          <w:tcPr>
            <w:tcW w:w="711" w:type="dxa"/>
            <w:tcBorders>
              <w:top w:val="nil"/>
              <w:left w:val="nil"/>
              <w:bottom w:val="single" w:sz="8" w:space="0" w:color="auto"/>
              <w:right w:val="nil"/>
            </w:tcBorders>
            <w:noWrap/>
            <w:vAlign w:val="center"/>
            <w:hideMark/>
          </w:tcPr>
          <w:p w14:paraId="533A3222"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预算</w:t>
            </w:r>
          </w:p>
        </w:tc>
        <w:tc>
          <w:tcPr>
            <w:tcW w:w="726" w:type="dxa"/>
            <w:tcBorders>
              <w:top w:val="nil"/>
              <w:left w:val="nil"/>
              <w:bottom w:val="single" w:sz="8" w:space="0" w:color="auto"/>
              <w:right w:val="single" w:sz="8" w:space="0" w:color="auto"/>
            </w:tcBorders>
            <w:noWrap/>
            <w:vAlign w:val="center"/>
            <w:hideMark/>
          </w:tcPr>
          <w:p w14:paraId="7AA22DA5"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实际</w:t>
            </w:r>
          </w:p>
        </w:tc>
        <w:tc>
          <w:tcPr>
            <w:tcW w:w="789" w:type="dxa"/>
            <w:tcBorders>
              <w:top w:val="nil"/>
              <w:left w:val="nil"/>
              <w:bottom w:val="single" w:sz="8" w:space="0" w:color="auto"/>
              <w:right w:val="nil"/>
            </w:tcBorders>
            <w:noWrap/>
            <w:vAlign w:val="center"/>
            <w:hideMark/>
          </w:tcPr>
          <w:p w14:paraId="3ABE1757"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预算</w:t>
            </w:r>
          </w:p>
        </w:tc>
        <w:tc>
          <w:tcPr>
            <w:tcW w:w="683" w:type="dxa"/>
            <w:tcBorders>
              <w:top w:val="nil"/>
              <w:left w:val="nil"/>
              <w:bottom w:val="single" w:sz="8" w:space="0" w:color="auto"/>
              <w:right w:val="single" w:sz="8" w:space="0" w:color="auto"/>
            </w:tcBorders>
            <w:noWrap/>
            <w:vAlign w:val="center"/>
            <w:hideMark/>
          </w:tcPr>
          <w:p w14:paraId="29923CF3"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实际</w:t>
            </w:r>
          </w:p>
        </w:tc>
        <w:tc>
          <w:tcPr>
            <w:tcW w:w="693" w:type="dxa"/>
            <w:tcBorders>
              <w:top w:val="nil"/>
              <w:left w:val="nil"/>
              <w:bottom w:val="single" w:sz="8" w:space="0" w:color="auto"/>
              <w:right w:val="nil"/>
            </w:tcBorders>
            <w:noWrap/>
            <w:vAlign w:val="center"/>
            <w:hideMark/>
          </w:tcPr>
          <w:p w14:paraId="6A38EFAC"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预算</w:t>
            </w:r>
          </w:p>
        </w:tc>
        <w:tc>
          <w:tcPr>
            <w:tcW w:w="726" w:type="dxa"/>
            <w:tcBorders>
              <w:top w:val="nil"/>
              <w:left w:val="nil"/>
              <w:bottom w:val="single" w:sz="8" w:space="0" w:color="auto"/>
              <w:right w:val="single" w:sz="8" w:space="0" w:color="auto"/>
            </w:tcBorders>
            <w:noWrap/>
            <w:vAlign w:val="center"/>
            <w:hideMark/>
          </w:tcPr>
          <w:p w14:paraId="254F7892"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实际</w:t>
            </w:r>
          </w:p>
        </w:tc>
        <w:tc>
          <w:tcPr>
            <w:tcW w:w="678" w:type="dxa"/>
            <w:tcBorders>
              <w:top w:val="nil"/>
              <w:left w:val="nil"/>
              <w:bottom w:val="single" w:sz="8" w:space="0" w:color="auto"/>
              <w:right w:val="nil"/>
            </w:tcBorders>
            <w:noWrap/>
            <w:vAlign w:val="center"/>
            <w:hideMark/>
          </w:tcPr>
          <w:p w14:paraId="74D13FC5"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预算</w:t>
            </w:r>
          </w:p>
        </w:tc>
        <w:tc>
          <w:tcPr>
            <w:tcW w:w="726" w:type="dxa"/>
            <w:tcBorders>
              <w:top w:val="nil"/>
              <w:left w:val="nil"/>
              <w:bottom w:val="single" w:sz="8" w:space="0" w:color="auto"/>
              <w:right w:val="single" w:sz="8" w:space="0" w:color="auto"/>
            </w:tcBorders>
            <w:noWrap/>
            <w:vAlign w:val="center"/>
            <w:hideMark/>
          </w:tcPr>
          <w:p w14:paraId="1A885464" w14:textId="77777777" w:rsidR="00B56A7B" w:rsidRPr="00EC42E8" w:rsidRDefault="00B56A7B" w:rsidP="00CC47BD">
            <w:pPr>
              <w:overflowPunct/>
              <w:adjustRightInd/>
              <w:spacing w:before="0"/>
              <w:jc w:val="center"/>
              <w:rPr>
                <w:rFonts w:asciiTheme="minorHAnsi" w:hAnsiTheme="minorHAnsi" w:cs="Arial"/>
                <w:b/>
                <w:bCs/>
                <w:color w:val="000000"/>
                <w:sz w:val="18"/>
                <w:szCs w:val="18"/>
                <w:lang w:val="en-US" w:eastAsia="zh-CN"/>
              </w:rPr>
            </w:pPr>
            <w:r w:rsidRPr="00EC42E8">
              <w:rPr>
                <w:rFonts w:asciiTheme="minorHAnsi" w:hAnsiTheme="minorHAnsi" w:cs="Arial" w:hint="eastAsia"/>
                <w:b/>
                <w:bCs/>
                <w:color w:val="000000"/>
                <w:sz w:val="18"/>
                <w:szCs w:val="18"/>
                <w:lang w:val="en-US" w:eastAsia="zh-CN"/>
              </w:rPr>
              <w:t>实际</w:t>
            </w:r>
          </w:p>
        </w:tc>
      </w:tr>
      <w:tr w:rsidR="00B56A7B" w:rsidRPr="00EC42E8" w14:paraId="5E713C41" w14:textId="77777777" w:rsidTr="00CC47BD">
        <w:trPr>
          <w:trHeight w:val="245"/>
        </w:trPr>
        <w:tc>
          <w:tcPr>
            <w:tcW w:w="1886" w:type="dxa"/>
            <w:tcBorders>
              <w:top w:val="nil"/>
              <w:left w:val="single" w:sz="8" w:space="0" w:color="auto"/>
              <w:bottom w:val="nil"/>
              <w:right w:val="nil"/>
            </w:tcBorders>
            <w:noWrap/>
            <w:vAlign w:val="center"/>
            <w:hideMark/>
          </w:tcPr>
          <w:p w14:paraId="39759E29" w14:textId="77777777" w:rsidR="00B56A7B" w:rsidRPr="00EC42E8" w:rsidRDefault="00B56A7B" w:rsidP="00CC47BD">
            <w:pPr>
              <w:spacing w:before="40" w:after="40"/>
              <w:rPr>
                <w:noProof/>
                <w:sz w:val="18"/>
                <w:szCs w:val="18"/>
                <w:lang w:val="en-US"/>
              </w:rPr>
            </w:pPr>
            <w:r w:rsidRPr="00EC42E8">
              <w:rPr>
                <w:rFonts w:hint="eastAsia"/>
                <w:noProof/>
                <w:sz w:val="18"/>
                <w:szCs w:val="18"/>
                <w:lang w:val="en-US"/>
              </w:rPr>
              <w:t>人员费用</w:t>
            </w:r>
          </w:p>
        </w:tc>
        <w:tc>
          <w:tcPr>
            <w:tcW w:w="683" w:type="dxa"/>
            <w:tcBorders>
              <w:top w:val="nil"/>
              <w:left w:val="single" w:sz="8" w:space="0" w:color="auto"/>
              <w:bottom w:val="nil"/>
              <w:right w:val="single" w:sz="4" w:space="0" w:color="auto"/>
            </w:tcBorders>
            <w:shd w:val="clear" w:color="auto" w:fill="auto"/>
            <w:noWrap/>
            <w:vAlign w:val="center"/>
            <w:hideMark/>
          </w:tcPr>
          <w:p w14:paraId="70416255"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2 0</w:t>
            </w:r>
            <w:r w:rsidRPr="00EC42E8">
              <w:rPr>
                <w:rFonts w:asciiTheme="minorHAnsi" w:hAnsiTheme="minorHAnsi" w:cstheme="minorHAnsi" w:hint="eastAsia"/>
                <w:color w:val="000000"/>
                <w:sz w:val="18"/>
                <w:szCs w:val="18"/>
                <w:lang w:eastAsia="zh-CN"/>
              </w:rPr>
              <w:t>53</w:t>
            </w:r>
          </w:p>
        </w:tc>
        <w:tc>
          <w:tcPr>
            <w:tcW w:w="857" w:type="dxa"/>
            <w:tcBorders>
              <w:top w:val="nil"/>
              <w:left w:val="nil"/>
              <w:bottom w:val="nil"/>
              <w:right w:val="single" w:sz="8" w:space="0" w:color="auto"/>
            </w:tcBorders>
            <w:shd w:val="clear" w:color="auto" w:fill="auto"/>
            <w:noWrap/>
            <w:vAlign w:val="center"/>
            <w:hideMark/>
          </w:tcPr>
          <w:p w14:paraId="1766561C"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2 044</w:t>
            </w:r>
          </w:p>
        </w:tc>
        <w:tc>
          <w:tcPr>
            <w:tcW w:w="695" w:type="dxa"/>
            <w:tcBorders>
              <w:top w:val="nil"/>
              <w:left w:val="nil"/>
              <w:bottom w:val="nil"/>
              <w:right w:val="single" w:sz="4" w:space="0" w:color="auto"/>
            </w:tcBorders>
            <w:shd w:val="clear" w:color="auto" w:fill="auto"/>
            <w:noWrap/>
            <w:vAlign w:val="center"/>
            <w:hideMark/>
          </w:tcPr>
          <w:p w14:paraId="4C023422"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1</w:t>
            </w:r>
            <w:r w:rsidRPr="00EC42E8">
              <w:rPr>
                <w:rFonts w:asciiTheme="minorHAnsi" w:hAnsiTheme="minorHAnsi" w:cstheme="minorHAnsi"/>
                <w:color w:val="000000"/>
                <w:sz w:val="18"/>
                <w:szCs w:val="18"/>
                <w:lang w:eastAsia="zh-CN"/>
              </w:rPr>
              <w:t xml:space="preserve"> </w:t>
            </w:r>
            <w:r w:rsidRPr="00EC42E8">
              <w:rPr>
                <w:rFonts w:asciiTheme="minorHAnsi" w:hAnsiTheme="minorHAnsi" w:cstheme="minorHAnsi" w:hint="eastAsia"/>
                <w:color w:val="000000"/>
                <w:sz w:val="18"/>
                <w:szCs w:val="18"/>
                <w:lang w:eastAsia="zh-CN"/>
              </w:rPr>
              <w:t>922</w:t>
            </w:r>
          </w:p>
        </w:tc>
        <w:tc>
          <w:tcPr>
            <w:tcW w:w="866" w:type="dxa"/>
            <w:tcBorders>
              <w:top w:val="nil"/>
              <w:left w:val="nil"/>
              <w:bottom w:val="nil"/>
              <w:right w:val="single" w:sz="8" w:space="0" w:color="auto"/>
            </w:tcBorders>
            <w:shd w:val="clear" w:color="auto" w:fill="auto"/>
            <w:noWrap/>
            <w:vAlign w:val="center"/>
            <w:hideMark/>
          </w:tcPr>
          <w:p w14:paraId="0B96CC87"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1 930</w:t>
            </w:r>
          </w:p>
        </w:tc>
        <w:tc>
          <w:tcPr>
            <w:tcW w:w="711" w:type="dxa"/>
            <w:tcBorders>
              <w:top w:val="nil"/>
              <w:left w:val="nil"/>
              <w:bottom w:val="nil"/>
              <w:right w:val="single" w:sz="4" w:space="0" w:color="auto"/>
            </w:tcBorders>
            <w:shd w:val="clear" w:color="auto" w:fill="auto"/>
            <w:noWrap/>
            <w:vAlign w:val="center"/>
            <w:hideMark/>
          </w:tcPr>
          <w:p w14:paraId="33311828"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863</w:t>
            </w:r>
          </w:p>
        </w:tc>
        <w:tc>
          <w:tcPr>
            <w:tcW w:w="726" w:type="dxa"/>
            <w:tcBorders>
              <w:top w:val="nil"/>
              <w:left w:val="nil"/>
              <w:bottom w:val="nil"/>
              <w:right w:val="single" w:sz="8" w:space="0" w:color="auto"/>
            </w:tcBorders>
            <w:shd w:val="clear" w:color="auto" w:fill="auto"/>
            <w:noWrap/>
            <w:vAlign w:val="center"/>
            <w:hideMark/>
          </w:tcPr>
          <w:p w14:paraId="7D788A73"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997</w:t>
            </w:r>
          </w:p>
        </w:tc>
        <w:tc>
          <w:tcPr>
            <w:tcW w:w="789" w:type="dxa"/>
            <w:tcBorders>
              <w:top w:val="nil"/>
              <w:left w:val="nil"/>
              <w:bottom w:val="nil"/>
              <w:right w:val="single" w:sz="4" w:space="0" w:color="auto"/>
            </w:tcBorders>
            <w:shd w:val="clear" w:color="auto" w:fill="auto"/>
            <w:noWrap/>
            <w:vAlign w:val="center"/>
            <w:hideMark/>
          </w:tcPr>
          <w:p w14:paraId="14644867"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1 260</w:t>
            </w:r>
          </w:p>
        </w:tc>
        <w:tc>
          <w:tcPr>
            <w:tcW w:w="683" w:type="dxa"/>
            <w:tcBorders>
              <w:top w:val="nil"/>
              <w:left w:val="nil"/>
              <w:bottom w:val="nil"/>
              <w:right w:val="single" w:sz="8" w:space="0" w:color="auto"/>
            </w:tcBorders>
            <w:shd w:val="clear" w:color="auto" w:fill="auto"/>
            <w:noWrap/>
            <w:vAlign w:val="center"/>
            <w:hideMark/>
          </w:tcPr>
          <w:p w14:paraId="663A5D2D"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1 322</w:t>
            </w:r>
          </w:p>
        </w:tc>
        <w:tc>
          <w:tcPr>
            <w:tcW w:w="693" w:type="dxa"/>
            <w:tcBorders>
              <w:top w:val="nil"/>
              <w:left w:val="nil"/>
              <w:bottom w:val="nil"/>
              <w:right w:val="single" w:sz="4" w:space="0" w:color="auto"/>
            </w:tcBorders>
            <w:shd w:val="clear" w:color="auto" w:fill="auto"/>
            <w:noWrap/>
            <w:vAlign w:val="center"/>
            <w:hideMark/>
          </w:tcPr>
          <w:p w14:paraId="6815654E"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4</w:t>
            </w:r>
            <w:r w:rsidRPr="00EC42E8">
              <w:rPr>
                <w:rFonts w:asciiTheme="minorHAnsi" w:hAnsiTheme="minorHAnsi" w:cstheme="minorHAnsi" w:hint="eastAsia"/>
                <w:color w:val="000000"/>
                <w:sz w:val="18"/>
                <w:szCs w:val="18"/>
                <w:lang w:eastAsia="zh-CN"/>
              </w:rPr>
              <w:t>61</w:t>
            </w:r>
          </w:p>
        </w:tc>
        <w:tc>
          <w:tcPr>
            <w:tcW w:w="726" w:type="dxa"/>
            <w:tcBorders>
              <w:top w:val="nil"/>
              <w:left w:val="nil"/>
              <w:bottom w:val="nil"/>
              <w:right w:val="single" w:sz="8" w:space="0" w:color="auto"/>
            </w:tcBorders>
            <w:shd w:val="clear" w:color="auto" w:fill="auto"/>
            <w:noWrap/>
            <w:vAlign w:val="center"/>
            <w:hideMark/>
          </w:tcPr>
          <w:p w14:paraId="17DC5900"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3</w:t>
            </w:r>
            <w:r w:rsidRPr="00EC42E8">
              <w:rPr>
                <w:rFonts w:asciiTheme="minorHAnsi" w:hAnsiTheme="minorHAnsi" w:cstheme="minorHAnsi" w:hint="eastAsia"/>
                <w:color w:val="000000"/>
                <w:sz w:val="18"/>
                <w:szCs w:val="18"/>
                <w:lang w:eastAsia="zh-CN"/>
              </w:rPr>
              <w:t>88</w:t>
            </w:r>
          </w:p>
        </w:tc>
        <w:tc>
          <w:tcPr>
            <w:tcW w:w="678" w:type="dxa"/>
            <w:tcBorders>
              <w:top w:val="nil"/>
              <w:left w:val="nil"/>
              <w:bottom w:val="nil"/>
              <w:right w:val="single" w:sz="4" w:space="0" w:color="auto"/>
            </w:tcBorders>
            <w:shd w:val="clear" w:color="auto" w:fill="auto"/>
            <w:noWrap/>
            <w:vAlign w:val="center"/>
            <w:hideMark/>
          </w:tcPr>
          <w:p w14:paraId="7B4F0B8B"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513</w:t>
            </w:r>
          </w:p>
        </w:tc>
        <w:tc>
          <w:tcPr>
            <w:tcW w:w="726" w:type="dxa"/>
            <w:tcBorders>
              <w:top w:val="nil"/>
              <w:left w:val="nil"/>
              <w:bottom w:val="nil"/>
              <w:right w:val="single" w:sz="8" w:space="0" w:color="auto"/>
            </w:tcBorders>
            <w:shd w:val="clear" w:color="auto" w:fill="auto"/>
            <w:noWrap/>
            <w:vAlign w:val="center"/>
            <w:hideMark/>
          </w:tcPr>
          <w:p w14:paraId="227ADCB1"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551</w:t>
            </w:r>
          </w:p>
        </w:tc>
      </w:tr>
      <w:tr w:rsidR="00B56A7B" w:rsidRPr="00EC42E8" w14:paraId="3E8ED5F2" w14:textId="77777777" w:rsidTr="00CC47BD">
        <w:trPr>
          <w:trHeight w:val="245"/>
        </w:trPr>
        <w:tc>
          <w:tcPr>
            <w:tcW w:w="1886" w:type="dxa"/>
            <w:tcBorders>
              <w:top w:val="nil"/>
              <w:left w:val="single" w:sz="8" w:space="0" w:color="auto"/>
              <w:bottom w:val="nil"/>
              <w:right w:val="nil"/>
            </w:tcBorders>
            <w:noWrap/>
            <w:vAlign w:val="center"/>
            <w:hideMark/>
          </w:tcPr>
          <w:p w14:paraId="39216E2B" w14:textId="77777777" w:rsidR="00B56A7B" w:rsidRPr="00EC42E8" w:rsidRDefault="00B56A7B" w:rsidP="00CC47BD">
            <w:pPr>
              <w:spacing w:before="40" w:after="40"/>
              <w:rPr>
                <w:noProof/>
                <w:sz w:val="18"/>
                <w:szCs w:val="18"/>
                <w:lang w:val="en-US"/>
              </w:rPr>
            </w:pPr>
            <w:r w:rsidRPr="00EC42E8">
              <w:rPr>
                <w:rFonts w:hint="eastAsia"/>
                <w:noProof/>
                <w:sz w:val="18"/>
                <w:szCs w:val="18"/>
                <w:lang w:val="en-US" w:eastAsia="zh-CN"/>
              </w:rPr>
              <w:t>公务</w:t>
            </w:r>
            <w:r w:rsidRPr="00EC42E8">
              <w:rPr>
                <w:rFonts w:hint="eastAsia"/>
                <w:noProof/>
                <w:sz w:val="18"/>
                <w:szCs w:val="18"/>
                <w:lang w:val="en-US"/>
              </w:rPr>
              <w:t>费用</w:t>
            </w:r>
          </w:p>
        </w:tc>
        <w:tc>
          <w:tcPr>
            <w:tcW w:w="683" w:type="dxa"/>
            <w:tcBorders>
              <w:top w:val="nil"/>
              <w:left w:val="single" w:sz="8" w:space="0" w:color="auto"/>
              <w:bottom w:val="nil"/>
              <w:right w:val="single" w:sz="4" w:space="0" w:color="auto"/>
            </w:tcBorders>
            <w:shd w:val="clear" w:color="auto" w:fill="auto"/>
            <w:noWrap/>
            <w:vAlign w:val="center"/>
            <w:hideMark/>
          </w:tcPr>
          <w:p w14:paraId="528C3851"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50</w:t>
            </w:r>
          </w:p>
        </w:tc>
        <w:tc>
          <w:tcPr>
            <w:tcW w:w="857" w:type="dxa"/>
            <w:tcBorders>
              <w:top w:val="nil"/>
              <w:left w:val="nil"/>
              <w:bottom w:val="nil"/>
              <w:right w:val="single" w:sz="8" w:space="0" w:color="auto"/>
            </w:tcBorders>
            <w:shd w:val="clear" w:color="auto" w:fill="auto"/>
            <w:noWrap/>
            <w:vAlign w:val="center"/>
            <w:hideMark/>
          </w:tcPr>
          <w:p w14:paraId="68596D51"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28</w:t>
            </w:r>
          </w:p>
        </w:tc>
        <w:tc>
          <w:tcPr>
            <w:tcW w:w="695" w:type="dxa"/>
            <w:tcBorders>
              <w:top w:val="nil"/>
              <w:left w:val="nil"/>
              <w:bottom w:val="nil"/>
              <w:right w:val="single" w:sz="4" w:space="0" w:color="auto"/>
            </w:tcBorders>
            <w:shd w:val="clear" w:color="auto" w:fill="auto"/>
            <w:noWrap/>
            <w:vAlign w:val="center"/>
            <w:hideMark/>
          </w:tcPr>
          <w:p w14:paraId="49C399DC"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50</w:t>
            </w:r>
          </w:p>
        </w:tc>
        <w:tc>
          <w:tcPr>
            <w:tcW w:w="866" w:type="dxa"/>
            <w:tcBorders>
              <w:top w:val="nil"/>
              <w:left w:val="nil"/>
              <w:bottom w:val="nil"/>
              <w:right w:val="single" w:sz="8" w:space="0" w:color="auto"/>
            </w:tcBorders>
            <w:shd w:val="clear" w:color="auto" w:fill="auto"/>
            <w:noWrap/>
            <w:vAlign w:val="center"/>
            <w:hideMark/>
          </w:tcPr>
          <w:p w14:paraId="6FF27A2A"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9</w:t>
            </w:r>
          </w:p>
        </w:tc>
        <w:tc>
          <w:tcPr>
            <w:tcW w:w="711" w:type="dxa"/>
            <w:tcBorders>
              <w:top w:val="nil"/>
              <w:left w:val="nil"/>
              <w:bottom w:val="nil"/>
              <w:right w:val="single" w:sz="4" w:space="0" w:color="auto"/>
            </w:tcBorders>
            <w:shd w:val="clear" w:color="auto" w:fill="auto"/>
            <w:noWrap/>
            <w:vAlign w:val="center"/>
            <w:hideMark/>
          </w:tcPr>
          <w:p w14:paraId="44459704"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32</w:t>
            </w:r>
          </w:p>
        </w:tc>
        <w:tc>
          <w:tcPr>
            <w:tcW w:w="726" w:type="dxa"/>
            <w:tcBorders>
              <w:top w:val="nil"/>
              <w:left w:val="nil"/>
              <w:bottom w:val="nil"/>
              <w:right w:val="single" w:sz="8" w:space="0" w:color="auto"/>
            </w:tcBorders>
            <w:shd w:val="clear" w:color="auto" w:fill="auto"/>
            <w:noWrap/>
            <w:vAlign w:val="center"/>
            <w:hideMark/>
          </w:tcPr>
          <w:p w14:paraId="3CBF54BD"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18</w:t>
            </w:r>
          </w:p>
        </w:tc>
        <w:tc>
          <w:tcPr>
            <w:tcW w:w="789" w:type="dxa"/>
            <w:tcBorders>
              <w:top w:val="nil"/>
              <w:left w:val="nil"/>
              <w:bottom w:val="nil"/>
              <w:right w:val="single" w:sz="4" w:space="0" w:color="auto"/>
            </w:tcBorders>
            <w:shd w:val="clear" w:color="auto" w:fill="auto"/>
            <w:noWrap/>
            <w:vAlign w:val="center"/>
            <w:hideMark/>
          </w:tcPr>
          <w:p w14:paraId="132299CD"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36</w:t>
            </w:r>
          </w:p>
        </w:tc>
        <w:tc>
          <w:tcPr>
            <w:tcW w:w="683" w:type="dxa"/>
            <w:tcBorders>
              <w:top w:val="nil"/>
              <w:left w:val="nil"/>
              <w:bottom w:val="nil"/>
              <w:right w:val="single" w:sz="8" w:space="0" w:color="auto"/>
            </w:tcBorders>
            <w:shd w:val="clear" w:color="auto" w:fill="auto"/>
            <w:noWrap/>
            <w:vAlign w:val="center"/>
            <w:hideMark/>
          </w:tcPr>
          <w:p w14:paraId="3172F75C"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8</w:t>
            </w:r>
          </w:p>
        </w:tc>
        <w:tc>
          <w:tcPr>
            <w:tcW w:w="693" w:type="dxa"/>
            <w:tcBorders>
              <w:top w:val="nil"/>
              <w:left w:val="nil"/>
              <w:bottom w:val="nil"/>
              <w:right w:val="single" w:sz="4" w:space="0" w:color="auto"/>
            </w:tcBorders>
            <w:shd w:val="clear" w:color="auto" w:fill="auto"/>
            <w:noWrap/>
            <w:vAlign w:val="center"/>
            <w:hideMark/>
          </w:tcPr>
          <w:p w14:paraId="22884C81"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23</w:t>
            </w:r>
          </w:p>
        </w:tc>
        <w:tc>
          <w:tcPr>
            <w:tcW w:w="726" w:type="dxa"/>
            <w:tcBorders>
              <w:top w:val="nil"/>
              <w:left w:val="nil"/>
              <w:bottom w:val="nil"/>
              <w:right w:val="single" w:sz="8" w:space="0" w:color="auto"/>
            </w:tcBorders>
            <w:shd w:val="clear" w:color="auto" w:fill="auto"/>
            <w:noWrap/>
            <w:vAlign w:val="center"/>
            <w:hideMark/>
          </w:tcPr>
          <w:p w14:paraId="61EBC0A9"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14</w:t>
            </w:r>
          </w:p>
        </w:tc>
        <w:tc>
          <w:tcPr>
            <w:tcW w:w="678" w:type="dxa"/>
            <w:tcBorders>
              <w:top w:val="nil"/>
              <w:left w:val="nil"/>
              <w:bottom w:val="nil"/>
              <w:right w:val="single" w:sz="4" w:space="0" w:color="auto"/>
            </w:tcBorders>
            <w:shd w:val="clear" w:color="auto" w:fill="auto"/>
            <w:noWrap/>
            <w:vAlign w:val="center"/>
            <w:hideMark/>
          </w:tcPr>
          <w:p w14:paraId="2C4AFE65"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18</w:t>
            </w:r>
          </w:p>
        </w:tc>
        <w:tc>
          <w:tcPr>
            <w:tcW w:w="726" w:type="dxa"/>
            <w:tcBorders>
              <w:top w:val="nil"/>
              <w:left w:val="nil"/>
              <w:bottom w:val="nil"/>
              <w:right w:val="single" w:sz="8" w:space="0" w:color="auto"/>
            </w:tcBorders>
            <w:shd w:val="clear" w:color="auto" w:fill="auto"/>
            <w:noWrap/>
            <w:vAlign w:val="center"/>
            <w:hideMark/>
          </w:tcPr>
          <w:p w14:paraId="540E2ADA"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1</w:t>
            </w:r>
          </w:p>
        </w:tc>
      </w:tr>
      <w:tr w:rsidR="00B56A7B" w:rsidRPr="00EC42E8" w14:paraId="2EA95450" w14:textId="77777777" w:rsidTr="00CC47BD">
        <w:trPr>
          <w:trHeight w:val="245"/>
        </w:trPr>
        <w:tc>
          <w:tcPr>
            <w:tcW w:w="1886" w:type="dxa"/>
            <w:tcBorders>
              <w:top w:val="nil"/>
              <w:left w:val="single" w:sz="8" w:space="0" w:color="auto"/>
              <w:bottom w:val="nil"/>
              <w:right w:val="nil"/>
            </w:tcBorders>
            <w:noWrap/>
            <w:vAlign w:val="center"/>
            <w:hideMark/>
          </w:tcPr>
          <w:p w14:paraId="08B27C36" w14:textId="77777777" w:rsidR="00B56A7B" w:rsidRPr="00EC42E8" w:rsidRDefault="00B56A7B" w:rsidP="00CC47BD">
            <w:pPr>
              <w:spacing w:before="40" w:after="40"/>
              <w:rPr>
                <w:noProof/>
                <w:sz w:val="18"/>
                <w:szCs w:val="18"/>
                <w:lang w:val="en-US"/>
              </w:rPr>
            </w:pPr>
            <w:r w:rsidRPr="00EC42E8">
              <w:rPr>
                <w:rFonts w:hint="eastAsia"/>
                <w:noProof/>
                <w:sz w:val="18"/>
                <w:szCs w:val="18"/>
                <w:lang w:val="en-US"/>
              </w:rPr>
              <w:t>合同服务</w:t>
            </w:r>
          </w:p>
        </w:tc>
        <w:tc>
          <w:tcPr>
            <w:tcW w:w="683" w:type="dxa"/>
            <w:tcBorders>
              <w:top w:val="nil"/>
              <w:left w:val="single" w:sz="8" w:space="0" w:color="auto"/>
              <w:bottom w:val="nil"/>
              <w:right w:val="single" w:sz="4" w:space="0" w:color="auto"/>
            </w:tcBorders>
            <w:shd w:val="clear" w:color="auto" w:fill="auto"/>
            <w:noWrap/>
            <w:vAlign w:val="center"/>
            <w:hideMark/>
          </w:tcPr>
          <w:p w14:paraId="4253C82F"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21</w:t>
            </w:r>
          </w:p>
        </w:tc>
        <w:tc>
          <w:tcPr>
            <w:tcW w:w="857" w:type="dxa"/>
            <w:tcBorders>
              <w:top w:val="nil"/>
              <w:left w:val="nil"/>
              <w:bottom w:val="nil"/>
              <w:right w:val="single" w:sz="8" w:space="0" w:color="auto"/>
            </w:tcBorders>
            <w:shd w:val="clear" w:color="auto" w:fill="auto"/>
            <w:noWrap/>
            <w:vAlign w:val="center"/>
            <w:hideMark/>
          </w:tcPr>
          <w:p w14:paraId="23337F21"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6</w:t>
            </w:r>
          </w:p>
        </w:tc>
        <w:tc>
          <w:tcPr>
            <w:tcW w:w="695" w:type="dxa"/>
            <w:tcBorders>
              <w:top w:val="nil"/>
              <w:left w:val="nil"/>
              <w:bottom w:val="nil"/>
              <w:right w:val="single" w:sz="4" w:space="0" w:color="auto"/>
            </w:tcBorders>
            <w:shd w:val="clear" w:color="auto" w:fill="auto"/>
            <w:noWrap/>
            <w:vAlign w:val="center"/>
            <w:hideMark/>
          </w:tcPr>
          <w:p w14:paraId="09A0D67B"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4</w:t>
            </w:r>
          </w:p>
        </w:tc>
        <w:tc>
          <w:tcPr>
            <w:tcW w:w="866" w:type="dxa"/>
            <w:tcBorders>
              <w:top w:val="nil"/>
              <w:left w:val="nil"/>
              <w:bottom w:val="nil"/>
              <w:right w:val="single" w:sz="8" w:space="0" w:color="auto"/>
            </w:tcBorders>
            <w:shd w:val="clear" w:color="auto" w:fill="auto"/>
            <w:noWrap/>
            <w:vAlign w:val="center"/>
            <w:hideMark/>
          </w:tcPr>
          <w:p w14:paraId="7A50D6B7"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w:t>
            </w:r>
          </w:p>
        </w:tc>
        <w:tc>
          <w:tcPr>
            <w:tcW w:w="711" w:type="dxa"/>
            <w:tcBorders>
              <w:top w:val="nil"/>
              <w:left w:val="nil"/>
              <w:bottom w:val="nil"/>
              <w:right w:val="single" w:sz="4" w:space="0" w:color="auto"/>
            </w:tcBorders>
            <w:shd w:val="clear" w:color="auto" w:fill="auto"/>
            <w:noWrap/>
            <w:vAlign w:val="center"/>
            <w:hideMark/>
          </w:tcPr>
          <w:p w14:paraId="0A4A26DD"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5</w:t>
            </w:r>
          </w:p>
        </w:tc>
        <w:tc>
          <w:tcPr>
            <w:tcW w:w="726" w:type="dxa"/>
            <w:tcBorders>
              <w:top w:val="nil"/>
              <w:left w:val="nil"/>
              <w:bottom w:val="nil"/>
              <w:right w:val="single" w:sz="8" w:space="0" w:color="auto"/>
            </w:tcBorders>
            <w:shd w:val="clear" w:color="auto" w:fill="auto"/>
            <w:noWrap/>
            <w:vAlign w:val="center"/>
            <w:hideMark/>
          </w:tcPr>
          <w:p w14:paraId="59C1B3D7"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7</w:t>
            </w:r>
          </w:p>
        </w:tc>
        <w:tc>
          <w:tcPr>
            <w:tcW w:w="789" w:type="dxa"/>
            <w:tcBorders>
              <w:top w:val="nil"/>
              <w:left w:val="nil"/>
              <w:bottom w:val="nil"/>
              <w:right w:val="single" w:sz="4" w:space="0" w:color="auto"/>
            </w:tcBorders>
            <w:shd w:val="clear" w:color="auto" w:fill="auto"/>
            <w:noWrap/>
            <w:vAlign w:val="center"/>
            <w:hideMark/>
          </w:tcPr>
          <w:p w14:paraId="771D2AD9"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3</w:t>
            </w:r>
          </w:p>
        </w:tc>
        <w:tc>
          <w:tcPr>
            <w:tcW w:w="683" w:type="dxa"/>
            <w:tcBorders>
              <w:top w:val="nil"/>
              <w:left w:val="nil"/>
              <w:bottom w:val="nil"/>
              <w:right w:val="single" w:sz="8" w:space="0" w:color="auto"/>
            </w:tcBorders>
            <w:shd w:val="clear" w:color="auto" w:fill="auto"/>
            <w:noWrap/>
            <w:vAlign w:val="center"/>
            <w:hideMark/>
          </w:tcPr>
          <w:p w14:paraId="3501CEAE"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4</w:t>
            </w:r>
          </w:p>
        </w:tc>
        <w:tc>
          <w:tcPr>
            <w:tcW w:w="693" w:type="dxa"/>
            <w:tcBorders>
              <w:top w:val="nil"/>
              <w:left w:val="nil"/>
              <w:bottom w:val="nil"/>
              <w:right w:val="single" w:sz="4" w:space="0" w:color="auto"/>
            </w:tcBorders>
            <w:shd w:val="clear" w:color="auto" w:fill="auto"/>
            <w:noWrap/>
            <w:vAlign w:val="center"/>
            <w:hideMark/>
          </w:tcPr>
          <w:p w14:paraId="2162A8D4"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3</w:t>
            </w:r>
          </w:p>
        </w:tc>
        <w:tc>
          <w:tcPr>
            <w:tcW w:w="726" w:type="dxa"/>
            <w:tcBorders>
              <w:top w:val="nil"/>
              <w:left w:val="nil"/>
              <w:bottom w:val="nil"/>
              <w:right w:val="single" w:sz="8" w:space="0" w:color="auto"/>
            </w:tcBorders>
            <w:shd w:val="clear" w:color="auto" w:fill="auto"/>
            <w:noWrap/>
            <w:vAlign w:val="center"/>
            <w:hideMark/>
          </w:tcPr>
          <w:p w14:paraId="60F388A8"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w:t>
            </w:r>
          </w:p>
        </w:tc>
        <w:tc>
          <w:tcPr>
            <w:tcW w:w="678" w:type="dxa"/>
            <w:tcBorders>
              <w:top w:val="nil"/>
              <w:left w:val="nil"/>
              <w:bottom w:val="nil"/>
              <w:right w:val="single" w:sz="4" w:space="0" w:color="auto"/>
            </w:tcBorders>
            <w:shd w:val="clear" w:color="auto" w:fill="auto"/>
            <w:noWrap/>
            <w:vAlign w:val="center"/>
            <w:hideMark/>
          </w:tcPr>
          <w:p w14:paraId="79CE8558"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w:t>
            </w:r>
          </w:p>
        </w:tc>
        <w:tc>
          <w:tcPr>
            <w:tcW w:w="726" w:type="dxa"/>
            <w:tcBorders>
              <w:top w:val="nil"/>
              <w:left w:val="nil"/>
              <w:bottom w:val="nil"/>
              <w:right w:val="single" w:sz="8" w:space="0" w:color="auto"/>
            </w:tcBorders>
            <w:shd w:val="clear" w:color="auto" w:fill="auto"/>
            <w:noWrap/>
            <w:vAlign w:val="center"/>
            <w:hideMark/>
          </w:tcPr>
          <w:p w14:paraId="02DE8BE4"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w:t>
            </w:r>
          </w:p>
        </w:tc>
      </w:tr>
      <w:tr w:rsidR="00B56A7B" w:rsidRPr="00EC42E8" w14:paraId="73F38E2E" w14:textId="77777777" w:rsidTr="00CC47BD">
        <w:trPr>
          <w:trHeight w:val="245"/>
        </w:trPr>
        <w:tc>
          <w:tcPr>
            <w:tcW w:w="1886" w:type="dxa"/>
            <w:tcBorders>
              <w:top w:val="nil"/>
              <w:left w:val="single" w:sz="8" w:space="0" w:color="auto"/>
              <w:bottom w:val="nil"/>
              <w:right w:val="nil"/>
            </w:tcBorders>
            <w:noWrap/>
            <w:vAlign w:val="center"/>
            <w:hideMark/>
          </w:tcPr>
          <w:p w14:paraId="31145A88" w14:textId="77777777" w:rsidR="00B56A7B" w:rsidRPr="00EC42E8" w:rsidRDefault="00B56A7B" w:rsidP="00CC47BD">
            <w:pPr>
              <w:spacing w:before="40" w:after="40"/>
              <w:rPr>
                <w:noProof/>
                <w:sz w:val="18"/>
                <w:szCs w:val="18"/>
                <w:lang w:val="en-US" w:eastAsia="zh-CN"/>
              </w:rPr>
            </w:pPr>
            <w:r w:rsidRPr="00EC42E8">
              <w:rPr>
                <w:rFonts w:hint="eastAsia"/>
                <w:noProof/>
                <w:sz w:val="18"/>
                <w:szCs w:val="18"/>
                <w:lang w:val="en-US" w:eastAsia="zh-CN"/>
              </w:rPr>
              <w:t>房屋设备租金和维护费</w:t>
            </w:r>
          </w:p>
        </w:tc>
        <w:tc>
          <w:tcPr>
            <w:tcW w:w="683" w:type="dxa"/>
            <w:tcBorders>
              <w:top w:val="nil"/>
              <w:left w:val="single" w:sz="8" w:space="0" w:color="auto"/>
              <w:bottom w:val="nil"/>
              <w:right w:val="single" w:sz="4" w:space="0" w:color="auto"/>
            </w:tcBorders>
            <w:shd w:val="clear" w:color="auto" w:fill="auto"/>
            <w:noWrap/>
            <w:vAlign w:val="center"/>
            <w:hideMark/>
          </w:tcPr>
          <w:p w14:paraId="74E1D93D"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28</w:t>
            </w:r>
          </w:p>
        </w:tc>
        <w:tc>
          <w:tcPr>
            <w:tcW w:w="857" w:type="dxa"/>
            <w:tcBorders>
              <w:top w:val="nil"/>
              <w:left w:val="nil"/>
              <w:bottom w:val="nil"/>
              <w:right w:val="single" w:sz="8" w:space="0" w:color="auto"/>
            </w:tcBorders>
            <w:shd w:val="clear" w:color="auto" w:fill="auto"/>
            <w:noWrap/>
            <w:vAlign w:val="center"/>
            <w:hideMark/>
          </w:tcPr>
          <w:p w14:paraId="1757DE17"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1</w:t>
            </w:r>
            <w:r w:rsidRPr="00EC42E8">
              <w:rPr>
                <w:rFonts w:asciiTheme="minorHAnsi" w:hAnsiTheme="minorHAnsi" w:cstheme="minorHAnsi"/>
                <w:color w:val="000000"/>
                <w:sz w:val="18"/>
                <w:szCs w:val="18"/>
                <w:lang w:eastAsia="zh-CN"/>
              </w:rPr>
              <w:t>9</w:t>
            </w:r>
          </w:p>
        </w:tc>
        <w:tc>
          <w:tcPr>
            <w:tcW w:w="695" w:type="dxa"/>
            <w:tcBorders>
              <w:top w:val="nil"/>
              <w:left w:val="nil"/>
              <w:bottom w:val="nil"/>
              <w:right w:val="single" w:sz="4" w:space="0" w:color="auto"/>
            </w:tcBorders>
            <w:shd w:val="clear" w:color="auto" w:fill="auto"/>
            <w:noWrap/>
            <w:vAlign w:val="center"/>
            <w:hideMark/>
          </w:tcPr>
          <w:p w14:paraId="20EFE59C"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10</w:t>
            </w:r>
          </w:p>
        </w:tc>
        <w:tc>
          <w:tcPr>
            <w:tcW w:w="866" w:type="dxa"/>
            <w:tcBorders>
              <w:top w:val="nil"/>
              <w:left w:val="nil"/>
              <w:bottom w:val="nil"/>
              <w:right w:val="single" w:sz="8" w:space="0" w:color="auto"/>
            </w:tcBorders>
            <w:shd w:val="clear" w:color="auto" w:fill="auto"/>
            <w:noWrap/>
            <w:vAlign w:val="center"/>
            <w:hideMark/>
          </w:tcPr>
          <w:p w14:paraId="2E484F90"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w:t>
            </w:r>
          </w:p>
        </w:tc>
        <w:tc>
          <w:tcPr>
            <w:tcW w:w="711" w:type="dxa"/>
            <w:tcBorders>
              <w:top w:val="nil"/>
              <w:left w:val="nil"/>
              <w:bottom w:val="nil"/>
              <w:right w:val="single" w:sz="4" w:space="0" w:color="auto"/>
            </w:tcBorders>
            <w:shd w:val="clear" w:color="auto" w:fill="auto"/>
            <w:noWrap/>
            <w:vAlign w:val="center"/>
            <w:hideMark/>
          </w:tcPr>
          <w:p w14:paraId="27212281"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4</w:t>
            </w:r>
          </w:p>
        </w:tc>
        <w:tc>
          <w:tcPr>
            <w:tcW w:w="726" w:type="dxa"/>
            <w:tcBorders>
              <w:top w:val="nil"/>
              <w:left w:val="nil"/>
              <w:bottom w:val="nil"/>
              <w:right w:val="single" w:sz="8" w:space="0" w:color="auto"/>
            </w:tcBorders>
            <w:shd w:val="clear" w:color="auto" w:fill="auto"/>
            <w:noWrap/>
            <w:vAlign w:val="center"/>
            <w:hideMark/>
          </w:tcPr>
          <w:p w14:paraId="3D356483"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w:t>
            </w:r>
          </w:p>
        </w:tc>
        <w:tc>
          <w:tcPr>
            <w:tcW w:w="789" w:type="dxa"/>
            <w:tcBorders>
              <w:top w:val="nil"/>
              <w:left w:val="nil"/>
              <w:bottom w:val="nil"/>
              <w:right w:val="single" w:sz="4" w:space="0" w:color="auto"/>
            </w:tcBorders>
            <w:shd w:val="clear" w:color="auto" w:fill="auto"/>
            <w:noWrap/>
            <w:vAlign w:val="center"/>
            <w:hideMark/>
          </w:tcPr>
          <w:p w14:paraId="445DD187"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6</w:t>
            </w:r>
          </w:p>
        </w:tc>
        <w:tc>
          <w:tcPr>
            <w:tcW w:w="683" w:type="dxa"/>
            <w:tcBorders>
              <w:top w:val="nil"/>
              <w:left w:val="nil"/>
              <w:bottom w:val="nil"/>
              <w:right w:val="single" w:sz="8" w:space="0" w:color="auto"/>
            </w:tcBorders>
            <w:shd w:val="clear" w:color="auto" w:fill="auto"/>
            <w:noWrap/>
            <w:vAlign w:val="center"/>
            <w:hideMark/>
          </w:tcPr>
          <w:p w14:paraId="5E3BFD03"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w:t>
            </w:r>
          </w:p>
        </w:tc>
        <w:tc>
          <w:tcPr>
            <w:tcW w:w="693" w:type="dxa"/>
            <w:tcBorders>
              <w:top w:val="nil"/>
              <w:left w:val="nil"/>
              <w:bottom w:val="nil"/>
              <w:right w:val="single" w:sz="4" w:space="0" w:color="auto"/>
            </w:tcBorders>
            <w:shd w:val="clear" w:color="auto" w:fill="auto"/>
            <w:noWrap/>
            <w:vAlign w:val="center"/>
            <w:hideMark/>
          </w:tcPr>
          <w:p w14:paraId="3E66352E"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w:t>
            </w:r>
          </w:p>
        </w:tc>
        <w:tc>
          <w:tcPr>
            <w:tcW w:w="726" w:type="dxa"/>
            <w:tcBorders>
              <w:top w:val="nil"/>
              <w:left w:val="nil"/>
              <w:bottom w:val="nil"/>
              <w:right w:val="single" w:sz="8" w:space="0" w:color="auto"/>
            </w:tcBorders>
            <w:shd w:val="clear" w:color="auto" w:fill="auto"/>
            <w:noWrap/>
            <w:vAlign w:val="center"/>
            <w:hideMark/>
          </w:tcPr>
          <w:p w14:paraId="7212FE6C"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w:t>
            </w:r>
          </w:p>
        </w:tc>
        <w:tc>
          <w:tcPr>
            <w:tcW w:w="678" w:type="dxa"/>
            <w:tcBorders>
              <w:top w:val="nil"/>
              <w:left w:val="nil"/>
              <w:bottom w:val="nil"/>
              <w:right w:val="single" w:sz="4" w:space="0" w:color="auto"/>
            </w:tcBorders>
            <w:shd w:val="clear" w:color="auto" w:fill="auto"/>
            <w:noWrap/>
            <w:vAlign w:val="center"/>
            <w:hideMark/>
          </w:tcPr>
          <w:p w14:paraId="5DB777D5"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w:t>
            </w:r>
          </w:p>
        </w:tc>
        <w:tc>
          <w:tcPr>
            <w:tcW w:w="726" w:type="dxa"/>
            <w:tcBorders>
              <w:top w:val="nil"/>
              <w:left w:val="nil"/>
              <w:bottom w:val="nil"/>
              <w:right w:val="single" w:sz="8" w:space="0" w:color="auto"/>
            </w:tcBorders>
            <w:shd w:val="clear" w:color="auto" w:fill="auto"/>
            <w:noWrap/>
            <w:vAlign w:val="center"/>
            <w:hideMark/>
          </w:tcPr>
          <w:p w14:paraId="627D174B"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w:t>
            </w:r>
          </w:p>
        </w:tc>
      </w:tr>
      <w:tr w:rsidR="00B56A7B" w:rsidRPr="00EC42E8" w14:paraId="0961E508" w14:textId="77777777" w:rsidTr="00CC47BD">
        <w:trPr>
          <w:trHeight w:val="245"/>
        </w:trPr>
        <w:tc>
          <w:tcPr>
            <w:tcW w:w="1886" w:type="dxa"/>
            <w:tcBorders>
              <w:top w:val="nil"/>
              <w:left w:val="single" w:sz="8" w:space="0" w:color="auto"/>
              <w:bottom w:val="nil"/>
              <w:right w:val="nil"/>
            </w:tcBorders>
            <w:noWrap/>
            <w:vAlign w:val="center"/>
            <w:hideMark/>
          </w:tcPr>
          <w:p w14:paraId="61A2772A" w14:textId="77777777" w:rsidR="00B56A7B" w:rsidRPr="00EC42E8" w:rsidRDefault="00B56A7B" w:rsidP="00CC47BD">
            <w:pPr>
              <w:spacing w:before="40" w:after="40"/>
              <w:rPr>
                <w:noProof/>
                <w:sz w:val="18"/>
                <w:szCs w:val="18"/>
                <w:lang w:val="en-US" w:eastAsia="zh-CN"/>
              </w:rPr>
            </w:pPr>
            <w:r w:rsidRPr="00EC42E8">
              <w:rPr>
                <w:rFonts w:hint="eastAsia"/>
                <w:noProof/>
                <w:sz w:val="18"/>
                <w:szCs w:val="18"/>
                <w:lang w:val="en-US"/>
              </w:rPr>
              <w:t>设备和办公用品</w:t>
            </w:r>
          </w:p>
        </w:tc>
        <w:tc>
          <w:tcPr>
            <w:tcW w:w="683" w:type="dxa"/>
            <w:tcBorders>
              <w:top w:val="nil"/>
              <w:left w:val="single" w:sz="8" w:space="0" w:color="auto"/>
              <w:bottom w:val="nil"/>
              <w:right w:val="single" w:sz="4" w:space="0" w:color="auto"/>
            </w:tcBorders>
            <w:shd w:val="clear" w:color="auto" w:fill="auto"/>
            <w:noWrap/>
            <w:vAlign w:val="center"/>
            <w:hideMark/>
          </w:tcPr>
          <w:p w14:paraId="30C27B39"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19</w:t>
            </w:r>
          </w:p>
        </w:tc>
        <w:tc>
          <w:tcPr>
            <w:tcW w:w="857" w:type="dxa"/>
            <w:tcBorders>
              <w:top w:val="nil"/>
              <w:left w:val="nil"/>
              <w:bottom w:val="nil"/>
              <w:right w:val="single" w:sz="8" w:space="0" w:color="auto"/>
            </w:tcBorders>
            <w:shd w:val="clear" w:color="auto" w:fill="auto"/>
            <w:noWrap/>
            <w:vAlign w:val="center"/>
            <w:hideMark/>
          </w:tcPr>
          <w:p w14:paraId="2FFE01F0"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3</w:t>
            </w:r>
          </w:p>
        </w:tc>
        <w:tc>
          <w:tcPr>
            <w:tcW w:w="695" w:type="dxa"/>
            <w:tcBorders>
              <w:top w:val="nil"/>
              <w:left w:val="nil"/>
              <w:bottom w:val="nil"/>
              <w:right w:val="single" w:sz="4" w:space="0" w:color="auto"/>
            </w:tcBorders>
            <w:shd w:val="clear" w:color="auto" w:fill="auto"/>
            <w:noWrap/>
            <w:vAlign w:val="center"/>
            <w:hideMark/>
          </w:tcPr>
          <w:p w14:paraId="3E9D31EC"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11</w:t>
            </w:r>
          </w:p>
        </w:tc>
        <w:tc>
          <w:tcPr>
            <w:tcW w:w="866" w:type="dxa"/>
            <w:tcBorders>
              <w:top w:val="nil"/>
              <w:left w:val="nil"/>
              <w:bottom w:val="nil"/>
              <w:right w:val="single" w:sz="8" w:space="0" w:color="auto"/>
            </w:tcBorders>
            <w:shd w:val="clear" w:color="auto" w:fill="auto"/>
            <w:noWrap/>
            <w:vAlign w:val="center"/>
            <w:hideMark/>
          </w:tcPr>
          <w:p w14:paraId="2F910D7E"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w:t>
            </w:r>
          </w:p>
        </w:tc>
        <w:tc>
          <w:tcPr>
            <w:tcW w:w="711" w:type="dxa"/>
            <w:tcBorders>
              <w:top w:val="nil"/>
              <w:left w:val="nil"/>
              <w:bottom w:val="nil"/>
              <w:right w:val="single" w:sz="4" w:space="0" w:color="auto"/>
            </w:tcBorders>
            <w:shd w:val="clear" w:color="auto" w:fill="auto"/>
            <w:noWrap/>
            <w:vAlign w:val="center"/>
            <w:hideMark/>
          </w:tcPr>
          <w:p w14:paraId="6ABF5DAF"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3</w:t>
            </w:r>
          </w:p>
        </w:tc>
        <w:tc>
          <w:tcPr>
            <w:tcW w:w="726" w:type="dxa"/>
            <w:tcBorders>
              <w:top w:val="nil"/>
              <w:left w:val="nil"/>
              <w:bottom w:val="nil"/>
              <w:right w:val="single" w:sz="8" w:space="0" w:color="auto"/>
            </w:tcBorders>
            <w:shd w:val="clear" w:color="auto" w:fill="auto"/>
            <w:noWrap/>
            <w:vAlign w:val="center"/>
            <w:hideMark/>
          </w:tcPr>
          <w:p w14:paraId="4A79E448"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w:t>
            </w:r>
          </w:p>
        </w:tc>
        <w:tc>
          <w:tcPr>
            <w:tcW w:w="789" w:type="dxa"/>
            <w:tcBorders>
              <w:top w:val="nil"/>
              <w:left w:val="nil"/>
              <w:bottom w:val="nil"/>
              <w:right w:val="single" w:sz="4" w:space="0" w:color="auto"/>
            </w:tcBorders>
            <w:shd w:val="clear" w:color="auto" w:fill="auto"/>
            <w:noWrap/>
            <w:vAlign w:val="center"/>
            <w:hideMark/>
          </w:tcPr>
          <w:p w14:paraId="4137729A"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4</w:t>
            </w:r>
          </w:p>
        </w:tc>
        <w:tc>
          <w:tcPr>
            <w:tcW w:w="683" w:type="dxa"/>
            <w:tcBorders>
              <w:top w:val="nil"/>
              <w:left w:val="nil"/>
              <w:bottom w:val="nil"/>
              <w:right w:val="single" w:sz="8" w:space="0" w:color="auto"/>
            </w:tcBorders>
            <w:shd w:val="clear" w:color="auto" w:fill="auto"/>
            <w:noWrap/>
            <w:vAlign w:val="center"/>
            <w:hideMark/>
          </w:tcPr>
          <w:p w14:paraId="07344CA0"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w:t>
            </w:r>
          </w:p>
        </w:tc>
        <w:tc>
          <w:tcPr>
            <w:tcW w:w="693" w:type="dxa"/>
            <w:tcBorders>
              <w:top w:val="nil"/>
              <w:left w:val="nil"/>
              <w:bottom w:val="nil"/>
              <w:right w:val="single" w:sz="4" w:space="0" w:color="auto"/>
            </w:tcBorders>
            <w:shd w:val="clear" w:color="auto" w:fill="auto"/>
            <w:noWrap/>
            <w:vAlign w:val="center"/>
            <w:hideMark/>
          </w:tcPr>
          <w:p w14:paraId="7C6C3EF5"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5</w:t>
            </w:r>
          </w:p>
        </w:tc>
        <w:tc>
          <w:tcPr>
            <w:tcW w:w="726" w:type="dxa"/>
            <w:tcBorders>
              <w:top w:val="nil"/>
              <w:left w:val="nil"/>
              <w:bottom w:val="nil"/>
              <w:right w:val="single" w:sz="8" w:space="0" w:color="auto"/>
            </w:tcBorders>
            <w:shd w:val="clear" w:color="auto" w:fill="auto"/>
            <w:noWrap/>
            <w:vAlign w:val="center"/>
            <w:hideMark/>
          </w:tcPr>
          <w:p w14:paraId="5FB83CFB"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1</w:t>
            </w:r>
          </w:p>
        </w:tc>
        <w:tc>
          <w:tcPr>
            <w:tcW w:w="678" w:type="dxa"/>
            <w:tcBorders>
              <w:top w:val="nil"/>
              <w:left w:val="nil"/>
              <w:bottom w:val="nil"/>
              <w:right w:val="single" w:sz="4" w:space="0" w:color="auto"/>
            </w:tcBorders>
            <w:shd w:val="clear" w:color="auto" w:fill="auto"/>
            <w:noWrap/>
            <w:vAlign w:val="center"/>
            <w:hideMark/>
          </w:tcPr>
          <w:p w14:paraId="3A084C50"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w:t>
            </w:r>
          </w:p>
        </w:tc>
        <w:tc>
          <w:tcPr>
            <w:tcW w:w="726" w:type="dxa"/>
            <w:tcBorders>
              <w:top w:val="nil"/>
              <w:left w:val="nil"/>
              <w:bottom w:val="nil"/>
              <w:right w:val="single" w:sz="8" w:space="0" w:color="auto"/>
            </w:tcBorders>
            <w:shd w:val="clear" w:color="auto" w:fill="auto"/>
            <w:noWrap/>
            <w:vAlign w:val="center"/>
            <w:hideMark/>
          </w:tcPr>
          <w:p w14:paraId="6B647ED0"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w:t>
            </w:r>
          </w:p>
        </w:tc>
      </w:tr>
      <w:tr w:rsidR="00B56A7B" w:rsidRPr="00EC42E8" w14:paraId="64D64B0A" w14:textId="77777777" w:rsidTr="00CC47BD">
        <w:trPr>
          <w:trHeight w:val="245"/>
        </w:trPr>
        <w:tc>
          <w:tcPr>
            <w:tcW w:w="1886" w:type="dxa"/>
            <w:tcBorders>
              <w:top w:val="nil"/>
              <w:left w:val="single" w:sz="8" w:space="0" w:color="auto"/>
              <w:bottom w:val="nil"/>
              <w:right w:val="nil"/>
            </w:tcBorders>
            <w:noWrap/>
            <w:vAlign w:val="center"/>
            <w:hideMark/>
          </w:tcPr>
          <w:p w14:paraId="0B9C13F0" w14:textId="77777777" w:rsidR="00B56A7B" w:rsidRPr="00EC42E8" w:rsidRDefault="00B56A7B" w:rsidP="00CC47BD">
            <w:pPr>
              <w:spacing w:before="40" w:after="40"/>
              <w:rPr>
                <w:noProof/>
                <w:sz w:val="18"/>
                <w:szCs w:val="18"/>
                <w:lang w:val="en-US" w:eastAsia="zh-CN"/>
              </w:rPr>
            </w:pPr>
            <w:r w:rsidRPr="00EC42E8">
              <w:rPr>
                <w:rFonts w:hint="eastAsia"/>
                <w:noProof/>
                <w:sz w:val="18"/>
                <w:szCs w:val="18"/>
                <w:lang w:val="en-US" w:eastAsia="zh-CN"/>
              </w:rPr>
              <w:t>运输和电信服务费用</w:t>
            </w:r>
          </w:p>
        </w:tc>
        <w:tc>
          <w:tcPr>
            <w:tcW w:w="683" w:type="dxa"/>
            <w:tcBorders>
              <w:top w:val="nil"/>
              <w:left w:val="single" w:sz="8" w:space="0" w:color="auto"/>
              <w:bottom w:val="nil"/>
              <w:right w:val="single" w:sz="4" w:space="0" w:color="auto"/>
            </w:tcBorders>
            <w:shd w:val="clear" w:color="auto" w:fill="auto"/>
            <w:noWrap/>
            <w:vAlign w:val="center"/>
            <w:hideMark/>
          </w:tcPr>
          <w:p w14:paraId="7DB5A238"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24</w:t>
            </w:r>
          </w:p>
        </w:tc>
        <w:tc>
          <w:tcPr>
            <w:tcW w:w="857" w:type="dxa"/>
            <w:tcBorders>
              <w:top w:val="nil"/>
              <w:left w:val="nil"/>
              <w:bottom w:val="nil"/>
              <w:right w:val="single" w:sz="8" w:space="0" w:color="auto"/>
            </w:tcBorders>
            <w:shd w:val="clear" w:color="auto" w:fill="auto"/>
            <w:noWrap/>
            <w:vAlign w:val="center"/>
            <w:hideMark/>
          </w:tcPr>
          <w:p w14:paraId="3C1D3BD9"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w:t>
            </w:r>
            <w:r w:rsidRPr="00EC42E8">
              <w:rPr>
                <w:rFonts w:asciiTheme="minorHAnsi" w:hAnsiTheme="minorHAnsi" w:cstheme="minorHAnsi"/>
                <w:color w:val="000000"/>
                <w:sz w:val="18"/>
                <w:szCs w:val="18"/>
                <w:lang w:eastAsia="zh-CN"/>
              </w:rPr>
              <w:t>0</w:t>
            </w:r>
          </w:p>
        </w:tc>
        <w:tc>
          <w:tcPr>
            <w:tcW w:w="695" w:type="dxa"/>
            <w:tcBorders>
              <w:top w:val="nil"/>
              <w:left w:val="nil"/>
              <w:bottom w:val="nil"/>
              <w:right w:val="single" w:sz="4" w:space="0" w:color="auto"/>
            </w:tcBorders>
            <w:shd w:val="clear" w:color="auto" w:fill="auto"/>
            <w:noWrap/>
            <w:vAlign w:val="center"/>
            <w:hideMark/>
          </w:tcPr>
          <w:p w14:paraId="488DD743"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19</w:t>
            </w:r>
          </w:p>
        </w:tc>
        <w:tc>
          <w:tcPr>
            <w:tcW w:w="866" w:type="dxa"/>
            <w:tcBorders>
              <w:top w:val="nil"/>
              <w:left w:val="nil"/>
              <w:bottom w:val="nil"/>
              <w:right w:val="single" w:sz="8" w:space="0" w:color="auto"/>
            </w:tcBorders>
            <w:shd w:val="clear" w:color="auto" w:fill="auto"/>
            <w:noWrap/>
            <w:vAlign w:val="center"/>
            <w:hideMark/>
          </w:tcPr>
          <w:p w14:paraId="0488009B"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10</w:t>
            </w:r>
          </w:p>
        </w:tc>
        <w:tc>
          <w:tcPr>
            <w:tcW w:w="711" w:type="dxa"/>
            <w:tcBorders>
              <w:top w:val="nil"/>
              <w:left w:val="nil"/>
              <w:bottom w:val="nil"/>
              <w:right w:val="single" w:sz="4" w:space="0" w:color="auto"/>
            </w:tcBorders>
            <w:shd w:val="clear" w:color="auto" w:fill="auto"/>
            <w:noWrap/>
            <w:vAlign w:val="center"/>
            <w:hideMark/>
          </w:tcPr>
          <w:p w14:paraId="708BF6EC"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9</w:t>
            </w:r>
          </w:p>
        </w:tc>
        <w:tc>
          <w:tcPr>
            <w:tcW w:w="726" w:type="dxa"/>
            <w:tcBorders>
              <w:top w:val="nil"/>
              <w:left w:val="nil"/>
              <w:bottom w:val="nil"/>
              <w:right w:val="single" w:sz="8" w:space="0" w:color="auto"/>
            </w:tcBorders>
            <w:shd w:val="clear" w:color="auto" w:fill="auto"/>
            <w:noWrap/>
            <w:vAlign w:val="center"/>
            <w:hideMark/>
          </w:tcPr>
          <w:p w14:paraId="448CB9EA"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w:t>
            </w:r>
          </w:p>
        </w:tc>
        <w:tc>
          <w:tcPr>
            <w:tcW w:w="789" w:type="dxa"/>
            <w:tcBorders>
              <w:top w:val="nil"/>
              <w:left w:val="nil"/>
              <w:bottom w:val="nil"/>
              <w:right w:val="single" w:sz="4" w:space="0" w:color="auto"/>
            </w:tcBorders>
            <w:shd w:val="clear" w:color="auto" w:fill="auto"/>
            <w:noWrap/>
            <w:vAlign w:val="center"/>
            <w:hideMark/>
          </w:tcPr>
          <w:p w14:paraId="65C51B59"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12</w:t>
            </w:r>
          </w:p>
        </w:tc>
        <w:tc>
          <w:tcPr>
            <w:tcW w:w="683" w:type="dxa"/>
            <w:tcBorders>
              <w:top w:val="nil"/>
              <w:left w:val="nil"/>
              <w:bottom w:val="nil"/>
              <w:right w:val="single" w:sz="8" w:space="0" w:color="auto"/>
            </w:tcBorders>
            <w:shd w:val="clear" w:color="auto" w:fill="auto"/>
            <w:noWrap/>
            <w:vAlign w:val="center"/>
            <w:hideMark/>
          </w:tcPr>
          <w:p w14:paraId="55B72143"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w:t>
            </w:r>
          </w:p>
        </w:tc>
        <w:tc>
          <w:tcPr>
            <w:tcW w:w="693" w:type="dxa"/>
            <w:tcBorders>
              <w:top w:val="nil"/>
              <w:left w:val="nil"/>
              <w:bottom w:val="nil"/>
              <w:right w:val="single" w:sz="4" w:space="0" w:color="auto"/>
            </w:tcBorders>
            <w:shd w:val="clear" w:color="auto" w:fill="auto"/>
            <w:noWrap/>
            <w:vAlign w:val="center"/>
            <w:hideMark/>
          </w:tcPr>
          <w:p w14:paraId="6D83F1CF"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w:t>
            </w:r>
          </w:p>
        </w:tc>
        <w:tc>
          <w:tcPr>
            <w:tcW w:w="726" w:type="dxa"/>
            <w:tcBorders>
              <w:top w:val="nil"/>
              <w:left w:val="nil"/>
              <w:bottom w:val="nil"/>
              <w:right w:val="single" w:sz="8" w:space="0" w:color="auto"/>
            </w:tcBorders>
            <w:shd w:val="clear" w:color="auto" w:fill="auto"/>
            <w:noWrap/>
            <w:vAlign w:val="center"/>
            <w:hideMark/>
          </w:tcPr>
          <w:p w14:paraId="79E096AB"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w:t>
            </w:r>
          </w:p>
        </w:tc>
        <w:tc>
          <w:tcPr>
            <w:tcW w:w="678" w:type="dxa"/>
            <w:tcBorders>
              <w:top w:val="nil"/>
              <w:left w:val="nil"/>
              <w:bottom w:val="nil"/>
              <w:right w:val="single" w:sz="4" w:space="0" w:color="auto"/>
            </w:tcBorders>
            <w:shd w:val="clear" w:color="auto" w:fill="auto"/>
            <w:noWrap/>
            <w:vAlign w:val="center"/>
            <w:hideMark/>
          </w:tcPr>
          <w:p w14:paraId="380123B8"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w:t>
            </w:r>
          </w:p>
        </w:tc>
        <w:tc>
          <w:tcPr>
            <w:tcW w:w="726" w:type="dxa"/>
            <w:tcBorders>
              <w:top w:val="nil"/>
              <w:left w:val="nil"/>
              <w:bottom w:val="nil"/>
              <w:right w:val="single" w:sz="8" w:space="0" w:color="auto"/>
            </w:tcBorders>
            <w:shd w:val="clear" w:color="auto" w:fill="auto"/>
            <w:noWrap/>
            <w:vAlign w:val="center"/>
            <w:hideMark/>
          </w:tcPr>
          <w:p w14:paraId="1EC41E97"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w:t>
            </w:r>
          </w:p>
        </w:tc>
      </w:tr>
      <w:tr w:rsidR="00B56A7B" w:rsidRPr="00EC42E8" w14:paraId="3E09C83D" w14:textId="77777777" w:rsidTr="00CC47BD">
        <w:trPr>
          <w:trHeight w:val="245"/>
        </w:trPr>
        <w:tc>
          <w:tcPr>
            <w:tcW w:w="1886" w:type="dxa"/>
            <w:tcBorders>
              <w:top w:val="nil"/>
              <w:left w:val="single" w:sz="8" w:space="0" w:color="auto"/>
              <w:bottom w:val="single" w:sz="8" w:space="0" w:color="auto"/>
              <w:right w:val="nil"/>
            </w:tcBorders>
            <w:noWrap/>
            <w:vAlign w:val="center"/>
            <w:hideMark/>
          </w:tcPr>
          <w:p w14:paraId="0C09A3B7" w14:textId="77777777" w:rsidR="00B56A7B" w:rsidRPr="00EC42E8" w:rsidRDefault="00B56A7B" w:rsidP="00CC47BD">
            <w:pPr>
              <w:spacing w:before="40" w:after="40"/>
              <w:rPr>
                <w:noProof/>
                <w:sz w:val="18"/>
                <w:szCs w:val="18"/>
                <w:lang w:val="en-US"/>
              </w:rPr>
            </w:pPr>
            <w:r w:rsidRPr="00EC42E8">
              <w:rPr>
                <w:rFonts w:hint="eastAsia"/>
                <w:noProof/>
                <w:sz w:val="18"/>
                <w:szCs w:val="18"/>
                <w:lang w:val="en-US" w:eastAsia="zh-CN"/>
              </w:rPr>
              <w:t>其它费用</w:t>
            </w:r>
          </w:p>
        </w:tc>
        <w:tc>
          <w:tcPr>
            <w:tcW w:w="683" w:type="dxa"/>
            <w:tcBorders>
              <w:top w:val="nil"/>
              <w:left w:val="single" w:sz="8" w:space="0" w:color="auto"/>
              <w:bottom w:val="single" w:sz="8" w:space="0" w:color="auto"/>
              <w:right w:val="single" w:sz="4" w:space="0" w:color="auto"/>
            </w:tcBorders>
            <w:shd w:val="clear" w:color="auto" w:fill="auto"/>
            <w:noWrap/>
            <w:vAlign w:val="center"/>
            <w:hideMark/>
          </w:tcPr>
          <w:p w14:paraId="68DA583A"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47</w:t>
            </w:r>
          </w:p>
        </w:tc>
        <w:tc>
          <w:tcPr>
            <w:tcW w:w="857" w:type="dxa"/>
            <w:tcBorders>
              <w:top w:val="nil"/>
              <w:left w:val="nil"/>
              <w:bottom w:val="single" w:sz="8" w:space="0" w:color="auto"/>
              <w:right w:val="single" w:sz="8" w:space="0" w:color="auto"/>
            </w:tcBorders>
            <w:shd w:val="clear" w:color="auto" w:fill="auto"/>
            <w:noWrap/>
            <w:vAlign w:val="center"/>
            <w:hideMark/>
          </w:tcPr>
          <w:p w14:paraId="1B77A47B"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2</w:t>
            </w:r>
            <w:r w:rsidRPr="00EC42E8">
              <w:rPr>
                <w:rFonts w:asciiTheme="minorHAnsi" w:hAnsiTheme="minorHAnsi" w:cstheme="minorHAnsi"/>
                <w:color w:val="000000"/>
                <w:sz w:val="18"/>
                <w:szCs w:val="18"/>
                <w:lang w:eastAsia="zh-CN"/>
              </w:rPr>
              <w:t>7</w:t>
            </w:r>
          </w:p>
        </w:tc>
        <w:tc>
          <w:tcPr>
            <w:tcW w:w="695" w:type="dxa"/>
            <w:tcBorders>
              <w:top w:val="nil"/>
              <w:left w:val="nil"/>
              <w:bottom w:val="single" w:sz="8" w:space="0" w:color="auto"/>
              <w:right w:val="single" w:sz="4" w:space="0" w:color="auto"/>
            </w:tcBorders>
            <w:shd w:val="clear" w:color="auto" w:fill="auto"/>
            <w:noWrap/>
            <w:vAlign w:val="center"/>
            <w:hideMark/>
          </w:tcPr>
          <w:p w14:paraId="57EDBC61"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30</w:t>
            </w:r>
          </w:p>
        </w:tc>
        <w:tc>
          <w:tcPr>
            <w:tcW w:w="866" w:type="dxa"/>
            <w:tcBorders>
              <w:top w:val="nil"/>
              <w:left w:val="nil"/>
              <w:bottom w:val="single" w:sz="8" w:space="0" w:color="auto"/>
              <w:right w:val="single" w:sz="8" w:space="0" w:color="auto"/>
            </w:tcBorders>
            <w:shd w:val="clear" w:color="auto" w:fill="auto"/>
            <w:noWrap/>
            <w:vAlign w:val="center"/>
            <w:hideMark/>
          </w:tcPr>
          <w:p w14:paraId="5660A9D5"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22</w:t>
            </w:r>
          </w:p>
        </w:tc>
        <w:tc>
          <w:tcPr>
            <w:tcW w:w="711" w:type="dxa"/>
            <w:tcBorders>
              <w:top w:val="nil"/>
              <w:left w:val="nil"/>
              <w:bottom w:val="single" w:sz="8" w:space="0" w:color="auto"/>
              <w:right w:val="single" w:sz="4" w:space="0" w:color="auto"/>
            </w:tcBorders>
            <w:shd w:val="clear" w:color="auto" w:fill="auto"/>
            <w:noWrap/>
            <w:vAlign w:val="center"/>
            <w:hideMark/>
          </w:tcPr>
          <w:p w14:paraId="55602CFD"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5</w:t>
            </w:r>
          </w:p>
        </w:tc>
        <w:tc>
          <w:tcPr>
            <w:tcW w:w="726" w:type="dxa"/>
            <w:tcBorders>
              <w:top w:val="nil"/>
              <w:left w:val="nil"/>
              <w:bottom w:val="single" w:sz="8" w:space="0" w:color="auto"/>
              <w:right w:val="single" w:sz="8" w:space="0" w:color="auto"/>
            </w:tcBorders>
            <w:shd w:val="clear" w:color="auto" w:fill="auto"/>
            <w:noWrap/>
            <w:vAlign w:val="center"/>
            <w:hideMark/>
          </w:tcPr>
          <w:p w14:paraId="65AAD33B"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w:t>
            </w:r>
          </w:p>
        </w:tc>
        <w:tc>
          <w:tcPr>
            <w:tcW w:w="789" w:type="dxa"/>
            <w:tcBorders>
              <w:top w:val="nil"/>
              <w:left w:val="nil"/>
              <w:bottom w:val="single" w:sz="8" w:space="0" w:color="auto"/>
              <w:right w:val="single" w:sz="4" w:space="0" w:color="auto"/>
            </w:tcBorders>
            <w:shd w:val="clear" w:color="auto" w:fill="auto"/>
            <w:noWrap/>
            <w:vAlign w:val="center"/>
            <w:hideMark/>
          </w:tcPr>
          <w:p w14:paraId="657658CC"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7</w:t>
            </w:r>
          </w:p>
        </w:tc>
        <w:tc>
          <w:tcPr>
            <w:tcW w:w="683" w:type="dxa"/>
            <w:tcBorders>
              <w:top w:val="nil"/>
              <w:left w:val="nil"/>
              <w:bottom w:val="single" w:sz="8" w:space="0" w:color="auto"/>
              <w:right w:val="single" w:sz="8" w:space="0" w:color="auto"/>
            </w:tcBorders>
            <w:shd w:val="clear" w:color="auto" w:fill="auto"/>
            <w:noWrap/>
            <w:vAlign w:val="center"/>
            <w:hideMark/>
          </w:tcPr>
          <w:p w14:paraId="08396633"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2</w:t>
            </w:r>
          </w:p>
        </w:tc>
        <w:tc>
          <w:tcPr>
            <w:tcW w:w="693" w:type="dxa"/>
            <w:tcBorders>
              <w:top w:val="nil"/>
              <w:left w:val="nil"/>
              <w:bottom w:val="single" w:sz="8" w:space="0" w:color="auto"/>
              <w:right w:val="single" w:sz="4" w:space="0" w:color="auto"/>
            </w:tcBorders>
            <w:shd w:val="clear" w:color="auto" w:fill="auto"/>
            <w:noWrap/>
            <w:vAlign w:val="center"/>
            <w:hideMark/>
          </w:tcPr>
          <w:p w14:paraId="1D126F12"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3</w:t>
            </w:r>
          </w:p>
        </w:tc>
        <w:tc>
          <w:tcPr>
            <w:tcW w:w="726" w:type="dxa"/>
            <w:tcBorders>
              <w:top w:val="nil"/>
              <w:left w:val="nil"/>
              <w:bottom w:val="single" w:sz="8" w:space="0" w:color="auto"/>
              <w:right w:val="single" w:sz="8" w:space="0" w:color="auto"/>
            </w:tcBorders>
            <w:shd w:val="clear" w:color="auto" w:fill="auto"/>
            <w:noWrap/>
            <w:vAlign w:val="center"/>
            <w:hideMark/>
          </w:tcPr>
          <w:p w14:paraId="673BD662"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hint="eastAsia"/>
                <w:color w:val="000000"/>
                <w:sz w:val="18"/>
                <w:szCs w:val="18"/>
                <w:lang w:eastAsia="zh-CN"/>
              </w:rPr>
              <w:t>-</w:t>
            </w:r>
          </w:p>
        </w:tc>
        <w:tc>
          <w:tcPr>
            <w:tcW w:w="678" w:type="dxa"/>
            <w:tcBorders>
              <w:top w:val="nil"/>
              <w:left w:val="nil"/>
              <w:bottom w:val="single" w:sz="8" w:space="0" w:color="auto"/>
              <w:right w:val="single" w:sz="4" w:space="0" w:color="auto"/>
            </w:tcBorders>
            <w:shd w:val="clear" w:color="auto" w:fill="auto"/>
            <w:noWrap/>
            <w:vAlign w:val="center"/>
            <w:hideMark/>
          </w:tcPr>
          <w:p w14:paraId="7D9C6D6D"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1</w:t>
            </w:r>
          </w:p>
        </w:tc>
        <w:tc>
          <w:tcPr>
            <w:tcW w:w="726" w:type="dxa"/>
            <w:tcBorders>
              <w:top w:val="nil"/>
              <w:left w:val="nil"/>
              <w:bottom w:val="single" w:sz="8" w:space="0" w:color="auto"/>
              <w:right w:val="single" w:sz="8" w:space="0" w:color="auto"/>
            </w:tcBorders>
            <w:shd w:val="clear" w:color="auto" w:fill="auto"/>
            <w:noWrap/>
            <w:vAlign w:val="center"/>
            <w:hideMark/>
          </w:tcPr>
          <w:p w14:paraId="751EEA27"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color w:val="000000"/>
                <w:sz w:val="18"/>
                <w:szCs w:val="18"/>
                <w:lang w:eastAsia="en-GB"/>
              </w:rPr>
            </w:pPr>
            <w:r w:rsidRPr="00EC42E8">
              <w:rPr>
                <w:rFonts w:asciiTheme="minorHAnsi" w:hAnsiTheme="minorHAnsi" w:cstheme="minorHAnsi"/>
                <w:color w:val="000000"/>
                <w:sz w:val="18"/>
                <w:szCs w:val="18"/>
                <w:lang w:eastAsia="en-GB"/>
              </w:rPr>
              <w:t>-</w:t>
            </w:r>
          </w:p>
        </w:tc>
      </w:tr>
      <w:tr w:rsidR="00B56A7B" w:rsidRPr="00EC42E8" w14:paraId="0F6E3728" w14:textId="77777777" w:rsidTr="00CC47BD">
        <w:trPr>
          <w:trHeight w:val="294"/>
        </w:trPr>
        <w:tc>
          <w:tcPr>
            <w:tcW w:w="1886" w:type="dxa"/>
            <w:tcBorders>
              <w:top w:val="nil"/>
              <w:left w:val="single" w:sz="8" w:space="0" w:color="auto"/>
              <w:bottom w:val="single" w:sz="8" w:space="0" w:color="auto"/>
              <w:right w:val="single" w:sz="8" w:space="0" w:color="auto"/>
            </w:tcBorders>
            <w:noWrap/>
            <w:vAlign w:val="center"/>
            <w:hideMark/>
          </w:tcPr>
          <w:p w14:paraId="18539F8F" w14:textId="77777777" w:rsidR="00B56A7B" w:rsidRPr="00EC42E8" w:rsidRDefault="00B56A7B" w:rsidP="00CC47BD">
            <w:pPr>
              <w:overflowPunct/>
              <w:adjustRightInd/>
              <w:spacing w:before="0"/>
              <w:jc w:val="both"/>
              <w:rPr>
                <w:rFonts w:ascii="Arial" w:hAnsi="Arial" w:cs="Arial"/>
                <w:color w:val="000000"/>
                <w:sz w:val="18"/>
                <w:szCs w:val="18"/>
                <w:lang w:val="en-US" w:eastAsia="zh-CN"/>
              </w:rPr>
            </w:pPr>
            <w:r w:rsidRPr="00EC42E8">
              <w:rPr>
                <w:rFonts w:ascii="Arial" w:hAnsi="Arial" w:cs="Arial" w:hint="eastAsia"/>
                <w:color w:val="000000"/>
                <w:sz w:val="18"/>
                <w:szCs w:val="18"/>
                <w:lang w:val="en-US" w:eastAsia="zh-CN"/>
              </w:rPr>
              <w:t>合计（单位：千瑞郎）</w:t>
            </w:r>
          </w:p>
        </w:tc>
        <w:tc>
          <w:tcPr>
            <w:tcW w:w="683" w:type="dxa"/>
            <w:tcBorders>
              <w:top w:val="nil"/>
              <w:left w:val="nil"/>
              <w:bottom w:val="single" w:sz="8" w:space="0" w:color="auto"/>
              <w:right w:val="single" w:sz="4" w:space="0" w:color="auto"/>
            </w:tcBorders>
            <w:shd w:val="clear" w:color="auto" w:fill="auto"/>
            <w:noWrap/>
            <w:vAlign w:val="center"/>
            <w:hideMark/>
          </w:tcPr>
          <w:p w14:paraId="5B1CEACB"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b/>
                <w:bCs/>
                <w:color w:val="000000"/>
                <w:sz w:val="18"/>
                <w:szCs w:val="18"/>
                <w:lang w:eastAsia="en-GB"/>
              </w:rPr>
              <w:t>2 2</w:t>
            </w:r>
            <w:r w:rsidRPr="00EC42E8">
              <w:rPr>
                <w:rFonts w:asciiTheme="minorHAnsi" w:hAnsiTheme="minorHAnsi" w:cstheme="minorHAnsi" w:hint="eastAsia"/>
                <w:b/>
                <w:bCs/>
                <w:color w:val="000000"/>
                <w:sz w:val="18"/>
                <w:szCs w:val="18"/>
                <w:lang w:eastAsia="zh-CN"/>
              </w:rPr>
              <w:t>41</w:t>
            </w:r>
          </w:p>
        </w:tc>
        <w:tc>
          <w:tcPr>
            <w:tcW w:w="857" w:type="dxa"/>
            <w:tcBorders>
              <w:top w:val="nil"/>
              <w:left w:val="nil"/>
              <w:bottom w:val="single" w:sz="8" w:space="0" w:color="auto"/>
              <w:right w:val="single" w:sz="8" w:space="0" w:color="auto"/>
            </w:tcBorders>
            <w:shd w:val="clear" w:color="auto" w:fill="auto"/>
            <w:noWrap/>
            <w:vAlign w:val="center"/>
            <w:hideMark/>
          </w:tcPr>
          <w:p w14:paraId="7F685046"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b/>
                <w:bCs/>
                <w:color w:val="000000"/>
                <w:sz w:val="18"/>
                <w:szCs w:val="18"/>
                <w:lang w:eastAsia="en-GB"/>
              </w:rPr>
              <w:t xml:space="preserve">2 </w:t>
            </w:r>
            <w:r w:rsidRPr="00EC42E8">
              <w:rPr>
                <w:rFonts w:asciiTheme="minorHAnsi" w:hAnsiTheme="minorHAnsi" w:cstheme="minorHAnsi"/>
                <w:b/>
                <w:bCs/>
                <w:color w:val="000000"/>
                <w:sz w:val="18"/>
                <w:szCs w:val="18"/>
                <w:lang w:eastAsia="zh-CN"/>
              </w:rPr>
              <w:t>137</w:t>
            </w:r>
          </w:p>
        </w:tc>
        <w:tc>
          <w:tcPr>
            <w:tcW w:w="695" w:type="dxa"/>
            <w:tcBorders>
              <w:top w:val="nil"/>
              <w:left w:val="nil"/>
              <w:bottom w:val="single" w:sz="8" w:space="0" w:color="auto"/>
              <w:right w:val="single" w:sz="4" w:space="0" w:color="auto"/>
            </w:tcBorders>
            <w:shd w:val="clear" w:color="auto" w:fill="auto"/>
            <w:noWrap/>
            <w:vAlign w:val="center"/>
            <w:hideMark/>
          </w:tcPr>
          <w:p w14:paraId="5FDC8829"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b/>
                <w:bCs/>
                <w:color w:val="000000"/>
                <w:sz w:val="18"/>
                <w:szCs w:val="18"/>
                <w:lang w:eastAsia="en-GB"/>
              </w:rPr>
              <w:t>2 045</w:t>
            </w:r>
          </w:p>
        </w:tc>
        <w:tc>
          <w:tcPr>
            <w:tcW w:w="866" w:type="dxa"/>
            <w:tcBorders>
              <w:top w:val="nil"/>
              <w:left w:val="nil"/>
              <w:bottom w:val="single" w:sz="8" w:space="0" w:color="auto"/>
              <w:right w:val="single" w:sz="8" w:space="0" w:color="auto"/>
            </w:tcBorders>
            <w:shd w:val="clear" w:color="auto" w:fill="auto"/>
            <w:noWrap/>
            <w:vAlign w:val="center"/>
            <w:hideMark/>
          </w:tcPr>
          <w:p w14:paraId="2A607B1E"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b/>
                <w:bCs/>
                <w:color w:val="000000"/>
                <w:sz w:val="18"/>
                <w:szCs w:val="18"/>
                <w:lang w:eastAsia="en-GB"/>
              </w:rPr>
              <w:t>1 974</w:t>
            </w:r>
          </w:p>
        </w:tc>
        <w:tc>
          <w:tcPr>
            <w:tcW w:w="711" w:type="dxa"/>
            <w:tcBorders>
              <w:top w:val="nil"/>
              <w:left w:val="nil"/>
              <w:bottom w:val="single" w:sz="8" w:space="0" w:color="auto"/>
              <w:right w:val="single" w:sz="4" w:space="0" w:color="auto"/>
            </w:tcBorders>
            <w:shd w:val="clear" w:color="auto" w:fill="auto"/>
            <w:noWrap/>
            <w:vAlign w:val="center"/>
            <w:hideMark/>
          </w:tcPr>
          <w:p w14:paraId="525FE8CB"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b/>
                <w:bCs/>
                <w:color w:val="000000"/>
                <w:sz w:val="18"/>
                <w:szCs w:val="18"/>
                <w:lang w:eastAsia="en-GB"/>
              </w:rPr>
              <w:t>921</w:t>
            </w:r>
          </w:p>
        </w:tc>
        <w:tc>
          <w:tcPr>
            <w:tcW w:w="726" w:type="dxa"/>
            <w:tcBorders>
              <w:top w:val="nil"/>
              <w:left w:val="nil"/>
              <w:bottom w:val="single" w:sz="8" w:space="0" w:color="auto"/>
              <w:right w:val="single" w:sz="8" w:space="0" w:color="auto"/>
            </w:tcBorders>
            <w:shd w:val="clear" w:color="auto" w:fill="auto"/>
            <w:noWrap/>
            <w:vAlign w:val="center"/>
            <w:hideMark/>
          </w:tcPr>
          <w:p w14:paraId="447284BE"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b/>
                <w:bCs/>
                <w:color w:val="000000"/>
                <w:sz w:val="18"/>
                <w:szCs w:val="18"/>
                <w:lang w:eastAsia="en-GB"/>
              </w:rPr>
              <w:t>1 025</w:t>
            </w:r>
          </w:p>
        </w:tc>
        <w:tc>
          <w:tcPr>
            <w:tcW w:w="789" w:type="dxa"/>
            <w:tcBorders>
              <w:top w:val="nil"/>
              <w:left w:val="nil"/>
              <w:bottom w:val="single" w:sz="8" w:space="0" w:color="auto"/>
              <w:right w:val="single" w:sz="4" w:space="0" w:color="auto"/>
            </w:tcBorders>
            <w:shd w:val="clear" w:color="auto" w:fill="auto"/>
            <w:noWrap/>
            <w:vAlign w:val="center"/>
            <w:hideMark/>
          </w:tcPr>
          <w:p w14:paraId="785B546C"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b/>
                <w:bCs/>
                <w:color w:val="000000"/>
                <w:sz w:val="18"/>
                <w:szCs w:val="18"/>
                <w:lang w:eastAsia="en-GB"/>
              </w:rPr>
              <w:t>1 329</w:t>
            </w:r>
          </w:p>
        </w:tc>
        <w:tc>
          <w:tcPr>
            <w:tcW w:w="683" w:type="dxa"/>
            <w:tcBorders>
              <w:top w:val="nil"/>
              <w:left w:val="nil"/>
              <w:bottom w:val="single" w:sz="8" w:space="0" w:color="auto"/>
              <w:right w:val="single" w:sz="8" w:space="0" w:color="auto"/>
            </w:tcBorders>
            <w:shd w:val="clear" w:color="auto" w:fill="auto"/>
            <w:noWrap/>
            <w:vAlign w:val="center"/>
            <w:hideMark/>
          </w:tcPr>
          <w:p w14:paraId="62C2A68C"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b/>
                <w:bCs/>
                <w:color w:val="000000"/>
                <w:sz w:val="18"/>
                <w:szCs w:val="18"/>
                <w:lang w:eastAsia="en-GB"/>
              </w:rPr>
              <w:t>1 340</w:t>
            </w:r>
          </w:p>
        </w:tc>
        <w:tc>
          <w:tcPr>
            <w:tcW w:w="693" w:type="dxa"/>
            <w:tcBorders>
              <w:top w:val="nil"/>
              <w:left w:val="nil"/>
              <w:bottom w:val="single" w:sz="8" w:space="0" w:color="auto"/>
              <w:right w:val="single" w:sz="4" w:space="0" w:color="auto"/>
            </w:tcBorders>
            <w:shd w:val="clear" w:color="auto" w:fill="auto"/>
            <w:noWrap/>
            <w:vAlign w:val="center"/>
            <w:hideMark/>
          </w:tcPr>
          <w:p w14:paraId="607C37AD"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b/>
                <w:bCs/>
                <w:color w:val="000000"/>
                <w:sz w:val="18"/>
                <w:szCs w:val="18"/>
                <w:lang w:eastAsia="en-GB"/>
              </w:rPr>
              <w:t>4</w:t>
            </w:r>
            <w:r w:rsidRPr="00EC42E8">
              <w:rPr>
                <w:rFonts w:asciiTheme="minorHAnsi" w:hAnsiTheme="minorHAnsi" w:cstheme="minorHAnsi" w:hint="eastAsia"/>
                <w:b/>
                <w:bCs/>
                <w:color w:val="000000"/>
                <w:sz w:val="18"/>
                <w:szCs w:val="18"/>
                <w:lang w:eastAsia="zh-CN"/>
              </w:rPr>
              <w:t>97</w:t>
            </w:r>
          </w:p>
        </w:tc>
        <w:tc>
          <w:tcPr>
            <w:tcW w:w="726" w:type="dxa"/>
            <w:tcBorders>
              <w:top w:val="nil"/>
              <w:left w:val="nil"/>
              <w:bottom w:val="single" w:sz="8" w:space="0" w:color="auto"/>
              <w:right w:val="single" w:sz="8" w:space="0" w:color="auto"/>
            </w:tcBorders>
            <w:shd w:val="clear" w:color="auto" w:fill="auto"/>
            <w:noWrap/>
            <w:vAlign w:val="center"/>
            <w:hideMark/>
          </w:tcPr>
          <w:p w14:paraId="1870DA7E"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hint="eastAsia"/>
                <w:b/>
                <w:bCs/>
                <w:color w:val="000000"/>
                <w:sz w:val="18"/>
                <w:szCs w:val="18"/>
                <w:lang w:eastAsia="zh-CN"/>
              </w:rPr>
              <w:t>382</w:t>
            </w:r>
          </w:p>
        </w:tc>
        <w:tc>
          <w:tcPr>
            <w:tcW w:w="678" w:type="dxa"/>
            <w:tcBorders>
              <w:top w:val="nil"/>
              <w:left w:val="nil"/>
              <w:bottom w:val="single" w:sz="8" w:space="0" w:color="auto"/>
              <w:right w:val="single" w:sz="4" w:space="0" w:color="auto"/>
            </w:tcBorders>
            <w:shd w:val="clear" w:color="auto" w:fill="auto"/>
            <w:noWrap/>
            <w:vAlign w:val="center"/>
            <w:hideMark/>
          </w:tcPr>
          <w:p w14:paraId="3C7AC3CE"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b/>
                <w:bCs/>
                <w:color w:val="000000"/>
                <w:sz w:val="18"/>
                <w:szCs w:val="18"/>
                <w:lang w:eastAsia="en-GB"/>
              </w:rPr>
              <w:t>5</w:t>
            </w:r>
            <w:r w:rsidRPr="00EC42E8">
              <w:rPr>
                <w:rFonts w:asciiTheme="minorHAnsi" w:hAnsiTheme="minorHAnsi" w:cstheme="minorHAnsi" w:hint="eastAsia"/>
                <w:b/>
                <w:bCs/>
                <w:color w:val="000000"/>
                <w:sz w:val="18"/>
                <w:szCs w:val="18"/>
                <w:lang w:eastAsia="zh-CN"/>
              </w:rPr>
              <w:t>35</w:t>
            </w:r>
          </w:p>
        </w:tc>
        <w:tc>
          <w:tcPr>
            <w:tcW w:w="726" w:type="dxa"/>
            <w:tcBorders>
              <w:top w:val="nil"/>
              <w:left w:val="nil"/>
              <w:bottom w:val="single" w:sz="8" w:space="0" w:color="auto"/>
              <w:right w:val="single" w:sz="8" w:space="0" w:color="auto"/>
            </w:tcBorders>
            <w:shd w:val="clear" w:color="auto" w:fill="auto"/>
            <w:noWrap/>
            <w:vAlign w:val="center"/>
            <w:hideMark/>
          </w:tcPr>
          <w:p w14:paraId="4CB679DF" w14:textId="77777777" w:rsidR="00B56A7B" w:rsidRPr="00EC42E8" w:rsidRDefault="00B56A7B" w:rsidP="00CC47BD">
            <w:pPr>
              <w:overflowPunct/>
              <w:autoSpaceDE/>
              <w:autoSpaceDN/>
              <w:adjustRightInd/>
              <w:spacing w:before="0"/>
              <w:jc w:val="right"/>
              <w:textAlignment w:val="auto"/>
              <w:rPr>
                <w:rFonts w:asciiTheme="minorHAnsi" w:hAnsiTheme="minorHAnsi" w:cstheme="minorHAnsi"/>
                <w:b/>
                <w:bCs/>
                <w:color w:val="000000"/>
                <w:sz w:val="18"/>
                <w:szCs w:val="18"/>
                <w:lang w:eastAsia="en-GB"/>
              </w:rPr>
            </w:pPr>
            <w:r w:rsidRPr="00EC42E8">
              <w:rPr>
                <w:rFonts w:asciiTheme="minorHAnsi" w:hAnsiTheme="minorHAnsi" w:cstheme="minorHAnsi" w:hint="eastAsia"/>
                <w:b/>
                <w:bCs/>
                <w:color w:val="000000"/>
                <w:sz w:val="18"/>
                <w:szCs w:val="18"/>
                <w:lang w:eastAsia="zh-CN"/>
              </w:rPr>
              <w:t>552</w:t>
            </w:r>
          </w:p>
        </w:tc>
      </w:tr>
    </w:tbl>
    <w:p w14:paraId="1246B687" w14:textId="77777777" w:rsidR="00B56A7B" w:rsidRPr="000C156A" w:rsidRDefault="00B56A7B" w:rsidP="00B56A7B">
      <w:pPr>
        <w:spacing w:before="240"/>
        <w:ind w:firstLineChars="200" w:firstLine="480"/>
        <w:rPr>
          <w:lang w:eastAsia="zh-CN"/>
        </w:rPr>
      </w:pPr>
      <w:r w:rsidRPr="005879C2">
        <w:rPr>
          <w:rFonts w:hint="eastAsia"/>
          <w:lang w:val="en-US" w:eastAsia="zh-CN"/>
        </w:rPr>
        <w:t>区域代表处和地区办事处领导开展了各项区域性举措的落实和计划、项目及活动的执行，并定期向</w:t>
      </w:r>
      <w:r w:rsidRPr="005879C2">
        <w:rPr>
          <w:rFonts w:hint="eastAsia"/>
          <w:lang w:val="en-US" w:eastAsia="zh-CN"/>
        </w:rPr>
        <w:t>TDAG</w:t>
      </w:r>
      <w:r w:rsidRPr="005879C2">
        <w:rPr>
          <w:rFonts w:hint="eastAsia"/>
          <w:lang w:val="en-US" w:eastAsia="zh-CN"/>
        </w:rPr>
        <w:t>汇报取得的主要成果，详见</w:t>
      </w:r>
      <w:hyperlink r:id="rId45" w:history="1">
        <w:r w:rsidRPr="00DB5EA2">
          <w:rPr>
            <w:rStyle w:val="Hyperlink"/>
            <w:lang w:val="en-US" w:eastAsia="zh-CN"/>
          </w:rPr>
          <w:t>C22/25</w:t>
        </w:r>
      </w:hyperlink>
      <w:r w:rsidRPr="005879C2">
        <w:rPr>
          <w:rFonts w:hint="eastAsia"/>
          <w:lang w:val="en-US" w:eastAsia="zh-CN"/>
        </w:rPr>
        <w:t>和</w:t>
      </w:r>
      <w:hyperlink r:id="rId46" w:history="1">
        <w:r w:rsidRPr="00DB5EA2">
          <w:rPr>
            <w:rStyle w:val="Hyperlink"/>
            <w:lang w:val="en-US" w:eastAsia="zh-CN"/>
          </w:rPr>
          <w:t>C22/INF/5</w:t>
        </w:r>
      </w:hyperlink>
      <w:r w:rsidRPr="005879C2">
        <w:rPr>
          <w:rFonts w:hint="eastAsia"/>
          <w:lang w:val="en-US" w:eastAsia="zh-CN"/>
        </w:rPr>
        <w:t>号文件。</w:t>
      </w:r>
    </w:p>
    <w:p w14:paraId="3DD506F9" w14:textId="77777777" w:rsidR="00B56A7B" w:rsidRPr="000C156A" w:rsidRDefault="00B56A7B" w:rsidP="00B56A7B">
      <w:pPr>
        <w:pStyle w:val="Heading1"/>
        <w:spacing w:before="240" w:after="120"/>
        <w:rPr>
          <w:sz w:val="24"/>
          <w:szCs w:val="24"/>
          <w:lang w:eastAsia="zh-CN"/>
        </w:rPr>
      </w:pPr>
      <w:bookmarkStart w:id="1191" w:name="_Toc482892587"/>
      <w:bookmarkStart w:id="1192" w:name="_Toc511813771"/>
      <w:bookmarkStart w:id="1193" w:name="_Toc511817854"/>
      <w:bookmarkStart w:id="1194" w:name="_Toc520280754"/>
      <w:bookmarkStart w:id="1195" w:name="_Toc10536848"/>
      <w:bookmarkStart w:id="1196" w:name="_Toc41905900"/>
      <w:bookmarkStart w:id="1197" w:name="_Toc41906921"/>
      <w:bookmarkStart w:id="1198" w:name="_Toc41908070"/>
      <w:bookmarkStart w:id="1199" w:name="_Toc73518728"/>
      <w:bookmarkStart w:id="1200" w:name="_Toc73518875"/>
      <w:bookmarkStart w:id="1201" w:name="_Toc73519275"/>
      <w:bookmarkStart w:id="1202" w:name="_Toc110264022"/>
      <w:bookmarkStart w:id="1203" w:name="_Toc110264101"/>
      <w:bookmarkStart w:id="1204" w:name="_Toc110265746"/>
      <w:bookmarkStart w:id="1205" w:name="_Toc110330116"/>
      <w:bookmarkStart w:id="1206" w:name="_Toc110330281"/>
      <w:r w:rsidRPr="000C156A">
        <w:rPr>
          <w:rFonts w:cs="Microsoft YaHei" w:hint="eastAsia"/>
          <w:sz w:val="24"/>
          <w:szCs w:val="24"/>
          <w:lang w:val="fr-FR" w:eastAsia="zh-CN"/>
        </w:rPr>
        <w:t>说明</w:t>
      </w:r>
      <w:r w:rsidRPr="000C156A">
        <w:rPr>
          <w:sz w:val="24"/>
          <w:szCs w:val="24"/>
          <w:lang w:eastAsia="zh-CN"/>
        </w:rPr>
        <w:t>26</w:t>
      </w:r>
      <w:r w:rsidRPr="000C156A">
        <w:rPr>
          <w:sz w:val="24"/>
          <w:szCs w:val="24"/>
          <w:lang w:eastAsia="zh-CN"/>
        </w:rPr>
        <w:tab/>
      </w:r>
      <w:r w:rsidRPr="000C156A">
        <w:rPr>
          <w:rFonts w:cs="Microsoft YaHei" w:hint="eastAsia"/>
          <w:sz w:val="24"/>
          <w:szCs w:val="24"/>
          <w:lang w:val="fr-FR" w:eastAsia="zh-CN"/>
        </w:rPr>
        <w:t>预算金额与实际发生金额的核对</w:t>
      </w:r>
      <w:bookmarkEnd w:id="1185"/>
      <w:bookmarkEnd w:id="1186"/>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3079658F" w14:textId="77777777" w:rsidR="00B56A7B" w:rsidRPr="000C156A" w:rsidRDefault="00B56A7B" w:rsidP="00B56A7B">
      <w:pPr>
        <w:ind w:firstLineChars="200" w:firstLine="480"/>
        <w:rPr>
          <w:lang w:eastAsia="zh-CN"/>
        </w:rPr>
      </w:pPr>
      <w:r w:rsidRPr="000C156A">
        <w:rPr>
          <w:rFonts w:hint="eastAsia"/>
          <w:lang w:eastAsia="zh-CN"/>
        </w:rPr>
        <w:t>财务报表涵盖：</w:t>
      </w:r>
    </w:p>
    <w:p w14:paraId="3C39F664" w14:textId="77777777" w:rsidR="00B56A7B" w:rsidRPr="000C156A" w:rsidRDefault="00B56A7B" w:rsidP="00B56A7B">
      <w:pPr>
        <w:pStyle w:val="enumlev1"/>
        <w:rPr>
          <w:lang w:eastAsia="zh-CN"/>
        </w:rPr>
      </w:pPr>
      <w:r w:rsidRPr="000C156A">
        <w:rPr>
          <w:lang w:eastAsia="zh-CN"/>
        </w:rPr>
        <w:t>•</w:t>
      </w:r>
      <w:r w:rsidRPr="000C156A">
        <w:rPr>
          <w:lang w:eastAsia="zh-CN"/>
        </w:rPr>
        <w:tab/>
      </w:r>
      <w:r w:rsidRPr="000C156A">
        <w:rPr>
          <w:rFonts w:hint="eastAsia"/>
          <w:lang w:eastAsia="zh-CN"/>
        </w:rPr>
        <w:t>国际电联正常预算；</w:t>
      </w:r>
    </w:p>
    <w:p w14:paraId="16AE3332" w14:textId="77777777" w:rsidR="00B56A7B" w:rsidRPr="000C156A" w:rsidRDefault="00B56A7B" w:rsidP="00B56A7B">
      <w:pPr>
        <w:pStyle w:val="enumlev1"/>
        <w:rPr>
          <w:lang w:eastAsia="zh-CN"/>
        </w:rPr>
      </w:pPr>
      <w:r w:rsidRPr="000C156A">
        <w:rPr>
          <w:lang w:eastAsia="zh-CN"/>
        </w:rPr>
        <w:t>•</w:t>
      </w:r>
      <w:r w:rsidRPr="000C156A">
        <w:rPr>
          <w:lang w:eastAsia="zh-CN"/>
        </w:rPr>
        <w:tab/>
      </w:r>
      <w:r w:rsidRPr="000C156A">
        <w:rPr>
          <w:rFonts w:hint="eastAsia"/>
          <w:lang w:eastAsia="zh-CN"/>
        </w:rPr>
        <w:t>国际电联电信展览部活动；</w:t>
      </w:r>
    </w:p>
    <w:p w14:paraId="33EEC8FA" w14:textId="77777777" w:rsidR="00B56A7B" w:rsidRPr="000C156A" w:rsidRDefault="00B56A7B" w:rsidP="00B56A7B">
      <w:pPr>
        <w:pStyle w:val="enumlev1"/>
        <w:rPr>
          <w:lang w:eastAsia="zh-CN"/>
        </w:rPr>
      </w:pPr>
      <w:r w:rsidRPr="000C156A">
        <w:rPr>
          <w:lang w:eastAsia="zh-CN"/>
        </w:rPr>
        <w:t>•</w:t>
      </w:r>
      <w:r w:rsidRPr="000C156A">
        <w:rPr>
          <w:lang w:eastAsia="zh-CN"/>
        </w:rPr>
        <w:tab/>
      </w:r>
      <w:r w:rsidRPr="000C156A">
        <w:rPr>
          <w:rFonts w:hint="eastAsia"/>
          <w:lang w:eastAsia="zh-CN"/>
        </w:rPr>
        <w:t>自愿捐款；</w:t>
      </w:r>
    </w:p>
    <w:p w14:paraId="6AA0E10E" w14:textId="77777777" w:rsidR="00B56A7B" w:rsidRPr="000C156A" w:rsidRDefault="00B56A7B" w:rsidP="00B56A7B">
      <w:pPr>
        <w:pStyle w:val="enumlev1"/>
        <w:rPr>
          <w:lang w:eastAsia="zh-CN"/>
        </w:rPr>
      </w:pPr>
      <w:r w:rsidRPr="000C156A">
        <w:rPr>
          <w:lang w:eastAsia="zh-CN"/>
        </w:rPr>
        <w:t>•</w:t>
      </w:r>
      <w:r w:rsidRPr="000C156A">
        <w:rPr>
          <w:lang w:eastAsia="zh-CN"/>
        </w:rPr>
        <w:tab/>
      </w:r>
      <w:r w:rsidRPr="000C156A">
        <w:rPr>
          <w:rFonts w:hint="eastAsia"/>
          <w:lang w:eastAsia="zh-CN"/>
        </w:rPr>
        <w:t>职员退休和福利（</w:t>
      </w:r>
      <w:r w:rsidRPr="000C156A">
        <w:rPr>
          <w:lang w:eastAsia="zh-CN"/>
        </w:rPr>
        <w:t>SS&amp;B</w:t>
      </w:r>
      <w:r w:rsidRPr="000C156A">
        <w:rPr>
          <w:rFonts w:hint="eastAsia"/>
          <w:lang w:eastAsia="zh-CN"/>
        </w:rPr>
        <w:t>）基金；</w:t>
      </w:r>
    </w:p>
    <w:p w14:paraId="38E6C5CE" w14:textId="77777777" w:rsidR="00B56A7B" w:rsidRPr="000C156A" w:rsidRDefault="00B56A7B" w:rsidP="00B56A7B">
      <w:pPr>
        <w:pStyle w:val="enumlev1"/>
        <w:rPr>
          <w:lang w:eastAsia="zh-CN"/>
        </w:rPr>
      </w:pPr>
      <w:r w:rsidRPr="000C156A">
        <w:rPr>
          <w:lang w:eastAsia="zh-CN"/>
        </w:rPr>
        <w:t>•</w:t>
      </w:r>
      <w:r w:rsidRPr="000C156A">
        <w:rPr>
          <w:lang w:eastAsia="zh-CN"/>
        </w:rPr>
        <w:tab/>
      </w:r>
      <w:r w:rsidRPr="000C156A">
        <w:rPr>
          <w:rFonts w:hint="eastAsia"/>
          <w:lang w:eastAsia="zh-CN"/>
        </w:rPr>
        <w:t>联合国开发计划署（</w:t>
      </w:r>
      <w:r w:rsidRPr="000C156A">
        <w:rPr>
          <w:lang w:eastAsia="zh-CN"/>
        </w:rPr>
        <w:t>UNDP</w:t>
      </w:r>
      <w:r w:rsidRPr="000C156A">
        <w:rPr>
          <w:rFonts w:hint="eastAsia"/>
          <w:lang w:eastAsia="zh-CN"/>
        </w:rPr>
        <w:t>）、信托基金和信息通信技术发展基金（</w:t>
      </w:r>
      <w:r w:rsidRPr="000C156A">
        <w:rPr>
          <w:lang w:eastAsia="zh-CN"/>
        </w:rPr>
        <w:t>ICTDF</w:t>
      </w:r>
      <w:r w:rsidRPr="000C156A">
        <w:rPr>
          <w:rFonts w:hint="eastAsia"/>
          <w:lang w:eastAsia="zh-CN"/>
        </w:rPr>
        <w:t>）项目。</w:t>
      </w:r>
    </w:p>
    <w:p w14:paraId="083F4303" w14:textId="77777777" w:rsidR="00B56A7B" w:rsidRPr="000C156A" w:rsidRDefault="00B56A7B" w:rsidP="00B56A7B">
      <w:pPr>
        <w:ind w:firstLineChars="200" w:firstLine="480"/>
        <w:rPr>
          <w:lang w:eastAsia="zh-CN"/>
        </w:rPr>
      </w:pPr>
      <w:r w:rsidRPr="000C156A">
        <w:rPr>
          <w:rFonts w:hint="eastAsia"/>
          <w:lang w:eastAsia="zh-CN"/>
        </w:rPr>
        <w:t>国际电联的预算和账务报表在不同基础上编制。</w:t>
      </w:r>
      <w:r>
        <w:rPr>
          <w:lang w:eastAsia="zh-CN"/>
        </w:rPr>
        <w:t>2020-2021</w:t>
      </w:r>
      <w:r w:rsidRPr="000C156A">
        <w:rPr>
          <w:rFonts w:hint="eastAsia"/>
          <w:lang w:eastAsia="zh-CN"/>
        </w:rPr>
        <w:t>年预算在混合基础上编制而成，其中若干具体细目未采用权责发生制。此外，国际电联的预算仅涉及其核心活动，而不包括由自愿捐款、项目和基金资助的活动。</w:t>
      </w:r>
    </w:p>
    <w:p w14:paraId="7DFA6F07" w14:textId="77777777" w:rsidR="00B56A7B" w:rsidRPr="000C156A" w:rsidRDefault="00B56A7B" w:rsidP="00B56A7B">
      <w:pPr>
        <w:ind w:firstLineChars="200" w:firstLine="480"/>
        <w:rPr>
          <w:lang w:eastAsia="zh-CN"/>
        </w:rPr>
      </w:pPr>
      <w:r w:rsidRPr="000C156A">
        <w:rPr>
          <w:rFonts w:hint="eastAsia"/>
          <w:lang w:eastAsia="zh-CN"/>
        </w:rPr>
        <w:t>国际电联财务报表的编制基于权责发生制，按照财务业绩报表记录的费用性质进行分类（见表二）。</w:t>
      </w:r>
    </w:p>
    <w:p w14:paraId="0B824E71" w14:textId="77777777" w:rsidR="00B56A7B" w:rsidRPr="000C156A" w:rsidRDefault="00B56A7B" w:rsidP="00B56A7B">
      <w:pPr>
        <w:ind w:firstLineChars="200" w:firstLine="480"/>
        <w:rPr>
          <w:lang w:eastAsia="zh-CN"/>
        </w:rPr>
      </w:pPr>
      <w:r w:rsidRPr="000C156A">
        <w:rPr>
          <w:rFonts w:hint="eastAsia"/>
          <w:lang w:eastAsia="zh-CN"/>
        </w:rPr>
        <w:t>周边差额主要源于不属于正常预算的预算外资金。为能在经国际公共部门会计准则（</w:t>
      </w:r>
      <w:r w:rsidRPr="000C156A">
        <w:rPr>
          <w:lang w:eastAsia="zh-CN"/>
        </w:rPr>
        <w:t>IPSAS</w:t>
      </w:r>
      <w:r w:rsidRPr="000C156A">
        <w:rPr>
          <w:rFonts w:hint="eastAsia"/>
          <w:lang w:eastAsia="zh-CN"/>
        </w:rPr>
        <w:t>）调整之后核对出财务期净结果预算控制的最终结果，就必须要考虑到预算编制方式与权责发生制会计之间的区别（见表五）。在预算中，非消耗性设备的费用被确认为投资费用。在权责发生制会计中，非消耗性设备（</w:t>
      </w:r>
      <w:r w:rsidRPr="000C156A">
        <w:rPr>
          <w:lang w:eastAsia="zh-CN"/>
        </w:rPr>
        <w:t>5 000</w:t>
      </w:r>
      <w:r w:rsidRPr="000C156A">
        <w:rPr>
          <w:rFonts w:hint="eastAsia"/>
          <w:lang w:eastAsia="zh-CN"/>
        </w:rPr>
        <w:t>瑞郎以上的设备）作为固定资产被记入账目，并在可用使用年限内折旧，但以预算外资金获得并转入项目受益方的固定资产除外。与固定资产相关的折旧费在财务业绩报表中得到确认，但在预算中不予考虑。</w:t>
      </w:r>
    </w:p>
    <w:p w14:paraId="2107F1EF" w14:textId="77777777" w:rsidR="00B56A7B" w:rsidRPr="000C156A" w:rsidRDefault="00B56A7B" w:rsidP="00B56A7B">
      <w:pPr>
        <w:ind w:firstLineChars="200" w:firstLine="480"/>
        <w:rPr>
          <w:lang w:eastAsia="zh-CN"/>
        </w:rPr>
      </w:pPr>
      <w:r w:rsidRPr="000C156A">
        <w:rPr>
          <w:rFonts w:hint="eastAsia"/>
          <w:lang w:eastAsia="zh-CN"/>
        </w:rPr>
        <w:t>在预算中，与职员福利相关的费用按实际发生支付体现，而根据权责发生制会计，部分费用由精算师采用会计准则规定的一种方法估算得出。离职后健康保险（</w:t>
      </w:r>
      <w:r w:rsidRPr="000C156A">
        <w:rPr>
          <w:lang w:eastAsia="zh-CN"/>
        </w:rPr>
        <w:t>ASHI</w:t>
      </w:r>
      <w:r w:rsidRPr="000C156A">
        <w:rPr>
          <w:rFonts w:hint="eastAsia"/>
          <w:lang w:eastAsia="zh-CN"/>
        </w:rPr>
        <w:t>）的义务在账务状况报表中得到确认，如说明</w:t>
      </w:r>
      <w:r w:rsidRPr="000C156A">
        <w:rPr>
          <w:lang w:eastAsia="zh-CN"/>
        </w:rPr>
        <w:t>17</w:t>
      </w:r>
      <w:r w:rsidRPr="000C156A">
        <w:rPr>
          <w:rFonts w:hint="eastAsia"/>
          <w:lang w:eastAsia="zh-CN"/>
        </w:rPr>
        <w:t>所述。已实现和未实现的汇率差在预算中不予考虑，但在财务业绩报表中体现出来。这同样适用于疑似债务准备金及库存的确认。财务业绩报表未将国际组织不动产基金会（</w:t>
      </w:r>
      <w:r w:rsidRPr="000C156A">
        <w:rPr>
          <w:lang w:eastAsia="zh-CN"/>
        </w:rPr>
        <w:t>FIPOI</w:t>
      </w:r>
      <w:r w:rsidRPr="000C156A">
        <w:rPr>
          <w:rFonts w:hint="eastAsia"/>
          <w:lang w:eastAsia="zh-CN"/>
        </w:rPr>
        <w:t>）贷款的偿还视作费用，尽管该还款已包含在预算内。</w:t>
      </w:r>
    </w:p>
    <w:p w14:paraId="48D93018" w14:textId="77777777" w:rsidR="00B56A7B" w:rsidRPr="000C156A" w:rsidRDefault="00B56A7B" w:rsidP="00B56A7B">
      <w:pPr>
        <w:ind w:firstLineChars="200" w:firstLine="480"/>
        <w:rPr>
          <w:lang w:eastAsia="zh-CN"/>
        </w:rPr>
      </w:pPr>
      <w:r w:rsidRPr="000C156A">
        <w:rPr>
          <w:rFonts w:hint="eastAsia"/>
          <w:lang w:eastAsia="zh-CN"/>
        </w:rPr>
        <w:lastRenderedPageBreak/>
        <w:t>国际组织不动产基金会（</w:t>
      </w:r>
      <w:r w:rsidRPr="000C156A">
        <w:rPr>
          <w:lang w:eastAsia="zh-CN"/>
        </w:rPr>
        <w:t>FIPOI</w:t>
      </w:r>
      <w:r w:rsidRPr="000C156A">
        <w:rPr>
          <w:rFonts w:hint="eastAsia"/>
          <w:lang w:eastAsia="zh-CN"/>
        </w:rPr>
        <w:t>）所提供无息贷款的相关利息根据正常市场条件进行了计算，虽未支付但作为实物捐赠和费用在财务业绩报表中确认。</w:t>
      </w:r>
    </w:p>
    <w:p w14:paraId="4F16F37E" w14:textId="77777777" w:rsidR="00B56A7B" w:rsidRPr="000C156A" w:rsidRDefault="00B56A7B" w:rsidP="00B56A7B">
      <w:pPr>
        <w:spacing w:after="240"/>
        <w:ind w:firstLineChars="200" w:firstLine="480"/>
        <w:rPr>
          <w:lang w:eastAsia="zh-CN"/>
        </w:rPr>
      </w:pPr>
      <w:r w:rsidRPr="000C156A">
        <w:rPr>
          <w:lang w:eastAsia="zh-CN"/>
        </w:rPr>
        <w:t>20</w:t>
      </w:r>
      <w:r>
        <w:rPr>
          <w:rFonts w:hint="eastAsia"/>
          <w:lang w:eastAsia="zh-CN"/>
        </w:rPr>
        <w:t>21</w:t>
      </w:r>
      <w:r w:rsidRPr="000C156A">
        <w:rPr>
          <w:rFonts w:hint="eastAsia"/>
          <w:lang w:eastAsia="zh-CN"/>
        </w:rPr>
        <w:t>财年的预算收入和支出为</w:t>
      </w:r>
      <w:r w:rsidRPr="000C156A">
        <w:rPr>
          <w:lang w:eastAsia="zh-CN"/>
        </w:rPr>
        <w:t>1.6</w:t>
      </w:r>
      <w:r>
        <w:rPr>
          <w:lang w:eastAsia="zh-CN"/>
        </w:rPr>
        <w:t xml:space="preserve"> </w:t>
      </w:r>
      <w:r>
        <w:rPr>
          <w:rFonts w:hint="eastAsia"/>
          <w:lang w:eastAsia="zh-CN"/>
        </w:rPr>
        <w:t>453</w:t>
      </w:r>
      <w:r w:rsidRPr="000C156A">
        <w:rPr>
          <w:rFonts w:hint="eastAsia"/>
          <w:lang w:eastAsia="zh-CN"/>
        </w:rPr>
        <w:t>亿瑞郎。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1358"/>
        <w:gridCol w:w="1358"/>
        <w:gridCol w:w="1358"/>
        <w:gridCol w:w="1359"/>
      </w:tblGrid>
      <w:tr w:rsidR="00B56A7B" w:rsidRPr="00EC42E8" w14:paraId="1BDB2E39" w14:textId="77777777" w:rsidTr="00CC47BD">
        <w:trPr>
          <w:trHeight w:val="276"/>
          <w:jc w:val="center"/>
        </w:trPr>
        <w:tc>
          <w:tcPr>
            <w:tcW w:w="4108" w:type="dxa"/>
            <w:tcBorders>
              <w:top w:val="single" w:sz="4" w:space="0" w:color="auto"/>
              <w:left w:val="single" w:sz="4" w:space="0" w:color="auto"/>
              <w:bottom w:val="single" w:sz="4" w:space="0" w:color="auto"/>
              <w:right w:val="single" w:sz="4" w:space="0" w:color="auto"/>
            </w:tcBorders>
          </w:tcPr>
          <w:p w14:paraId="3E87FC65" w14:textId="77777777" w:rsidR="00B56A7B" w:rsidRPr="00EC42E8" w:rsidRDefault="00B56A7B" w:rsidP="00CC47BD">
            <w:pPr>
              <w:pStyle w:val="Tabletext"/>
              <w:spacing w:before="20" w:after="20"/>
              <w:rPr>
                <w:sz w:val="18"/>
                <w:szCs w:val="18"/>
                <w:lang w:val="en-US" w:eastAsia="zh-CN"/>
              </w:rPr>
            </w:pPr>
          </w:p>
        </w:tc>
        <w:tc>
          <w:tcPr>
            <w:tcW w:w="5433" w:type="dxa"/>
            <w:gridSpan w:val="4"/>
            <w:tcBorders>
              <w:top w:val="single" w:sz="4" w:space="0" w:color="auto"/>
              <w:left w:val="single" w:sz="4" w:space="0" w:color="auto"/>
              <w:bottom w:val="single" w:sz="4" w:space="0" w:color="auto"/>
              <w:right w:val="single" w:sz="4" w:space="0" w:color="auto"/>
            </w:tcBorders>
            <w:hideMark/>
          </w:tcPr>
          <w:p w14:paraId="01EA7D72" w14:textId="77777777" w:rsidR="00B56A7B" w:rsidRPr="00EC42E8" w:rsidRDefault="00B56A7B" w:rsidP="00CC47BD">
            <w:pPr>
              <w:pStyle w:val="Tabletext"/>
              <w:spacing w:before="20" w:after="20"/>
              <w:jc w:val="center"/>
              <w:rPr>
                <w:b/>
                <w:bCs/>
                <w:sz w:val="18"/>
                <w:szCs w:val="18"/>
                <w:lang w:val="en-US" w:eastAsia="zh-CN"/>
              </w:rPr>
            </w:pPr>
            <w:r w:rsidRPr="00EC42E8">
              <w:rPr>
                <w:b/>
                <w:bCs/>
                <w:sz w:val="18"/>
                <w:szCs w:val="18"/>
                <w:lang w:val="en-US" w:eastAsia="zh-CN"/>
              </w:rPr>
              <w:t>20</w:t>
            </w:r>
            <w:r w:rsidRPr="00EC42E8">
              <w:rPr>
                <w:rFonts w:hint="eastAsia"/>
                <w:b/>
                <w:bCs/>
                <w:sz w:val="18"/>
                <w:szCs w:val="18"/>
                <w:lang w:val="en-US" w:eastAsia="zh-CN"/>
              </w:rPr>
              <w:t>21</w:t>
            </w:r>
            <w:r w:rsidRPr="00EC42E8">
              <w:rPr>
                <w:rFonts w:hint="eastAsia"/>
                <w:b/>
                <w:bCs/>
                <w:sz w:val="18"/>
                <w:szCs w:val="18"/>
                <w:lang w:val="en-US" w:eastAsia="zh-CN"/>
              </w:rPr>
              <w:t>年</w:t>
            </w:r>
          </w:p>
        </w:tc>
      </w:tr>
      <w:tr w:rsidR="00B56A7B" w:rsidRPr="00EC42E8" w14:paraId="7C21A639" w14:textId="77777777" w:rsidTr="00CC47BD">
        <w:trPr>
          <w:trHeight w:val="276"/>
          <w:jc w:val="center"/>
        </w:trPr>
        <w:tc>
          <w:tcPr>
            <w:tcW w:w="4108" w:type="dxa"/>
            <w:tcBorders>
              <w:top w:val="single" w:sz="4" w:space="0" w:color="auto"/>
              <w:left w:val="single" w:sz="4" w:space="0" w:color="auto"/>
              <w:bottom w:val="single" w:sz="4" w:space="0" w:color="auto"/>
              <w:right w:val="single" w:sz="4" w:space="0" w:color="auto"/>
            </w:tcBorders>
          </w:tcPr>
          <w:p w14:paraId="4288EFD7" w14:textId="77777777" w:rsidR="00B56A7B" w:rsidRPr="00EC42E8" w:rsidRDefault="00B56A7B" w:rsidP="00CC47BD">
            <w:pPr>
              <w:pStyle w:val="Tabletext"/>
              <w:spacing w:before="20" w:after="20"/>
              <w:rPr>
                <w:sz w:val="18"/>
                <w:szCs w:val="18"/>
                <w:lang w:val="en-US" w:eastAsia="zh-CN"/>
              </w:rPr>
            </w:pPr>
          </w:p>
        </w:tc>
        <w:tc>
          <w:tcPr>
            <w:tcW w:w="1358" w:type="dxa"/>
            <w:tcBorders>
              <w:top w:val="single" w:sz="4" w:space="0" w:color="auto"/>
              <w:left w:val="single" w:sz="4" w:space="0" w:color="auto"/>
              <w:bottom w:val="single" w:sz="4" w:space="0" w:color="auto"/>
              <w:right w:val="single" w:sz="4" w:space="0" w:color="auto"/>
            </w:tcBorders>
            <w:hideMark/>
          </w:tcPr>
          <w:p w14:paraId="1A65DF41" w14:textId="77777777" w:rsidR="00B56A7B" w:rsidRPr="00EC42E8" w:rsidRDefault="00B56A7B" w:rsidP="00CC47BD">
            <w:pPr>
              <w:pStyle w:val="Tabletext"/>
              <w:spacing w:before="20" w:after="20"/>
              <w:jc w:val="center"/>
              <w:rPr>
                <w:b/>
                <w:bCs/>
                <w:sz w:val="18"/>
                <w:szCs w:val="18"/>
                <w:lang w:val="en-US" w:eastAsia="zh-CN"/>
              </w:rPr>
            </w:pPr>
            <w:r w:rsidRPr="00EC42E8">
              <w:rPr>
                <w:rFonts w:hint="eastAsia"/>
                <w:b/>
                <w:bCs/>
                <w:sz w:val="18"/>
                <w:szCs w:val="18"/>
                <w:lang w:val="en-US" w:eastAsia="zh-CN"/>
              </w:rPr>
              <w:t>运营</w:t>
            </w:r>
          </w:p>
        </w:tc>
        <w:tc>
          <w:tcPr>
            <w:tcW w:w="1358" w:type="dxa"/>
            <w:tcBorders>
              <w:top w:val="single" w:sz="4" w:space="0" w:color="auto"/>
              <w:left w:val="single" w:sz="4" w:space="0" w:color="auto"/>
              <w:bottom w:val="single" w:sz="4" w:space="0" w:color="auto"/>
              <w:right w:val="single" w:sz="4" w:space="0" w:color="auto"/>
            </w:tcBorders>
            <w:hideMark/>
          </w:tcPr>
          <w:p w14:paraId="5132736A" w14:textId="77777777" w:rsidR="00B56A7B" w:rsidRPr="00EC42E8" w:rsidRDefault="00B56A7B" w:rsidP="00CC47BD">
            <w:pPr>
              <w:pStyle w:val="Tabletext"/>
              <w:spacing w:before="20" w:after="20"/>
              <w:jc w:val="center"/>
              <w:rPr>
                <w:b/>
                <w:bCs/>
                <w:sz w:val="18"/>
                <w:szCs w:val="18"/>
                <w:lang w:val="en-US" w:eastAsia="zh-CN"/>
              </w:rPr>
            </w:pPr>
            <w:r w:rsidRPr="00EC42E8">
              <w:rPr>
                <w:rFonts w:hint="eastAsia"/>
                <w:b/>
                <w:bCs/>
                <w:sz w:val="18"/>
                <w:szCs w:val="18"/>
                <w:lang w:val="en-US" w:eastAsia="zh-CN"/>
              </w:rPr>
              <w:t>投资</w:t>
            </w:r>
          </w:p>
        </w:tc>
        <w:tc>
          <w:tcPr>
            <w:tcW w:w="1358" w:type="dxa"/>
            <w:tcBorders>
              <w:top w:val="single" w:sz="4" w:space="0" w:color="auto"/>
              <w:left w:val="single" w:sz="4" w:space="0" w:color="auto"/>
              <w:bottom w:val="single" w:sz="4" w:space="0" w:color="auto"/>
              <w:right w:val="single" w:sz="4" w:space="0" w:color="auto"/>
            </w:tcBorders>
            <w:hideMark/>
          </w:tcPr>
          <w:p w14:paraId="17828932" w14:textId="77777777" w:rsidR="00B56A7B" w:rsidRPr="00EC42E8" w:rsidRDefault="00B56A7B" w:rsidP="00CC47BD">
            <w:pPr>
              <w:pStyle w:val="Tabletext"/>
              <w:spacing w:before="20" w:after="20"/>
              <w:jc w:val="center"/>
              <w:rPr>
                <w:b/>
                <w:bCs/>
                <w:sz w:val="18"/>
                <w:szCs w:val="18"/>
                <w:lang w:val="en-US" w:eastAsia="zh-CN"/>
              </w:rPr>
            </w:pPr>
            <w:r w:rsidRPr="00EC42E8">
              <w:rPr>
                <w:rFonts w:hint="eastAsia"/>
                <w:b/>
                <w:bCs/>
                <w:sz w:val="18"/>
                <w:szCs w:val="18"/>
                <w:lang w:val="en-US" w:eastAsia="zh-CN"/>
              </w:rPr>
              <w:t>财务</w:t>
            </w:r>
          </w:p>
        </w:tc>
        <w:tc>
          <w:tcPr>
            <w:tcW w:w="1359" w:type="dxa"/>
            <w:tcBorders>
              <w:top w:val="single" w:sz="4" w:space="0" w:color="auto"/>
              <w:left w:val="single" w:sz="4" w:space="0" w:color="auto"/>
              <w:bottom w:val="single" w:sz="4" w:space="0" w:color="auto"/>
              <w:right w:val="single" w:sz="4" w:space="0" w:color="auto"/>
            </w:tcBorders>
            <w:hideMark/>
          </w:tcPr>
          <w:p w14:paraId="05D5F4EC" w14:textId="77777777" w:rsidR="00B56A7B" w:rsidRPr="00EC42E8" w:rsidRDefault="00B56A7B" w:rsidP="00CC47BD">
            <w:pPr>
              <w:pStyle w:val="Tabletext"/>
              <w:spacing w:before="20" w:after="20"/>
              <w:jc w:val="center"/>
              <w:rPr>
                <w:b/>
                <w:bCs/>
                <w:sz w:val="18"/>
                <w:szCs w:val="18"/>
                <w:lang w:val="en-US" w:eastAsia="zh-CN"/>
              </w:rPr>
            </w:pPr>
            <w:r w:rsidRPr="00EC42E8">
              <w:rPr>
                <w:rFonts w:hint="eastAsia"/>
                <w:b/>
                <w:bCs/>
                <w:sz w:val="18"/>
                <w:szCs w:val="18"/>
                <w:lang w:val="en-US" w:eastAsia="zh-CN"/>
              </w:rPr>
              <w:t>合计</w:t>
            </w:r>
          </w:p>
        </w:tc>
      </w:tr>
      <w:tr w:rsidR="00B56A7B" w:rsidRPr="00EC42E8" w14:paraId="68510CD7" w14:textId="77777777" w:rsidTr="00CC47BD">
        <w:trPr>
          <w:trHeight w:val="276"/>
          <w:jc w:val="center"/>
        </w:trPr>
        <w:tc>
          <w:tcPr>
            <w:tcW w:w="4108" w:type="dxa"/>
            <w:tcBorders>
              <w:top w:val="single" w:sz="4" w:space="0" w:color="auto"/>
              <w:left w:val="single" w:sz="4" w:space="0" w:color="auto"/>
              <w:bottom w:val="nil"/>
              <w:right w:val="single" w:sz="4" w:space="0" w:color="auto"/>
            </w:tcBorders>
          </w:tcPr>
          <w:p w14:paraId="31F2C428" w14:textId="77777777" w:rsidR="00B56A7B" w:rsidRPr="00EC42E8" w:rsidRDefault="00B56A7B" w:rsidP="00CC47BD">
            <w:pPr>
              <w:pStyle w:val="Tabletext"/>
              <w:spacing w:before="20" w:after="20"/>
              <w:rPr>
                <w:sz w:val="18"/>
                <w:szCs w:val="18"/>
                <w:lang w:val="en-US" w:eastAsia="zh-CN"/>
              </w:rPr>
            </w:pPr>
          </w:p>
        </w:tc>
        <w:tc>
          <w:tcPr>
            <w:tcW w:w="5433" w:type="dxa"/>
            <w:gridSpan w:val="4"/>
            <w:tcBorders>
              <w:top w:val="single" w:sz="4" w:space="0" w:color="auto"/>
              <w:left w:val="single" w:sz="4" w:space="0" w:color="auto"/>
              <w:bottom w:val="single" w:sz="4" w:space="0" w:color="auto"/>
              <w:right w:val="single" w:sz="4" w:space="0" w:color="auto"/>
            </w:tcBorders>
            <w:vAlign w:val="center"/>
            <w:hideMark/>
          </w:tcPr>
          <w:p w14:paraId="495BF84A" w14:textId="77777777" w:rsidR="00B56A7B" w:rsidRPr="00EC42E8" w:rsidRDefault="00B56A7B" w:rsidP="00CC47BD">
            <w:pPr>
              <w:pStyle w:val="Tabletext"/>
              <w:spacing w:before="20" w:after="20"/>
              <w:jc w:val="center"/>
              <w:rPr>
                <w:sz w:val="18"/>
                <w:szCs w:val="18"/>
                <w:lang w:val="en-US" w:eastAsia="zh-CN"/>
              </w:rPr>
            </w:pPr>
            <w:r w:rsidRPr="00EC42E8">
              <w:rPr>
                <w:rFonts w:ascii="SimSun" w:hAnsi="SimSun" w:cs="SimSun" w:hint="eastAsia"/>
                <w:sz w:val="18"/>
                <w:szCs w:val="18"/>
                <w:lang w:val="en-US" w:eastAsia="zh-CN"/>
              </w:rPr>
              <w:t>单位：千瑞郎</w:t>
            </w:r>
          </w:p>
        </w:tc>
      </w:tr>
      <w:tr w:rsidR="00B56A7B" w:rsidRPr="00EC42E8" w14:paraId="18657ACF" w14:textId="77777777" w:rsidTr="00CC47BD">
        <w:trPr>
          <w:trHeight w:val="276"/>
          <w:jc w:val="center"/>
        </w:trPr>
        <w:tc>
          <w:tcPr>
            <w:tcW w:w="4108" w:type="dxa"/>
            <w:tcBorders>
              <w:top w:val="nil"/>
              <w:left w:val="single" w:sz="4" w:space="0" w:color="auto"/>
              <w:bottom w:val="nil"/>
              <w:right w:val="single" w:sz="4" w:space="0" w:color="auto"/>
            </w:tcBorders>
            <w:vAlign w:val="center"/>
            <w:hideMark/>
          </w:tcPr>
          <w:p w14:paraId="08668BC5" w14:textId="77777777" w:rsidR="00B56A7B" w:rsidRPr="00EC42E8" w:rsidRDefault="00B56A7B" w:rsidP="00CC47BD">
            <w:pPr>
              <w:pStyle w:val="Tabletext"/>
              <w:spacing w:before="20" w:after="20"/>
              <w:rPr>
                <w:b/>
                <w:bCs/>
                <w:sz w:val="18"/>
                <w:szCs w:val="18"/>
                <w:lang w:val="en-US" w:eastAsia="zh-CN"/>
              </w:rPr>
            </w:pPr>
            <w:r w:rsidRPr="00EC42E8">
              <w:rPr>
                <w:rFonts w:hint="eastAsia"/>
                <w:b/>
                <w:bCs/>
                <w:sz w:val="18"/>
                <w:szCs w:val="18"/>
                <w:lang w:val="en-US" w:eastAsia="zh-CN"/>
              </w:rPr>
              <w:t>基于对比的结果</w:t>
            </w:r>
          </w:p>
        </w:tc>
        <w:tc>
          <w:tcPr>
            <w:tcW w:w="1358" w:type="dxa"/>
            <w:tcBorders>
              <w:top w:val="nil"/>
              <w:left w:val="nil"/>
              <w:bottom w:val="nil"/>
              <w:right w:val="single" w:sz="8" w:space="0" w:color="auto"/>
            </w:tcBorders>
            <w:shd w:val="clear" w:color="auto" w:fill="auto"/>
            <w:vAlign w:val="center"/>
            <w:hideMark/>
          </w:tcPr>
          <w:p w14:paraId="610CBB1D" w14:textId="4B67B1BE"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3</w:t>
            </w:r>
            <w:r w:rsidR="00EC42E8" w:rsidRPr="00EC42E8">
              <w:rPr>
                <w:rFonts w:cs="Calibri"/>
                <w:color w:val="000000"/>
                <w:sz w:val="18"/>
                <w:szCs w:val="18"/>
              </w:rPr>
              <w:t> </w:t>
            </w:r>
            <w:r w:rsidRPr="00EC42E8">
              <w:rPr>
                <w:rFonts w:cs="Calibri"/>
                <w:color w:val="000000"/>
                <w:sz w:val="18"/>
                <w:szCs w:val="18"/>
              </w:rPr>
              <w:t>666</w:t>
            </w:r>
          </w:p>
        </w:tc>
        <w:tc>
          <w:tcPr>
            <w:tcW w:w="1358" w:type="dxa"/>
            <w:tcBorders>
              <w:top w:val="single" w:sz="4" w:space="0" w:color="auto"/>
              <w:left w:val="single" w:sz="4" w:space="0" w:color="auto"/>
              <w:bottom w:val="nil"/>
              <w:right w:val="single" w:sz="4" w:space="0" w:color="auto"/>
            </w:tcBorders>
            <w:vAlign w:val="center"/>
            <w:hideMark/>
          </w:tcPr>
          <w:p w14:paraId="40732A5E"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single" w:sz="4" w:space="0" w:color="auto"/>
              <w:left w:val="single" w:sz="4" w:space="0" w:color="auto"/>
              <w:bottom w:val="nil"/>
              <w:right w:val="single" w:sz="4" w:space="0" w:color="auto"/>
            </w:tcBorders>
            <w:vAlign w:val="center"/>
            <w:hideMark/>
          </w:tcPr>
          <w:p w14:paraId="1D2D2208"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nil"/>
              <w:right w:val="single" w:sz="8" w:space="0" w:color="auto"/>
            </w:tcBorders>
            <w:shd w:val="clear" w:color="auto" w:fill="auto"/>
            <w:vAlign w:val="center"/>
            <w:hideMark/>
          </w:tcPr>
          <w:p w14:paraId="677F4420" w14:textId="6EEC1681"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3</w:t>
            </w:r>
            <w:r w:rsidR="00EC42E8" w:rsidRPr="00EC42E8">
              <w:rPr>
                <w:rFonts w:cs="Calibri"/>
                <w:b/>
                <w:bCs/>
                <w:color w:val="000000"/>
                <w:sz w:val="18"/>
                <w:szCs w:val="18"/>
              </w:rPr>
              <w:t> </w:t>
            </w:r>
            <w:r w:rsidRPr="00EC42E8">
              <w:rPr>
                <w:rFonts w:cs="Calibri"/>
                <w:b/>
                <w:bCs/>
                <w:color w:val="000000"/>
                <w:sz w:val="18"/>
                <w:szCs w:val="18"/>
              </w:rPr>
              <w:t>666</w:t>
            </w:r>
          </w:p>
        </w:tc>
      </w:tr>
      <w:tr w:rsidR="00B56A7B" w:rsidRPr="00EC42E8" w14:paraId="284E799A" w14:textId="77777777" w:rsidTr="00CC47BD">
        <w:trPr>
          <w:trHeight w:val="276"/>
          <w:jc w:val="center"/>
        </w:trPr>
        <w:tc>
          <w:tcPr>
            <w:tcW w:w="4108" w:type="dxa"/>
            <w:tcBorders>
              <w:top w:val="nil"/>
              <w:left w:val="single" w:sz="4" w:space="0" w:color="auto"/>
              <w:bottom w:val="nil"/>
              <w:right w:val="single" w:sz="4" w:space="0" w:color="auto"/>
            </w:tcBorders>
            <w:vAlign w:val="center"/>
            <w:hideMark/>
          </w:tcPr>
          <w:p w14:paraId="0825225B"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疑似债务准备金的变化和使用</w:t>
            </w:r>
          </w:p>
        </w:tc>
        <w:tc>
          <w:tcPr>
            <w:tcW w:w="1358" w:type="dxa"/>
            <w:tcBorders>
              <w:top w:val="nil"/>
              <w:left w:val="nil"/>
              <w:bottom w:val="nil"/>
              <w:right w:val="single" w:sz="8" w:space="0" w:color="auto"/>
            </w:tcBorders>
            <w:shd w:val="clear" w:color="auto" w:fill="auto"/>
            <w:vAlign w:val="center"/>
            <w:hideMark/>
          </w:tcPr>
          <w:p w14:paraId="13A3B7A8"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539</w:t>
            </w:r>
          </w:p>
        </w:tc>
        <w:tc>
          <w:tcPr>
            <w:tcW w:w="1358" w:type="dxa"/>
            <w:tcBorders>
              <w:top w:val="nil"/>
              <w:left w:val="single" w:sz="4" w:space="0" w:color="auto"/>
              <w:bottom w:val="nil"/>
              <w:right w:val="single" w:sz="4" w:space="0" w:color="auto"/>
            </w:tcBorders>
            <w:vAlign w:val="center"/>
            <w:hideMark/>
          </w:tcPr>
          <w:p w14:paraId="0AC95D29"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nil"/>
              <w:left w:val="single" w:sz="4" w:space="0" w:color="auto"/>
              <w:bottom w:val="nil"/>
              <w:right w:val="single" w:sz="4" w:space="0" w:color="auto"/>
            </w:tcBorders>
            <w:vAlign w:val="center"/>
            <w:hideMark/>
          </w:tcPr>
          <w:p w14:paraId="6A07990D"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nil"/>
              <w:right w:val="single" w:sz="8" w:space="0" w:color="auto"/>
            </w:tcBorders>
            <w:shd w:val="clear" w:color="auto" w:fill="auto"/>
            <w:vAlign w:val="center"/>
            <w:hideMark/>
          </w:tcPr>
          <w:p w14:paraId="4087798A"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539</w:t>
            </w:r>
          </w:p>
        </w:tc>
      </w:tr>
      <w:tr w:rsidR="00B56A7B" w:rsidRPr="00EC42E8" w14:paraId="17BEC59D" w14:textId="77777777" w:rsidTr="00CC47BD">
        <w:trPr>
          <w:trHeight w:val="373"/>
          <w:jc w:val="center"/>
        </w:trPr>
        <w:tc>
          <w:tcPr>
            <w:tcW w:w="4108" w:type="dxa"/>
            <w:tcBorders>
              <w:top w:val="nil"/>
              <w:left w:val="single" w:sz="4" w:space="0" w:color="auto"/>
              <w:bottom w:val="nil"/>
              <w:right w:val="single" w:sz="4" w:space="0" w:color="auto"/>
            </w:tcBorders>
            <w:vAlign w:val="center"/>
            <w:hideMark/>
          </w:tcPr>
          <w:p w14:paraId="659BD3F2"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库存的确认</w:t>
            </w:r>
          </w:p>
        </w:tc>
        <w:tc>
          <w:tcPr>
            <w:tcW w:w="1358" w:type="dxa"/>
            <w:tcBorders>
              <w:top w:val="nil"/>
              <w:left w:val="nil"/>
              <w:bottom w:val="nil"/>
              <w:right w:val="single" w:sz="8" w:space="0" w:color="auto"/>
            </w:tcBorders>
            <w:shd w:val="clear" w:color="auto" w:fill="auto"/>
            <w:vAlign w:val="center"/>
            <w:hideMark/>
          </w:tcPr>
          <w:p w14:paraId="261EE44D"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b/>
                <w:bCs/>
                <w:color w:val="000000"/>
                <w:sz w:val="18"/>
                <w:szCs w:val="18"/>
              </w:rPr>
              <w:t>-168</w:t>
            </w:r>
          </w:p>
        </w:tc>
        <w:tc>
          <w:tcPr>
            <w:tcW w:w="1358" w:type="dxa"/>
            <w:tcBorders>
              <w:top w:val="nil"/>
              <w:left w:val="single" w:sz="4" w:space="0" w:color="auto"/>
              <w:bottom w:val="nil"/>
              <w:right w:val="single" w:sz="4" w:space="0" w:color="auto"/>
            </w:tcBorders>
            <w:vAlign w:val="center"/>
            <w:hideMark/>
          </w:tcPr>
          <w:p w14:paraId="0A291B58"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nil"/>
              <w:left w:val="single" w:sz="4" w:space="0" w:color="auto"/>
              <w:bottom w:val="nil"/>
              <w:right w:val="nil"/>
            </w:tcBorders>
            <w:vAlign w:val="center"/>
            <w:hideMark/>
          </w:tcPr>
          <w:p w14:paraId="660AA960"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nil"/>
              <w:right w:val="single" w:sz="8" w:space="0" w:color="auto"/>
            </w:tcBorders>
            <w:shd w:val="clear" w:color="auto" w:fill="auto"/>
            <w:vAlign w:val="center"/>
            <w:hideMark/>
          </w:tcPr>
          <w:p w14:paraId="4210C0BC"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-168</w:t>
            </w:r>
          </w:p>
        </w:tc>
      </w:tr>
      <w:tr w:rsidR="00B56A7B" w:rsidRPr="00EC42E8" w14:paraId="750E9094" w14:textId="77777777" w:rsidTr="00CC47BD">
        <w:trPr>
          <w:trHeight w:val="276"/>
          <w:jc w:val="center"/>
        </w:trPr>
        <w:tc>
          <w:tcPr>
            <w:tcW w:w="4108" w:type="dxa"/>
            <w:tcBorders>
              <w:top w:val="nil"/>
              <w:left w:val="single" w:sz="4" w:space="0" w:color="auto"/>
              <w:bottom w:val="nil"/>
              <w:right w:val="single" w:sz="4" w:space="0" w:color="auto"/>
            </w:tcBorders>
            <w:vAlign w:val="center"/>
            <w:hideMark/>
          </w:tcPr>
          <w:p w14:paraId="0CAFDF4C"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固定资产的资本化</w:t>
            </w:r>
          </w:p>
        </w:tc>
        <w:tc>
          <w:tcPr>
            <w:tcW w:w="1358" w:type="dxa"/>
            <w:tcBorders>
              <w:top w:val="nil"/>
              <w:left w:val="nil"/>
              <w:bottom w:val="nil"/>
              <w:right w:val="single" w:sz="8" w:space="0" w:color="auto"/>
            </w:tcBorders>
            <w:shd w:val="clear" w:color="auto" w:fill="auto"/>
            <w:vAlign w:val="center"/>
            <w:hideMark/>
          </w:tcPr>
          <w:p w14:paraId="5216101E"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nil"/>
              <w:left w:val="single" w:sz="4" w:space="0" w:color="auto"/>
              <w:bottom w:val="nil"/>
              <w:right w:val="single" w:sz="4" w:space="0" w:color="auto"/>
            </w:tcBorders>
            <w:vAlign w:val="center"/>
            <w:hideMark/>
          </w:tcPr>
          <w:p w14:paraId="337540DE" w14:textId="0C52EF9B"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w:t>
            </w:r>
            <w:r w:rsidR="00EC42E8" w:rsidRPr="00EC42E8">
              <w:rPr>
                <w:rFonts w:cs="Calibri"/>
                <w:color w:val="000000"/>
                <w:sz w:val="18"/>
                <w:szCs w:val="18"/>
              </w:rPr>
              <w:t> </w:t>
            </w:r>
            <w:r w:rsidRPr="00EC42E8">
              <w:rPr>
                <w:rFonts w:cs="Calibri"/>
                <w:color w:val="000000"/>
                <w:sz w:val="18"/>
                <w:szCs w:val="18"/>
              </w:rPr>
              <w:t>772</w:t>
            </w:r>
          </w:p>
        </w:tc>
        <w:tc>
          <w:tcPr>
            <w:tcW w:w="1358" w:type="dxa"/>
            <w:tcBorders>
              <w:top w:val="nil"/>
              <w:left w:val="single" w:sz="4" w:space="0" w:color="auto"/>
              <w:bottom w:val="nil"/>
              <w:right w:val="nil"/>
            </w:tcBorders>
            <w:vAlign w:val="center"/>
            <w:hideMark/>
          </w:tcPr>
          <w:p w14:paraId="344642B1"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nil"/>
              <w:right w:val="single" w:sz="8" w:space="0" w:color="auto"/>
            </w:tcBorders>
            <w:shd w:val="clear" w:color="auto" w:fill="auto"/>
            <w:vAlign w:val="center"/>
            <w:hideMark/>
          </w:tcPr>
          <w:p w14:paraId="06794311" w14:textId="02C909C9"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w:t>
            </w:r>
            <w:r w:rsidR="00EC42E8" w:rsidRPr="00EC42E8">
              <w:rPr>
                <w:rFonts w:cs="Calibri"/>
                <w:color w:val="000000"/>
                <w:sz w:val="18"/>
                <w:szCs w:val="18"/>
              </w:rPr>
              <w:t> </w:t>
            </w:r>
            <w:r w:rsidRPr="00EC42E8">
              <w:rPr>
                <w:rFonts w:cs="Calibri"/>
                <w:color w:val="000000"/>
                <w:sz w:val="18"/>
                <w:szCs w:val="18"/>
              </w:rPr>
              <w:t>772</w:t>
            </w:r>
          </w:p>
        </w:tc>
      </w:tr>
      <w:tr w:rsidR="00B56A7B" w:rsidRPr="00EC42E8" w14:paraId="627D5948" w14:textId="77777777" w:rsidTr="00CC47BD">
        <w:trPr>
          <w:trHeight w:val="276"/>
          <w:jc w:val="center"/>
        </w:trPr>
        <w:tc>
          <w:tcPr>
            <w:tcW w:w="4108" w:type="dxa"/>
            <w:tcBorders>
              <w:top w:val="nil"/>
              <w:left w:val="single" w:sz="4" w:space="0" w:color="auto"/>
              <w:bottom w:val="nil"/>
              <w:right w:val="single" w:sz="4" w:space="0" w:color="auto"/>
            </w:tcBorders>
            <w:vAlign w:val="center"/>
            <w:hideMark/>
          </w:tcPr>
          <w:p w14:paraId="4ACD80D1"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折旧</w:t>
            </w:r>
          </w:p>
        </w:tc>
        <w:tc>
          <w:tcPr>
            <w:tcW w:w="1358" w:type="dxa"/>
            <w:tcBorders>
              <w:top w:val="nil"/>
              <w:left w:val="nil"/>
              <w:bottom w:val="nil"/>
              <w:right w:val="single" w:sz="8" w:space="0" w:color="auto"/>
            </w:tcBorders>
            <w:shd w:val="clear" w:color="auto" w:fill="auto"/>
            <w:vAlign w:val="center"/>
            <w:hideMark/>
          </w:tcPr>
          <w:p w14:paraId="48D39FED" w14:textId="265A4032"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-9</w:t>
            </w:r>
            <w:r w:rsidR="00EC42E8" w:rsidRPr="00EC42E8">
              <w:rPr>
                <w:rFonts w:cs="Calibri"/>
                <w:color w:val="000000"/>
                <w:sz w:val="18"/>
                <w:szCs w:val="18"/>
              </w:rPr>
              <w:t> </w:t>
            </w:r>
            <w:r w:rsidRPr="00EC42E8">
              <w:rPr>
                <w:rFonts w:cs="Calibri"/>
                <w:color w:val="000000"/>
                <w:sz w:val="18"/>
                <w:szCs w:val="18"/>
              </w:rPr>
              <w:t>555</w:t>
            </w:r>
          </w:p>
        </w:tc>
        <w:tc>
          <w:tcPr>
            <w:tcW w:w="1358" w:type="dxa"/>
            <w:tcBorders>
              <w:top w:val="nil"/>
              <w:left w:val="single" w:sz="4" w:space="0" w:color="auto"/>
              <w:bottom w:val="nil"/>
              <w:right w:val="single" w:sz="4" w:space="0" w:color="auto"/>
            </w:tcBorders>
            <w:vAlign w:val="center"/>
            <w:hideMark/>
          </w:tcPr>
          <w:p w14:paraId="79AB244E"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nil"/>
              <w:left w:val="single" w:sz="4" w:space="0" w:color="auto"/>
              <w:bottom w:val="nil"/>
              <w:right w:val="single" w:sz="4" w:space="0" w:color="auto"/>
            </w:tcBorders>
            <w:vAlign w:val="center"/>
            <w:hideMark/>
          </w:tcPr>
          <w:p w14:paraId="359CC30A"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nil"/>
              <w:right w:val="single" w:sz="8" w:space="0" w:color="auto"/>
            </w:tcBorders>
            <w:shd w:val="clear" w:color="auto" w:fill="auto"/>
            <w:vAlign w:val="center"/>
            <w:hideMark/>
          </w:tcPr>
          <w:p w14:paraId="59F33677" w14:textId="6F1CAF6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-9</w:t>
            </w:r>
            <w:r w:rsidR="00EC42E8" w:rsidRPr="00EC42E8">
              <w:rPr>
                <w:rFonts w:cs="Calibri"/>
                <w:color w:val="000000"/>
                <w:sz w:val="18"/>
                <w:szCs w:val="18"/>
              </w:rPr>
              <w:t> </w:t>
            </w:r>
            <w:r w:rsidRPr="00EC42E8">
              <w:rPr>
                <w:rFonts w:cs="Calibri"/>
                <w:color w:val="000000"/>
                <w:sz w:val="18"/>
                <w:szCs w:val="18"/>
              </w:rPr>
              <w:t>555</w:t>
            </w:r>
          </w:p>
        </w:tc>
      </w:tr>
      <w:tr w:rsidR="00B56A7B" w:rsidRPr="00EC42E8" w14:paraId="593E882E" w14:textId="77777777" w:rsidTr="00CC47BD">
        <w:trPr>
          <w:trHeight w:val="276"/>
          <w:jc w:val="center"/>
        </w:trPr>
        <w:tc>
          <w:tcPr>
            <w:tcW w:w="4108" w:type="dxa"/>
            <w:tcBorders>
              <w:top w:val="nil"/>
              <w:left w:val="single" w:sz="4" w:space="0" w:color="auto"/>
              <w:bottom w:val="nil"/>
              <w:right w:val="single" w:sz="4" w:space="0" w:color="auto"/>
            </w:tcBorders>
            <w:vAlign w:val="center"/>
            <w:hideMark/>
          </w:tcPr>
          <w:p w14:paraId="7DD70821"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汇率损益</w:t>
            </w:r>
          </w:p>
        </w:tc>
        <w:tc>
          <w:tcPr>
            <w:tcW w:w="1358" w:type="dxa"/>
            <w:tcBorders>
              <w:top w:val="nil"/>
              <w:left w:val="nil"/>
              <w:bottom w:val="nil"/>
              <w:right w:val="single" w:sz="8" w:space="0" w:color="auto"/>
            </w:tcBorders>
            <w:shd w:val="clear" w:color="auto" w:fill="auto"/>
            <w:vAlign w:val="center"/>
            <w:hideMark/>
          </w:tcPr>
          <w:p w14:paraId="3D5FC62F" w14:textId="2683785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3</w:t>
            </w:r>
            <w:r w:rsidR="00EC42E8" w:rsidRPr="00EC42E8">
              <w:rPr>
                <w:rFonts w:cs="Calibri"/>
                <w:color w:val="000000"/>
                <w:sz w:val="18"/>
                <w:szCs w:val="18"/>
              </w:rPr>
              <w:t> </w:t>
            </w:r>
            <w:r w:rsidRPr="00EC42E8">
              <w:rPr>
                <w:rFonts w:cs="Calibri"/>
                <w:color w:val="000000"/>
                <w:sz w:val="18"/>
                <w:szCs w:val="18"/>
              </w:rPr>
              <w:t>720</w:t>
            </w:r>
          </w:p>
        </w:tc>
        <w:tc>
          <w:tcPr>
            <w:tcW w:w="1358" w:type="dxa"/>
            <w:tcBorders>
              <w:top w:val="nil"/>
              <w:left w:val="single" w:sz="4" w:space="0" w:color="auto"/>
              <w:bottom w:val="nil"/>
              <w:right w:val="single" w:sz="4" w:space="0" w:color="auto"/>
            </w:tcBorders>
            <w:vAlign w:val="center"/>
            <w:hideMark/>
          </w:tcPr>
          <w:p w14:paraId="1E42DE01"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nil"/>
              <w:left w:val="single" w:sz="4" w:space="0" w:color="auto"/>
              <w:bottom w:val="nil"/>
              <w:right w:val="single" w:sz="4" w:space="0" w:color="auto"/>
            </w:tcBorders>
            <w:vAlign w:val="center"/>
            <w:hideMark/>
          </w:tcPr>
          <w:p w14:paraId="064B998B"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nil"/>
              <w:right w:val="single" w:sz="8" w:space="0" w:color="auto"/>
            </w:tcBorders>
            <w:shd w:val="clear" w:color="auto" w:fill="auto"/>
            <w:vAlign w:val="center"/>
            <w:hideMark/>
          </w:tcPr>
          <w:p w14:paraId="1D4E206C" w14:textId="1EDAC3AB"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3</w:t>
            </w:r>
            <w:r w:rsidR="00EC42E8" w:rsidRPr="00EC42E8">
              <w:rPr>
                <w:rFonts w:cs="Calibri"/>
                <w:color w:val="000000"/>
                <w:sz w:val="18"/>
                <w:szCs w:val="18"/>
              </w:rPr>
              <w:t> </w:t>
            </w:r>
            <w:r w:rsidRPr="00EC42E8">
              <w:rPr>
                <w:rFonts w:cs="Calibri"/>
                <w:color w:val="000000"/>
                <w:sz w:val="18"/>
                <w:szCs w:val="18"/>
              </w:rPr>
              <w:t>720</w:t>
            </w:r>
          </w:p>
        </w:tc>
      </w:tr>
      <w:tr w:rsidR="00B56A7B" w:rsidRPr="00EC42E8" w14:paraId="369A774C" w14:textId="77777777" w:rsidTr="00CC47BD">
        <w:trPr>
          <w:trHeight w:val="287"/>
          <w:jc w:val="center"/>
        </w:trPr>
        <w:tc>
          <w:tcPr>
            <w:tcW w:w="4108" w:type="dxa"/>
            <w:tcBorders>
              <w:top w:val="nil"/>
              <w:left w:val="single" w:sz="4" w:space="0" w:color="auto"/>
              <w:bottom w:val="nil"/>
              <w:right w:val="single" w:sz="4" w:space="0" w:color="auto"/>
            </w:tcBorders>
            <w:vAlign w:val="center"/>
            <w:hideMark/>
          </w:tcPr>
          <w:p w14:paraId="4EFB2859"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离职后健康保险（</w:t>
            </w:r>
            <w:r w:rsidRPr="00EC42E8">
              <w:rPr>
                <w:sz w:val="18"/>
                <w:szCs w:val="18"/>
                <w:lang w:val="en-US" w:eastAsia="zh-CN"/>
              </w:rPr>
              <w:t>ASHI</w:t>
            </w:r>
            <w:r w:rsidRPr="00EC42E8">
              <w:rPr>
                <w:rFonts w:hint="eastAsia"/>
                <w:sz w:val="18"/>
                <w:szCs w:val="18"/>
                <w:lang w:val="en-US" w:eastAsia="zh-CN"/>
              </w:rPr>
              <w:t>）</w:t>
            </w:r>
          </w:p>
        </w:tc>
        <w:tc>
          <w:tcPr>
            <w:tcW w:w="1358" w:type="dxa"/>
            <w:tcBorders>
              <w:top w:val="nil"/>
              <w:left w:val="nil"/>
              <w:bottom w:val="nil"/>
              <w:right w:val="single" w:sz="8" w:space="0" w:color="auto"/>
            </w:tcBorders>
            <w:shd w:val="clear" w:color="auto" w:fill="auto"/>
            <w:vAlign w:val="center"/>
            <w:hideMark/>
          </w:tcPr>
          <w:p w14:paraId="1447BDCB" w14:textId="62A5CF89"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b/>
                <w:bCs/>
                <w:color w:val="000000"/>
                <w:sz w:val="18"/>
                <w:szCs w:val="18"/>
              </w:rPr>
              <w:t>-17</w:t>
            </w:r>
            <w:r w:rsidR="00EC42E8" w:rsidRPr="00EC42E8">
              <w:rPr>
                <w:rFonts w:cs="Calibri"/>
                <w:b/>
                <w:bCs/>
                <w:color w:val="000000"/>
                <w:sz w:val="18"/>
                <w:szCs w:val="18"/>
              </w:rPr>
              <w:t> </w:t>
            </w:r>
            <w:r w:rsidRPr="00EC42E8">
              <w:rPr>
                <w:rFonts w:cs="Calibri"/>
                <w:b/>
                <w:bCs/>
                <w:color w:val="000000"/>
                <w:sz w:val="18"/>
                <w:szCs w:val="18"/>
              </w:rPr>
              <w:t>265</w:t>
            </w:r>
          </w:p>
        </w:tc>
        <w:tc>
          <w:tcPr>
            <w:tcW w:w="1358" w:type="dxa"/>
            <w:tcBorders>
              <w:top w:val="nil"/>
              <w:left w:val="single" w:sz="4" w:space="0" w:color="auto"/>
              <w:bottom w:val="nil"/>
              <w:right w:val="single" w:sz="4" w:space="0" w:color="auto"/>
            </w:tcBorders>
            <w:vAlign w:val="center"/>
            <w:hideMark/>
          </w:tcPr>
          <w:p w14:paraId="1F48D7F6"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nil"/>
              <w:left w:val="single" w:sz="4" w:space="0" w:color="auto"/>
              <w:bottom w:val="nil"/>
              <w:right w:val="single" w:sz="4" w:space="0" w:color="auto"/>
            </w:tcBorders>
            <w:vAlign w:val="center"/>
            <w:hideMark/>
          </w:tcPr>
          <w:p w14:paraId="4891A938"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nil"/>
              <w:right w:val="single" w:sz="8" w:space="0" w:color="auto"/>
            </w:tcBorders>
            <w:shd w:val="clear" w:color="auto" w:fill="auto"/>
            <w:vAlign w:val="center"/>
            <w:hideMark/>
          </w:tcPr>
          <w:p w14:paraId="1715B3AB" w14:textId="3B3C845E"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-17</w:t>
            </w:r>
            <w:r w:rsidR="00EC42E8" w:rsidRPr="00EC42E8">
              <w:rPr>
                <w:rFonts w:cs="Calibri"/>
                <w:color w:val="000000"/>
                <w:sz w:val="18"/>
                <w:szCs w:val="18"/>
              </w:rPr>
              <w:t> </w:t>
            </w:r>
            <w:r w:rsidRPr="00EC42E8">
              <w:rPr>
                <w:rFonts w:cs="Calibri"/>
                <w:color w:val="000000"/>
                <w:sz w:val="18"/>
                <w:szCs w:val="18"/>
              </w:rPr>
              <w:t>265</w:t>
            </w:r>
          </w:p>
        </w:tc>
      </w:tr>
      <w:tr w:rsidR="00B56A7B" w:rsidRPr="00EC42E8" w14:paraId="0C0AAC59" w14:textId="77777777" w:rsidTr="00CC47BD">
        <w:trPr>
          <w:trHeight w:val="276"/>
          <w:jc w:val="center"/>
        </w:trPr>
        <w:tc>
          <w:tcPr>
            <w:tcW w:w="4108" w:type="dxa"/>
            <w:tcBorders>
              <w:top w:val="nil"/>
              <w:left w:val="single" w:sz="4" w:space="0" w:color="auto"/>
              <w:bottom w:val="nil"/>
              <w:right w:val="single" w:sz="4" w:space="0" w:color="auto"/>
            </w:tcBorders>
            <w:vAlign w:val="center"/>
            <w:hideMark/>
          </w:tcPr>
          <w:p w14:paraId="5EDF5FB8"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未被视作费用的</w:t>
            </w:r>
            <w:r w:rsidRPr="00EC42E8">
              <w:rPr>
                <w:sz w:val="18"/>
                <w:szCs w:val="18"/>
                <w:lang w:val="en-US" w:eastAsia="zh-CN"/>
              </w:rPr>
              <w:t>FIPOI</w:t>
            </w:r>
            <w:r w:rsidRPr="00EC42E8">
              <w:rPr>
                <w:rFonts w:hint="eastAsia"/>
                <w:sz w:val="18"/>
                <w:szCs w:val="18"/>
                <w:lang w:val="en-US" w:eastAsia="zh-CN"/>
              </w:rPr>
              <w:t>贷款的还款</w:t>
            </w:r>
          </w:p>
        </w:tc>
        <w:tc>
          <w:tcPr>
            <w:tcW w:w="1358" w:type="dxa"/>
            <w:tcBorders>
              <w:top w:val="nil"/>
              <w:left w:val="nil"/>
              <w:bottom w:val="nil"/>
              <w:right w:val="single" w:sz="8" w:space="0" w:color="auto"/>
            </w:tcBorders>
            <w:shd w:val="clear" w:color="auto" w:fill="auto"/>
            <w:vAlign w:val="center"/>
            <w:hideMark/>
          </w:tcPr>
          <w:p w14:paraId="3A681021"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zh-CN"/>
              </w:rPr>
            </w:pPr>
          </w:p>
        </w:tc>
        <w:tc>
          <w:tcPr>
            <w:tcW w:w="1358" w:type="dxa"/>
            <w:tcBorders>
              <w:top w:val="nil"/>
              <w:left w:val="single" w:sz="4" w:space="0" w:color="auto"/>
              <w:bottom w:val="nil"/>
              <w:right w:val="single" w:sz="4" w:space="0" w:color="auto"/>
            </w:tcBorders>
            <w:vAlign w:val="center"/>
            <w:hideMark/>
          </w:tcPr>
          <w:p w14:paraId="453F863F"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zh-CN"/>
              </w:rPr>
            </w:pPr>
          </w:p>
        </w:tc>
        <w:tc>
          <w:tcPr>
            <w:tcW w:w="1358" w:type="dxa"/>
            <w:tcBorders>
              <w:top w:val="nil"/>
              <w:left w:val="single" w:sz="4" w:space="0" w:color="auto"/>
              <w:bottom w:val="nil"/>
              <w:right w:val="single" w:sz="4" w:space="0" w:color="auto"/>
            </w:tcBorders>
            <w:vAlign w:val="center"/>
            <w:hideMark/>
          </w:tcPr>
          <w:p w14:paraId="310E0AEF" w14:textId="1FC08ED5"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w:t>
            </w:r>
            <w:r w:rsidR="00EC42E8" w:rsidRPr="00EC42E8">
              <w:rPr>
                <w:rFonts w:cs="Calibri"/>
                <w:color w:val="000000"/>
                <w:sz w:val="18"/>
                <w:szCs w:val="18"/>
              </w:rPr>
              <w:t> </w:t>
            </w:r>
            <w:r w:rsidRPr="00EC42E8">
              <w:rPr>
                <w:rFonts w:cs="Calibri"/>
                <w:color w:val="000000"/>
                <w:sz w:val="18"/>
                <w:szCs w:val="18"/>
              </w:rPr>
              <w:t>391</w:t>
            </w:r>
          </w:p>
        </w:tc>
        <w:tc>
          <w:tcPr>
            <w:tcW w:w="1359" w:type="dxa"/>
            <w:tcBorders>
              <w:top w:val="nil"/>
              <w:left w:val="nil"/>
              <w:bottom w:val="nil"/>
              <w:right w:val="single" w:sz="8" w:space="0" w:color="auto"/>
            </w:tcBorders>
            <w:shd w:val="clear" w:color="auto" w:fill="auto"/>
            <w:vAlign w:val="center"/>
            <w:hideMark/>
          </w:tcPr>
          <w:p w14:paraId="02C649D2" w14:textId="27E16D6C"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w:t>
            </w:r>
            <w:r w:rsidR="00EC42E8" w:rsidRPr="00EC42E8">
              <w:rPr>
                <w:rFonts w:cs="Calibri"/>
                <w:color w:val="000000"/>
                <w:sz w:val="18"/>
                <w:szCs w:val="18"/>
              </w:rPr>
              <w:t> </w:t>
            </w:r>
            <w:r w:rsidRPr="00EC42E8">
              <w:rPr>
                <w:rFonts w:cs="Calibri"/>
                <w:color w:val="000000"/>
                <w:sz w:val="18"/>
                <w:szCs w:val="18"/>
              </w:rPr>
              <w:t>391</w:t>
            </w:r>
          </w:p>
        </w:tc>
      </w:tr>
      <w:tr w:rsidR="00B56A7B" w:rsidRPr="00EC42E8" w14:paraId="386A967F" w14:textId="77777777" w:rsidTr="00CC47BD">
        <w:trPr>
          <w:trHeight w:val="276"/>
          <w:jc w:val="center"/>
        </w:trPr>
        <w:tc>
          <w:tcPr>
            <w:tcW w:w="4108" w:type="dxa"/>
            <w:tcBorders>
              <w:top w:val="nil"/>
              <w:left w:val="single" w:sz="4" w:space="0" w:color="auto"/>
              <w:bottom w:val="nil"/>
              <w:right w:val="single" w:sz="4" w:space="0" w:color="auto"/>
            </w:tcBorders>
            <w:vAlign w:val="center"/>
            <w:hideMark/>
          </w:tcPr>
          <w:p w14:paraId="10828883"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实物捐赠收入</w:t>
            </w:r>
          </w:p>
        </w:tc>
        <w:tc>
          <w:tcPr>
            <w:tcW w:w="1358" w:type="dxa"/>
            <w:tcBorders>
              <w:top w:val="nil"/>
              <w:left w:val="nil"/>
              <w:bottom w:val="nil"/>
              <w:right w:val="single" w:sz="8" w:space="0" w:color="auto"/>
            </w:tcBorders>
            <w:shd w:val="clear" w:color="auto" w:fill="auto"/>
            <w:vAlign w:val="center"/>
            <w:hideMark/>
          </w:tcPr>
          <w:p w14:paraId="7ABBBA35"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798</w:t>
            </w:r>
          </w:p>
        </w:tc>
        <w:tc>
          <w:tcPr>
            <w:tcW w:w="1358" w:type="dxa"/>
            <w:tcBorders>
              <w:top w:val="nil"/>
              <w:left w:val="single" w:sz="4" w:space="0" w:color="auto"/>
              <w:bottom w:val="nil"/>
              <w:right w:val="single" w:sz="4" w:space="0" w:color="auto"/>
            </w:tcBorders>
            <w:vAlign w:val="center"/>
            <w:hideMark/>
          </w:tcPr>
          <w:p w14:paraId="0EE36FCA"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nil"/>
              <w:left w:val="single" w:sz="4" w:space="0" w:color="auto"/>
              <w:bottom w:val="nil"/>
              <w:right w:val="single" w:sz="4" w:space="0" w:color="auto"/>
            </w:tcBorders>
            <w:vAlign w:val="center"/>
            <w:hideMark/>
          </w:tcPr>
          <w:p w14:paraId="4644633C"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nil"/>
              <w:right w:val="single" w:sz="8" w:space="0" w:color="auto"/>
            </w:tcBorders>
            <w:shd w:val="clear" w:color="auto" w:fill="auto"/>
            <w:vAlign w:val="center"/>
            <w:hideMark/>
          </w:tcPr>
          <w:p w14:paraId="489FE03E"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798</w:t>
            </w:r>
          </w:p>
        </w:tc>
      </w:tr>
      <w:tr w:rsidR="00B56A7B" w:rsidRPr="00EC42E8" w14:paraId="77007AE8" w14:textId="77777777" w:rsidTr="00CC47BD">
        <w:trPr>
          <w:trHeight w:val="276"/>
          <w:jc w:val="center"/>
        </w:trPr>
        <w:tc>
          <w:tcPr>
            <w:tcW w:w="4108" w:type="dxa"/>
            <w:tcBorders>
              <w:top w:val="nil"/>
              <w:left w:val="single" w:sz="4" w:space="0" w:color="auto"/>
              <w:bottom w:val="nil"/>
              <w:right w:val="single" w:sz="4" w:space="0" w:color="auto"/>
            </w:tcBorders>
            <w:vAlign w:val="center"/>
            <w:hideMark/>
          </w:tcPr>
          <w:p w14:paraId="6C1C5628"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实物捐赠费用</w:t>
            </w:r>
          </w:p>
        </w:tc>
        <w:tc>
          <w:tcPr>
            <w:tcW w:w="1358" w:type="dxa"/>
            <w:tcBorders>
              <w:top w:val="nil"/>
              <w:left w:val="nil"/>
              <w:bottom w:val="nil"/>
              <w:right w:val="single" w:sz="8" w:space="0" w:color="auto"/>
            </w:tcBorders>
            <w:shd w:val="clear" w:color="auto" w:fill="auto"/>
            <w:vAlign w:val="center"/>
            <w:hideMark/>
          </w:tcPr>
          <w:p w14:paraId="16223C70"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-798</w:t>
            </w:r>
          </w:p>
        </w:tc>
        <w:tc>
          <w:tcPr>
            <w:tcW w:w="1358" w:type="dxa"/>
            <w:tcBorders>
              <w:top w:val="nil"/>
              <w:left w:val="single" w:sz="4" w:space="0" w:color="auto"/>
              <w:bottom w:val="nil"/>
              <w:right w:val="single" w:sz="4" w:space="0" w:color="auto"/>
            </w:tcBorders>
            <w:vAlign w:val="center"/>
            <w:hideMark/>
          </w:tcPr>
          <w:p w14:paraId="3A754A90"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nil"/>
              <w:left w:val="single" w:sz="4" w:space="0" w:color="auto"/>
              <w:bottom w:val="nil"/>
              <w:right w:val="single" w:sz="4" w:space="0" w:color="auto"/>
            </w:tcBorders>
            <w:vAlign w:val="center"/>
            <w:hideMark/>
          </w:tcPr>
          <w:p w14:paraId="40BA40CB"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nil"/>
              <w:right w:val="single" w:sz="8" w:space="0" w:color="auto"/>
            </w:tcBorders>
            <w:shd w:val="clear" w:color="auto" w:fill="auto"/>
            <w:vAlign w:val="center"/>
            <w:hideMark/>
          </w:tcPr>
          <w:p w14:paraId="4454745A"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-798</w:t>
            </w:r>
          </w:p>
        </w:tc>
      </w:tr>
      <w:tr w:rsidR="00B56A7B" w:rsidRPr="00EC42E8" w14:paraId="71A3E7C3" w14:textId="77777777" w:rsidTr="00CC47BD">
        <w:trPr>
          <w:trHeight w:val="276"/>
          <w:jc w:val="center"/>
        </w:trPr>
        <w:tc>
          <w:tcPr>
            <w:tcW w:w="4108" w:type="dxa"/>
            <w:tcBorders>
              <w:top w:val="nil"/>
              <w:left w:val="single" w:sz="4" w:space="0" w:color="auto"/>
              <w:bottom w:val="nil"/>
              <w:right w:val="single" w:sz="4" w:space="0" w:color="auto"/>
            </w:tcBorders>
            <w:vAlign w:val="center"/>
            <w:hideMark/>
          </w:tcPr>
          <w:p w14:paraId="68780ACB"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资产出售</w:t>
            </w:r>
          </w:p>
        </w:tc>
        <w:tc>
          <w:tcPr>
            <w:tcW w:w="1358" w:type="dxa"/>
            <w:tcBorders>
              <w:top w:val="nil"/>
              <w:left w:val="nil"/>
              <w:bottom w:val="nil"/>
              <w:right w:val="single" w:sz="8" w:space="0" w:color="auto"/>
            </w:tcBorders>
            <w:shd w:val="clear" w:color="auto" w:fill="auto"/>
            <w:vAlign w:val="center"/>
            <w:hideMark/>
          </w:tcPr>
          <w:p w14:paraId="6042F8F8"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14</w:t>
            </w:r>
          </w:p>
        </w:tc>
        <w:tc>
          <w:tcPr>
            <w:tcW w:w="1358" w:type="dxa"/>
            <w:tcBorders>
              <w:top w:val="nil"/>
              <w:left w:val="single" w:sz="4" w:space="0" w:color="auto"/>
              <w:bottom w:val="nil"/>
              <w:right w:val="single" w:sz="4" w:space="0" w:color="auto"/>
            </w:tcBorders>
            <w:vAlign w:val="center"/>
            <w:hideMark/>
          </w:tcPr>
          <w:p w14:paraId="0456192A"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nil"/>
              <w:left w:val="single" w:sz="4" w:space="0" w:color="auto"/>
              <w:bottom w:val="nil"/>
              <w:right w:val="single" w:sz="4" w:space="0" w:color="auto"/>
            </w:tcBorders>
            <w:vAlign w:val="center"/>
            <w:hideMark/>
          </w:tcPr>
          <w:p w14:paraId="76101647"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nil"/>
              <w:right w:val="single" w:sz="8" w:space="0" w:color="auto"/>
            </w:tcBorders>
            <w:shd w:val="clear" w:color="auto" w:fill="auto"/>
            <w:vAlign w:val="center"/>
            <w:hideMark/>
          </w:tcPr>
          <w:p w14:paraId="6233A092"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14</w:t>
            </w:r>
          </w:p>
        </w:tc>
      </w:tr>
      <w:tr w:rsidR="00B56A7B" w:rsidRPr="00EC42E8" w14:paraId="28C20186" w14:textId="77777777" w:rsidTr="00CC47BD">
        <w:trPr>
          <w:trHeight w:val="276"/>
          <w:jc w:val="center"/>
        </w:trPr>
        <w:tc>
          <w:tcPr>
            <w:tcW w:w="4108" w:type="dxa"/>
            <w:tcBorders>
              <w:top w:val="nil"/>
              <w:left w:val="single" w:sz="4" w:space="0" w:color="auto"/>
              <w:bottom w:val="nil"/>
              <w:right w:val="single" w:sz="4" w:space="0" w:color="auto"/>
            </w:tcBorders>
            <w:vAlign w:val="center"/>
            <w:hideMark/>
          </w:tcPr>
          <w:p w14:paraId="37FF252B"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其它</w:t>
            </w:r>
          </w:p>
        </w:tc>
        <w:tc>
          <w:tcPr>
            <w:tcW w:w="1358" w:type="dxa"/>
            <w:tcBorders>
              <w:top w:val="nil"/>
              <w:left w:val="nil"/>
              <w:bottom w:val="nil"/>
              <w:right w:val="single" w:sz="8" w:space="0" w:color="auto"/>
            </w:tcBorders>
            <w:shd w:val="clear" w:color="auto" w:fill="auto"/>
            <w:vAlign w:val="center"/>
            <w:hideMark/>
          </w:tcPr>
          <w:p w14:paraId="5241A9E1"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0</w:t>
            </w:r>
          </w:p>
        </w:tc>
        <w:tc>
          <w:tcPr>
            <w:tcW w:w="1358" w:type="dxa"/>
            <w:tcBorders>
              <w:top w:val="nil"/>
              <w:left w:val="single" w:sz="4" w:space="0" w:color="auto"/>
              <w:bottom w:val="single" w:sz="8" w:space="0" w:color="000000"/>
              <w:right w:val="single" w:sz="4" w:space="0" w:color="auto"/>
            </w:tcBorders>
            <w:vAlign w:val="center"/>
            <w:hideMark/>
          </w:tcPr>
          <w:p w14:paraId="3C1EEC9D"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nil"/>
              <w:left w:val="single" w:sz="4" w:space="0" w:color="auto"/>
              <w:bottom w:val="single" w:sz="8" w:space="0" w:color="000000"/>
              <w:right w:val="single" w:sz="4" w:space="0" w:color="auto"/>
            </w:tcBorders>
            <w:vAlign w:val="center"/>
            <w:hideMark/>
          </w:tcPr>
          <w:p w14:paraId="09680EA4"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nil"/>
              <w:right w:val="single" w:sz="8" w:space="0" w:color="auto"/>
            </w:tcBorders>
            <w:shd w:val="clear" w:color="auto" w:fill="auto"/>
            <w:vAlign w:val="center"/>
            <w:hideMark/>
          </w:tcPr>
          <w:p w14:paraId="7806679E"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w:t>
            </w:r>
          </w:p>
        </w:tc>
      </w:tr>
      <w:tr w:rsidR="00B56A7B" w:rsidRPr="00EC42E8" w14:paraId="0E35A29F" w14:textId="77777777" w:rsidTr="00CC47BD">
        <w:trPr>
          <w:trHeight w:val="276"/>
          <w:jc w:val="center"/>
        </w:trPr>
        <w:tc>
          <w:tcPr>
            <w:tcW w:w="4108" w:type="dxa"/>
            <w:tcBorders>
              <w:top w:val="single" w:sz="4" w:space="0" w:color="auto"/>
              <w:left w:val="single" w:sz="4" w:space="0" w:color="auto"/>
              <w:bottom w:val="single" w:sz="8" w:space="0" w:color="auto"/>
              <w:right w:val="single" w:sz="4" w:space="0" w:color="auto"/>
            </w:tcBorders>
            <w:vAlign w:val="center"/>
            <w:hideMark/>
          </w:tcPr>
          <w:p w14:paraId="35C14587" w14:textId="0B45F920" w:rsidR="00B56A7B" w:rsidRPr="00EC42E8" w:rsidRDefault="00B56A7B" w:rsidP="00CC47BD">
            <w:pPr>
              <w:pStyle w:val="Tabletext"/>
              <w:spacing w:before="20" w:after="20"/>
              <w:rPr>
                <w:b/>
                <w:bCs/>
                <w:sz w:val="18"/>
                <w:szCs w:val="18"/>
                <w:lang w:val="en-US" w:eastAsia="zh-CN"/>
              </w:rPr>
            </w:pPr>
            <w:r w:rsidRPr="00EC42E8">
              <w:rPr>
                <w:rFonts w:hint="eastAsia"/>
                <w:b/>
                <w:bCs/>
                <w:sz w:val="18"/>
                <w:szCs w:val="18"/>
                <w:lang w:val="en-US" w:eastAsia="zh-CN"/>
              </w:rPr>
              <w:t>国际公共部门会计准则（</w:t>
            </w:r>
            <w:r w:rsidRPr="00EC42E8">
              <w:rPr>
                <w:b/>
                <w:bCs/>
                <w:sz w:val="18"/>
                <w:szCs w:val="18"/>
                <w:lang w:val="en-US" w:eastAsia="zh-CN"/>
              </w:rPr>
              <w:t>IPSAS</w:t>
            </w:r>
            <w:r w:rsidRPr="00EC42E8">
              <w:rPr>
                <w:rFonts w:hint="eastAsia"/>
                <w:b/>
                <w:bCs/>
                <w:sz w:val="18"/>
                <w:szCs w:val="18"/>
                <w:lang w:val="en-US" w:eastAsia="zh-CN"/>
              </w:rPr>
              <w:t>）差额合计</w:t>
            </w:r>
          </w:p>
        </w:tc>
        <w:tc>
          <w:tcPr>
            <w:tcW w:w="1358" w:type="dxa"/>
            <w:tcBorders>
              <w:top w:val="single" w:sz="8" w:space="0" w:color="auto"/>
              <w:left w:val="nil"/>
              <w:bottom w:val="single" w:sz="8" w:space="0" w:color="auto"/>
              <w:right w:val="single" w:sz="8" w:space="0" w:color="auto"/>
            </w:tcBorders>
            <w:shd w:val="clear" w:color="auto" w:fill="auto"/>
            <w:vAlign w:val="center"/>
            <w:hideMark/>
          </w:tcPr>
          <w:p w14:paraId="52950955" w14:textId="543E6683"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-22</w:t>
            </w:r>
            <w:r w:rsidR="00EC42E8" w:rsidRPr="00EC42E8">
              <w:rPr>
                <w:rFonts w:cs="Calibri"/>
                <w:b/>
                <w:bCs/>
                <w:color w:val="000000"/>
                <w:sz w:val="18"/>
                <w:szCs w:val="18"/>
              </w:rPr>
              <w:t> </w:t>
            </w:r>
            <w:r w:rsidRPr="00EC42E8">
              <w:rPr>
                <w:rFonts w:cs="Calibri"/>
                <w:b/>
                <w:bCs/>
                <w:color w:val="000000"/>
                <w:sz w:val="18"/>
                <w:szCs w:val="18"/>
              </w:rPr>
              <w:t>715</w:t>
            </w:r>
          </w:p>
        </w:tc>
        <w:tc>
          <w:tcPr>
            <w:tcW w:w="1358" w:type="dxa"/>
            <w:tcBorders>
              <w:top w:val="single" w:sz="8" w:space="0" w:color="000000"/>
              <w:left w:val="single" w:sz="4" w:space="0" w:color="auto"/>
              <w:bottom w:val="single" w:sz="8" w:space="0" w:color="auto"/>
              <w:right w:val="single" w:sz="4" w:space="0" w:color="auto"/>
            </w:tcBorders>
            <w:vAlign w:val="center"/>
            <w:hideMark/>
          </w:tcPr>
          <w:p w14:paraId="3A93F20C" w14:textId="1BEA8AEF"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1</w:t>
            </w:r>
            <w:r w:rsidR="00EC42E8" w:rsidRPr="00EC42E8">
              <w:rPr>
                <w:rFonts w:cs="Calibri"/>
                <w:b/>
                <w:bCs/>
                <w:color w:val="000000"/>
                <w:sz w:val="18"/>
                <w:szCs w:val="18"/>
              </w:rPr>
              <w:t> </w:t>
            </w:r>
            <w:r w:rsidRPr="00EC42E8">
              <w:rPr>
                <w:rFonts w:cs="Calibri"/>
                <w:b/>
                <w:bCs/>
                <w:color w:val="000000"/>
                <w:sz w:val="18"/>
                <w:szCs w:val="18"/>
              </w:rPr>
              <w:t>772</w:t>
            </w:r>
          </w:p>
        </w:tc>
        <w:tc>
          <w:tcPr>
            <w:tcW w:w="1358" w:type="dxa"/>
            <w:tcBorders>
              <w:top w:val="single" w:sz="8" w:space="0" w:color="000000"/>
              <w:left w:val="single" w:sz="4" w:space="0" w:color="auto"/>
              <w:bottom w:val="single" w:sz="8" w:space="0" w:color="auto"/>
              <w:right w:val="single" w:sz="4" w:space="0" w:color="auto"/>
            </w:tcBorders>
            <w:vAlign w:val="center"/>
            <w:hideMark/>
          </w:tcPr>
          <w:p w14:paraId="58B98CFA" w14:textId="3869E8DF"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1</w:t>
            </w:r>
            <w:r w:rsidR="00EC42E8" w:rsidRPr="00EC42E8">
              <w:rPr>
                <w:rFonts w:cs="Calibri"/>
                <w:b/>
                <w:bCs/>
                <w:color w:val="000000"/>
                <w:sz w:val="18"/>
                <w:szCs w:val="18"/>
              </w:rPr>
              <w:t> </w:t>
            </w:r>
            <w:r w:rsidRPr="00EC42E8">
              <w:rPr>
                <w:rFonts w:cs="Calibri"/>
                <w:b/>
                <w:bCs/>
                <w:color w:val="000000"/>
                <w:sz w:val="18"/>
                <w:szCs w:val="18"/>
              </w:rPr>
              <w:t>391</w:t>
            </w:r>
          </w:p>
        </w:tc>
        <w:tc>
          <w:tcPr>
            <w:tcW w:w="1359" w:type="dxa"/>
            <w:tcBorders>
              <w:top w:val="single" w:sz="8" w:space="0" w:color="auto"/>
              <w:left w:val="nil"/>
              <w:bottom w:val="single" w:sz="8" w:space="0" w:color="auto"/>
              <w:right w:val="single" w:sz="8" w:space="0" w:color="auto"/>
            </w:tcBorders>
            <w:shd w:val="clear" w:color="auto" w:fill="auto"/>
            <w:vAlign w:val="center"/>
            <w:hideMark/>
          </w:tcPr>
          <w:p w14:paraId="61622BC2" w14:textId="68BD8452"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-19</w:t>
            </w:r>
            <w:r w:rsidR="00EC42E8" w:rsidRPr="00EC42E8">
              <w:rPr>
                <w:rFonts w:cs="Calibri"/>
                <w:b/>
                <w:bCs/>
                <w:color w:val="000000"/>
                <w:sz w:val="18"/>
                <w:szCs w:val="18"/>
              </w:rPr>
              <w:t> </w:t>
            </w:r>
            <w:r w:rsidRPr="00EC42E8">
              <w:rPr>
                <w:rFonts w:cs="Calibri"/>
                <w:b/>
                <w:bCs/>
                <w:color w:val="000000"/>
                <w:sz w:val="18"/>
                <w:szCs w:val="18"/>
              </w:rPr>
              <w:t>552</w:t>
            </w:r>
          </w:p>
        </w:tc>
      </w:tr>
      <w:tr w:rsidR="00B56A7B" w:rsidRPr="00EC42E8" w14:paraId="0389E345" w14:textId="77777777" w:rsidTr="00CC47BD">
        <w:trPr>
          <w:trHeight w:val="276"/>
          <w:jc w:val="center"/>
        </w:trPr>
        <w:tc>
          <w:tcPr>
            <w:tcW w:w="4108" w:type="dxa"/>
            <w:tcBorders>
              <w:top w:val="single" w:sz="8" w:space="0" w:color="auto"/>
              <w:left w:val="single" w:sz="4" w:space="0" w:color="auto"/>
              <w:bottom w:val="nil"/>
              <w:right w:val="single" w:sz="4" w:space="0" w:color="auto"/>
            </w:tcBorders>
            <w:vAlign w:val="center"/>
            <w:hideMark/>
          </w:tcPr>
          <w:p w14:paraId="3AAC6BE1" w14:textId="77777777" w:rsidR="00B56A7B" w:rsidRPr="00EC42E8" w:rsidRDefault="00B56A7B" w:rsidP="00CC47BD">
            <w:pPr>
              <w:pStyle w:val="Tabletext"/>
              <w:spacing w:before="20" w:after="20"/>
              <w:rPr>
                <w:sz w:val="18"/>
                <w:szCs w:val="18"/>
                <w:lang w:val="en-US" w:eastAsia="zh-CN"/>
              </w:rPr>
            </w:pPr>
            <w:r w:rsidRPr="00EC42E8">
              <w:rPr>
                <w:rFonts w:cs="Arial" w:hint="eastAsia"/>
                <w:color w:val="000000"/>
                <w:sz w:val="18"/>
                <w:szCs w:val="18"/>
                <w:lang w:val="en-US" w:eastAsia="zh-CN"/>
              </w:rPr>
              <w:t>收益基金</w:t>
            </w:r>
            <w:r w:rsidRPr="00EC42E8">
              <w:rPr>
                <w:rFonts w:cs="Arial"/>
                <w:color w:val="000000"/>
                <w:sz w:val="18"/>
                <w:szCs w:val="18"/>
                <w:lang w:val="en-US" w:eastAsia="zh-CN"/>
              </w:rPr>
              <w:t>1000/1010</w:t>
            </w:r>
          </w:p>
        </w:tc>
        <w:tc>
          <w:tcPr>
            <w:tcW w:w="1358" w:type="dxa"/>
            <w:tcBorders>
              <w:top w:val="nil"/>
              <w:left w:val="nil"/>
              <w:bottom w:val="nil"/>
              <w:right w:val="single" w:sz="8" w:space="0" w:color="auto"/>
            </w:tcBorders>
            <w:shd w:val="clear" w:color="auto" w:fill="auto"/>
            <w:vAlign w:val="center"/>
            <w:hideMark/>
          </w:tcPr>
          <w:p w14:paraId="03B36079" w14:textId="523207BA"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-19</w:t>
            </w:r>
            <w:r w:rsidR="00EC42E8" w:rsidRPr="00EC42E8">
              <w:rPr>
                <w:rFonts w:cs="Calibri"/>
                <w:color w:val="000000"/>
                <w:sz w:val="18"/>
                <w:szCs w:val="18"/>
              </w:rPr>
              <w:t> </w:t>
            </w:r>
            <w:r w:rsidRPr="00EC42E8">
              <w:rPr>
                <w:rFonts w:cs="Calibri"/>
                <w:color w:val="000000"/>
                <w:sz w:val="18"/>
                <w:szCs w:val="18"/>
              </w:rPr>
              <w:t>049</w:t>
            </w:r>
          </w:p>
        </w:tc>
        <w:tc>
          <w:tcPr>
            <w:tcW w:w="1358" w:type="dxa"/>
            <w:tcBorders>
              <w:top w:val="single" w:sz="8" w:space="0" w:color="auto"/>
              <w:left w:val="single" w:sz="4" w:space="0" w:color="auto"/>
              <w:bottom w:val="nil"/>
              <w:right w:val="single" w:sz="4" w:space="0" w:color="auto"/>
            </w:tcBorders>
            <w:vAlign w:val="center"/>
            <w:hideMark/>
          </w:tcPr>
          <w:p w14:paraId="1388AB3F" w14:textId="388DA243"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w:t>
            </w:r>
            <w:r w:rsidR="00EC42E8" w:rsidRPr="00EC42E8">
              <w:rPr>
                <w:rFonts w:cs="Calibri"/>
                <w:color w:val="000000"/>
                <w:sz w:val="18"/>
                <w:szCs w:val="18"/>
              </w:rPr>
              <w:t> </w:t>
            </w:r>
            <w:r w:rsidRPr="00EC42E8">
              <w:rPr>
                <w:rFonts w:cs="Calibri"/>
                <w:color w:val="000000"/>
                <w:sz w:val="18"/>
                <w:szCs w:val="18"/>
              </w:rPr>
              <w:t>772</w:t>
            </w:r>
          </w:p>
        </w:tc>
        <w:tc>
          <w:tcPr>
            <w:tcW w:w="1358" w:type="dxa"/>
            <w:tcBorders>
              <w:top w:val="single" w:sz="8" w:space="0" w:color="auto"/>
              <w:left w:val="single" w:sz="4" w:space="0" w:color="auto"/>
              <w:bottom w:val="nil"/>
              <w:right w:val="single" w:sz="4" w:space="0" w:color="auto"/>
            </w:tcBorders>
            <w:vAlign w:val="center"/>
            <w:hideMark/>
          </w:tcPr>
          <w:p w14:paraId="7D1E4695" w14:textId="2CC30B21"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w:t>
            </w:r>
            <w:r w:rsidR="00EC42E8" w:rsidRPr="00EC42E8">
              <w:rPr>
                <w:rFonts w:cs="Calibri"/>
                <w:color w:val="000000"/>
                <w:sz w:val="18"/>
                <w:szCs w:val="18"/>
              </w:rPr>
              <w:t> </w:t>
            </w:r>
            <w:r w:rsidRPr="00EC42E8">
              <w:rPr>
                <w:rFonts w:cs="Calibri"/>
                <w:color w:val="000000"/>
                <w:sz w:val="18"/>
                <w:szCs w:val="18"/>
              </w:rPr>
              <w:t>391</w:t>
            </w:r>
          </w:p>
        </w:tc>
        <w:tc>
          <w:tcPr>
            <w:tcW w:w="1359" w:type="dxa"/>
            <w:tcBorders>
              <w:top w:val="single" w:sz="8" w:space="0" w:color="auto"/>
              <w:left w:val="nil"/>
              <w:bottom w:val="nil"/>
              <w:right w:val="single" w:sz="8" w:space="0" w:color="auto"/>
            </w:tcBorders>
            <w:shd w:val="clear" w:color="auto" w:fill="auto"/>
            <w:vAlign w:val="center"/>
            <w:hideMark/>
          </w:tcPr>
          <w:p w14:paraId="0D86B2E6" w14:textId="69A12B62"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-15</w:t>
            </w:r>
            <w:r w:rsidR="00EC42E8" w:rsidRPr="00EC42E8">
              <w:rPr>
                <w:rFonts w:cs="Calibri"/>
                <w:color w:val="000000"/>
                <w:sz w:val="18"/>
                <w:szCs w:val="18"/>
              </w:rPr>
              <w:t> </w:t>
            </w:r>
            <w:r w:rsidRPr="00EC42E8">
              <w:rPr>
                <w:rFonts w:cs="Calibri"/>
                <w:color w:val="000000"/>
                <w:sz w:val="18"/>
                <w:szCs w:val="18"/>
              </w:rPr>
              <w:t>886</w:t>
            </w:r>
          </w:p>
        </w:tc>
      </w:tr>
      <w:tr w:rsidR="00B56A7B" w:rsidRPr="00EC42E8" w14:paraId="67F0D33E" w14:textId="77777777" w:rsidTr="00CC47BD">
        <w:trPr>
          <w:trHeight w:val="287"/>
          <w:jc w:val="center"/>
        </w:trPr>
        <w:tc>
          <w:tcPr>
            <w:tcW w:w="4108" w:type="dxa"/>
            <w:tcBorders>
              <w:top w:val="nil"/>
              <w:left w:val="single" w:sz="4" w:space="0" w:color="auto"/>
              <w:bottom w:val="single" w:sz="8" w:space="0" w:color="auto"/>
              <w:right w:val="single" w:sz="4" w:space="0" w:color="auto"/>
            </w:tcBorders>
            <w:vAlign w:val="center"/>
            <w:hideMark/>
          </w:tcPr>
          <w:p w14:paraId="5BE08D01" w14:textId="77777777" w:rsidR="00B56A7B" w:rsidRPr="00EC42E8" w:rsidRDefault="00B56A7B" w:rsidP="00CC47BD">
            <w:pPr>
              <w:pStyle w:val="Tabletext"/>
              <w:spacing w:before="20" w:after="20"/>
              <w:rPr>
                <w:sz w:val="18"/>
                <w:szCs w:val="18"/>
                <w:lang w:val="en-US" w:eastAsia="zh-CN"/>
              </w:rPr>
            </w:pPr>
            <w:r w:rsidRPr="00EC42E8">
              <w:rPr>
                <w:rFonts w:hint="eastAsia"/>
                <w:sz w:val="18"/>
                <w:szCs w:val="18"/>
                <w:lang w:val="en-US" w:eastAsia="zh-CN"/>
              </w:rPr>
              <w:t>基金</w:t>
            </w:r>
            <w:r w:rsidRPr="00EC42E8">
              <w:rPr>
                <w:sz w:val="18"/>
                <w:szCs w:val="18"/>
                <w:lang w:val="en-US" w:eastAsia="zh-CN"/>
              </w:rPr>
              <w:t>1010</w:t>
            </w:r>
            <w:r w:rsidRPr="00EC42E8">
              <w:rPr>
                <w:rFonts w:hint="eastAsia"/>
                <w:sz w:val="18"/>
                <w:szCs w:val="18"/>
                <w:lang w:val="en-US" w:eastAsia="zh-CN"/>
              </w:rPr>
              <w:t>储备金的增加</w:t>
            </w:r>
          </w:p>
        </w:tc>
        <w:tc>
          <w:tcPr>
            <w:tcW w:w="1358" w:type="dxa"/>
            <w:tcBorders>
              <w:top w:val="nil"/>
              <w:left w:val="nil"/>
              <w:bottom w:val="single" w:sz="8" w:space="0" w:color="auto"/>
              <w:right w:val="single" w:sz="8" w:space="0" w:color="auto"/>
            </w:tcBorders>
            <w:shd w:val="clear" w:color="auto" w:fill="auto"/>
            <w:vAlign w:val="center"/>
            <w:hideMark/>
          </w:tcPr>
          <w:p w14:paraId="508E4F61"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982</w:t>
            </w:r>
          </w:p>
        </w:tc>
        <w:tc>
          <w:tcPr>
            <w:tcW w:w="1358" w:type="dxa"/>
            <w:tcBorders>
              <w:top w:val="nil"/>
              <w:left w:val="single" w:sz="4" w:space="0" w:color="auto"/>
              <w:bottom w:val="single" w:sz="8" w:space="0" w:color="auto"/>
              <w:right w:val="single" w:sz="4" w:space="0" w:color="auto"/>
            </w:tcBorders>
            <w:vAlign w:val="center"/>
            <w:hideMark/>
          </w:tcPr>
          <w:p w14:paraId="7E882B47"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8" w:type="dxa"/>
            <w:tcBorders>
              <w:top w:val="nil"/>
              <w:left w:val="single" w:sz="4" w:space="0" w:color="auto"/>
              <w:bottom w:val="single" w:sz="8" w:space="0" w:color="auto"/>
              <w:right w:val="single" w:sz="4" w:space="0" w:color="auto"/>
            </w:tcBorders>
            <w:vAlign w:val="center"/>
            <w:hideMark/>
          </w:tcPr>
          <w:p w14:paraId="48F14A57"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p>
        </w:tc>
        <w:tc>
          <w:tcPr>
            <w:tcW w:w="1359" w:type="dxa"/>
            <w:tcBorders>
              <w:top w:val="nil"/>
              <w:left w:val="nil"/>
              <w:bottom w:val="single" w:sz="8" w:space="0" w:color="auto"/>
              <w:right w:val="single" w:sz="8" w:space="0" w:color="auto"/>
            </w:tcBorders>
            <w:shd w:val="clear" w:color="auto" w:fill="auto"/>
            <w:vAlign w:val="center"/>
            <w:hideMark/>
          </w:tcPr>
          <w:p w14:paraId="6BBDB5B5" w14:textId="77777777" w:rsidR="00B56A7B" w:rsidRPr="00EC42E8" w:rsidRDefault="00B56A7B" w:rsidP="00CC47BD">
            <w:pPr>
              <w:overflowPunct/>
              <w:autoSpaceDE/>
              <w:autoSpaceDN/>
              <w:adjustRightInd/>
              <w:spacing w:before="0"/>
              <w:jc w:val="right"/>
              <w:textAlignment w:val="auto"/>
              <w:rPr>
                <w:rFonts w:cs="Calibri"/>
                <w:color w:val="000000"/>
                <w:sz w:val="18"/>
                <w:szCs w:val="18"/>
                <w:lang w:eastAsia="en-GB"/>
              </w:rPr>
            </w:pPr>
            <w:r w:rsidRPr="00EC42E8">
              <w:rPr>
                <w:rFonts w:cs="Calibri"/>
                <w:color w:val="000000"/>
                <w:sz w:val="18"/>
                <w:szCs w:val="18"/>
              </w:rPr>
              <w:t>982</w:t>
            </w:r>
          </w:p>
        </w:tc>
      </w:tr>
      <w:tr w:rsidR="00B56A7B" w:rsidRPr="00EC42E8" w14:paraId="2893B3E8" w14:textId="77777777" w:rsidTr="00CC47BD">
        <w:trPr>
          <w:trHeight w:val="276"/>
          <w:jc w:val="center"/>
        </w:trPr>
        <w:tc>
          <w:tcPr>
            <w:tcW w:w="4108" w:type="dxa"/>
            <w:tcBorders>
              <w:top w:val="single" w:sz="8" w:space="0" w:color="auto"/>
              <w:left w:val="single" w:sz="4" w:space="0" w:color="auto"/>
              <w:bottom w:val="single" w:sz="8" w:space="0" w:color="auto"/>
              <w:right w:val="single" w:sz="4" w:space="0" w:color="auto"/>
            </w:tcBorders>
            <w:vAlign w:val="center"/>
            <w:hideMark/>
          </w:tcPr>
          <w:p w14:paraId="1CE4E058" w14:textId="77777777" w:rsidR="00B56A7B" w:rsidRPr="00EC42E8" w:rsidRDefault="00B56A7B" w:rsidP="00CC47BD">
            <w:pPr>
              <w:pStyle w:val="Tabletext"/>
              <w:spacing w:before="20" w:after="20"/>
              <w:rPr>
                <w:b/>
                <w:bCs/>
                <w:sz w:val="18"/>
                <w:szCs w:val="18"/>
                <w:lang w:val="en-US" w:eastAsia="zh-CN"/>
              </w:rPr>
            </w:pPr>
            <w:r w:rsidRPr="00EC42E8">
              <w:rPr>
                <w:rFonts w:hint="eastAsia"/>
                <w:b/>
                <w:bCs/>
                <w:sz w:val="18"/>
                <w:szCs w:val="18"/>
                <w:lang w:val="en-US" w:eastAsia="zh-CN"/>
              </w:rPr>
              <w:t>盈余合计</w:t>
            </w:r>
          </w:p>
        </w:tc>
        <w:tc>
          <w:tcPr>
            <w:tcW w:w="1358" w:type="dxa"/>
            <w:tcBorders>
              <w:top w:val="nil"/>
              <w:left w:val="nil"/>
              <w:bottom w:val="single" w:sz="8" w:space="0" w:color="auto"/>
              <w:right w:val="single" w:sz="8" w:space="0" w:color="auto"/>
            </w:tcBorders>
            <w:shd w:val="clear" w:color="auto" w:fill="auto"/>
            <w:vAlign w:val="center"/>
            <w:hideMark/>
          </w:tcPr>
          <w:p w14:paraId="137F5C40" w14:textId="0C4E0243"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-18</w:t>
            </w:r>
            <w:r w:rsidR="00EC42E8" w:rsidRPr="00EC42E8">
              <w:rPr>
                <w:rFonts w:cs="Calibri"/>
                <w:b/>
                <w:bCs/>
                <w:color w:val="000000"/>
                <w:sz w:val="18"/>
                <w:szCs w:val="18"/>
              </w:rPr>
              <w:t> </w:t>
            </w:r>
            <w:r w:rsidRPr="00EC42E8">
              <w:rPr>
                <w:rFonts w:cs="Calibri"/>
                <w:b/>
                <w:bCs/>
                <w:color w:val="000000"/>
                <w:sz w:val="18"/>
                <w:szCs w:val="18"/>
              </w:rPr>
              <w:t>067</w:t>
            </w:r>
          </w:p>
        </w:tc>
        <w:tc>
          <w:tcPr>
            <w:tcW w:w="1358" w:type="dxa"/>
            <w:tcBorders>
              <w:top w:val="single" w:sz="8" w:space="0" w:color="auto"/>
              <w:left w:val="single" w:sz="4" w:space="0" w:color="auto"/>
              <w:bottom w:val="single" w:sz="8" w:space="0" w:color="auto"/>
              <w:right w:val="single" w:sz="8" w:space="0" w:color="auto"/>
            </w:tcBorders>
            <w:vAlign w:val="center"/>
            <w:hideMark/>
          </w:tcPr>
          <w:p w14:paraId="1802B348" w14:textId="0F02F7F3"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1</w:t>
            </w:r>
            <w:r w:rsidR="00EC42E8" w:rsidRPr="00EC42E8">
              <w:rPr>
                <w:rFonts w:cs="Calibri"/>
                <w:b/>
                <w:bCs/>
                <w:color w:val="000000"/>
                <w:sz w:val="18"/>
                <w:szCs w:val="18"/>
              </w:rPr>
              <w:t> </w:t>
            </w:r>
            <w:r w:rsidRPr="00EC42E8">
              <w:rPr>
                <w:rFonts w:cs="Calibri"/>
                <w:b/>
                <w:bCs/>
                <w:color w:val="000000"/>
                <w:sz w:val="18"/>
                <w:szCs w:val="18"/>
              </w:rPr>
              <w:t>772</w:t>
            </w:r>
          </w:p>
        </w:tc>
        <w:tc>
          <w:tcPr>
            <w:tcW w:w="1358" w:type="dxa"/>
            <w:tcBorders>
              <w:top w:val="single" w:sz="8" w:space="0" w:color="auto"/>
              <w:left w:val="single" w:sz="8" w:space="0" w:color="auto"/>
              <w:bottom w:val="single" w:sz="8" w:space="0" w:color="auto"/>
              <w:right w:val="single" w:sz="8" w:space="0" w:color="auto"/>
            </w:tcBorders>
            <w:vAlign w:val="center"/>
            <w:hideMark/>
          </w:tcPr>
          <w:p w14:paraId="3AA49531" w14:textId="093D72F2"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1</w:t>
            </w:r>
            <w:r w:rsidR="00EC42E8" w:rsidRPr="00EC42E8">
              <w:rPr>
                <w:rFonts w:cs="Calibri"/>
                <w:b/>
                <w:bCs/>
                <w:color w:val="000000"/>
                <w:sz w:val="18"/>
                <w:szCs w:val="18"/>
              </w:rPr>
              <w:t> </w:t>
            </w:r>
            <w:r w:rsidRPr="00EC42E8">
              <w:rPr>
                <w:rFonts w:cs="Calibri"/>
                <w:b/>
                <w:bCs/>
                <w:color w:val="000000"/>
                <w:sz w:val="18"/>
                <w:szCs w:val="18"/>
              </w:rPr>
              <w:t>391</w:t>
            </w:r>
          </w:p>
        </w:tc>
        <w:tc>
          <w:tcPr>
            <w:tcW w:w="13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FC4FF1" w14:textId="6AD023D4"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-14</w:t>
            </w:r>
            <w:r w:rsidR="00EC42E8" w:rsidRPr="00EC42E8">
              <w:rPr>
                <w:rFonts w:cs="Calibri"/>
                <w:b/>
                <w:bCs/>
                <w:color w:val="000000"/>
                <w:sz w:val="18"/>
                <w:szCs w:val="18"/>
              </w:rPr>
              <w:t> </w:t>
            </w:r>
            <w:r w:rsidRPr="00EC42E8">
              <w:rPr>
                <w:rFonts w:cs="Calibri"/>
                <w:b/>
                <w:bCs/>
                <w:color w:val="000000"/>
                <w:sz w:val="18"/>
                <w:szCs w:val="18"/>
              </w:rPr>
              <w:t>904</w:t>
            </w:r>
          </w:p>
        </w:tc>
      </w:tr>
      <w:tr w:rsidR="00B56A7B" w:rsidRPr="00EC42E8" w14:paraId="641726CB" w14:textId="77777777" w:rsidTr="00CC47BD">
        <w:trPr>
          <w:trHeight w:val="276"/>
          <w:jc w:val="center"/>
        </w:trPr>
        <w:tc>
          <w:tcPr>
            <w:tcW w:w="4108" w:type="dxa"/>
            <w:tcBorders>
              <w:top w:val="single" w:sz="8" w:space="0" w:color="auto"/>
              <w:left w:val="single" w:sz="4" w:space="0" w:color="auto"/>
              <w:bottom w:val="single" w:sz="8" w:space="0" w:color="auto"/>
              <w:right w:val="single" w:sz="4" w:space="0" w:color="auto"/>
            </w:tcBorders>
            <w:vAlign w:val="center"/>
            <w:hideMark/>
          </w:tcPr>
          <w:p w14:paraId="45699F93" w14:textId="77777777" w:rsidR="00B56A7B" w:rsidRPr="00EC42E8" w:rsidRDefault="00B56A7B" w:rsidP="00CC47BD">
            <w:pPr>
              <w:pStyle w:val="Tabletext"/>
              <w:spacing w:before="20" w:after="20"/>
              <w:rPr>
                <w:b/>
                <w:bCs/>
                <w:sz w:val="18"/>
                <w:szCs w:val="18"/>
                <w:lang w:val="en-US" w:eastAsia="zh-CN"/>
              </w:rPr>
            </w:pPr>
            <w:r w:rsidRPr="00EC42E8">
              <w:rPr>
                <w:rFonts w:hint="eastAsia"/>
                <w:b/>
                <w:bCs/>
                <w:sz w:val="18"/>
                <w:szCs w:val="18"/>
                <w:lang w:val="en-US" w:eastAsia="zh-CN"/>
              </w:rPr>
              <w:t>周边差额</w:t>
            </w:r>
          </w:p>
        </w:tc>
        <w:tc>
          <w:tcPr>
            <w:tcW w:w="1358" w:type="dxa"/>
            <w:tcBorders>
              <w:top w:val="nil"/>
              <w:left w:val="nil"/>
              <w:bottom w:val="single" w:sz="8" w:space="0" w:color="auto"/>
              <w:right w:val="single" w:sz="8" w:space="0" w:color="auto"/>
            </w:tcBorders>
            <w:shd w:val="clear" w:color="auto" w:fill="auto"/>
            <w:vAlign w:val="center"/>
            <w:hideMark/>
          </w:tcPr>
          <w:p w14:paraId="001BB182" w14:textId="77777777"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47</w:t>
            </w:r>
          </w:p>
        </w:tc>
        <w:tc>
          <w:tcPr>
            <w:tcW w:w="1358" w:type="dxa"/>
            <w:tcBorders>
              <w:top w:val="single" w:sz="8" w:space="0" w:color="auto"/>
              <w:left w:val="single" w:sz="4" w:space="0" w:color="auto"/>
              <w:bottom w:val="single" w:sz="8" w:space="0" w:color="auto"/>
              <w:right w:val="single" w:sz="8" w:space="0" w:color="auto"/>
            </w:tcBorders>
            <w:vAlign w:val="center"/>
            <w:hideMark/>
          </w:tcPr>
          <w:p w14:paraId="4175794E" w14:textId="77777777"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p>
        </w:tc>
        <w:tc>
          <w:tcPr>
            <w:tcW w:w="1358" w:type="dxa"/>
            <w:tcBorders>
              <w:top w:val="single" w:sz="8" w:space="0" w:color="auto"/>
              <w:left w:val="single" w:sz="8" w:space="0" w:color="auto"/>
              <w:bottom w:val="single" w:sz="8" w:space="0" w:color="auto"/>
              <w:right w:val="single" w:sz="8" w:space="0" w:color="auto"/>
            </w:tcBorders>
            <w:vAlign w:val="center"/>
            <w:hideMark/>
          </w:tcPr>
          <w:p w14:paraId="52BB7E34" w14:textId="77777777"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p>
        </w:tc>
        <w:tc>
          <w:tcPr>
            <w:tcW w:w="1359" w:type="dxa"/>
            <w:tcBorders>
              <w:top w:val="nil"/>
              <w:left w:val="single" w:sz="8" w:space="0" w:color="auto"/>
              <w:bottom w:val="single" w:sz="8" w:space="0" w:color="auto"/>
              <w:right w:val="single" w:sz="8" w:space="0" w:color="auto"/>
            </w:tcBorders>
            <w:shd w:val="clear" w:color="auto" w:fill="auto"/>
            <w:vAlign w:val="center"/>
            <w:hideMark/>
          </w:tcPr>
          <w:p w14:paraId="7DE56315" w14:textId="77777777"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47</w:t>
            </w:r>
          </w:p>
        </w:tc>
      </w:tr>
      <w:tr w:rsidR="00B56A7B" w:rsidRPr="00EC42E8" w14:paraId="5039277B" w14:textId="77777777" w:rsidTr="00CC47BD">
        <w:trPr>
          <w:trHeight w:val="276"/>
          <w:jc w:val="center"/>
        </w:trPr>
        <w:tc>
          <w:tcPr>
            <w:tcW w:w="4108" w:type="dxa"/>
            <w:tcBorders>
              <w:top w:val="single" w:sz="8" w:space="0" w:color="auto"/>
              <w:left w:val="single" w:sz="4" w:space="0" w:color="auto"/>
              <w:bottom w:val="single" w:sz="4" w:space="0" w:color="auto"/>
              <w:right w:val="single" w:sz="4" w:space="0" w:color="auto"/>
            </w:tcBorders>
            <w:vAlign w:val="center"/>
            <w:hideMark/>
          </w:tcPr>
          <w:p w14:paraId="673837D9" w14:textId="77777777" w:rsidR="00B56A7B" w:rsidRPr="00EC42E8" w:rsidRDefault="00B56A7B" w:rsidP="00CC47BD">
            <w:pPr>
              <w:pStyle w:val="Tabletext"/>
              <w:spacing w:before="20" w:after="20"/>
              <w:rPr>
                <w:b/>
                <w:bCs/>
                <w:sz w:val="18"/>
                <w:szCs w:val="18"/>
                <w:lang w:val="en-US" w:eastAsia="zh-CN"/>
              </w:rPr>
            </w:pPr>
            <w:r w:rsidRPr="00EC42E8">
              <w:rPr>
                <w:rFonts w:hint="eastAsia"/>
                <w:b/>
                <w:bCs/>
                <w:sz w:val="18"/>
                <w:szCs w:val="18"/>
                <w:lang w:val="en-US" w:eastAsia="zh-CN"/>
              </w:rPr>
              <w:t>财务业绩报告中显示的盈余</w:t>
            </w:r>
          </w:p>
        </w:tc>
        <w:tc>
          <w:tcPr>
            <w:tcW w:w="1358" w:type="dxa"/>
            <w:tcBorders>
              <w:top w:val="nil"/>
              <w:left w:val="nil"/>
              <w:bottom w:val="single" w:sz="8" w:space="0" w:color="auto"/>
              <w:right w:val="single" w:sz="8" w:space="0" w:color="auto"/>
            </w:tcBorders>
            <w:shd w:val="clear" w:color="auto" w:fill="auto"/>
            <w:vAlign w:val="center"/>
            <w:hideMark/>
          </w:tcPr>
          <w:p w14:paraId="72C37491" w14:textId="41A01BB2"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-18</w:t>
            </w:r>
            <w:r w:rsidR="00EC42E8" w:rsidRPr="00EC42E8">
              <w:rPr>
                <w:rFonts w:cs="Calibri"/>
                <w:b/>
                <w:bCs/>
                <w:color w:val="000000"/>
                <w:sz w:val="18"/>
                <w:szCs w:val="18"/>
              </w:rPr>
              <w:t> </w:t>
            </w:r>
            <w:r w:rsidRPr="00EC42E8">
              <w:rPr>
                <w:rFonts w:cs="Calibri"/>
                <w:b/>
                <w:bCs/>
                <w:color w:val="000000"/>
                <w:sz w:val="18"/>
                <w:szCs w:val="18"/>
              </w:rPr>
              <w:t>021</w:t>
            </w:r>
          </w:p>
        </w:tc>
        <w:tc>
          <w:tcPr>
            <w:tcW w:w="1358" w:type="dxa"/>
            <w:tcBorders>
              <w:top w:val="single" w:sz="8" w:space="0" w:color="auto"/>
              <w:left w:val="single" w:sz="4" w:space="0" w:color="auto"/>
              <w:bottom w:val="single" w:sz="8" w:space="0" w:color="auto"/>
              <w:right w:val="single" w:sz="8" w:space="0" w:color="auto"/>
            </w:tcBorders>
            <w:vAlign w:val="center"/>
            <w:hideMark/>
          </w:tcPr>
          <w:p w14:paraId="4F5BDEBA" w14:textId="388ACA70"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1</w:t>
            </w:r>
            <w:r w:rsidR="00EC42E8" w:rsidRPr="00EC42E8">
              <w:rPr>
                <w:rFonts w:cs="Calibri"/>
                <w:b/>
                <w:bCs/>
                <w:color w:val="000000"/>
                <w:sz w:val="18"/>
                <w:szCs w:val="18"/>
              </w:rPr>
              <w:t> </w:t>
            </w:r>
            <w:r w:rsidRPr="00EC42E8">
              <w:rPr>
                <w:rFonts w:cs="Calibri"/>
                <w:b/>
                <w:bCs/>
                <w:color w:val="000000"/>
                <w:sz w:val="18"/>
                <w:szCs w:val="18"/>
              </w:rPr>
              <w:t>772</w:t>
            </w:r>
          </w:p>
        </w:tc>
        <w:tc>
          <w:tcPr>
            <w:tcW w:w="1358" w:type="dxa"/>
            <w:tcBorders>
              <w:top w:val="single" w:sz="8" w:space="0" w:color="auto"/>
              <w:left w:val="single" w:sz="8" w:space="0" w:color="auto"/>
              <w:bottom w:val="single" w:sz="8" w:space="0" w:color="auto"/>
              <w:right w:val="single" w:sz="8" w:space="0" w:color="auto"/>
            </w:tcBorders>
            <w:vAlign w:val="center"/>
            <w:hideMark/>
          </w:tcPr>
          <w:p w14:paraId="127C6FBF" w14:textId="6C002CBD"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1</w:t>
            </w:r>
            <w:r w:rsidR="00EC42E8" w:rsidRPr="00EC42E8">
              <w:rPr>
                <w:rFonts w:cs="Calibri"/>
                <w:b/>
                <w:bCs/>
                <w:color w:val="000000"/>
                <w:sz w:val="18"/>
                <w:szCs w:val="18"/>
              </w:rPr>
              <w:t> </w:t>
            </w:r>
            <w:r w:rsidRPr="00EC42E8">
              <w:rPr>
                <w:rFonts w:cs="Calibri"/>
                <w:b/>
                <w:bCs/>
                <w:color w:val="000000"/>
                <w:sz w:val="18"/>
                <w:szCs w:val="18"/>
              </w:rPr>
              <w:t>391</w:t>
            </w:r>
          </w:p>
        </w:tc>
        <w:tc>
          <w:tcPr>
            <w:tcW w:w="1359" w:type="dxa"/>
            <w:tcBorders>
              <w:top w:val="nil"/>
              <w:left w:val="single" w:sz="8" w:space="0" w:color="auto"/>
              <w:bottom w:val="single" w:sz="8" w:space="0" w:color="auto"/>
              <w:right w:val="single" w:sz="8" w:space="0" w:color="auto"/>
            </w:tcBorders>
            <w:shd w:val="clear" w:color="auto" w:fill="auto"/>
            <w:vAlign w:val="center"/>
            <w:hideMark/>
          </w:tcPr>
          <w:p w14:paraId="4AD7B49F" w14:textId="5BDBA761" w:rsidR="00B56A7B" w:rsidRPr="00EC42E8" w:rsidRDefault="00B56A7B" w:rsidP="00CC47BD">
            <w:pPr>
              <w:overflowPunct/>
              <w:autoSpaceDE/>
              <w:autoSpaceDN/>
              <w:adjustRightInd/>
              <w:spacing w:before="0"/>
              <w:jc w:val="right"/>
              <w:textAlignment w:val="auto"/>
              <w:rPr>
                <w:rFonts w:cs="Calibri"/>
                <w:b/>
                <w:bCs/>
                <w:color w:val="000000"/>
                <w:sz w:val="18"/>
                <w:szCs w:val="18"/>
                <w:lang w:eastAsia="en-GB"/>
              </w:rPr>
            </w:pPr>
            <w:r w:rsidRPr="00EC42E8">
              <w:rPr>
                <w:rFonts w:cs="Calibri"/>
                <w:b/>
                <w:bCs/>
                <w:color w:val="000000"/>
                <w:sz w:val="18"/>
                <w:szCs w:val="18"/>
              </w:rPr>
              <w:t>-14</w:t>
            </w:r>
            <w:r w:rsidR="00EC42E8" w:rsidRPr="00EC42E8">
              <w:rPr>
                <w:rFonts w:cs="Calibri"/>
                <w:b/>
                <w:bCs/>
                <w:color w:val="000000"/>
                <w:sz w:val="18"/>
                <w:szCs w:val="18"/>
              </w:rPr>
              <w:t> </w:t>
            </w:r>
            <w:r w:rsidRPr="00EC42E8">
              <w:rPr>
                <w:rFonts w:cs="Calibri"/>
                <w:b/>
                <w:bCs/>
                <w:color w:val="000000"/>
                <w:sz w:val="18"/>
                <w:szCs w:val="18"/>
              </w:rPr>
              <w:t>858</w:t>
            </w:r>
          </w:p>
        </w:tc>
      </w:tr>
    </w:tbl>
    <w:p w14:paraId="3BAC6CDB" w14:textId="77777777" w:rsidR="00B56A7B" w:rsidRPr="000C156A" w:rsidRDefault="00B56A7B" w:rsidP="00B56A7B">
      <w:pPr>
        <w:pStyle w:val="Heading1"/>
        <w:spacing w:before="240" w:after="120"/>
        <w:rPr>
          <w:sz w:val="24"/>
          <w:szCs w:val="24"/>
          <w:lang w:val="fr-FR"/>
        </w:rPr>
      </w:pPr>
      <w:bookmarkStart w:id="1207" w:name="_Toc482892588"/>
      <w:bookmarkStart w:id="1208" w:name="_Toc387089406"/>
      <w:bookmarkStart w:id="1209" w:name="_Toc329165811"/>
      <w:bookmarkStart w:id="1210" w:name="_Toc511817855"/>
      <w:bookmarkStart w:id="1211" w:name="_Toc520280755"/>
      <w:bookmarkStart w:id="1212" w:name="_Toc10536849"/>
      <w:bookmarkStart w:id="1213" w:name="_Toc41905901"/>
      <w:bookmarkStart w:id="1214" w:name="_Toc41906922"/>
      <w:bookmarkStart w:id="1215" w:name="_Toc41908071"/>
      <w:bookmarkStart w:id="1216" w:name="_Toc73518729"/>
      <w:bookmarkStart w:id="1217" w:name="_Toc73518876"/>
      <w:bookmarkStart w:id="1218" w:name="_Toc73519276"/>
      <w:bookmarkStart w:id="1219" w:name="_Toc110264023"/>
      <w:bookmarkStart w:id="1220" w:name="_Toc110264102"/>
      <w:bookmarkStart w:id="1221" w:name="_Toc110265747"/>
      <w:bookmarkStart w:id="1222" w:name="_Toc110330117"/>
      <w:bookmarkStart w:id="1223" w:name="_Toc110330282"/>
      <w:bookmarkStart w:id="1224" w:name="_Toc329011661"/>
      <w:bookmarkStart w:id="1225" w:name="_Toc305764119"/>
      <w:r w:rsidRPr="000C156A">
        <w:rPr>
          <w:rFonts w:cs="Microsoft YaHei" w:hint="eastAsia"/>
          <w:sz w:val="24"/>
          <w:szCs w:val="24"/>
          <w:lang w:val="fr-FR"/>
        </w:rPr>
        <w:t>说明</w:t>
      </w:r>
      <w:r w:rsidRPr="000C156A">
        <w:rPr>
          <w:sz w:val="24"/>
          <w:szCs w:val="24"/>
          <w:lang w:val="fr-FR"/>
        </w:rPr>
        <w:t>27</w:t>
      </w:r>
      <w:r w:rsidRPr="000C156A">
        <w:rPr>
          <w:sz w:val="24"/>
          <w:szCs w:val="24"/>
          <w:lang w:val="fr-FR"/>
        </w:rPr>
        <w:tab/>
      </w:r>
      <w:r w:rsidRPr="000C156A">
        <w:rPr>
          <w:rFonts w:cs="Microsoft YaHei" w:hint="eastAsia"/>
          <w:sz w:val="24"/>
          <w:szCs w:val="24"/>
          <w:lang w:val="fr-FR"/>
        </w:rPr>
        <w:t>相关方的披露</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14:paraId="60D8D8DC" w14:textId="77777777" w:rsidR="00B56A7B" w:rsidRPr="000C156A" w:rsidRDefault="00B56A7B" w:rsidP="00B56A7B">
      <w:pPr>
        <w:ind w:firstLineChars="200" w:firstLine="480"/>
        <w:rPr>
          <w:lang w:val="fr-FR" w:eastAsia="zh-CN"/>
        </w:rPr>
      </w:pPr>
      <w:r w:rsidRPr="000C156A">
        <w:rPr>
          <w:rFonts w:hint="eastAsia"/>
          <w:lang w:eastAsia="zh-CN"/>
        </w:rPr>
        <w:t>下述实体被视作相关方</w:t>
      </w:r>
      <w:r w:rsidRPr="000C156A">
        <w:rPr>
          <w:rFonts w:hint="eastAsia"/>
          <w:lang w:val="fr-FR" w:eastAsia="zh-CN"/>
        </w:rPr>
        <w:t>：</w:t>
      </w:r>
    </w:p>
    <w:p w14:paraId="7A045ED0" w14:textId="77777777" w:rsidR="00B56A7B" w:rsidRPr="000C156A" w:rsidRDefault="00B56A7B" w:rsidP="00B56A7B">
      <w:pPr>
        <w:pStyle w:val="enumlev1"/>
        <w:rPr>
          <w:lang w:val="fr-FR" w:eastAsia="zh-CN"/>
        </w:rPr>
      </w:pPr>
      <w:r w:rsidRPr="000C156A">
        <w:rPr>
          <w:lang w:val="fr-FR" w:eastAsia="zh-CN"/>
        </w:rPr>
        <w:t>–</w:t>
      </w:r>
      <w:r w:rsidRPr="000C156A">
        <w:rPr>
          <w:lang w:val="fr-FR" w:eastAsia="zh-CN"/>
        </w:rPr>
        <w:tab/>
      </w:r>
      <w:r w:rsidRPr="000C156A">
        <w:rPr>
          <w:rFonts w:hint="eastAsia"/>
          <w:lang w:eastAsia="zh-CN"/>
        </w:rPr>
        <w:t>联合国合办职员养恤基金</w:t>
      </w:r>
      <w:r w:rsidRPr="000C156A">
        <w:rPr>
          <w:rFonts w:hint="eastAsia"/>
          <w:lang w:val="fr-FR" w:eastAsia="zh-CN"/>
        </w:rPr>
        <w:t>（</w:t>
      </w:r>
      <w:r w:rsidRPr="000C156A">
        <w:rPr>
          <w:lang w:val="fr-FR" w:eastAsia="zh-CN"/>
        </w:rPr>
        <w:t>UNJSPF</w:t>
      </w:r>
      <w:r w:rsidRPr="000C156A">
        <w:rPr>
          <w:rFonts w:hint="eastAsia"/>
          <w:lang w:val="fr-FR" w:eastAsia="zh-CN"/>
        </w:rPr>
        <w:t>）</w:t>
      </w:r>
      <w:r w:rsidRPr="000C156A">
        <w:rPr>
          <w:rFonts w:hint="eastAsia"/>
          <w:lang w:eastAsia="zh-CN"/>
        </w:rPr>
        <w:t>。</w:t>
      </w:r>
    </w:p>
    <w:p w14:paraId="14B64B2D" w14:textId="77777777" w:rsidR="00B56A7B" w:rsidRPr="000C156A" w:rsidRDefault="00B56A7B" w:rsidP="00B56A7B">
      <w:pPr>
        <w:ind w:firstLineChars="200" w:firstLine="480"/>
        <w:rPr>
          <w:lang w:val="fr-FR" w:eastAsia="zh-CN"/>
        </w:rPr>
      </w:pPr>
      <w:r w:rsidRPr="000C156A">
        <w:rPr>
          <w:rFonts w:hint="eastAsia"/>
          <w:lang w:eastAsia="zh-CN"/>
        </w:rPr>
        <w:t>国际电联理事会由</w:t>
      </w:r>
      <w:r w:rsidRPr="000C156A">
        <w:rPr>
          <w:lang w:val="fr-FR" w:eastAsia="zh-CN"/>
        </w:rPr>
        <w:t>48</w:t>
      </w:r>
      <w:r w:rsidRPr="000C156A">
        <w:rPr>
          <w:rFonts w:hint="eastAsia"/>
          <w:lang w:eastAsia="zh-CN"/>
        </w:rPr>
        <w:t>个成员国组成</w:t>
      </w:r>
      <w:r w:rsidRPr="000C156A">
        <w:rPr>
          <w:rFonts w:hint="eastAsia"/>
          <w:lang w:val="fr-FR" w:eastAsia="zh-CN"/>
        </w:rPr>
        <w:t>，</w:t>
      </w:r>
      <w:r w:rsidRPr="000C156A">
        <w:rPr>
          <w:rFonts w:hint="eastAsia"/>
          <w:lang w:eastAsia="zh-CN"/>
        </w:rPr>
        <w:t>未指定具体个人为代表。</w:t>
      </w:r>
    </w:p>
    <w:p w14:paraId="306EA955" w14:textId="77777777" w:rsidR="00B56A7B" w:rsidRPr="000C156A" w:rsidRDefault="00B56A7B" w:rsidP="00B56A7B">
      <w:pPr>
        <w:ind w:firstLineChars="200" w:firstLine="480"/>
        <w:rPr>
          <w:lang w:eastAsia="zh-CN"/>
        </w:rPr>
      </w:pPr>
      <w:r w:rsidRPr="000C156A">
        <w:rPr>
          <w:rFonts w:hint="eastAsia"/>
          <w:lang w:eastAsia="zh-CN"/>
        </w:rPr>
        <w:t>国际电联由秘书长作为执行长官负责管理</w:t>
      </w:r>
      <w:r w:rsidRPr="000C156A">
        <w:rPr>
          <w:rFonts w:hint="eastAsia"/>
          <w:lang w:val="fr-FR" w:eastAsia="zh-CN"/>
        </w:rPr>
        <w:t>，</w:t>
      </w:r>
      <w:r w:rsidRPr="000C156A">
        <w:rPr>
          <w:rFonts w:hint="eastAsia"/>
          <w:lang w:eastAsia="zh-CN"/>
        </w:rPr>
        <w:t>并由副秘书长及国际电联三个部门的主任</w:t>
      </w:r>
      <w:r w:rsidRPr="000C156A">
        <w:rPr>
          <w:rFonts w:hint="eastAsia"/>
          <w:lang w:val="fr-FR" w:eastAsia="zh-CN"/>
        </w:rPr>
        <w:t>（</w:t>
      </w:r>
      <w:r w:rsidRPr="000C156A">
        <w:rPr>
          <w:rFonts w:hint="eastAsia"/>
          <w:lang w:eastAsia="zh-CN"/>
        </w:rPr>
        <w:t>组成协调委员会的高级官员</w:t>
      </w:r>
      <w:r w:rsidRPr="000C156A">
        <w:rPr>
          <w:rFonts w:hint="eastAsia"/>
          <w:lang w:val="fr-FR" w:eastAsia="zh-CN"/>
        </w:rPr>
        <w:t>）</w:t>
      </w:r>
      <w:r w:rsidRPr="000C156A">
        <w:rPr>
          <w:rFonts w:hint="eastAsia"/>
          <w:lang w:eastAsia="zh-CN"/>
        </w:rPr>
        <w:t>协助管理。三个部门分别为：无线电通信部门（</w:t>
      </w:r>
      <w:r w:rsidRPr="000C156A">
        <w:rPr>
          <w:lang w:eastAsia="zh-CN"/>
        </w:rPr>
        <w:t>ITU-R</w:t>
      </w:r>
      <w:r w:rsidRPr="000C156A">
        <w:rPr>
          <w:rFonts w:hint="eastAsia"/>
          <w:lang w:eastAsia="zh-CN"/>
        </w:rPr>
        <w:t>）、电信标准化部门（</w:t>
      </w:r>
      <w:r w:rsidRPr="000C156A">
        <w:rPr>
          <w:lang w:eastAsia="zh-CN"/>
        </w:rPr>
        <w:t>ITU-T</w:t>
      </w:r>
      <w:r w:rsidRPr="000C156A">
        <w:rPr>
          <w:rFonts w:hint="eastAsia"/>
          <w:lang w:eastAsia="zh-CN"/>
        </w:rPr>
        <w:t>）和电信发展部门（</w:t>
      </w:r>
      <w:r w:rsidRPr="000C156A">
        <w:rPr>
          <w:lang w:eastAsia="zh-CN"/>
        </w:rPr>
        <w:t>ITU-D</w:t>
      </w:r>
      <w:r w:rsidRPr="000C156A">
        <w:rPr>
          <w:rFonts w:hint="eastAsia"/>
          <w:lang w:eastAsia="zh-CN"/>
        </w:rPr>
        <w:t>），五位选任官员的工作得到四位</w:t>
      </w:r>
      <w:r w:rsidRPr="000C156A">
        <w:rPr>
          <w:lang w:eastAsia="zh-CN"/>
        </w:rPr>
        <w:t>D2</w:t>
      </w:r>
      <w:r w:rsidRPr="000C156A">
        <w:rPr>
          <w:rFonts w:hint="eastAsia"/>
          <w:lang w:eastAsia="zh-CN"/>
        </w:rPr>
        <w:t>级高官以及其它</w:t>
      </w:r>
      <w:r>
        <w:rPr>
          <w:rFonts w:hint="eastAsia"/>
          <w:lang w:eastAsia="zh-CN"/>
        </w:rPr>
        <w:t>21</w:t>
      </w:r>
      <w:r w:rsidRPr="000C156A">
        <w:rPr>
          <w:rFonts w:hint="eastAsia"/>
          <w:lang w:eastAsia="zh-CN"/>
        </w:rPr>
        <w:t>位</w:t>
      </w:r>
      <w:r w:rsidRPr="000C156A">
        <w:rPr>
          <w:lang w:eastAsia="zh-CN"/>
        </w:rPr>
        <w:t>D1</w:t>
      </w:r>
      <w:r w:rsidRPr="000C156A">
        <w:rPr>
          <w:rFonts w:hint="eastAsia"/>
          <w:lang w:eastAsia="zh-CN"/>
        </w:rPr>
        <w:t>级管理层官员（部门负责人或处长）的辅佐。</w:t>
      </w:r>
    </w:p>
    <w:p w14:paraId="2062ED42" w14:textId="77777777" w:rsidR="00B56A7B" w:rsidRPr="000C156A" w:rsidRDefault="00B56A7B" w:rsidP="00B56A7B">
      <w:pPr>
        <w:ind w:firstLineChars="200" w:firstLine="480"/>
        <w:rPr>
          <w:lang w:eastAsia="zh-CN"/>
        </w:rPr>
      </w:pPr>
      <w:r w:rsidRPr="000C156A">
        <w:rPr>
          <w:rFonts w:hint="eastAsia"/>
          <w:lang w:eastAsia="zh-CN"/>
        </w:rPr>
        <w:t>向核心管理层官员支付的全部薪酬包括：基本工资、任职地点补贴调整数以及交际费、安置津贴、离任归国补助金、积存年假、住房补贴和个人财物的运送等各项补贴。</w:t>
      </w:r>
    </w:p>
    <w:p w14:paraId="0E34CC7B" w14:textId="77777777" w:rsidR="00B56A7B" w:rsidRPr="000C156A" w:rsidRDefault="00B56A7B" w:rsidP="00B56A7B">
      <w:pPr>
        <w:ind w:firstLineChars="200" w:firstLine="480"/>
        <w:rPr>
          <w:lang w:eastAsia="zh-CN"/>
        </w:rPr>
      </w:pPr>
      <w:r w:rsidRPr="000C156A">
        <w:rPr>
          <w:rFonts w:hint="eastAsia"/>
          <w:lang w:eastAsia="zh-CN"/>
        </w:rPr>
        <w:t>此外，核心管理层官员还享有与专业类职员相同的福利，即：</w:t>
      </w:r>
    </w:p>
    <w:p w14:paraId="1A953372" w14:textId="77777777" w:rsidR="00B56A7B" w:rsidRPr="000C156A" w:rsidRDefault="00B56A7B" w:rsidP="00B56A7B">
      <w:pPr>
        <w:pStyle w:val="enumlev1"/>
        <w:rPr>
          <w:lang w:eastAsia="zh-CN"/>
        </w:rPr>
      </w:pPr>
      <w:r w:rsidRPr="000C156A">
        <w:rPr>
          <w:lang w:eastAsia="zh-CN"/>
        </w:rPr>
        <w:t>–</w:t>
      </w:r>
      <w:r w:rsidRPr="000C156A">
        <w:rPr>
          <w:lang w:eastAsia="zh-CN"/>
        </w:rPr>
        <w:tab/>
      </w:r>
      <w:r w:rsidRPr="000C156A">
        <w:rPr>
          <w:rFonts w:hint="eastAsia"/>
          <w:lang w:eastAsia="zh-CN"/>
        </w:rPr>
        <w:t>归国探亲假；</w:t>
      </w:r>
    </w:p>
    <w:p w14:paraId="68E36F0F" w14:textId="77777777" w:rsidR="00B56A7B" w:rsidRPr="000C156A" w:rsidRDefault="00B56A7B" w:rsidP="00B56A7B">
      <w:pPr>
        <w:pStyle w:val="enumlev1"/>
        <w:rPr>
          <w:lang w:eastAsia="zh-CN"/>
        </w:rPr>
      </w:pPr>
      <w:r w:rsidRPr="000C156A">
        <w:rPr>
          <w:lang w:eastAsia="zh-CN"/>
        </w:rPr>
        <w:t>–</w:t>
      </w:r>
      <w:r w:rsidRPr="000C156A">
        <w:rPr>
          <w:lang w:eastAsia="zh-CN"/>
        </w:rPr>
        <w:tab/>
      </w:r>
      <w:r w:rsidRPr="000C156A">
        <w:rPr>
          <w:rFonts w:hint="eastAsia"/>
          <w:lang w:eastAsia="zh-CN"/>
        </w:rPr>
        <w:t>教育补助金；</w:t>
      </w:r>
    </w:p>
    <w:p w14:paraId="782879B3" w14:textId="77777777" w:rsidR="00B56A7B" w:rsidRPr="000C156A" w:rsidRDefault="00B56A7B" w:rsidP="00B56A7B">
      <w:pPr>
        <w:pStyle w:val="enumlev1"/>
        <w:rPr>
          <w:lang w:eastAsia="zh-CN"/>
        </w:rPr>
      </w:pPr>
      <w:r w:rsidRPr="000C156A">
        <w:rPr>
          <w:lang w:eastAsia="zh-CN"/>
        </w:rPr>
        <w:t>–</w:t>
      </w:r>
      <w:r w:rsidRPr="000C156A">
        <w:rPr>
          <w:lang w:eastAsia="zh-CN"/>
        </w:rPr>
        <w:tab/>
      </w:r>
      <w:r w:rsidRPr="000C156A">
        <w:rPr>
          <w:rFonts w:hint="eastAsia"/>
          <w:lang w:eastAsia="zh-CN"/>
        </w:rPr>
        <w:t>离职后福利。</w:t>
      </w:r>
    </w:p>
    <w:p w14:paraId="43D1AD68" w14:textId="77777777" w:rsidR="00B56A7B" w:rsidRPr="000C156A" w:rsidRDefault="00B56A7B" w:rsidP="00B56A7B">
      <w:pPr>
        <w:ind w:firstLineChars="200" w:firstLine="480"/>
        <w:rPr>
          <w:lang w:eastAsia="zh-CN"/>
        </w:rPr>
      </w:pPr>
      <w:r w:rsidRPr="000C156A">
        <w:rPr>
          <w:rFonts w:hint="eastAsia"/>
          <w:lang w:eastAsia="zh-CN"/>
        </w:rPr>
        <w:t>这些福利无法以可靠方式单独量化。</w:t>
      </w:r>
    </w:p>
    <w:p w14:paraId="5DF63F7A" w14:textId="77777777" w:rsidR="00B56A7B" w:rsidRPr="000C156A" w:rsidRDefault="00B56A7B" w:rsidP="00B56A7B">
      <w:pPr>
        <w:spacing w:after="240"/>
        <w:ind w:firstLineChars="200" w:firstLine="480"/>
        <w:rPr>
          <w:lang w:eastAsia="zh-CN"/>
        </w:rPr>
      </w:pPr>
      <w:r w:rsidRPr="000C156A">
        <w:rPr>
          <w:rFonts w:hint="eastAsia"/>
          <w:lang w:eastAsia="zh-CN"/>
        </w:rPr>
        <w:t>核心管理层官员均为联合国合办职员养恤基金的普通参加者。</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9"/>
        <w:gridCol w:w="1162"/>
        <w:gridCol w:w="1457"/>
        <w:gridCol w:w="1200"/>
        <w:gridCol w:w="1457"/>
      </w:tblGrid>
      <w:tr w:rsidR="00B56A7B" w:rsidRPr="000C156A" w14:paraId="1056EE7E" w14:textId="77777777" w:rsidTr="00CC47BD">
        <w:trPr>
          <w:jc w:val="center"/>
        </w:trPr>
        <w:tc>
          <w:tcPr>
            <w:tcW w:w="4329" w:type="dxa"/>
            <w:tcBorders>
              <w:top w:val="single" w:sz="4" w:space="0" w:color="auto"/>
              <w:left w:val="single" w:sz="4" w:space="0" w:color="auto"/>
              <w:bottom w:val="nil"/>
              <w:right w:val="single" w:sz="4" w:space="0" w:color="auto"/>
            </w:tcBorders>
          </w:tcPr>
          <w:p w14:paraId="4AEE1D36" w14:textId="77777777" w:rsidR="00B56A7B" w:rsidRPr="000C156A" w:rsidRDefault="00B56A7B" w:rsidP="00CC47BD">
            <w:pPr>
              <w:pStyle w:val="Tabletext"/>
              <w:spacing w:before="20" w:after="20"/>
              <w:rPr>
                <w:b/>
                <w:bCs/>
                <w:szCs w:val="22"/>
                <w:lang w:val="en-US" w:eastAsia="zh-CN"/>
              </w:rPr>
            </w:pPr>
          </w:p>
        </w:tc>
        <w:tc>
          <w:tcPr>
            <w:tcW w:w="2619" w:type="dxa"/>
            <w:gridSpan w:val="2"/>
            <w:tcBorders>
              <w:top w:val="single" w:sz="4" w:space="0" w:color="auto"/>
              <w:left w:val="single" w:sz="4" w:space="0" w:color="auto"/>
              <w:bottom w:val="nil"/>
              <w:right w:val="single" w:sz="4" w:space="0" w:color="auto"/>
            </w:tcBorders>
            <w:hideMark/>
          </w:tcPr>
          <w:p w14:paraId="2BE37E0E" w14:textId="77777777" w:rsidR="00B56A7B" w:rsidRPr="000C156A" w:rsidRDefault="00B56A7B" w:rsidP="00CC47BD">
            <w:pPr>
              <w:pStyle w:val="Tabletext"/>
              <w:spacing w:before="20" w:after="20"/>
              <w:jc w:val="center"/>
              <w:rPr>
                <w:b/>
                <w:bCs/>
                <w:szCs w:val="22"/>
                <w:lang w:val="en-US"/>
              </w:rPr>
            </w:pPr>
            <w:r w:rsidRPr="000C156A">
              <w:rPr>
                <w:b/>
                <w:bCs/>
                <w:szCs w:val="22"/>
                <w:lang w:val="en-US"/>
              </w:rPr>
              <w:t>20</w:t>
            </w:r>
            <w:r w:rsidRPr="000C156A">
              <w:rPr>
                <w:rFonts w:hint="eastAsia"/>
                <w:b/>
                <w:bCs/>
                <w:szCs w:val="22"/>
                <w:lang w:val="en-US" w:eastAsia="zh-CN"/>
              </w:rPr>
              <w:t>2</w:t>
            </w:r>
            <w:r>
              <w:rPr>
                <w:rFonts w:hint="eastAsia"/>
                <w:b/>
                <w:bCs/>
                <w:szCs w:val="22"/>
                <w:lang w:val="en-US" w:eastAsia="zh-CN"/>
              </w:rPr>
              <w:t>1</w:t>
            </w:r>
            <w:r w:rsidRPr="000C156A">
              <w:rPr>
                <w:rFonts w:ascii="SimSun" w:hAnsi="SimSun" w:cs="SimSun" w:hint="eastAsia"/>
                <w:b/>
                <w:bCs/>
                <w:szCs w:val="22"/>
                <w:lang w:val="en-US"/>
              </w:rPr>
              <w:t>年</w:t>
            </w:r>
            <w:r w:rsidRPr="000C156A">
              <w:rPr>
                <w:b/>
                <w:bCs/>
                <w:szCs w:val="22"/>
                <w:lang w:val="en-US"/>
              </w:rPr>
              <w:t>12</w:t>
            </w:r>
            <w:r w:rsidRPr="000C156A">
              <w:rPr>
                <w:rFonts w:ascii="SimSun" w:hAnsi="SimSun" w:cs="SimSun" w:hint="eastAsia"/>
                <w:b/>
                <w:bCs/>
                <w:szCs w:val="22"/>
                <w:lang w:val="en-US"/>
              </w:rPr>
              <w:t>月</w:t>
            </w:r>
            <w:r w:rsidRPr="000C156A">
              <w:rPr>
                <w:b/>
                <w:bCs/>
                <w:szCs w:val="22"/>
                <w:lang w:val="en-US"/>
              </w:rPr>
              <w:t>31</w:t>
            </w:r>
            <w:r w:rsidRPr="000C156A">
              <w:rPr>
                <w:rFonts w:ascii="SimSun" w:hAnsi="SimSun" w:cs="SimSun" w:hint="eastAsia"/>
                <w:b/>
                <w:bCs/>
                <w:szCs w:val="22"/>
                <w:lang w:val="en-US"/>
              </w:rPr>
              <w:t>日</w:t>
            </w:r>
          </w:p>
        </w:tc>
        <w:tc>
          <w:tcPr>
            <w:tcW w:w="2657" w:type="dxa"/>
            <w:gridSpan w:val="2"/>
            <w:tcBorders>
              <w:top w:val="single" w:sz="4" w:space="0" w:color="auto"/>
              <w:left w:val="single" w:sz="4" w:space="0" w:color="auto"/>
              <w:bottom w:val="nil"/>
              <w:right w:val="single" w:sz="4" w:space="0" w:color="auto"/>
            </w:tcBorders>
            <w:hideMark/>
          </w:tcPr>
          <w:p w14:paraId="5167A5F8" w14:textId="77777777" w:rsidR="00B56A7B" w:rsidRPr="000C156A" w:rsidRDefault="00B56A7B" w:rsidP="00CC47BD">
            <w:pPr>
              <w:pStyle w:val="Tabletext"/>
              <w:spacing w:before="20" w:after="20"/>
              <w:jc w:val="center"/>
              <w:rPr>
                <w:b/>
                <w:bCs/>
                <w:szCs w:val="22"/>
                <w:lang w:val="en-US"/>
              </w:rPr>
            </w:pPr>
            <w:r>
              <w:rPr>
                <w:b/>
                <w:bCs/>
                <w:szCs w:val="22"/>
                <w:lang w:val="en-US"/>
              </w:rPr>
              <w:t>2020</w:t>
            </w:r>
            <w:r w:rsidRPr="000C156A">
              <w:rPr>
                <w:rFonts w:ascii="SimSun" w:hAnsi="SimSun" w:cs="SimSun" w:hint="eastAsia"/>
                <w:b/>
                <w:bCs/>
                <w:szCs w:val="22"/>
                <w:lang w:val="en-US"/>
              </w:rPr>
              <w:t>年</w:t>
            </w:r>
            <w:r w:rsidRPr="000C156A">
              <w:rPr>
                <w:b/>
                <w:bCs/>
                <w:szCs w:val="22"/>
                <w:lang w:val="en-US"/>
              </w:rPr>
              <w:t>12</w:t>
            </w:r>
            <w:r w:rsidRPr="000C156A">
              <w:rPr>
                <w:rFonts w:ascii="SimSun" w:hAnsi="SimSun" w:cs="SimSun" w:hint="eastAsia"/>
                <w:b/>
                <w:bCs/>
                <w:szCs w:val="22"/>
                <w:lang w:val="en-US"/>
              </w:rPr>
              <w:t>月</w:t>
            </w:r>
            <w:r w:rsidRPr="000C156A">
              <w:rPr>
                <w:b/>
                <w:bCs/>
                <w:szCs w:val="22"/>
                <w:lang w:val="en-US"/>
              </w:rPr>
              <w:t>31</w:t>
            </w:r>
            <w:r w:rsidRPr="000C156A">
              <w:rPr>
                <w:rFonts w:ascii="SimSun" w:hAnsi="SimSun" w:cs="SimSun" w:hint="eastAsia"/>
                <w:b/>
                <w:bCs/>
                <w:szCs w:val="22"/>
                <w:lang w:val="en-US"/>
              </w:rPr>
              <w:t>日</w:t>
            </w:r>
          </w:p>
        </w:tc>
      </w:tr>
      <w:tr w:rsidR="00B56A7B" w:rsidRPr="000C156A" w14:paraId="49D1E681" w14:textId="77777777" w:rsidTr="00CC47BD">
        <w:trPr>
          <w:jc w:val="center"/>
        </w:trPr>
        <w:tc>
          <w:tcPr>
            <w:tcW w:w="4329" w:type="dxa"/>
            <w:tcBorders>
              <w:top w:val="nil"/>
              <w:left w:val="single" w:sz="4" w:space="0" w:color="auto"/>
              <w:bottom w:val="single" w:sz="8" w:space="0" w:color="auto"/>
              <w:right w:val="single" w:sz="4" w:space="0" w:color="auto"/>
            </w:tcBorders>
            <w:hideMark/>
          </w:tcPr>
          <w:p w14:paraId="7208119E" w14:textId="77777777" w:rsidR="00B56A7B" w:rsidRPr="000C156A" w:rsidRDefault="00B56A7B" w:rsidP="00CC47BD">
            <w:pPr>
              <w:pStyle w:val="Tabletext"/>
              <w:spacing w:before="20" w:after="20"/>
              <w:rPr>
                <w:szCs w:val="22"/>
                <w:lang w:val="en-US"/>
              </w:rPr>
            </w:pPr>
            <w:r w:rsidRPr="000C156A">
              <w:rPr>
                <w:rFonts w:ascii="SimSun" w:hAnsi="SimSun" w:cs="SimSun" w:hint="eastAsia"/>
                <w:b/>
                <w:bCs/>
                <w:szCs w:val="22"/>
                <w:lang w:val="en-US"/>
              </w:rPr>
              <w:t>单位：千瑞郎</w:t>
            </w:r>
          </w:p>
        </w:tc>
        <w:tc>
          <w:tcPr>
            <w:tcW w:w="1162" w:type="dxa"/>
            <w:tcBorders>
              <w:top w:val="nil"/>
              <w:left w:val="single" w:sz="4" w:space="0" w:color="auto"/>
              <w:bottom w:val="single" w:sz="8" w:space="0" w:color="auto"/>
              <w:right w:val="nil"/>
            </w:tcBorders>
            <w:hideMark/>
          </w:tcPr>
          <w:p w14:paraId="3A98BCEE" w14:textId="77777777" w:rsidR="00B56A7B" w:rsidRPr="000C156A" w:rsidRDefault="00B56A7B" w:rsidP="00CC47BD">
            <w:pPr>
              <w:pStyle w:val="Tabletext"/>
              <w:spacing w:before="20" w:after="20"/>
              <w:jc w:val="center"/>
              <w:rPr>
                <w:b/>
                <w:bCs/>
                <w:szCs w:val="22"/>
                <w:lang w:val="en-US"/>
              </w:rPr>
            </w:pPr>
            <w:r w:rsidRPr="000C156A">
              <w:rPr>
                <w:rFonts w:hint="eastAsia"/>
                <w:b/>
                <w:bCs/>
                <w:szCs w:val="22"/>
                <w:lang w:val="en-US"/>
              </w:rPr>
              <w:t>人数</w:t>
            </w:r>
          </w:p>
        </w:tc>
        <w:tc>
          <w:tcPr>
            <w:tcW w:w="1457" w:type="dxa"/>
            <w:tcBorders>
              <w:top w:val="nil"/>
              <w:left w:val="nil"/>
              <w:bottom w:val="single" w:sz="8" w:space="0" w:color="auto"/>
              <w:right w:val="single" w:sz="4" w:space="0" w:color="auto"/>
            </w:tcBorders>
            <w:hideMark/>
          </w:tcPr>
          <w:p w14:paraId="1094CAE9" w14:textId="77777777" w:rsidR="00B56A7B" w:rsidRPr="000C156A" w:rsidRDefault="00B56A7B" w:rsidP="00CC47BD">
            <w:pPr>
              <w:pStyle w:val="Tabletext"/>
              <w:spacing w:before="20" w:after="20"/>
              <w:jc w:val="center"/>
              <w:rPr>
                <w:b/>
                <w:bCs/>
                <w:szCs w:val="22"/>
                <w:lang w:val="en-US"/>
              </w:rPr>
            </w:pPr>
            <w:r w:rsidRPr="000C156A">
              <w:rPr>
                <w:rFonts w:hint="eastAsia"/>
                <w:b/>
                <w:bCs/>
                <w:szCs w:val="22"/>
                <w:lang w:val="en-US"/>
              </w:rPr>
              <w:t>总薪酬</w:t>
            </w:r>
          </w:p>
        </w:tc>
        <w:tc>
          <w:tcPr>
            <w:tcW w:w="1200" w:type="dxa"/>
            <w:tcBorders>
              <w:top w:val="nil"/>
              <w:left w:val="single" w:sz="4" w:space="0" w:color="auto"/>
              <w:bottom w:val="single" w:sz="8" w:space="0" w:color="auto"/>
              <w:right w:val="nil"/>
            </w:tcBorders>
            <w:hideMark/>
          </w:tcPr>
          <w:p w14:paraId="3738F4F5" w14:textId="77777777" w:rsidR="00B56A7B" w:rsidRPr="000C156A" w:rsidRDefault="00B56A7B" w:rsidP="00CC47BD">
            <w:pPr>
              <w:pStyle w:val="Tabletext"/>
              <w:spacing w:before="20" w:after="20"/>
              <w:jc w:val="center"/>
              <w:rPr>
                <w:b/>
                <w:bCs/>
                <w:szCs w:val="22"/>
                <w:lang w:val="en-US"/>
              </w:rPr>
            </w:pPr>
            <w:r w:rsidRPr="000C156A">
              <w:rPr>
                <w:rFonts w:hint="eastAsia"/>
                <w:b/>
                <w:bCs/>
                <w:szCs w:val="22"/>
                <w:lang w:val="en-US"/>
              </w:rPr>
              <w:t>人数</w:t>
            </w:r>
          </w:p>
        </w:tc>
        <w:tc>
          <w:tcPr>
            <w:tcW w:w="1457" w:type="dxa"/>
            <w:tcBorders>
              <w:top w:val="nil"/>
              <w:left w:val="nil"/>
              <w:bottom w:val="single" w:sz="8" w:space="0" w:color="auto"/>
              <w:right w:val="single" w:sz="4" w:space="0" w:color="auto"/>
            </w:tcBorders>
            <w:hideMark/>
          </w:tcPr>
          <w:p w14:paraId="1F1A2A35" w14:textId="77777777" w:rsidR="00B56A7B" w:rsidRPr="000C156A" w:rsidRDefault="00B56A7B" w:rsidP="00CC47BD">
            <w:pPr>
              <w:pStyle w:val="Tabletext"/>
              <w:spacing w:before="20" w:after="20"/>
              <w:jc w:val="center"/>
              <w:rPr>
                <w:b/>
                <w:bCs/>
                <w:szCs w:val="22"/>
                <w:lang w:val="en-US"/>
              </w:rPr>
            </w:pPr>
            <w:r w:rsidRPr="000C156A">
              <w:rPr>
                <w:rFonts w:hint="eastAsia"/>
                <w:b/>
                <w:bCs/>
                <w:szCs w:val="22"/>
                <w:lang w:val="en-US"/>
              </w:rPr>
              <w:t>总薪酬</w:t>
            </w:r>
          </w:p>
        </w:tc>
      </w:tr>
      <w:tr w:rsidR="00B56A7B" w:rsidRPr="000C156A" w14:paraId="5EB3400B" w14:textId="77777777" w:rsidTr="00CC47BD">
        <w:trPr>
          <w:jc w:val="center"/>
        </w:trPr>
        <w:tc>
          <w:tcPr>
            <w:tcW w:w="4329" w:type="dxa"/>
            <w:tcBorders>
              <w:top w:val="single" w:sz="8" w:space="0" w:color="auto"/>
              <w:left w:val="single" w:sz="4" w:space="0" w:color="auto"/>
              <w:bottom w:val="single" w:sz="8" w:space="0" w:color="auto"/>
              <w:right w:val="single" w:sz="4" w:space="0" w:color="auto"/>
            </w:tcBorders>
            <w:hideMark/>
          </w:tcPr>
          <w:p w14:paraId="1484C5FF" w14:textId="77777777" w:rsidR="00B56A7B" w:rsidRPr="000C156A" w:rsidRDefault="00B56A7B" w:rsidP="00CC47BD">
            <w:pPr>
              <w:pStyle w:val="Tabletext"/>
              <w:spacing w:before="20" w:after="20"/>
              <w:rPr>
                <w:rFonts w:eastAsia="Calibri"/>
                <w:szCs w:val="22"/>
                <w:lang w:val="en-US"/>
              </w:rPr>
            </w:pPr>
            <w:r w:rsidRPr="000C156A">
              <w:rPr>
                <w:rFonts w:eastAsia="Calibri"/>
                <w:szCs w:val="22"/>
                <w:lang w:val="en-US"/>
              </w:rPr>
              <w:t>5</w:t>
            </w:r>
            <w:r w:rsidRPr="000C156A">
              <w:rPr>
                <w:rFonts w:ascii="SimSun" w:hAnsi="SimSun" w:cs="SimSun" w:hint="eastAsia"/>
                <w:szCs w:val="22"/>
                <w:lang w:val="en-US"/>
              </w:rPr>
              <w:t>位选任官员</w:t>
            </w:r>
          </w:p>
        </w:tc>
        <w:tc>
          <w:tcPr>
            <w:tcW w:w="1162" w:type="dxa"/>
            <w:tcBorders>
              <w:top w:val="single" w:sz="8" w:space="0" w:color="auto"/>
              <w:left w:val="single" w:sz="4" w:space="0" w:color="auto"/>
              <w:bottom w:val="single" w:sz="8" w:space="0" w:color="auto"/>
              <w:right w:val="nil"/>
            </w:tcBorders>
            <w:vAlign w:val="center"/>
            <w:hideMark/>
          </w:tcPr>
          <w:p w14:paraId="44AC8707" w14:textId="77777777"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5</w:t>
            </w:r>
          </w:p>
        </w:tc>
        <w:tc>
          <w:tcPr>
            <w:tcW w:w="1457" w:type="dxa"/>
            <w:tcBorders>
              <w:top w:val="single" w:sz="8" w:space="0" w:color="auto"/>
              <w:left w:val="nil"/>
              <w:bottom w:val="nil"/>
              <w:right w:val="single" w:sz="8" w:space="0" w:color="auto"/>
            </w:tcBorders>
            <w:shd w:val="clear" w:color="auto" w:fill="auto"/>
            <w:vAlign w:val="center"/>
            <w:hideMark/>
          </w:tcPr>
          <w:p w14:paraId="29C4E4A5" w14:textId="55FF591A"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2</w:t>
            </w:r>
            <w:r w:rsidR="002E25E5">
              <w:rPr>
                <w:rFonts w:cs="Calibri"/>
                <w:color w:val="000000"/>
                <w:sz w:val="22"/>
                <w:szCs w:val="22"/>
              </w:rPr>
              <w:t> </w:t>
            </w:r>
            <w:r>
              <w:rPr>
                <w:rFonts w:cs="Calibri"/>
                <w:color w:val="000000"/>
                <w:sz w:val="22"/>
                <w:szCs w:val="22"/>
              </w:rPr>
              <w:t>222</w:t>
            </w:r>
          </w:p>
        </w:tc>
        <w:tc>
          <w:tcPr>
            <w:tcW w:w="1200" w:type="dxa"/>
            <w:tcBorders>
              <w:top w:val="single" w:sz="8" w:space="0" w:color="auto"/>
              <w:left w:val="single" w:sz="4" w:space="0" w:color="auto"/>
              <w:bottom w:val="single" w:sz="8" w:space="0" w:color="auto"/>
              <w:right w:val="nil"/>
            </w:tcBorders>
            <w:vAlign w:val="center"/>
            <w:hideMark/>
          </w:tcPr>
          <w:p w14:paraId="01846443" w14:textId="77777777"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sidRPr="0037473D">
              <w:rPr>
                <w:rFonts w:cs="Calibri"/>
                <w:color w:val="000000"/>
                <w:sz w:val="22"/>
                <w:szCs w:val="22"/>
                <w:lang w:eastAsia="en-GB"/>
              </w:rPr>
              <w:t>5</w:t>
            </w:r>
          </w:p>
        </w:tc>
        <w:tc>
          <w:tcPr>
            <w:tcW w:w="1457" w:type="dxa"/>
            <w:tcBorders>
              <w:top w:val="single" w:sz="8" w:space="0" w:color="auto"/>
              <w:left w:val="nil"/>
              <w:bottom w:val="nil"/>
              <w:right w:val="single" w:sz="8" w:space="0" w:color="auto"/>
            </w:tcBorders>
            <w:shd w:val="clear" w:color="auto" w:fill="auto"/>
            <w:vAlign w:val="center"/>
            <w:hideMark/>
          </w:tcPr>
          <w:p w14:paraId="4F071B68" w14:textId="61F4B56F"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sidRPr="0037473D">
              <w:rPr>
                <w:rFonts w:cs="Calibri"/>
                <w:color w:val="000000"/>
                <w:sz w:val="22"/>
                <w:szCs w:val="22"/>
                <w:lang w:eastAsia="en-GB"/>
              </w:rPr>
              <w:t>2</w:t>
            </w:r>
            <w:r w:rsidR="002E25E5">
              <w:rPr>
                <w:rFonts w:cs="Calibri"/>
                <w:color w:val="000000"/>
                <w:sz w:val="22"/>
                <w:szCs w:val="22"/>
                <w:lang w:eastAsia="en-GB"/>
              </w:rPr>
              <w:t> </w:t>
            </w:r>
            <w:r w:rsidRPr="0037473D">
              <w:rPr>
                <w:rFonts w:cs="Calibri"/>
                <w:color w:val="000000"/>
                <w:sz w:val="22"/>
                <w:szCs w:val="22"/>
                <w:lang w:eastAsia="en-GB"/>
              </w:rPr>
              <w:t>135</w:t>
            </w:r>
          </w:p>
        </w:tc>
      </w:tr>
      <w:tr w:rsidR="00B56A7B" w:rsidRPr="000C156A" w14:paraId="327B7544" w14:textId="77777777" w:rsidTr="00CC47BD">
        <w:trPr>
          <w:jc w:val="center"/>
        </w:trPr>
        <w:tc>
          <w:tcPr>
            <w:tcW w:w="4329" w:type="dxa"/>
            <w:tcBorders>
              <w:top w:val="single" w:sz="8" w:space="0" w:color="auto"/>
              <w:left w:val="single" w:sz="4" w:space="0" w:color="auto"/>
              <w:bottom w:val="single" w:sz="8" w:space="0" w:color="auto"/>
              <w:right w:val="single" w:sz="4" w:space="0" w:color="auto"/>
            </w:tcBorders>
            <w:hideMark/>
          </w:tcPr>
          <w:p w14:paraId="1DACD471" w14:textId="77777777" w:rsidR="00B56A7B" w:rsidRPr="000C156A" w:rsidRDefault="00B56A7B" w:rsidP="00CC47BD">
            <w:pPr>
              <w:pStyle w:val="Tabletext"/>
              <w:spacing w:before="20" w:after="20"/>
              <w:rPr>
                <w:rFonts w:eastAsia="Calibri"/>
                <w:b/>
                <w:bCs/>
                <w:szCs w:val="22"/>
                <w:lang w:val="en-US"/>
              </w:rPr>
            </w:pPr>
            <w:r w:rsidRPr="000C156A">
              <w:rPr>
                <w:rFonts w:ascii="SimSun" w:hAnsi="SimSun" w:cs="SimSun" w:hint="eastAsia"/>
                <w:b/>
                <w:bCs/>
                <w:szCs w:val="22"/>
                <w:lang w:val="en-US"/>
              </w:rPr>
              <w:t>主要管理层官员</w:t>
            </w:r>
          </w:p>
        </w:tc>
        <w:tc>
          <w:tcPr>
            <w:tcW w:w="1162" w:type="dxa"/>
            <w:tcBorders>
              <w:top w:val="single" w:sz="8" w:space="0" w:color="auto"/>
              <w:left w:val="single" w:sz="4" w:space="0" w:color="auto"/>
              <w:bottom w:val="single" w:sz="8" w:space="0" w:color="auto"/>
              <w:right w:val="nil"/>
            </w:tcBorders>
            <w:vAlign w:val="center"/>
            <w:hideMark/>
          </w:tcPr>
          <w:p w14:paraId="0A5EC2DA" w14:textId="77777777"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5</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7065E9D4" w14:textId="75C5C577"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2</w:t>
            </w:r>
            <w:r w:rsidR="002E25E5">
              <w:rPr>
                <w:rFonts w:cs="Calibri"/>
                <w:b/>
                <w:bCs/>
                <w:color w:val="000000"/>
                <w:sz w:val="22"/>
                <w:szCs w:val="22"/>
              </w:rPr>
              <w:t> </w:t>
            </w:r>
            <w:r>
              <w:rPr>
                <w:rFonts w:cs="Calibri"/>
                <w:b/>
                <w:bCs/>
                <w:color w:val="000000"/>
                <w:sz w:val="22"/>
                <w:szCs w:val="22"/>
              </w:rPr>
              <w:t>222</w:t>
            </w:r>
          </w:p>
        </w:tc>
        <w:tc>
          <w:tcPr>
            <w:tcW w:w="1200" w:type="dxa"/>
            <w:tcBorders>
              <w:top w:val="single" w:sz="8" w:space="0" w:color="auto"/>
              <w:left w:val="single" w:sz="4" w:space="0" w:color="auto"/>
              <w:bottom w:val="single" w:sz="8" w:space="0" w:color="auto"/>
              <w:right w:val="nil"/>
            </w:tcBorders>
            <w:vAlign w:val="center"/>
            <w:hideMark/>
          </w:tcPr>
          <w:p w14:paraId="10C8528B" w14:textId="77777777"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sidRPr="0037473D">
              <w:rPr>
                <w:rFonts w:cs="Calibri"/>
                <w:b/>
                <w:bCs/>
                <w:color w:val="000000"/>
                <w:sz w:val="22"/>
                <w:szCs w:val="22"/>
                <w:lang w:eastAsia="en-GB"/>
              </w:rPr>
              <w:t>5</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701360F4" w14:textId="7ECCE050"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sidRPr="0037473D">
              <w:rPr>
                <w:rFonts w:cs="Calibri"/>
                <w:b/>
                <w:bCs/>
                <w:color w:val="000000"/>
                <w:sz w:val="22"/>
                <w:szCs w:val="22"/>
                <w:lang w:eastAsia="en-GB"/>
              </w:rPr>
              <w:t>2</w:t>
            </w:r>
            <w:r w:rsidR="002E25E5">
              <w:rPr>
                <w:rFonts w:cs="Calibri"/>
                <w:b/>
                <w:bCs/>
                <w:color w:val="000000"/>
                <w:sz w:val="22"/>
                <w:szCs w:val="22"/>
                <w:lang w:eastAsia="en-GB"/>
              </w:rPr>
              <w:t> </w:t>
            </w:r>
            <w:r w:rsidRPr="0037473D">
              <w:rPr>
                <w:rFonts w:cs="Calibri"/>
                <w:b/>
                <w:bCs/>
                <w:color w:val="000000"/>
                <w:sz w:val="22"/>
                <w:szCs w:val="22"/>
                <w:lang w:eastAsia="en-GB"/>
              </w:rPr>
              <w:t>135</w:t>
            </w:r>
          </w:p>
        </w:tc>
      </w:tr>
      <w:tr w:rsidR="00B56A7B" w:rsidRPr="000C156A" w14:paraId="02A3C629" w14:textId="77777777" w:rsidTr="00CC47BD">
        <w:trPr>
          <w:jc w:val="center"/>
        </w:trPr>
        <w:tc>
          <w:tcPr>
            <w:tcW w:w="4329" w:type="dxa"/>
            <w:tcBorders>
              <w:top w:val="single" w:sz="8" w:space="0" w:color="auto"/>
              <w:left w:val="single" w:sz="4" w:space="0" w:color="auto"/>
              <w:bottom w:val="nil"/>
              <w:right w:val="single" w:sz="4" w:space="0" w:color="auto"/>
            </w:tcBorders>
            <w:hideMark/>
          </w:tcPr>
          <w:p w14:paraId="454E78A9" w14:textId="77777777" w:rsidR="00B56A7B" w:rsidRPr="000C156A" w:rsidRDefault="00B56A7B" w:rsidP="00CC47BD">
            <w:pPr>
              <w:pStyle w:val="Tabletext"/>
              <w:spacing w:before="20" w:after="20"/>
              <w:rPr>
                <w:rFonts w:eastAsia="Calibri"/>
                <w:szCs w:val="22"/>
                <w:lang w:val="en-US"/>
              </w:rPr>
            </w:pPr>
            <w:r w:rsidRPr="000C156A">
              <w:rPr>
                <w:rFonts w:eastAsia="Calibri"/>
                <w:szCs w:val="22"/>
                <w:lang w:val="en-US"/>
              </w:rPr>
              <w:t>D.2</w:t>
            </w:r>
            <w:r w:rsidRPr="000C156A">
              <w:rPr>
                <w:rFonts w:ascii="SimSun" w:hAnsi="SimSun" w:cs="SimSun" w:hint="eastAsia"/>
                <w:szCs w:val="22"/>
                <w:lang w:val="en-US"/>
              </w:rPr>
              <w:t>级主任</w:t>
            </w:r>
          </w:p>
        </w:tc>
        <w:tc>
          <w:tcPr>
            <w:tcW w:w="1162" w:type="dxa"/>
            <w:tcBorders>
              <w:top w:val="single" w:sz="8" w:space="0" w:color="auto"/>
              <w:left w:val="nil"/>
              <w:bottom w:val="nil"/>
              <w:right w:val="nil"/>
            </w:tcBorders>
            <w:shd w:val="clear" w:color="auto" w:fill="auto"/>
            <w:vAlign w:val="center"/>
            <w:hideMark/>
          </w:tcPr>
          <w:p w14:paraId="6E77C5C1" w14:textId="77777777"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4</w:t>
            </w:r>
          </w:p>
        </w:tc>
        <w:tc>
          <w:tcPr>
            <w:tcW w:w="1457" w:type="dxa"/>
            <w:tcBorders>
              <w:top w:val="nil"/>
              <w:left w:val="nil"/>
              <w:bottom w:val="nil"/>
              <w:right w:val="single" w:sz="8" w:space="0" w:color="auto"/>
            </w:tcBorders>
            <w:shd w:val="clear" w:color="auto" w:fill="auto"/>
            <w:vAlign w:val="center"/>
            <w:hideMark/>
          </w:tcPr>
          <w:p w14:paraId="03EA7F91" w14:textId="77777777"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908</w:t>
            </w:r>
          </w:p>
        </w:tc>
        <w:tc>
          <w:tcPr>
            <w:tcW w:w="1200" w:type="dxa"/>
            <w:tcBorders>
              <w:top w:val="single" w:sz="8" w:space="0" w:color="auto"/>
              <w:left w:val="nil"/>
              <w:bottom w:val="nil"/>
              <w:right w:val="nil"/>
            </w:tcBorders>
            <w:shd w:val="clear" w:color="auto" w:fill="auto"/>
            <w:vAlign w:val="center"/>
            <w:hideMark/>
          </w:tcPr>
          <w:p w14:paraId="562C9A4B" w14:textId="77777777"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sidRPr="0037473D">
              <w:rPr>
                <w:rFonts w:cs="Calibri"/>
                <w:color w:val="000000"/>
                <w:sz w:val="22"/>
                <w:szCs w:val="22"/>
                <w:lang w:eastAsia="en-GB"/>
              </w:rPr>
              <w:t>4</w:t>
            </w:r>
          </w:p>
        </w:tc>
        <w:tc>
          <w:tcPr>
            <w:tcW w:w="1457" w:type="dxa"/>
            <w:tcBorders>
              <w:top w:val="nil"/>
              <w:left w:val="nil"/>
              <w:bottom w:val="nil"/>
              <w:right w:val="single" w:sz="8" w:space="0" w:color="auto"/>
            </w:tcBorders>
            <w:shd w:val="clear" w:color="auto" w:fill="auto"/>
            <w:vAlign w:val="center"/>
            <w:hideMark/>
          </w:tcPr>
          <w:p w14:paraId="08280711" w14:textId="169C068F"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sidRPr="0037473D">
              <w:rPr>
                <w:rFonts w:cs="Calibri"/>
                <w:color w:val="000000"/>
                <w:sz w:val="22"/>
                <w:szCs w:val="22"/>
                <w:lang w:eastAsia="en-GB"/>
              </w:rPr>
              <w:t>1</w:t>
            </w:r>
            <w:r w:rsidR="002E25E5">
              <w:rPr>
                <w:rFonts w:cs="Calibri"/>
                <w:color w:val="000000"/>
                <w:sz w:val="22"/>
                <w:szCs w:val="22"/>
                <w:lang w:eastAsia="en-GB"/>
              </w:rPr>
              <w:t> </w:t>
            </w:r>
            <w:r w:rsidRPr="0037473D">
              <w:rPr>
                <w:rFonts w:cs="Calibri"/>
                <w:color w:val="000000"/>
                <w:sz w:val="22"/>
                <w:szCs w:val="22"/>
                <w:lang w:eastAsia="en-GB"/>
              </w:rPr>
              <w:t>147</w:t>
            </w:r>
          </w:p>
        </w:tc>
      </w:tr>
      <w:tr w:rsidR="00B56A7B" w:rsidRPr="000C156A" w14:paraId="692CF15F" w14:textId="77777777" w:rsidTr="00CC47BD">
        <w:trPr>
          <w:jc w:val="center"/>
        </w:trPr>
        <w:tc>
          <w:tcPr>
            <w:tcW w:w="4329" w:type="dxa"/>
            <w:tcBorders>
              <w:top w:val="nil"/>
              <w:left w:val="single" w:sz="4" w:space="0" w:color="auto"/>
              <w:bottom w:val="single" w:sz="8" w:space="0" w:color="auto"/>
              <w:right w:val="single" w:sz="4" w:space="0" w:color="auto"/>
            </w:tcBorders>
            <w:hideMark/>
          </w:tcPr>
          <w:p w14:paraId="5FF5C219" w14:textId="77777777" w:rsidR="00B56A7B" w:rsidRPr="000C156A" w:rsidRDefault="00B56A7B" w:rsidP="00CC47BD">
            <w:pPr>
              <w:pStyle w:val="Tabletext"/>
              <w:spacing w:before="20" w:after="20"/>
              <w:rPr>
                <w:rFonts w:eastAsia="Calibri"/>
                <w:szCs w:val="22"/>
                <w:lang w:val="en-US"/>
              </w:rPr>
            </w:pPr>
            <w:r w:rsidRPr="000C156A">
              <w:rPr>
                <w:rFonts w:eastAsia="Calibri"/>
                <w:szCs w:val="22"/>
                <w:lang w:val="en-US"/>
              </w:rPr>
              <w:t>D.1</w:t>
            </w:r>
            <w:r w:rsidRPr="000C156A">
              <w:rPr>
                <w:rFonts w:ascii="SimSun" w:hAnsi="SimSun" w:cs="SimSun" w:hint="eastAsia"/>
                <w:szCs w:val="22"/>
                <w:lang w:val="en-US"/>
              </w:rPr>
              <w:t>级主任</w:t>
            </w:r>
          </w:p>
        </w:tc>
        <w:tc>
          <w:tcPr>
            <w:tcW w:w="1162" w:type="dxa"/>
            <w:tcBorders>
              <w:top w:val="nil"/>
              <w:left w:val="nil"/>
              <w:bottom w:val="nil"/>
              <w:right w:val="nil"/>
            </w:tcBorders>
            <w:shd w:val="clear" w:color="auto" w:fill="auto"/>
            <w:vAlign w:val="center"/>
            <w:hideMark/>
          </w:tcPr>
          <w:p w14:paraId="7224238E" w14:textId="77777777"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21</w:t>
            </w:r>
          </w:p>
        </w:tc>
        <w:tc>
          <w:tcPr>
            <w:tcW w:w="1457" w:type="dxa"/>
            <w:tcBorders>
              <w:top w:val="nil"/>
              <w:left w:val="nil"/>
              <w:bottom w:val="nil"/>
              <w:right w:val="single" w:sz="8" w:space="0" w:color="auto"/>
            </w:tcBorders>
            <w:shd w:val="clear" w:color="auto" w:fill="auto"/>
            <w:vAlign w:val="center"/>
            <w:hideMark/>
          </w:tcPr>
          <w:p w14:paraId="6F74F3B2" w14:textId="71358754"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Pr>
                <w:rFonts w:cs="Calibri"/>
                <w:color w:val="000000"/>
                <w:sz w:val="22"/>
                <w:szCs w:val="22"/>
              </w:rPr>
              <w:t>4</w:t>
            </w:r>
            <w:r w:rsidR="002E25E5">
              <w:rPr>
                <w:rFonts w:cs="Calibri"/>
                <w:color w:val="000000"/>
                <w:sz w:val="22"/>
                <w:szCs w:val="22"/>
              </w:rPr>
              <w:t> </w:t>
            </w:r>
            <w:r>
              <w:rPr>
                <w:rFonts w:cs="Calibri"/>
                <w:color w:val="000000"/>
                <w:sz w:val="22"/>
                <w:szCs w:val="22"/>
              </w:rPr>
              <w:t>652</w:t>
            </w:r>
          </w:p>
        </w:tc>
        <w:tc>
          <w:tcPr>
            <w:tcW w:w="1200" w:type="dxa"/>
            <w:tcBorders>
              <w:top w:val="nil"/>
              <w:left w:val="nil"/>
              <w:bottom w:val="nil"/>
              <w:right w:val="nil"/>
            </w:tcBorders>
            <w:shd w:val="clear" w:color="auto" w:fill="auto"/>
            <w:vAlign w:val="center"/>
            <w:hideMark/>
          </w:tcPr>
          <w:p w14:paraId="74B5F044" w14:textId="77777777"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sidRPr="0037473D">
              <w:rPr>
                <w:rFonts w:cs="Calibri"/>
                <w:color w:val="000000"/>
                <w:sz w:val="22"/>
                <w:szCs w:val="22"/>
                <w:lang w:eastAsia="en-GB"/>
              </w:rPr>
              <w:t>20</w:t>
            </w:r>
          </w:p>
        </w:tc>
        <w:tc>
          <w:tcPr>
            <w:tcW w:w="1457" w:type="dxa"/>
            <w:tcBorders>
              <w:top w:val="nil"/>
              <w:left w:val="nil"/>
              <w:bottom w:val="nil"/>
              <w:right w:val="single" w:sz="8" w:space="0" w:color="auto"/>
            </w:tcBorders>
            <w:shd w:val="clear" w:color="auto" w:fill="auto"/>
            <w:vAlign w:val="center"/>
            <w:hideMark/>
          </w:tcPr>
          <w:p w14:paraId="02CF639B" w14:textId="5F7E2C32" w:rsidR="00B56A7B" w:rsidRPr="000C156A" w:rsidRDefault="00B56A7B" w:rsidP="00CC47BD">
            <w:pPr>
              <w:overflowPunct/>
              <w:autoSpaceDE/>
              <w:autoSpaceDN/>
              <w:adjustRightInd/>
              <w:spacing w:before="0"/>
              <w:jc w:val="right"/>
              <w:textAlignment w:val="auto"/>
              <w:rPr>
                <w:rFonts w:cs="Arial"/>
                <w:color w:val="000000"/>
                <w:sz w:val="22"/>
                <w:szCs w:val="22"/>
                <w:lang w:val="en-US" w:eastAsia="zh-CN"/>
              </w:rPr>
            </w:pPr>
            <w:r w:rsidRPr="0037473D">
              <w:rPr>
                <w:rFonts w:cs="Calibri"/>
                <w:color w:val="000000"/>
                <w:sz w:val="22"/>
                <w:szCs w:val="22"/>
                <w:lang w:eastAsia="en-GB"/>
              </w:rPr>
              <w:t>4</w:t>
            </w:r>
            <w:r w:rsidR="002E25E5">
              <w:rPr>
                <w:rFonts w:cs="Calibri"/>
                <w:color w:val="000000"/>
                <w:sz w:val="22"/>
                <w:szCs w:val="22"/>
                <w:lang w:eastAsia="en-GB"/>
              </w:rPr>
              <w:t> </w:t>
            </w:r>
            <w:r w:rsidRPr="0037473D">
              <w:rPr>
                <w:rFonts w:cs="Calibri"/>
                <w:color w:val="000000"/>
                <w:sz w:val="22"/>
                <w:szCs w:val="22"/>
                <w:lang w:eastAsia="en-GB"/>
              </w:rPr>
              <w:t>723</w:t>
            </w:r>
          </w:p>
        </w:tc>
      </w:tr>
      <w:tr w:rsidR="00B56A7B" w:rsidRPr="000C156A" w14:paraId="2C06102E" w14:textId="77777777" w:rsidTr="00CC47BD">
        <w:trPr>
          <w:jc w:val="center"/>
        </w:trPr>
        <w:tc>
          <w:tcPr>
            <w:tcW w:w="4329" w:type="dxa"/>
            <w:tcBorders>
              <w:top w:val="single" w:sz="8" w:space="0" w:color="auto"/>
              <w:left w:val="single" w:sz="4" w:space="0" w:color="auto"/>
              <w:bottom w:val="single" w:sz="8" w:space="0" w:color="auto"/>
              <w:right w:val="single" w:sz="4" w:space="0" w:color="auto"/>
            </w:tcBorders>
            <w:hideMark/>
          </w:tcPr>
          <w:p w14:paraId="7C34AEF7" w14:textId="77777777" w:rsidR="00B56A7B" w:rsidRPr="000C156A" w:rsidRDefault="00B56A7B" w:rsidP="00CC47BD">
            <w:pPr>
              <w:pStyle w:val="Tabletext"/>
              <w:spacing w:before="20" w:after="20"/>
              <w:rPr>
                <w:rFonts w:eastAsia="Calibri"/>
                <w:b/>
                <w:bCs/>
                <w:szCs w:val="22"/>
                <w:lang w:val="en-US"/>
              </w:rPr>
            </w:pPr>
            <w:r w:rsidRPr="000C156A">
              <w:rPr>
                <w:rFonts w:cs="Calibri" w:hint="eastAsia"/>
                <w:b/>
                <w:bCs/>
                <w:color w:val="000000"/>
                <w:szCs w:val="22"/>
                <w:lang w:val="fr-FR" w:eastAsia="zh-CN"/>
              </w:rPr>
              <w:t>部门主任合计</w:t>
            </w:r>
          </w:p>
        </w:tc>
        <w:tc>
          <w:tcPr>
            <w:tcW w:w="1162" w:type="dxa"/>
            <w:tcBorders>
              <w:top w:val="single" w:sz="8" w:space="0" w:color="auto"/>
              <w:left w:val="nil"/>
              <w:bottom w:val="single" w:sz="8" w:space="0" w:color="auto"/>
              <w:right w:val="nil"/>
            </w:tcBorders>
            <w:shd w:val="clear" w:color="auto" w:fill="auto"/>
            <w:vAlign w:val="center"/>
            <w:hideMark/>
          </w:tcPr>
          <w:p w14:paraId="0C292854" w14:textId="77777777"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25</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21FCD5E4" w14:textId="6AEDDD75"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5</w:t>
            </w:r>
            <w:r w:rsidR="002E25E5">
              <w:rPr>
                <w:rFonts w:cs="Calibri"/>
                <w:b/>
                <w:bCs/>
                <w:color w:val="000000"/>
                <w:sz w:val="22"/>
                <w:szCs w:val="22"/>
              </w:rPr>
              <w:t> </w:t>
            </w:r>
            <w:r>
              <w:rPr>
                <w:rFonts w:cs="Calibri"/>
                <w:b/>
                <w:bCs/>
                <w:color w:val="000000"/>
                <w:sz w:val="22"/>
                <w:szCs w:val="22"/>
              </w:rPr>
              <w:t>560</w:t>
            </w:r>
          </w:p>
        </w:tc>
        <w:tc>
          <w:tcPr>
            <w:tcW w:w="1200" w:type="dxa"/>
            <w:tcBorders>
              <w:top w:val="single" w:sz="8" w:space="0" w:color="auto"/>
              <w:left w:val="nil"/>
              <w:bottom w:val="single" w:sz="8" w:space="0" w:color="auto"/>
              <w:right w:val="nil"/>
            </w:tcBorders>
            <w:shd w:val="clear" w:color="auto" w:fill="auto"/>
            <w:vAlign w:val="center"/>
            <w:hideMark/>
          </w:tcPr>
          <w:p w14:paraId="7BA64838" w14:textId="77777777"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sidRPr="0037473D">
              <w:rPr>
                <w:rFonts w:cs="Calibri"/>
                <w:b/>
                <w:bCs/>
                <w:color w:val="000000"/>
                <w:sz w:val="22"/>
                <w:szCs w:val="22"/>
                <w:lang w:eastAsia="en-GB"/>
              </w:rPr>
              <w:t>24</w:t>
            </w:r>
          </w:p>
        </w:tc>
        <w:tc>
          <w:tcPr>
            <w:tcW w:w="1457" w:type="dxa"/>
            <w:tcBorders>
              <w:top w:val="single" w:sz="8" w:space="0" w:color="auto"/>
              <w:left w:val="nil"/>
              <w:bottom w:val="single" w:sz="8" w:space="0" w:color="auto"/>
              <w:right w:val="single" w:sz="8" w:space="0" w:color="auto"/>
            </w:tcBorders>
            <w:shd w:val="clear" w:color="auto" w:fill="auto"/>
            <w:vAlign w:val="center"/>
            <w:hideMark/>
          </w:tcPr>
          <w:p w14:paraId="352D759E" w14:textId="6C953589"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sidRPr="0037473D">
              <w:rPr>
                <w:rFonts w:cs="Calibri"/>
                <w:b/>
                <w:bCs/>
                <w:color w:val="000000"/>
                <w:sz w:val="22"/>
                <w:szCs w:val="22"/>
                <w:lang w:eastAsia="en-GB"/>
              </w:rPr>
              <w:t>5</w:t>
            </w:r>
            <w:r w:rsidR="002E25E5">
              <w:rPr>
                <w:rFonts w:cs="Calibri"/>
                <w:b/>
                <w:bCs/>
                <w:color w:val="000000"/>
                <w:sz w:val="22"/>
                <w:szCs w:val="22"/>
                <w:lang w:eastAsia="en-GB"/>
              </w:rPr>
              <w:t> </w:t>
            </w:r>
            <w:r w:rsidRPr="0037473D">
              <w:rPr>
                <w:rFonts w:cs="Calibri"/>
                <w:b/>
                <w:bCs/>
                <w:color w:val="000000"/>
                <w:sz w:val="22"/>
                <w:szCs w:val="22"/>
                <w:lang w:eastAsia="en-GB"/>
              </w:rPr>
              <w:t>870</w:t>
            </w:r>
          </w:p>
        </w:tc>
      </w:tr>
      <w:tr w:rsidR="00B56A7B" w:rsidRPr="000C156A" w14:paraId="3CB60685" w14:textId="77777777" w:rsidTr="00CC47BD">
        <w:trPr>
          <w:trHeight w:val="225"/>
          <w:jc w:val="center"/>
        </w:trPr>
        <w:tc>
          <w:tcPr>
            <w:tcW w:w="4329" w:type="dxa"/>
            <w:tcBorders>
              <w:top w:val="single" w:sz="8" w:space="0" w:color="auto"/>
              <w:left w:val="single" w:sz="4" w:space="0" w:color="auto"/>
              <w:bottom w:val="single" w:sz="8" w:space="0" w:color="auto"/>
              <w:right w:val="single" w:sz="4" w:space="0" w:color="auto"/>
            </w:tcBorders>
            <w:vAlign w:val="center"/>
            <w:hideMark/>
          </w:tcPr>
          <w:p w14:paraId="7FA7901F" w14:textId="77777777" w:rsidR="00B56A7B" w:rsidRPr="000C156A" w:rsidRDefault="00B56A7B" w:rsidP="00CC47BD">
            <w:pPr>
              <w:pStyle w:val="Tabletext"/>
              <w:spacing w:before="20" w:after="20"/>
              <w:rPr>
                <w:rFonts w:eastAsia="Calibri"/>
                <w:b/>
                <w:bCs/>
                <w:szCs w:val="22"/>
                <w:lang w:val="en-US" w:eastAsia="zh-CN"/>
              </w:rPr>
            </w:pPr>
            <w:r w:rsidRPr="000C156A">
              <w:rPr>
                <w:rFonts w:ascii="SimSun" w:hAnsi="SimSun" w:cs="SimSun" w:hint="eastAsia"/>
                <w:b/>
                <w:bCs/>
                <w:szCs w:val="22"/>
                <w:lang w:val="en-US" w:eastAsia="zh-CN"/>
              </w:rPr>
              <w:t>主要管理层官员合计</w:t>
            </w:r>
            <w:r w:rsidRPr="000C156A">
              <w:rPr>
                <w:rFonts w:eastAsia="Calibri" w:hint="eastAsia"/>
                <w:b/>
                <w:bCs/>
                <w:szCs w:val="22"/>
                <w:lang w:val="en-US" w:eastAsia="zh-CN"/>
              </w:rPr>
              <w:t xml:space="preserve"> </w:t>
            </w:r>
            <w:r w:rsidRPr="000C156A">
              <w:rPr>
                <w:rFonts w:eastAsia="Calibri"/>
                <w:b/>
                <w:bCs/>
                <w:szCs w:val="22"/>
                <w:lang w:val="en-US" w:eastAsia="zh-CN"/>
              </w:rPr>
              <w:t xml:space="preserve">– </w:t>
            </w:r>
            <w:r w:rsidRPr="000C156A">
              <w:rPr>
                <w:rFonts w:ascii="SimSun" w:hAnsi="SimSun" w:cs="SimSun" w:hint="eastAsia"/>
                <w:b/>
                <w:bCs/>
                <w:szCs w:val="22"/>
                <w:lang w:val="en-US" w:eastAsia="zh-CN"/>
              </w:rPr>
              <w:t>国际电联</w:t>
            </w:r>
          </w:p>
        </w:tc>
        <w:tc>
          <w:tcPr>
            <w:tcW w:w="1162" w:type="dxa"/>
            <w:tcBorders>
              <w:top w:val="nil"/>
              <w:left w:val="nil"/>
              <w:bottom w:val="single" w:sz="8" w:space="0" w:color="auto"/>
              <w:right w:val="nil"/>
            </w:tcBorders>
            <w:shd w:val="clear" w:color="auto" w:fill="auto"/>
            <w:vAlign w:val="center"/>
            <w:hideMark/>
          </w:tcPr>
          <w:p w14:paraId="5A50E62D" w14:textId="77777777"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30</w:t>
            </w:r>
          </w:p>
        </w:tc>
        <w:tc>
          <w:tcPr>
            <w:tcW w:w="1457" w:type="dxa"/>
            <w:tcBorders>
              <w:top w:val="nil"/>
              <w:left w:val="nil"/>
              <w:bottom w:val="single" w:sz="8" w:space="0" w:color="auto"/>
              <w:right w:val="single" w:sz="8" w:space="0" w:color="auto"/>
            </w:tcBorders>
            <w:shd w:val="clear" w:color="auto" w:fill="auto"/>
            <w:vAlign w:val="center"/>
            <w:hideMark/>
          </w:tcPr>
          <w:p w14:paraId="6C9B425B" w14:textId="64BA69E4"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Pr>
                <w:rFonts w:cs="Calibri"/>
                <w:b/>
                <w:bCs/>
                <w:color w:val="000000"/>
                <w:sz w:val="22"/>
                <w:szCs w:val="22"/>
              </w:rPr>
              <w:t>7</w:t>
            </w:r>
            <w:r w:rsidR="002E25E5">
              <w:rPr>
                <w:rFonts w:cs="Calibri"/>
                <w:b/>
                <w:bCs/>
                <w:color w:val="000000"/>
                <w:sz w:val="22"/>
                <w:szCs w:val="22"/>
              </w:rPr>
              <w:t> </w:t>
            </w:r>
            <w:r>
              <w:rPr>
                <w:rFonts w:cs="Calibri"/>
                <w:b/>
                <w:bCs/>
                <w:color w:val="000000"/>
                <w:sz w:val="22"/>
                <w:szCs w:val="22"/>
              </w:rPr>
              <w:t>782</w:t>
            </w:r>
          </w:p>
        </w:tc>
        <w:tc>
          <w:tcPr>
            <w:tcW w:w="1200" w:type="dxa"/>
            <w:tcBorders>
              <w:top w:val="nil"/>
              <w:left w:val="nil"/>
              <w:bottom w:val="single" w:sz="8" w:space="0" w:color="auto"/>
              <w:right w:val="nil"/>
            </w:tcBorders>
            <w:shd w:val="clear" w:color="auto" w:fill="auto"/>
            <w:vAlign w:val="center"/>
            <w:hideMark/>
          </w:tcPr>
          <w:p w14:paraId="1B4DA07C" w14:textId="77777777"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sidRPr="0037473D">
              <w:rPr>
                <w:rFonts w:cs="Calibri"/>
                <w:b/>
                <w:bCs/>
                <w:color w:val="000000"/>
                <w:sz w:val="22"/>
                <w:szCs w:val="22"/>
                <w:lang w:eastAsia="en-GB"/>
              </w:rPr>
              <w:t>29</w:t>
            </w:r>
          </w:p>
        </w:tc>
        <w:tc>
          <w:tcPr>
            <w:tcW w:w="1457" w:type="dxa"/>
            <w:tcBorders>
              <w:top w:val="nil"/>
              <w:left w:val="nil"/>
              <w:bottom w:val="single" w:sz="8" w:space="0" w:color="auto"/>
              <w:right w:val="single" w:sz="8" w:space="0" w:color="auto"/>
            </w:tcBorders>
            <w:shd w:val="clear" w:color="auto" w:fill="auto"/>
            <w:vAlign w:val="center"/>
            <w:hideMark/>
          </w:tcPr>
          <w:p w14:paraId="0C127F9B" w14:textId="02DF74DB" w:rsidR="00B56A7B" w:rsidRPr="000C156A" w:rsidRDefault="00B56A7B" w:rsidP="00CC47BD">
            <w:pPr>
              <w:overflowPunct/>
              <w:autoSpaceDE/>
              <w:autoSpaceDN/>
              <w:adjustRightInd/>
              <w:spacing w:before="0"/>
              <w:jc w:val="right"/>
              <w:textAlignment w:val="auto"/>
              <w:rPr>
                <w:rFonts w:cs="Arial"/>
                <w:b/>
                <w:bCs/>
                <w:color w:val="000000"/>
                <w:sz w:val="22"/>
                <w:szCs w:val="22"/>
                <w:lang w:val="en-US" w:eastAsia="zh-CN"/>
              </w:rPr>
            </w:pPr>
            <w:r w:rsidRPr="0037473D">
              <w:rPr>
                <w:rFonts w:cs="Calibri"/>
                <w:b/>
                <w:bCs/>
                <w:color w:val="000000"/>
                <w:sz w:val="22"/>
                <w:szCs w:val="22"/>
                <w:lang w:eastAsia="en-GB"/>
              </w:rPr>
              <w:t>8</w:t>
            </w:r>
            <w:r w:rsidR="002E25E5">
              <w:rPr>
                <w:rFonts w:cs="Calibri"/>
                <w:b/>
                <w:bCs/>
                <w:color w:val="000000"/>
                <w:sz w:val="22"/>
                <w:szCs w:val="22"/>
                <w:lang w:eastAsia="en-GB"/>
              </w:rPr>
              <w:t> </w:t>
            </w:r>
            <w:r w:rsidRPr="0037473D">
              <w:rPr>
                <w:rFonts w:cs="Calibri"/>
                <w:b/>
                <w:bCs/>
                <w:color w:val="000000"/>
                <w:sz w:val="22"/>
                <w:szCs w:val="22"/>
                <w:lang w:eastAsia="en-GB"/>
              </w:rPr>
              <w:t>005</w:t>
            </w:r>
          </w:p>
        </w:tc>
      </w:tr>
    </w:tbl>
    <w:p w14:paraId="2E24F269" w14:textId="77777777" w:rsidR="00B56A7B" w:rsidRPr="000C156A" w:rsidRDefault="00B56A7B" w:rsidP="00B56A7B">
      <w:pPr>
        <w:pStyle w:val="Heading1"/>
        <w:spacing w:before="240" w:after="120"/>
        <w:rPr>
          <w:sz w:val="24"/>
          <w:szCs w:val="24"/>
          <w:lang w:val="fr-FR"/>
        </w:rPr>
      </w:pPr>
      <w:bookmarkStart w:id="1226" w:name="_Toc482892589"/>
      <w:bookmarkStart w:id="1227" w:name="_Toc511813773"/>
      <w:bookmarkStart w:id="1228" w:name="_Toc511817856"/>
      <w:bookmarkStart w:id="1229" w:name="_Toc520280756"/>
      <w:bookmarkStart w:id="1230" w:name="_Toc10536850"/>
      <w:bookmarkStart w:id="1231" w:name="_Toc41905902"/>
      <w:bookmarkStart w:id="1232" w:name="_Toc41906923"/>
      <w:bookmarkStart w:id="1233" w:name="_Toc41908072"/>
      <w:bookmarkStart w:id="1234" w:name="_Toc73518730"/>
      <w:bookmarkStart w:id="1235" w:name="_Toc73518877"/>
      <w:bookmarkStart w:id="1236" w:name="_Toc73519277"/>
      <w:bookmarkStart w:id="1237" w:name="_Toc110264024"/>
      <w:bookmarkStart w:id="1238" w:name="_Toc110264103"/>
      <w:bookmarkStart w:id="1239" w:name="_Toc110265748"/>
      <w:bookmarkStart w:id="1240" w:name="_Toc110330118"/>
      <w:bookmarkStart w:id="1241" w:name="_Toc110330283"/>
      <w:bookmarkEnd w:id="1224"/>
      <w:bookmarkEnd w:id="1225"/>
      <w:r w:rsidRPr="000C156A">
        <w:rPr>
          <w:rFonts w:cs="Microsoft YaHei" w:hint="eastAsia"/>
          <w:sz w:val="24"/>
          <w:szCs w:val="24"/>
          <w:lang w:val="fr-FR"/>
        </w:rPr>
        <w:t>说明</w:t>
      </w:r>
      <w:r w:rsidRPr="000C156A">
        <w:rPr>
          <w:sz w:val="24"/>
          <w:szCs w:val="24"/>
          <w:lang w:val="fr-FR"/>
        </w:rPr>
        <w:t>28</w:t>
      </w:r>
      <w:r w:rsidRPr="000C156A">
        <w:rPr>
          <w:sz w:val="24"/>
          <w:szCs w:val="24"/>
          <w:lang w:val="fr-FR"/>
        </w:rPr>
        <w:tab/>
      </w:r>
      <w:r w:rsidRPr="000C156A">
        <w:rPr>
          <w:rFonts w:cs="Microsoft YaHei" w:hint="eastAsia"/>
          <w:sz w:val="24"/>
          <w:szCs w:val="24"/>
          <w:lang w:val="fr-FR"/>
        </w:rPr>
        <w:t>承付款项</w:t>
      </w:r>
      <w:bookmarkEnd w:id="1187"/>
      <w:bookmarkEnd w:id="1188"/>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5A7474AB" w14:textId="77777777" w:rsidR="00B56A7B" w:rsidRPr="000C156A" w:rsidRDefault="00B56A7B" w:rsidP="00B56A7B">
      <w:pPr>
        <w:ind w:firstLineChars="200" w:firstLine="480"/>
        <w:rPr>
          <w:lang w:val="fr-FR" w:eastAsia="zh-CN"/>
        </w:rPr>
      </w:pPr>
      <w:r w:rsidRPr="00DB5EA2">
        <w:rPr>
          <w:rFonts w:hint="eastAsia"/>
          <w:lang w:val="en-US" w:eastAsia="zh-CN"/>
        </w:rPr>
        <w:t>自</w:t>
      </w:r>
      <w:r w:rsidRPr="00DB5EA2">
        <w:rPr>
          <w:rFonts w:hint="eastAsia"/>
          <w:lang w:val="fr-FR" w:eastAsia="zh-CN"/>
        </w:rPr>
        <w:t>2021</w:t>
      </w:r>
      <w:r w:rsidRPr="00DB5EA2">
        <w:rPr>
          <w:rFonts w:hint="eastAsia"/>
          <w:lang w:val="en-US" w:eastAsia="zh-CN"/>
        </w:rPr>
        <w:t>年</w:t>
      </w:r>
      <w:r w:rsidRPr="00DB5EA2">
        <w:rPr>
          <w:rFonts w:hint="eastAsia"/>
          <w:lang w:val="fr-FR" w:eastAsia="zh-CN"/>
        </w:rPr>
        <w:t>1</w:t>
      </w:r>
      <w:r w:rsidRPr="00DB5EA2">
        <w:rPr>
          <w:rFonts w:hint="eastAsia"/>
          <w:lang w:val="en-US" w:eastAsia="zh-CN"/>
        </w:rPr>
        <w:t>月</w:t>
      </w:r>
      <w:r w:rsidRPr="00DB5EA2">
        <w:rPr>
          <w:rFonts w:hint="eastAsia"/>
          <w:lang w:val="fr-FR" w:eastAsia="zh-CN"/>
        </w:rPr>
        <w:t>1</w:t>
      </w:r>
      <w:r w:rsidRPr="00DB5EA2">
        <w:rPr>
          <w:rFonts w:hint="eastAsia"/>
          <w:lang w:val="en-US" w:eastAsia="zh-CN"/>
        </w:rPr>
        <w:t>日起加入</w:t>
      </w:r>
      <w:r w:rsidRPr="00DB5EA2">
        <w:rPr>
          <w:rFonts w:hint="eastAsia"/>
          <w:lang w:val="fr-FR" w:eastAsia="zh-CN"/>
        </w:rPr>
        <w:t>UNSMIS</w:t>
      </w:r>
      <w:r w:rsidRPr="00DB5EA2">
        <w:rPr>
          <w:rFonts w:hint="eastAsia"/>
          <w:lang w:val="en-US" w:eastAsia="zh-CN"/>
        </w:rPr>
        <w:t>的国际电联签署了一份合同</w:t>
      </w:r>
      <w:r w:rsidRPr="00DB5EA2">
        <w:rPr>
          <w:rFonts w:hint="eastAsia"/>
          <w:lang w:val="fr-FR" w:eastAsia="zh-CN"/>
        </w:rPr>
        <w:t>，</w:t>
      </w:r>
      <w:r w:rsidRPr="00DB5EA2">
        <w:rPr>
          <w:rFonts w:hint="eastAsia"/>
          <w:lang w:val="en-US" w:eastAsia="zh-CN"/>
        </w:rPr>
        <w:t>对特别捐款</w:t>
      </w:r>
      <w:r w:rsidRPr="00DB5EA2">
        <w:rPr>
          <w:rFonts w:hint="eastAsia"/>
          <w:lang w:val="fr-FR" w:eastAsia="zh-CN"/>
        </w:rPr>
        <w:t>（</w:t>
      </w:r>
      <w:r w:rsidRPr="00DB5EA2">
        <w:rPr>
          <w:rFonts w:hint="eastAsia"/>
          <w:lang w:val="fr-FR" w:eastAsia="zh-CN"/>
        </w:rPr>
        <w:t>extraordinary contributions</w:t>
      </w:r>
      <w:r w:rsidRPr="00DB5EA2">
        <w:rPr>
          <w:rFonts w:hint="eastAsia"/>
          <w:lang w:val="fr-FR" w:eastAsia="zh-CN"/>
        </w:rPr>
        <w:t>）</w:t>
      </w:r>
      <w:r w:rsidRPr="00DB5EA2">
        <w:rPr>
          <w:rFonts w:hint="eastAsia"/>
          <w:lang w:val="en-US" w:eastAsia="zh-CN"/>
        </w:rPr>
        <w:t>的支付做出规定。这笔</w:t>
      </w:r>
      <w:r>
        <w:rPr>
          <w:rFonts w:hint="eastAsia"/>
          <w:lang w:val="en-US" w:eastAsia="zh-CN"/>
        </w:rPr>
        <w:t>支付至</w:t>
      </w:r>
      <w:r w:rsidRPr="00E63EE5">
        <w:rPr>
          <w:rFonts w:hint="eastAsia"/>
          <w:lang w:val="fr-FR" w:eastAsia="zh-CN"/>
        </w:rPr>
        <w:t>2032</w:t>
      </w:r>
      <w:r w:rsidRPr="00DB5EA2">
        <w:rPr>
          <w:rFonts w:hint="eastAsia"/>
          <w:lang w:val="en-US" w:eastAsia="zh-CN"/>
        </w:rPr>
        <w:t>年</w:t>
      </w:r>
      <w:r>
        <w:rPr>
          <w:rFonts w:hint="eastAsia"/>
          <w:lang w:val="en-US" w:eastAsia="zh-CN"/>
        </w:rPr>
        <w:t>的</w:t>
      </w:r>
      <w:r w:rsidRPr="00DB5EA2">
        <w:rPr>
          <w:rFonts w:hint="eastAsia"/>
          <w:lang w:val="en-US" w:eastAsia="zh-CN"/>
        </w:rPr>
        <w:t>特别捐款共计</w:t>
      </w:r>
      <w:r w:rsidRPr="00E63EE5">
        <w:rPr>
          <w:rFonts w:hint="eastAsia"/>
          <w:lang w:val="fr-FR" w:eastAsia="zh-CN"/>
        </w:rPr>
        <w:t>1 784</w:t>
      </w:r>
      <w:r w:rsidRPr="00DB5EA2">
        <w:rPr>
          <w:rFonts w:hint="eastAsia"/>
          <w:lang w:val="en-US" w:eastAsia="zh-CN"/>
        </w:rPr>
        <w:t>万美元。</w:t>
      </w:r>
    </w:p>
    <w:p w14:paraId="40ACABBF" w14:textId="77777777" w:rsidR="00B56A7B" w:rsidRPr="000C156A" w:rsidRDefault="00B56A7B" w:rsidP="00B56A7B">
      <w:pPr>
        <w:pStyle w:val="Heading1"/>
        <w:spacing w:before="120" w:after="120"/>
        <w:rPr>
          <w:rFonts w:cs="Microsoft YaHei"/>
          <w:sz w:val="24"/>
          <w:szCs w:val="24"/>
          <w:lang w:eastAsia="zh-CN"/>
        </w:rPr>
      </w:pPr>
      <w:bookmarkStart w:id="1242" w:name="_MON_1394891130"/>
      <w:bookmarkStart w:id="1243" w:name="_MON_1402750365"/>
      <w:bookmarkStart w:id="1244" w:name="_Toc482892590"/>
      <w:bookmarkStart w:id="1245" w:name="_Toc387089408"/>
      <w:bookmarkStart w:id="1246" w:name="_Toc511813774"/>
      <w:bookmarkStart w:id="1247" w:name="_Toc511817857"/>
      <w:bookmarkStart w:id="1248" w:name="_Toc520280757"/>
      <w:bookmarkStart w:id="1249" w:name="_Toc10536851"/>
      <w:bookmarkStart w:id="1250" w:name="_Toc41905903"/>
      <w:bookmarkStart w:id="1251" w:name="_Toc41906924"/>
      <w:bookmarkStart w:id="1252" w:name="_Toc41908073"/>
      <w:bookmarkStart w:id="1253" w:name="_Toc73518731"/>
      <w:bookmarkStart w:id="1254" w:name="_Toc73518878"/>
      <w:bookmarkStart w:id="1255" w:name="_Toc73519278"/>
      <w:bookmarkStart w:id="1256" w:name="_Toc110264025"/>
      <w:bookmarkStart w:id="1257" w:name="_Toc110264104"/>
      <w:bookmarkStart w:id="1258" w:name="_Toc110265749"/>
      <w:bookmarkStart w:id="1259" w:name="_Toc110330119"/>
      <w:bookmarkStart w:id="1260" w:name="_Toc110330284"/>
      <w:bookmarkStart w:id="1261" w:name="_Toc329011663"/>
      <w:bookmarkStart w:id="1262" w:name="_Toc305764121"/>
      <w:bookmarkEnd w:id="1189"/>
      <w:bookmarkEnd w:id="1190"/>
      <w:bookmarkEnd w:id="1242"/>
      <w:bookmarkEnd w:id="1243"/>
      <w:r w:rsidRPr="000C156A">
        <w:rPr>
          <w:rFonts w:cs="Microsoft YaHei" w:hint="eastAsia"/>
          <w:sz w:val="24"/>
          <w:szCs w:val="24"/>
          <w:lang w:val="fr-FR" w:eastAsia="zh-CN"/>
        </w:rPr>
        <w:t>说明</w:t>
      </w:r>
      <w:r w:rsidRPr="000C156A">
        <w:rPr>
          <w:rFonts w:cs="Microsoft YaHei"/>
          <w:sz w:val="24"/>
          <w:szCs w:val="24"/>
          <w:lang w:eastAsia="zh-CN"/>
        </w:rPr>
        <w:t>29</w:t>
      </w:r>
      <w:r w:rsidRPr="000C156A">
        <w:rPr>
          <w:rFonts w:cs="Microsoft YaHei"/>
          <w:sz w:val="24"/>
          <w:szCs w:val="24"/>
          <w:lang w:eastAsia="zh-CN"/>
        </w:rPr>
        <w:tab/>
      </w:r>
      <w:r w:rsidRPr="000C156A">
        <w:rPr>
          <w:rFonts w:cs="Microsoft YaHei" w:hint="eastAsia"/>
          <w:sz w:val="24"/>
          <w:szCs w:val="24"/>
          <w:lang w:val="fr-FR" w:eastAsia="zh-CN"/>
        </w:rPr>
        <w:t>报告日期之后出现的</w:t>
      </w:r>
      <w:bookmarkEnd w:id="1244"/>
      <w:bookmarkEnd w:id="1245"/>
      <w:bookmarkEnd w:id="1246"/>
      <w:bookmarkEnd w:id="1247"/>
      <w:bookmarkEnd w:id="1248"/>
      <w:bookmarkEnd w:id="1249"/>
      <w:bookmarkEnd w:id="1250"/>
      <w:bookmarkEnd w:id="1251"/>
      <w:bookmarkEnd w:id="1252"/>
      <w:r w:rsidRPr="000C156A">
        <w:rPr>
          <w:rFonts w:cs="Microsoft YaHei" w:hint="eastAsia"/>
          <w:sz w:val="24"/>
          <w:szCs w:val="24"/>
          <w:lang w:val="fr-FR" w:eastAsia="zh-CN"/>
        </w:rPr>
        <w:t>事件</w:t>
      </w:r>
      <w:bookmarkEnd w:id="1253"/>
      <w:bookmarkEnd w:id="1254"/>
      <w:bookmarkEnd w:id="1255"/>
      <w:bookmarkEnd w:id="1256"/>
      <w:bookmarkEnd w:id="1257"/>
      <w:bookmarkEnd w:id="1258"/>
      <w:bookmarkEnd w:id="1259"/>
      <w:bookmarkEnd w:id="1260"/>
    </w:p>
    <w:p w14:paraId="3B45A03E" w14:textId="77777777" w:rsidR="00B56A7B" w:rsidRDefault="00B56A7B" w:rsidP="00B56A7B">
      <w:pPr>
        <w:overflowPunct/>
        <w:autoSpaceDE/>
        <w:autoSpaceDN/>
        <w:adjustRightInd/>
        <w:spacing w:before="0"/>
        <w:ind w:firstLineChars="200" w:firstLine="480"/>
        <w:textAlignment w:val="auto"/>
        <w:rPr>
          <w:lang w:val="en-US" w:eastAsia="zh-CN"/>
        </w:rPr>
      </w:pPr>
      <w:r w:rsidRPr="00A81114">
        <w:rPr>
          <w:rFonts w:hint="eastAsia"/>
          <w:lang w:val="en-US" w:eastAsia="zh-CN"/>
        </w:rPr>
        <w:t>虽然</w:t>
      </w:r>
      <w:r w:rsidRPr="00A81114">
        <w:rPr>
          <w:rFonts w:hint="eastAsia"/>
          <w:lang w:val="en-US" w:eastAsia="zh-CN"/>
        </w:rPr>
        <w:t>2021</w:t>
      </w:r>
      <w:r w:rsidRPr="00A81114">
        <w:rPr>
          <w:rFonts w:hint="eastAsia"/>
          <w:lang w:val="en-US" w:eastAsia="zh-CN"/>
        </w:rPr>
        <w:t>年的财务报表未受影响，但</w:t>
      </w:r>
      <w:r>
        <w:rPr>
          <w:rFonts w:hint="eastAsia"/>
          <w:lang w:val="en-US" w:eastAsia="zh-CN"/>
        </w:rPr>
        <w:t>要铭记</w:t>
      </w:r>
      <w:r w:rsidRPr="00A81114">
        <w:rPr>
          <w:rFonts w:hint="eastAsia"/>
          <w:lang w:val="en-US" w:eastAsia="zh-CN"/>
        </w:rPr>
        <w:t>2022</w:t>
      </w:r>
      <w:r w:rsidRPr="00A81114">
        <w:rPr>
          <w:rFonts w:hint="eastAsia"/>
          <w:lang w:val="en-US" w:eastAsia="zh-CN"/>
        </w:rPr>
        <w:t>年</w:t>
      </w:r>
      <w:r w:rsidRPr="00A81114">
        <w:rPr>
          <w:rFonts w:hint="eastAsia"/>
          <w:lang w:val="en-US" w:eastAsia="zh-CN"/>
        </w:rPr>
        <w:t>3</w:t>
      </w:r>
      <w:r w:rsidRPr="00A81114">
        <w:rPr>
          <w:rFonts w:hint="eastAsia"/>
          <w:lang w:val="en-US" w:eastAsia="zh-CN"/>
        </w:rPr>
        <w:t>月开始的俄罗斯和乌克兰之间的危机。</w:t>
      </w:r>
    </w:p>
    <w:p w14:paraId="79214CE7" w14:textId="77777777" w:rsidR="00B56A7B" w:rsidRPr="0023311E" w:rsidRDefault="00B56A7B" w:rsidP="00B56A7B">
      <w:pPr>
        <w:overflowPunct/>
        <w:autoSpaceDE/>
        <w:autoSpaceDN/>
        <w:adjustRightInd/>
        <w:spacing w:before="0"/>
        <w:textAlignment w:val="auto"/>
        <w:rPr>
          <w:lang w:val="en-US" w:eastAsia="zh-CN"/>
        </w:rPr>
      </w:pPr>
    </w:p>
    <w:p w14:paraId="0D9026B8" w14:textId="77777777" w:rsidR="00B56A7B" w:rsidRPr="000C156A" w:rsidRDefault="00B56A7B" w:rsidP="00B56A7B">
      <w:pPr>
        <w:ind w:firstLineChars="200" w:firstLine="480"/>
        <w:jc w:val="both"/>
        <w:rPr>
          <w:lang w:val="en-US" w:eastAsia="zh-CN"/>
        </w:rPr>
      </w:pPr>
      <w:r w:rsidRPr="00EF73BC">
        <w:rPr>
          <w:rFonts w:hint="eastAsia"/>
          <w:lang w:val="en-US" w:eastAsia="zh-CN"/>
        </w:rPr>
        <w:t>考虑到国际制裁可能会给资金</w:t>
      </w:r>
      <w:r>
        <w:rPr>
          <w:rFonts w:hint="eastAsia"/>
          <w:lang w:val="en-US" w:eastAsia="zh-CN"/>
        </w:rPr>
        <w:t>的</w:t>
      </w:r>
      <w:r w:rsidRPr="00EF73BC">
        <w:rPr>
          <w:rFonts w:hint="eastAsia"/>
          <w:lang w:val="en-US" w:eastAsia="zh-CN"/>
        </w:rPr>
        <w:t>支付和接收带来困难，管理层将密切关注与这</w:t>
      </w:r>
      <w:r>
        <w:rPr>
          <w:rFonts w:hint="eastAsia"/>
          <w:lang w:val="en-US" w:eastAsia="zh-CN"/>
        </w:rPr>
        <w:t>一</w:t>
      </w:r>
      <w:r w:rsidRPr="00EF73BC">
        <w:rPr>
          <w:rFonts w:hint="eastAsia"/>
          <w:lang w:val="en-US" w:eastAsia="zh-CN"/>
        </w:rPr>
        <w:t>情况相关</w:t>
      </w:r>
      <w:r>
        <w:rPr>
          <w:rFonts w:hint="eastAsia"/>
          <w:lang w:val="en-US" w:eastAsia="zh-CN"/>
        </w:rPr>
        <w:t>，尤其</w:t>
      </w:r>
      <w:r w:rsidRPr="00EF73BC">
        <w:rPr>
          <w:rFonts w:hint="eastAsia"/>
          <w:lang w:val="en-US" w:eastAsia="zh-CN"/>
        </w:rPr>
        <w:t>是财务层面</w:t>
      </w:r>
      <w:r>
        <w:rPr>
          <w:rFonts w:hint="eastAsia"/>
          <w:lang w:val="en-US" w:eastAsia="zh-CN"/>
        </w:rPr>
        <w:t>受到</w:t>
      </w:r>
      <w:r w:rsidRPr="00EF73BC">
        <w:rPr>
          <w:rFonts w:hint="eastAsia"/>
          <w:lang w:val="en-US" w:eastAsia="zh-CN"/>
        </w:rPr>
        <w:t>的影响。</w:t>
      </w:r>
    </w:p>
    <w:bookmarkEnd w:id="1261"/>
    <w:bookmarkEnd w:id="1262"/>
    <w:p w14:paraId="6E2A0A6D" w14:textId="77777777" w:rsidR="00B56A7B" w:rsidRPr="000C156A" w:rsidRDefault="00B56A7B" w:rsidP="00B56A7B">
      <w:pPr>
        <w:rPr>
          <w:sz w:val="28"/>
          <w:lang w:eastAsia="zh-CN"/>
        </w:rPr>
      </w:pPr>
      <w:r w:rsidRPr="000C156A">
        <w:rPr>
          <w:lang w:eastAsia="zh-CN"/>
        </w:rPr>
        <w:br w:type="page"/>
      </w:r>
      <w:bookmarkStart w:id="1263" w:name="_Toc358364828"/>
    </w:p>
    <w:p w14:paraId="5DDEF088" w14:textId="77777777" w:rsidR="00B56A7B" w:rsidRPr="000C156A" w:rsidRDefault="00B56A7B" w:rsidP="00B56A7B">
      <w:pPr>
        <w:pStyle w:val="Heading1"/>
        <w:rPr>
          <w:lang w:val="en-US" w:eastAsia="zh-CN"/>
        </w:rPr>
      </w:pPr>
      <w:bookmarkStart w:id="1264" w:name="_Toc482894262"/>
      <w:bookmarkStart w:id="1265" w:name="_Toc511116013"/>
      <w:bookmarkStart w:id="1266" w:name="_Toc41905904"/>
      <w:bookmarkStart w:id="1267" w:name="_Toc41908074"/>
      <w:bookmarkStart w:id="1268" w:name="_Toc73518732"/>
      <w:bookmarkStart w:id="1269" w:name="_Toc73636318"/>
      <w:bookmarkStart w:id="1270" w:name="_Toc110265750"/>
      <w:bookmarkStart w:id="1271" w:name="_Toc110330285"/>
      <w:r w:rsidRPr="000C156A">
        <w:rPr>
          <w:rFonts w:hint="eastAsia"/>
          <w:lang w:eastAsia="zh-CN"/>
        </w:rPr>
        <w:lastRenderedPageBreak/>
        <w:t>一</w:t>
      </w:r>
      <w:r w:rsidRPr="000C156A">
        <w:rPr>
          <w:lang w:eastAsia="zh-CN"/>
        </w:rPr>
        <w:tab/>
      </w:r>
      <w:r w:rsidRPr="000C156A">
        <w:rPr>
          <w:rFonts w:hint="eastAsia"/>
          <w:lang w:eastAsia="zh-CN"/>
        </w:rPr>
        <w:t>正常预算（附件</w:t>
      </w:r>
      <w:r w:rsidRPr="000C156A">
        <w:rPr>
          <w:lang w:eastAsia="zh-CN"/>
        </w:rPr>
        <w:t>B1</w:t>
      </w:r>
      <w:r w:rsidRPr="000C156A">
        <w:rPr>
          <w:rFonts w:hint="eastAsia"/>
          <w:lang w:eastAsia="zh-CN"/>
        </w:rPr>
        <w:t>）</w:t>
      </w:r>
      <w:bookmarkEnd w:id="1263"/>
      <w:bookmarkEnd w:id="1264"/>
      <w:bookmarkEnd w:id="1265"/>
      <w:bookmarkEnd w:id="1266"/>
      <w:bookmarkEnd w:id="1267"/>
      <w:bookmarkEnd w:id="1268"/>
      <w:bookmarkEnd w:id="1269"/>
      <w:bookmarkEnd w:id="1270"/>
      <w:bookmarkEnd w:id="1271"/>
    </w:p>
    <w:p w14:paraId="4CBE71D7" w14:textId="77777777" w:rsidR="00B56A7B" w:rsidRPr="000C156A" w:rsidRDefault="00B56A7B" w:rsidP="00B56A7B">
      <w:pPr>
        <w:pStyle w:val="Headingb"/>
        <w:rPr>
          <w:lang w:val="en-US" w:eastAsia="zh-CN"/>
        </w:rPr>
      </w:pPr>
      <w:bookmarkStart w:id="1272" w:name="_Toc73518733"/>
      <w:bookmarkStart w:id="1273" w:name="_Toc73518880"/>
      <w:bookmarkStart w:id="1274" w:name="_Toc73519280"/>
      <w:bookmarkStart w:id="1275" w:name="_Toc73636319"/>
      <w:r w:rsidRPr="000C156A">
        <w:rPr>
          <w:rFonts w:hint="eastAsia"/>
          <w:lang w:val="en-US" w:eastAsia="zh-CN"/>
        </w:rPr>
        <w:t>正常预算</w:t>
      </w:r>
      <w:bookmarkEnd w:id="1272"/>
      <w:bookmarkEnd w:id="1273"/>
      <w:bookmarkEnd w:id="1274"/>
      <w:bookmarkEnd w:id="1275"/>
    </w:p>
    <w:p w14:paraId="4122162E" w14:textId="77777777" w:rsidR="00B56A7B" w:rsidRPr="000C156A" w:rsidRDefault="00B56A7B" w:rsidP="00B56A7B">
      <w:pPr>
        <w:rPr>
          <w:lang w:eastAsia="zh-CN"/>
        </w:rPr>
      </w:pPr>
      <w:r>
        <w:rPr>
          <w:lang w:eastAsia="zh-CN"/>
        </w:rPr>
        <w:t>44</w:t>
      </w:r>
      <w:r w:rsidRPr="000C156A">
        <w:rPr>
          <w:lang w:eastAsia="zh-CN"/>
        </w:rPr>
        <w:tab/>
      </w:r>
      <w:r w:rsidRPr="00EF73BC">
        <w:rPr>
          <w:rFonts w:hint="eastAsia"/>
          <w:lang w:eastAsia="zh-CN"/>
        </w:rPr>
        <w:t>最初预算的</w:t>
      </w:r>
      <w:r w:rsidRPr="00EF73BC">
        <w:rPr>
          <w:rFonts w:hint="eastAsia"/>
          <w:lang w:eastAsia="zh-CN"/>
        </w:rPr>
        <w:t>2021</w:t>
      </w:r>
      <w:r w:rsidRPr="00EF73BC">
        <w:rPr>
          <w:rFonts w:hint="eastAsia"/>
          <w:lang w:eastAsia="zh-CN"/>
        </w:rPr>
        <w:t>财年收入和支出为</w:t>
      </w:r>
      <w:r w:rsidRPr="00EF73BC">
        <w:rPr>
          <w:rFonts w:hint="eastAsia"/>
          <w:lang w:eastAsia="zh-CN"/>
        </w:rPr>
        <w:t>1.6453</w:t>
      </w:r>
      <w:r w:rsidRPr="00EF73BC">
        <w:rPr>
          <w:rFonts w:hint="eastAsia"/>
          <w:lang w:eastAsia="zh-CN"/>
        </w:rPr>
        <w:t>亿瑞郎。由于</w:t>
      </w:r>
      <w:r w:rsidRPr="00EF73BC">
        <w:rPr>
          <w:rFonts w:hint="eastAsia"/>
          <w:lang w:eastAsia="zh-CN"/>
        </w:rPr>
        <w:t>WTDC</w:t>
      </w:r>
      <w:r w:rsidRPr="00EF73BC">
        <w:rPr>
          <w:rFonts w:hint="eastAsia"/>
          <w:lang w:eastAsia="zh-CN"/>
        </w:rPr>
        <w:t>和</w:t>
      </w:r>
      <w:r w:rsidRPr="00EF73BC">
        <w:rPr>
          <w:rFonts w:hint="eastAsia"/>
          <w:lang w:eastAsia="zh-CN"/>
        </w:rPr>
        <w:t>WTSA</w:t>
      </w:r>
      <w:r w:rsidRPr="00EF73BC">
        <w:rPr>
          <w:rFonts w:hint="eastAsia"/>
          <w:lang w:eastAsia="zh-CN"/>
        </w:rPr>
        <w:t>均推迟至</w:t>
      </w:r>
      <w:r w:rsidRPr="00EF73BC">
        <w:rPr>
          <w:rFonts w:hint="eastAsia"/>
          <w:lang w:eastAsia="zh-CN"/>
        </w:rPr>
        <w:t>2022</w:t>
      </w:r>
      <w:r w:rsidRPr="00EF73BC">
        <w:rPr>
          <w:rFonts w:hint="eastAsia"/>
          <w:lang w:eastAsia="zh-CN"/>
        </w:rPr>
        <w:t>年，遂将</w:t>
      </w:r>
      <w:r w:rsidRPr="00EF73BC">
        <w:rPr>
          <w:rFonts w:hint="eastAsia"/>
          <w:lang w:eastAsia="zh-CN"/>
        </w:rPr>
        <w:t>164</w:t>
      </w:r>
      <w:r w:rsidRPr="00EF73BC">
        <w:rPr>
          <w:rFonts w:hint="eastAsia"/>
          <w:lang w:eastAsia="zh-CN"/>
        </w:rPr>
        <w:t>万瑞郎登记为</w:t>
      </w:r>
      <w:r>
        <w:rPr>
          <w:rFonts w:hint="eastAsia"/>
          <w:lang w:eastAsia="zh-CN"/>
        </w:rPr>
        <w:t>递延</w:t>
      </w:r>
      <w:r w:rsidRPr="00EF73BC">
        <w:rPr>
          <w:rFonts w:hint="eastAsia"/>
          <w:lang w:eastAsia="zh-CN"/>
        </w:rPr>
        <w:t>活动，并从</w:t>
      </w:r>
      <w:r w:rsidRPr="00EF73BC">
        <w:rPr>
          <w:rFonts w:hint="eastAsia"/>
          <w:lang w:eastAsia="zh-CN"/>
        </w:rPr>
        <w:t>2020</w:t>
      </w:r>
      <w:r w:rsidRPr="00EF73BC">
        <w:rPr>
          <w:rFonts w:hint="eastAsia"/>
          <w:lang w:eastAsia="zh-CN"/>
        </w:rPr>
        <w:t>年预算执行后登记的</w:t>
      </w:r>
      <w:r>
        <w:rPr>
          <w:rFonts w:hint="eastAsia"/>
          <w:lang w:eastAsia="zh-CN"/>
        </w:rPr>
        <w:t>递延</w:t>
      </w:r>
      <w:r w:rsidRPr="00EF73BC">
        <w:rPr>
          <w:rFonts w:hint="eastAsia"/>
          <w:lang w:eastAsia="zh-CN"/>
        </w:rPr>
        <w:t>活动中提取了</w:t>
      </w:r>
      <w:r w:rsidRPr="00EF73BC">
        <w:rPr>
          <w:rFonts w:hint="eastAsia"/>
          <w:lang w:eastAsia="zh-CN"/>
        </w:rPr>
        <w:t>59</w:t>
      </w:r>
      <w:r w:rsidRPr="00EF73BC">
        <w:rPr>
          <w:rFonts w:hint="eastAsia"/>
          <w:lang w:eastAsia="zh-CN"/>
        </w:rPr>
        <w:t>万瑞郎。因此，最终预算</w:t>
      </w:r>
      <w:r>
        <w:rPr>
          <w:rFonts w:hint="eastAsia"/>
          <w:lang w:eastAsia="zh-CN"/>
        </w:rPr>
        <w:t>额</w:t>
      </w:r>
      <w:r w:rsidRPr="00EF73BC">
        <w:rPr>
          <w:rFonts w:hint="eastAsia"/>
          <w:lang w:eastAsia="zh-CN"/>
        </w:rPr>
        <w:t>为</w:t>
      </w:r>
      <w:r w:rsidRPr="00EF73BC">
        <w:rPr>
          <w:rFonts w:hint="eastAsia"/>
          <w:lang w:eastAsia="zh-CN"/>
        </w:rPr>
        <w:t>1.6295</w:t>
      </w:r>
      <w:r w:rsidRPr="00EF73BC">
        <w:rPr>
          <w:rFonts w:hint="eastAsia"/>
          <w:lang w:eastAsia="zh-CN"/>
        </w:rPr>
        <w:t>亿瑞郎。</w:t>
      </w:r>
    </w:p>
    <w:p w14:paraId="53B9AAB7" w14:textId="77777777" w:rsidR="00B56A7B" w:rsidRPr="000C156A" w:rsidRDefault="00B56A7B" w:rsidP="00B56A7B">
      <w:pPr>
        <w:pStyle w:val="Headingb"/>
        <w:rPr>
          <w:lang w:val="en-US" w:eastAsia="zh-CN"/>
        </w:rPr>
      </w:pPr>
      <w:bookmarkStart w:id="1276" w:name="_Toc73518734"/>
      <w:bookmarkStart w:id="1277" w:name="_Toc73518881"/>
      <w:bookmarkStart w:id="1278" w:name="_Toc73519281"/>
      <w:bookmarkStart w:id="1279" w:name="_Toc73636320"/>
      <w:r w:rsidRPr="000C156A">
        <w:rPr>
          <w:rFonts w:hint="eastAsia"/>
          <w:lang w:val="en-US" w:eastAsia="zh-CN"/>
        </w:rPr>
        <w:t>收入</w:t>
      </w:r>
      <w:bookmarkEnd w:id="1276"/>
      <w:bookmarkEnd w:id="1277"/>
      <w:bookmarkEnd w:id="1278"/>
      <w:bookmarkEnd w:id="1279"/>
    </w:p>
    <w:p w14:paraId="14D71DAD" w14:textId="77777777" w:rsidR="00B56A7B" w:rsidRPr="000C156A" w:rsidRDefault="00B56A7B" w:rsidP="00B56A7B">
      <w:pPr>
        <w:rPr>
          <w:lang w:val="en-US" w:eastAsia="zh-CN"/>
        </w:rPr>
      </w:pPr>
      <w:r>
        <w:rPr>
          <w:lang w:val="en-US" w:eastAsia="zh-CN"/>
        </w:rPr>
        <w:t>45</w:t>
      </w:r>
      <w:r w:rsidRPr="000C156A">
        <w:rPr>
          <w:lang w:val="en-US" w:eastAsia="zh-CN"/>
        </w:rPr>
        <w:tab/>
        <w:t>20</w:t>
      </w:r>
      <w:r>
        <w:rPr>
          <w:rFonts w:hint="eastAsia"/>
          <w:lang w:val="en-US" w:eastAsia="zh-CN"/>
        </w:rPr>
        <w:t>21</w:t>
      </w:r>
      <w:r w:rsidRPr="000C156A">
        <w:rPr>
          <w:rFonts w:hint="eastAsia"/>
          <w:lang w:val="en-US" w:eastAsia="zh-CN"/>
        </w:rPr>
        <w:t>年为办公楼（</w:t>
      </w:r>
      <w:r w:rsidRPr="000C156A">
        <w:rPr>
          <w:lang w:val="en-US" w:eastAsia="zh-CN"/>
        </w:rPr>
        <w:t>75</w:t>
      </w:r>
      <w:r w:rsidRPr="000C156A">
        <w:rPr>
          <w:rFonts w:hint="eastAsia"/>
          <w:lang w:val="en-US" w:eastAsia="zh-CN"/>
        </w:rPr>
        <w:t>万瑞郎）和</w:t>
      </w:r>
      <w:r w:rsidRPr="000C156A">
        <w:rPr>
          <w:lang w:val="en-US" w:eastAsia="zh-CN"/>
        </w:rPr>
        <w:t>ICT</w:t>
      </w:r>
      <w:r w:rsidRPr="000C156A">
        <w:rPr>
          <w:rFonts w:hint="eastAsia"/>
          <w:lang w:val="en-US" w:eastAsia="zh-CN"/>
        </w:rPr>
        <w:t>项目（</w:t>
      </w:r>
      <w:r w:rsidRPr="000C156A">
        <w:rPr>
          <w:rFonts w:hint="eastAsia"/>
          <w:lang w:val="en-US" w:eastAsia="zh-CN"/>
        </w:rPr>
        <w:t>1</w:t>
      </w:r>
      <w:r w:rsidRPr="000C156A">
        <w:rPr>
          <w:lang w:val="en-US" w:eastAsia="zh-CN"/>
        </w:rPr>
        <w:t>50</w:t>
      </w:r>
      <w:r w:rsidRPr="000C156A">
        <w:rPr>
          <w:rFonts w:hint="eastAsia"/>
          <w:lang w:val="en-US" w:eastAsia="zh-CN"/>
        </w:rPr>
        <w:t>万瑞郎）划拨的预算为</w:t>
      </w:r>
      <w:r w:rsidRPr="000C156A">
        <w:rPr>
          <w:rFonts w:hint="eastAsia"/>
          <w:lang w:val="en-US" w:eastAsia="zh-CN"/>
        </w:rPr>
        <w:t>2</w:t>
      </w:r>
      <w:r w:rsidRPr="000C156A">
        <w:rPr>
          <w:lang w:val="en-US" w:eastAsia="zh-CN"/>
        </w:rPr>
        <w:t>25</w:t>
      </w:r>
      <w:r w:rsidRPr="000C156A">
        <w:rPr>
          <w:rFonts w:hint="eastAsia"/>
          <w:lang w:val="en-US" w:eastAsia="zh-CN"/>
        </w:rPr>
        <w:t>万瑞郎。</w:t>
      </w:r>
      <w:r w:rsidRPr="000C156A">
        <w:rPr>
          <w:lang w:val="en-US" w:eastAsia="zh-CN"/>
        </w:rPr>
        <w:t>20</w:t>
      </w:r>
      <w:r>
        <w:rPr>
          <w:rFonts w:hint="eastAsia"/>
          <w:lang w:val="en-US" w:eastAsia="zh-CN"/>
        </w:rPr>
        <w:t>21</w:t>
      </w:r>
      <w:r w:rsidRPr="000C156A">
        <w:rPr>
          <w:rFonts w:hint="eastAsia"/>
          <w:lang w:val="en-US" w:eastAsia="zh-CN"/>
        </w:rPr>
        <w:t>年的相关费用包含在总秘书处的总费用中。</w:t>
      </w:r>
    </w:p>
    <w:p w14:paraId="1B9A3E9B" w14:textId="77777777" w:rsidR="00B56A7B" w:rsidRPr="000C156A" w:rsidRDefault="00B56A7B" w:rsidP="00B56A7B">
      <w:pPr>
        <w:pStyle w:val="Headingb"/>
        <w:rPr>
          <w:lang w:val="en-US" w:eastAsia="zh-CN"/>
        </w:rPr>
      </w:pPr>
      <w:bookmarkStart w:id="1280" w:name="_Toc73518735"/>
      <w:bookmarkStart w:id="1281" w:name="_Toc73518882"/>
      <w:bookmarkStart w:id="1282" w:name="_Toc73519282"/>
      <w:bookmarkStart w:id="1283" w:name="_Toc73636321"/>
      <w:r w:rsidRPr="000C156A">
        <w:rPr>
          <w:rFonts w:hint="eastAsia"/>
          <w:lang w:val="en-US" w:eastAsia="zh-CN"/>
        </w:rPr>
        <w:t>分摊会费</w:t>
      </w:r>
      <w:bookmarkEnd w:id="1280"/>
      <w:bookmarkEnd w:id="1281"/>
      <w:bookmarkEnd w:id="1282"/>
      <w:bookmarkEnd w:id="1283"/>
    </w:p>
    <w:p w14:paraId="07608219" w14:textId="77777777" w:rsidR="00B56A7B" w:rsidRPr="000C156A" w:rsidRDefault="00B56A7B" w:rsidP="00B56A7B">
      <w:pPr>
        <w:rPr>
          <w:lang w:val="en-US" w:eastAsia="zh-CN"/>
        </w:rPr>
      </w:pPr>
      <w:r>
        <w:rPr>
          <w:lang w:val="en-US" w:eastAsia="zh-CN"/>
        </w:rPr>
        <w:t>46</w:t>
      </w:r>
      <w:r w:rsidRPr="000C156A">
        <w:rPr>
          <w:lang w:val="en-US" w:eastAsia="zh-CN"/>
        </w:rPr>
        <w:tab/>
      </w:r>
      <w:r>
        <w:rPr>
          <w:rFonts w:hint="eastAsia"/>
          <w:lang w:val="en-US" w:eastAsia="zh-CN"/>
        </w:rPr>
        <w:t>在</w:t>
      </w:r>
      <w:r w:rsidRPr="00F55D58">
        <w:rPr>
          <w:rFonts w:hint="eastAsia"/>
          <w:lang w:val="en-US" w:eastAsia="zh-CN"/>
        </w:rPr>
        <w:t>2020-2021</w:t>
      </w:r>
      <w:r w:rsidRPr="00F55D58">
        <w:rPr>
          <w:rFonts w:hint="eastAsia"/>
          <w:lang w:val="en-US" w:eastAsia="zh-CN"/>
        </w:rPr>
        <w:t>双</w:t>
      </w:r>
      <w:r>
        <w:rPr>
          <w:rFonts w:hint="eastAsia"/>
          <w:lang w:val="en-US" w:eastAsia="zh-CN"/>
        </w:rPr>
        <w:t>财</w:t>
      </w:r>
      <w:r w:rsidRPr="00F55D58">
        <w:rPr>
          <w:rFonts w:hint="eastAsia"/>
          <w:lang w:val="en-US" w:eastAsia="zh-CN"/>
        </w:rPr>
        <w:t>年</w:t>
      </w:r>
      <w:r>
        <w:rPr>
          <w:rFonts w:hint="eastAsia"/>
          <w:lang w:val="en-US" w:eastAsia="zh-CN"/>
        </w:rPr>
        <w:t>间</w:t>
      </w:r>
      <w:r w:rsidRPr="00F55D58">
        <w:rPr>
          <w:rFonts w:hint="eastAsia"/>
          <w:lang w:val="en-US" w:eastAsia="zh-CN"/>
        </w:rPr>
        <w:t>，每年的分摊会费收入预算为</w:t>
      </w:r>
      <w:r w:rsidRPr="00F55D58">
        <w:rPr>
          <w:rFonts w:hint="eastAsia"/>
          <w:lang w:val="en-US" w:eastAsia="zh-CN"/>
        </w:rPr>
        <w:t>1.2561</w:t>
      </w:r>
      <w:r w:rsidRPr="00F55D58">
        <w:rPr>
          <w:rFonts w:hint="eastAsia"/>
          <w:lang w:val="en-US" w:eastAsia="zh-CN"/>
        </w:rPr>
        <w:t>亿瑞郎。</w:t>
      </w:r>
    </w:p>
    <w:p w14:paraId="1C6BBEFE" w14:textId="77777777" w:rsidR="00B56A7B" w:rsidRPr="000C156A" w:rsidRDefault="00B56A7B" w:rsidP="00B56A7B">
      <w:pPr>
        <w:rPr>
          <w:bCs/>
          <w:lang w:eastAsia="zh-CN"/>
        </w:rPr>
      </w:pPr>
      <w:r>
        <w:rPr>
          <w:bCs/>
          <w:lang w:eastAsia="zh-CN"/>
        </w:rPr>
        <w:t>47</w:t>
      </w:r>
      <w:r w:rsidRPr="000C156A">
        <w:rPr>
          <w:bCs/>
          <w:lang w:eastAsia="zh-CN"/>
        </w:rPr>
        <w:tab/>
      </w:r>
      <w:r w:rsidRPr="00AF34BA">
        <w:rPr>
          <w:rFonts w:hint="eastAsia"/>
          <w:bCs/>
          <w:lang w:eastAsia="zh-CN"/>
        </w:rPr>
        <w:t>尽管面临新冠肺炎疫情、全球经济放缓和由此导致的</w:t>
      </w:r>
      <w:r>
        <w:rPr>
          <w:rFonts w:hint="eastAsia"/>
          <w:bCs/>
          <w:lang w:eastAsia="zh-CN"/>
        </w:rPr>
        <w:t>某些</w:t>
      </w:r>
      <w:r w:rsidRPr="00AF34BA">
        <w:rPr>
          <w:rFonts w:hint="eastAsia"/>
          <w:bCs/>
          <w:lang w:eastAsia="zh-CN"/>
        </w:rPr>
        <w:t>行业整合的挑战，但国际电联成员队伍在</w:t>
      </w:r>
      <w:r w:rsidRPr="00AF34BA">
        <w:rPr>
          <w:rFonts w:hint="eastAsia"/>
          <w:bCs/>
          <w:lang w:eastAsia="zh-CN"/>
        </w:rPr>
        <w:t>2021</w:t>
      </w:r>
      <w:r w:rsidRPr="00AF34BA">
        <w:rPr>
          <w:rFonts w:hint="eastAsia"/>
          <w:bCs/>
          <w:lang w:eastAsia="zh-CN"/>
        </w:rPr>
        <w:t>年有所壮大。国际电联成员</w:t>
      </w:r>
      <w:r>
        <w:rPr>
          <w:rFonts w:hint="eastAsia"/>
          <w:bCs/>
          <w:lang w:eastAsia="zh-CN"/>
        </w:rPr>
        <w:t>共达</w:t>
      </w:r>
      <w:r w:rsidRPr="00AF34BA">
        <w:rPr>
          <w:rFonts w:hint="eastAsia"/>
          <w:bCs/>
          <w:lang w:eastAsia="zh-CN"/>
        </w:rPr>
        <w:t>945</w:t>
      </w:r>
      <w:r w:rsidRPr="00AF34BA">
        <w:rPr>
          <w:rFonts w:hint="eastAsia"/>
          <w:bCs/>
          <w:lang w:eastAsia="zh-CN"/>
        </w:rPr>
        <w:t>个实体，包括</w:t>
      </w:r>
      <w:r w:rsidRPr="00AF34BA">
        <w:rPr>
          <w:rFonts w:hint="eastAsia"/>
          <w:bCs/>
          <w:lang w:eastAsia="zh-CN"/>
        </w:rPr>
        <w:t>85</w:t>
      </w:r>
      <w:r w:rsidRPr="00AF34BA">
        <w:rPr>
          <w:rFonts w:hint="eastAsia"/>
          <w:bCs/>
          <w:lang w:eastAsia="zh-CN"/>
        </w:rPr>
        <w:t>个新成员。然而，由于增长大多源自缴费水平较低的部门准成员，这一来源的收入保持稳定。</w:t>
      </w:r>
    </w:p>
    <w:p w14:paraId="6C8ADBCE" w14:textId="77777777" w:rsidR="00B56A7B" w:rsidRDefault="00B56A7B" w:rsidP="00B56A7B">
      <w:pPr>
        <w:rPr>
          <w:color w:val="000000"/>
          <w:lang w:eastAsia="zh-CN"/>
        </w:rPr>
      </w:pPr>
      <w:r>
        <w:rPr>
          <w:rFonts w:hint="eastAsia"/>
          <w:bCs/>
          <w:lang w:eastAsia="zh-CN"/>
        </w:rPr>
        <w:t>48</w:t>
      </w:r>
      <w:r w:rsidRPr="000C156A">
        <w:rPr>
          <w:bCs/>
          <w:lang w:eastAsia="zh-CN"/>
        </w:rPr>
        <w:tab/>
      </w:r>
      <w:r w:rsidRPr="008E58AC">
        <w:rPr>
          <w:rFonts w:hint="eastAsia"/>
          <w:bCs/>
          <w:lang w:eastAsia="zh-CN"/>
        </w:rPr>
        <w:t>三个部门</w:t>
      </w:r>
      <w:r>
        <w:rPr>
          <w:rFonts w:hint="eastAsia"/>
          <w:bCs/>
          <w:lang w:eastAsia="zh-CN"/>
        </w:rPr>
        <w:t>的</w:t>
      </w:r>
      <w:r w:rsidRPr="008E58AC">
        <w:rPr>
          <w:rFonts w:hint="eastAsia"/>
          <w:bCs/>
          <w:lang w:eastAsia="zh-CN"/>
        </w:rPr>
        <w:t>成员均呈净增长趋势：无线电通信部门</w:t>
      </w:r>
      <w:r>
        <w:rPr>
          <w:rFonts w:hint="eastAsia"/>
          <w:bCs/>
          <w:lang w:eastAsia="zh-CN"/>
        </w:rPr>
        <w:t>（</w:t>
      </w:r>
      <w:r w:rsidRPr="008E58AC">
        <w:rPr>
          <w:rFonts w:hint="eastAsia"/>
          <w:bCs/>
          <w:lang w:eastAsia="zh-CN"/>
        </w:rPr>
        <w:t>+9</w:t>
      </w:r>
      <w:r>
        <w:rPr>
          <w:rFonts w:hint="eastAsia"/>
          <w:bCs/>
          <w:lang w:eastAsia="zh-CN"/>
        </w:rPr>
        <w:t>）</w:t>
      </w:r>
      <w:r w:rsidRPr="008E58AC">
        <w:rPr>
          <w:rFonts w:hint="eastAsia"/>
          <w:bCs/>
          <w:lang w:eastAsia="zh-CN"/>
        </w:rPr>
        <w:t>、电信标准化部门</w:t>
      </w:r>
      <w:r>
        <w:rPr>
          <w:rFonts w:hint="eastAsia"/>
          <w:bCs/>
          <w:lang w:eastAsia="zh-CN"/>
        </w:rPr>
        <w:t>（</w:t>
      </w:r>
      <w:r w:rsidRPr="008E58AC">
        <w:rPr>
          <w:rFonts w:hint="eastAsia"/>
          <w:bCs/>
          <w:lang w:eastAsia="zh-CN"/>
        </w:rPr>
        <w:t>+19</w:t>
      </w:r>
      <w:r>
        <w:rPr>
          <w:rFonts w:hint="eastAsia"/>
          <w:bCs/>
          <w:lang w:eastAsia="zh-CN"/>
        </w:rPr>
        <w:t>）</w:t>
      </w:r>
      <w:r w:rsidRPr="008E58AC">
        <w:rPr>
          <w:rFonts w:hint="eastAsia"/>
          <w:bCs/>
          <w:lang w:eastAsia="zh-CN"/>
        </w:rPr>
        <w:t>和电信发展部门</w:t>
      </w:r>
      <w:r>
        <w:rPr>
          <w:rFonts w:hint="eastAsia"/>
          <w:bCs/>
          <w:lang w:eastAsia="zh-CN"/>
        </w:rPr>
        <w:t>（</w:t>
      </w:r>
      <w:r w:rsidRPr="008E58AC">
        <w:rPr>
          <w:rFonts w:hint="eastAsia"/>
          <w:bCs/>
          <w:lang w:eastAsia="zh-CN"/>
        </w:rPr>
        <w:t>+2</w:t>
      </w:r>
      <w:r>
        <w:rPr>
          <w:rFonts w:hint="eastAsia"/>
          <w:bCs/>
          <w:lang w:eastAsia="zh-CN"/>
        </w:rPr>
        <w:t>）</w:t>
      </w:r>
      <w:r w:rsidRPr="008E58AC">
        <w:rPr>
          <w:rFonts w:hint="eastAsia"/>
          <w:bCs/>
          <w:lang w:eastAsia="zh-CN"/>
        </w:rPr>
        <w:t>。业界成员增长最强劲的是电信标准化部门，主要是新部门准成员的加盟。</w:t>
      </w:r>
    </w:p>
    <w:p w14:paraId="261F5D42" w14:textId="77777777" w:rsidR="00B56A7B" w:rsidRDefault="00B56A7B" w:rsidP="00B56A7B">
      <w:pPr>
        <w:rPr>
          <w:color w:val="000000"/>
          <w:lang w:eastAsia="zh-CN"/>
        </w:rPr>
      </w:pPr>
      <w:r>
        <w:rPr>
          <w:rFonts w:hint="eastAsia"/>
          <w:color w:val="000000"/>
          <w:lang w:eastAsia="zh-CN"/>
        </w:rPr>
        <w:t>49</w:t>
      </w:r>
      <w:r>
        <w:rPr>
          <w:rFonts w:hint="eastAsia"/>
          <w:color w:val="000000"/>
          <w:lang w:eastAsia="zh-CN"/>
        </w:rPr>
        <w:tab/>
      </w:r>
      <w:r w:rsidRPr="008E58AC">
        <w:rPr>
          <w:rFonts w:hint="eastAsia"/>
          <w:color w:val="000000"/>
          <w:lang w:eastAsia="zh-CN"/>
        </w:rPr>
        <w:t>事实证明，留住学术成员更具挑战性，越来越多的大学在会费支付方面力不从心。虽然国际电联吸纳了</w:t>
      </w:r>
      <w:r w:rsidRPr="008E58AC">
        <w:rPr>
          <w:rFonts w:hint="eastAsia"/>
          <w:color w:val="000000"/>
          <w:lang w:eastAsia="zh-CN"/>
        </w:rPr>
        <w:t>17</w:t>
      </w:r>
      <w:r w:rsidRPr="008E58AC">
        <w:rPr>
          <w:rFonts w:hint="eastAsia"/>
          <w:color w:val="000000"/>
          <w:lang w:eastAsia="zh-CN"/>
        </w:rPr>
        <w:t>名新的学术成员，但同样数量的成员</w:t>
      </w:r>
      <w:r>
        <w:rPr>
          <w:rFonts w:hint="eastAsia"/>
          <w:color w:val="000000"/>
          <w:lang w:eastAsia="zh-CN"/>
        </w:rPr>
        <w:t>于</w:t>
      </w:r>
      <w:r w:rsidRPr="008E58AC">
        <w:rPr>
          <w:rFonts w:hint="eastAsia"/>
          <w:color w:val="000000"/>
          <w:lang w:eastAsia="zh-CN"/>
        </w:rPr>
        <w:t>2021</w:t>
      </w:r>
      <w:r w:rsidRPr="008E58AC">
        <w:rPr>
          <w:rFonts w:hint="eastAsia"/>
          <w:color w:val="000000"/>
          <w:lang w:eastAsia="zh-CN"/>
        </w:rPr>
        <w:t>年退出，使总数与前一年持平。</w:t>
      </w:r>
    </w:p>
    <w:p w14:paraId="1C49645A" w14:textId="77777777" w:rsidR="00B56A7B" w:rsidRPr="000C156A" w:rsidRDefault="00B56A7B" w:rsidP="00B56A7B">
      <w:pPr>
        <w:rPr>
          <w:rFonts w:ascii="Times New Roman" w:eastAsia="Times New Roman" w:hAnsi="Times New Roman"/>
          <w:color w:val="000000"/>
          <w:lang w:eastAsia="zh-CN"/>
        </w:rPr>
      </w:pPr>
      <w:r>
        <w:rPr>
          <w:rFonts w:ascii="Times New Roman" w:eastAsia="Times New Roman" w:hAnsi="Times New Roman"/>
          <w:color w:val="000000"/>
          <w:lang w:eastAsia="zh-CN"/>
        </w:rPr>
        <w:t>50</w:t>
      </w:r>
      <w:r>
        <w:rPr>
          <w:rFonts w:ascii="Times New Roman" w:eastAsia="Times New Roman" w:hAnsi="Times New Roman"/>
          <w:color w:val="000000"/>
          <w:lang w:eastAsia="zh-CN"/>
        </w:rPr>
        <w:tab/>
      </w:r>
      <w:r w:rsidRPr="0060746B">
        <w:rPr>
          <w:rFonts w:hint="eastAsia"/>
          <w:color w:val="000000"/>
          <w:lang w:eastAsia="zh-CN"/>
        </w:rPr>
        <w:t>最后，全权代表大会第</w:t>
      </w:r>
      <w:r w:rsidRPr="0060746B">
        <w:rPr>
          <w:rFonts w:hint="eastAsia"/>
          <w:color w:val="000000"/>
          <w:lang w:eastAsia="zh-CN"/>
        </w:rPr>
        <w:t>209</w:t>
      </w:r>
      <w:r w:rsidRPr="0060746B">
        <w:rPr>
          <w:rFonts w:hint="eastAsia"/>
          <w:color w:val="000000"/>
          <w:lang w:eastAsia="zh-CN"/>
        </w:rPr>
        <w:t>号决议（</w:t>
      </w:r>
      <w:r w:rsidRPr="0060746B">
        <w:rPr>
          <w:rFonts w:hint="eastAsia"/>
          <w:color w:val="000000"/>
          <w:lang w:eastAsia="zh-CN"/>
        </w:rPr>
        <w:t>2018</w:t>
      </w:r>
      <w:r w:rsidRPr="0060746B">
        <w:rPr>
          <w:rFonts w:hint="eastAsia"/>
          <w:color w:val="000000"/>
          <w:lang w:eastAsia="zh-CN"/>
        </w:rPr>
        <w:t>年，迪拜）于</w:t>
      </w:r>
      <w:r w:rsidRPr="0060746B">
        <w:rPr>
          <w:rFonts w:hint="eastAsia"/>
          <w:color w:val="000000"/>
          <w:lang w:eastAsia="zh-CN"/>
        </w:rPr>
        <w:t>2020</w:t>
      </w:r>
      <w:r w:rsidRPr="0060746B">
        <w:rPr>
          <w:rFonts w:hint="eastAsia"/>
          <w:color w:val="000000"/>
          <w:lang w:eastAsia="zh-CN"/>
        </w:rPr>
        <w:t>年推出的新的中小企业会费减免措施，</w:t>
      </w:r>
      <w:r>
        <w:rPr>
          <w:rFonts w:hint="eastAsia"/>
          <w:color w:val="000000"/>
          <w:lang w:eastAsia="zh-CN"/>
        </w:rPr>
        <w:t>使</w:t>
      </w:r>
      <w:r w:rsidRPr="0060746B">
        <w:rPr>
          <w:rFonts w:hint="eastAsia"/>
          <w:color w:val="000000"/>
          <w:lang w:eastAsia="zh-CN"/>
        </w:rPr>
        <w:t>成员</w:t>
      </w:r>
      <w:r>
        <w:rPr>
          <w:rFonts w:hint="eastAsia"/>
          <w:color w:val="000000"/>
          <w:lang w:eastAsia="zh-CN"/>
        </w:rPr>
        <w:t>队伍</w:t>
      </w:r>
      <w:r w:rsidRPr="0060746B">
        <w:rPr>
          <w:rFonts w:hint="eastAsia"/>
          <w:color w:val="000000"/>
          <w:lang w:eastAsia="zh-CN"/>
        </w:rPr>
        <w:t>继续</w:t>
      </w:r>
      <w:r>
        <w:rPr>
          <w:rFonts w:hint="eastAsia"/>
          <w:color w:val="000000"/>
          <w:lang w:eastAsia="zh-CN"/>
        </w:rPr>
        <w:t>壮大</w:t>
      </w:r>
      <w:r w:rsidRPr="0060746B">
        <w:rPr>
          <w:rFonts w:hint="eastAsia"/>
          <w:color w:val="000000"/>
          <w:lang w:eastAsia="zh-CN"/>
        </w:rPr>
        <w:t>。通过大量数字化营销和外联努力，国际电联迎纳了</w:t>
      </w:r>
      <w:r w:rsidRPr="0060746B">
        <w:rPr>
          <w:rFonts w:hint="eastAsia"/>
          <w:color w:val="000000"/>
          <w:lang w:eastAsia="zh-CN"/>
        </w:rPr>
        <w:t>29</w:t>
      </w:r>
      <w:r w:rsidRPr="0060746B">
        <w:rPr>
          <w:rFonts w:hint="eastAsia"/>
          <w:color w:val="000000"/>
          <w:lang w:eastAsia="zh-CN"/>
        </w:rPr>
        <w:t>家中小企业，其中电信标准化部门</w:t>
      </w:r>
      <w:r w:rsidRPr="0060746B">
        <w:rPr>
          <w:rFonts w:hint="eastAsia"/>
          <w:color w:val="000000"/>
          <w:lang w:eastAsia="zh-CN"/>
        </w:rPr>
        <w:t>23</w:t>
      </w:r>
      <w:r w:rsidRPr="0060746B">
        <w:rPr>
          <w:rFonts w:hint="eastAsia"/>
          <w:color w:val="000000"/>
          <w:lang w:eastAsia="zh-CN"/>
        </w:rPr>
        <w:t>家，无线电通信部门</w:t>
      </w:r>
      <w:r w:rsidRPr="0060746B">
        <w:rPr>
          <w:rFonts w:hint="eastAsia"/>
          <w:color w:val="000000"/>
          <w:lang w:eastAsia="zh-CN"/>
        </w:rPr>
        <w:t>6</w:t>
      </w:r>
      <w:r w:rsidRPr="0060746B">
        <w:rPr>
          <w:rFonts w:hint="eastAsia"/>
          <w:color w:val="000000"/>
          <w:lang w:eastAsia="zh-CN"/>
        </w:rPr>
        <w:t>家，从而使享受部门准成员会费减免的加盟中小企业总数达到</w:t>
      </w:r>
      <w:r w:rsidRPr="0060746B">
        <w:rPr>
          <w:rFonts w:hint="eastAsia"/>
          <w:color w:val="000000"/>
          <w:lang w:eastAsia="zh-CN"/>
        </w:rPr>
        <w:t>51</w:t>
      </w:r>
      <w:r w:rsidRPr="0060746B">
        <w:rPr>
          <w:rFonts w:hint="eastAsia"/>
          <w:color w:val="000000"/>
          <w:lang w:eastAsia="zh-CN"/>
        </w:rPr>
        <w:t>家。</w:t>
      </w:r>
    </w:p>
    <w:p w14:paraId="469B8D16" w14:textId="77777777" w:rsidR="00B56A7B" w:rsidRPr="000C156A" w:rsidRDefault="00B56A7B" w:rsidP="00B56A7B">
      <w:pPr>
        <w:widowControl w:val="0"/>
        <w:tabs>
          <w:tab w:val="left" w:pos="709"/>
        </w:tabs>
        <w:kinsoku w:val="0"/>
        <w:overflowPunct/>
        <w:autoSpaceDE/>
        <w:autoSpaceDN/>
        <w:snapToGrid w:val="0"/>
        <w:textAlignment w:val="auto"/>
        <w:rPr>
          <w:color w:val="000000"/>
          <w:lang w:eastAsia="zh-CN"/>
        </w:rPr>
      </w:pPr>
      <w:r>
        <w:rPr>
          <w:rFonts w:hint="eastAsia"/>
          <w:color w:val="000000"/>
          <w:lang w:eastAsia="zh-CN"/>
        </w:rPr>
        <w:t>51</w:t>
      </w:r>
      <w:r w:rsidRPr="000C156A">
        <w:rPr>
          <w:color w:val="000000"/>
          <w:lang w:eastAsia="zh-CN"/>
        </w:rPr>
        <w:tab/>
      </w:r>
      <w:r w:rsidRPr="0060746B">
        <w:rPr>
          <w:rFonts w:hint="eastAsia"/>
          <w:color w:val="000000"/>
          <w:lang w:eastAsia="zh-CN"/>
        </w:rPr>
        <w:t>总之，尽管经济环境充满挑战，</w:t>
      </w:r>
      <w:r>
        <w:rPr>
          <w:rFonts w:hint="eastAsia"/>
          <w:color w:val="000000"/>
          <w:lang w:eastAsia="zh-CN"/>
        </w:rPr>
        <w:t>但</w:t>
      </w:r>
      <w:r w:rsidRPr="0060746B">
        <w:rPr>
          <w:rFonts w:hint="eastAsia"/>
          <w:color w:val="000000"/>
          <w:lang w:eastAsia="zh-CN"/>
        </w:rPr>
        <w:t>国际电联已将其研究组和其他活动虚拟化，加强了与外界的联系，并于近期对作为部门准成员加入的中小企业实行了会费减免，</w:t>
      </w:r>
      <w:r>
        <w:rPr>
          <w:rFonts w:hint="eastAsia"/>
          <w:color w:val="000000"/>
          <w:lang w:eastAsia="zh-CN"/>
        </w:rPr>
        <w:t>从而</w:t>
      </w:r>
      <w:r w:rsidRPr="0060746B">
        <w:rPr>
          <w:rFonts w:hint="eastAsia"/>
          <w:color w:val="000000"/>
          <w:lang w:eastAsia="zh-CN"/>
        </w:rPr>
        <w:t>为国际电联带来了新生力量，</w:t>
      </w:r>
      <w:r>
        <w:rPr>
          <w:rFonts w:hint="eastAsia"/>
          <w:color w:val="000000"/>
          <w:lang w:eastAsia="zh-CN"/>
        </w:rPr>
        <w:t>也</w:t>
      </w:r>
      <w:r w:rsidRPr="0060746B">
        <w:rPr>
          <w:rFonts w:hint="eastAsia"/>
          <w:color w:val="000000"/>
          <w:lang w:eastAsia="zh-CN"/>
        </w:rPr>
        <w:t>使</w:t>
      </w:r>
      <w:r>
        <w:rPr>
          <w:rFonts w:hint="eastAsia"/>
          <w:color w:val="000000"/>
          <w:lang w:eastAsia="zh-CN"/>
        </w:rPr>
        <w:t>其</w:t>
      </w:r>
      <w:r w:rsidRPr="0060746B">
        <w:rPr>
          <w:rFonts w:hint="eastAsia"/>
          <w:color w:val="000000"/>
          <w:lang w:eastAsia="zh-CN"/>
        </w:rPr>
        <w:t>成员</w:t>
      </w:r>
      <w:r>
        <w:rPr>
          <w:rFonts w:hint="eastAsia"/>
          <w:color w:val="000000"/>
          <w:lang w:eastAsia="zh-CN"/>
        </w:rPr>
        <w:t>队伍</w:t>
      </w:r>
      <w:r w:rsidRPr="0060746B">
        <w:rPr>
          <w:rFonts w:hint="eastAsia"/>
          <w:color w:val="000000"/>
          <w:lang w:eastAsia="zh-CN"/>
        </w:rPr>
        <w:t>变得更具包容性，与不断变化的信通技术生态系统相呼应。</w:t>
      </w:r>
    </w:p>
    <w:p w14:paraId="58806E44" w14:textId="77777777" w:rsidR="00B56A7B" w:rsidRPr="000C156A" w:rsidRDefault="00B56A7B" w:rsidP="00B56A7B">
      <w:pPr>
        <w:pStyle w:val="Headingb"/>
        <w:rPr>
          <w:lang w:val="en-US" w:eastAsia="zh-CN"/>
        </w:rPr>
      </w:pPr>
      <w:bookmarkStart w:id="1284" w:name="_Toc73518736"/>
      <w:bookmarkStart w:id="1285" w:name="_Toc73518883"/>
      <w:bookmarkStart w:id="1286" w:name="_Toc73519283"/>
      <w:bookmarkStart w:id="1287" w:name="_Toc73636322"/>
      <w:r w:rsidRPr="000C156A">
        <w:rPr>
          <w:rFonts w:hint="eastAsia"/>
          <w:lang w:val="en-US" w:eastAsia="zh-CN"/>
        </w:rPr>
        <w:t>项目支持成本收入</w:t>
      </w:r>
      <w:bookmarkEnd w:id="1284"/>
      <w:bookmarkEnd w:id="1285"/>
      <w:bookmarkEnd w:id="1286"/>
      <w:bookmarkEnd w:id="1287"/>
    </w:p>
    <w:p w14:paraId="52130869" w14:textId="77777777" w:rsidR="00B56A7B" w:rsidRPr="000C156A" w:rsidRDefault="00B56A7B" w:rsidP="00B56A7B">
      <w:pPr>
        <w:rPr>
          <w:lang w:eastAsia="zh-CN"/>
        </w:rPr>
      </w:pPr>
      <w:r>
        <w:rPr>
          <w:rFonts w:hint="eastAsia"/>
          <w:lang w:eastAsia="zh-CN"/>
        </w:rPr>
        <w:t>52</w:t>
      </w:r>
      <w:r w:rsidRPr="000C156A">
        <w:rPr>
          <w:lang w:eastAsia="zh-CN"/>
        </w:rPr>
        <w:tab/>
        <w:t>20</w:t>
      </w:r>
      <w:r>
        <w:rPr>
          <w:rFonts w:hint="eastAsia"/>
          <w:lang w:eastAsia="zh-CN"/>
        </w:rPr>
        <w:t>21</w:t>
      </w:r>
      <w:r w:rsidRPr="000C156A">
        <w:rPr>
          <w:rFonts w:hint="eastAsia"/>
          <w:lang w:eastAsia="zh-CN"/>
        </w:rPr>
        <w:t>年的项目支持成本预算收入为</w:t>
      </w:r>
      <w:r w:rsidRPr="000C156A">
        <w:rPr>
          <w:lang w:eastAsia="zh-CN"/>
        </w:rPr>
        <w:t>137</w:t>
      </w:r>
      <w:r w:rsidRPr="000C156A">
        <w:rPr>
          <w:rFonts w:hint="eastAsia"/>
          <w:lang w:eastAsia="zh-CN"/>
        </w:rPr>
        <w:t>万瑞郎，实际收入金额为</w:t>
      </w:r>
      <w:r>
        <w:rPr>
          <w:lang w:eastAsia="zh-CN"/>
        </w:rPr>
        <w:t>72</w:t>
      </w:r>
      <w:r w:rsidRPr="000C156A">
        <w:rPr>
          <w:rFonts w:hint="eastAsia"/>
          <w:lang w:eastAsia="zh-CN"/>
        </w:rPr>
        <w:t>万瑞郎，</w:t>
      </w:r>
      <w:r>
        <w:rPr>
          <w:lang w:eastAsia="zh-CN"/>
        </w:rPr>
        <w:t>2020</w:t>
      </w:r>
      <w:r w:rsidRPr="000C156A">
        <w:rPr>
          <w:rFonts w:hint="eastAsia"/>
          <w:lang w:eastAsia="zh-CN"/>
        </w:rPr>
        <w:t>年为</w:t>
      </w:r>
      <w:r>
        <w:rPr>
          <w:lang w:eastAsia="zh-CN"/>
        </w:rPr>
        <w:t>2</w:t>
      </w:r>
      <w:r w:rsidRPr="000C156A">
        <w:rPr>
          <w:lang w:eastAsia="zh-CN"/>
        </w:rPr>
        <w:t>0</w:t>
      </w:r>
      <w:r w:rsidRPr="000C156A">
        <w:rPr>
          <w:rFonts w:hint="eastAsia"/>
          <w:lang w:eastAsia="zh-CN"/>
        </w:rPr>
        <w:t>万瑞郎。只有实施了项目，收入才会入账。</w:t>
      </w:r>
    </w:p>
    <w:p w14:paraId="3F367897" w14:textId="77777777" w:rsidR="00B56A7B" w:rsidRPr="000C156A" w:rsidRDefault="00B56A7B" w:rsidP="00B56A7B">
      <w:pPr>
        <w:pStyle w:val="Headingb"/>
        <w:rPr>
          <w:lang w:val="en-US" w:eastAsia="zh-CN"/>
        </w:rPr>
      </w:pPr>
      <w:bookmarkStart w:id="1288" w:name="_Toc73518737"/>
      <w:bookmarkStart w:id="1289" w:name="_Toc73518884"/>
      <w:bookmarkStart w:id="1290" w:name="_Toc73519284"/>
      <w:bookmarkStart w:id="1291" w:name="_Toc73636323"/>
      <w:r w:rsidRPr="000C156A">
        <w:rPr>
          <w:rFonts w:hint="eastAsia"/>
          <w:lang w:val="en-US" w:eastAsia="zh-CN"/>
        </w:rPr>
        <w:t>出版物销售</w:t>
      </w:r>
      <w:bookmarkEnd w:id="1288"/>
      <w:bookmarkEnd w:id="1289"/>
      <w:bookmarkEnd w:id="1290"/>
      <w:bookmarkEnd w:id="1291"/>
    </w:p>
    <w:p w14:paraId="27BD0788" w14:textId="77777777" w:rsidR="00B56A7B" w:rsidRPr="000C156A" w:rsidRDefault="00B56A7B" w:rsidP="00B56A7B">
      <w:pPr>
        <w:rPr>
          <w:lang w:val="en-US" w:eastAsia="zh-CN"/>
        </w:rPr>
      </w:pPr>
      <w:r>
        <w:rPr>
          <w:rFonts w:hint="eastAsia"/>
          <w:lang w:val="en-US" w:eastAsia="zh-CN"/>
        </w:rPr>
        <w:t>53</w:t>
      </w:r>
      <w:r w:rsidRPr="000C156A">
        <w:rPr>
          <w:lang w:val="en-US" w:eastAsia="zh-CN"/>
        </w:rPr>
        <w:tab/>
      </w:r>
      <w:r w:rsidRPr="004661A5">
        <w:rPr>
          <w:rFonts w:hint="eastAsia"/>
          <w:lang w:val="en-US" w:eastAsia="zh-CN"/>
        </w:rPr>
        <w:t>2021</w:t>
      </w:r>
      <w:r w:rsidRPr="004661A5">
        <w:rPr>
          <w:rFonts w:hint="eastAsia"/>
          <w:lang w:val="en-US" w:eastAsia="zh-CN"/>
        </w:rPr>
        <w:t>年出版物销售收入达到</w:t>
      </w:r>
      <w:r w:rsidRPr="004661A5">
        <w:rPr>
          <w:rFonts w:hint="eastAsia"/>
          <w:lang w:val="en-US" w:eastAsia="zh-CN"/>
        </w:rPr>
        <w:t>1940</w:t>
      </w:r>
      <w:r w:rsidRPr="004661A5">
        <w:rPr>
          <w:rFonts w:hint="eastAsia"/>
          <w:lang w:val="en-US" w:eastAsia="zh-CN"/>
        </w:rPr>
        <w:t>万瑞郎，与当年预算的</w:t>
      </w:r>
      <w:r w:rsidRPr="004661A5">
        <w:rPr>
          <w:rFonts w:hint="eastAsia"/>
          <w:lang w:val="en-US" w:eastAsia="zh-CN"/>
        </w:rPr>
        <w:t>1900</w:t>
      </w:r>
      <w:r w:rsidRPr="004661A5">
        <w:rPr>
          <w:rFonts w:hint="eastAsia"/>
          <w:lang w:val="en-US" w:eastAsia="zh-CN"/>
        </w:rPr>
        <w:t>万瑞郎相</w:t>
      </w:r>
      <w:r>
        <w:rPr>
          <w:rFonts w:hint="eastAsia"/>
          <w:lang w:val="en-US" w:eastAsia="zh-CN"/>
        </w:rPr>
        <w:t>吻合</w:t>
      </w:r>
      <w:r w:rsidRPr="004661A5">
        <w:rPr>
          <w:rFonts w:hint="eastAsia"/>
          <w:lang w:val="en-US" w:eastAsia="zh-CN"/>
        </w:rPr>
        <w:t>。</w:t>
      </w:r>
    </w:p>
    <w:p w14:paraId="19D6BB9C" w14:textId="77777777" w:rsidR="00B56A7B" w:rsidRPr="000C156A" w:rsidRDefault="00B56A7B" w:rsidP="00B56A7B">
      <w:pPr>
        <w:rPr>
          <w:lang w:eastAsia="zh-CN"/>
        </w:rPr>
      </w:pPr>
      <w:r>
        <w:rPr>
          <w:rFonts w:hint="eastAsia"/>
          <w:lang w:val="en-US" w:eastAsia="zh-CN"/>
        </w:rPr>
        <w:t>54</w:t>
      </w:r>
      <w:r w:rsidRPr="000C156A">
        <w:rPr>
          <w:lang w:val="en-US" w:eastAsia="zh-CN"/>
        </w:rPr>
        <w:tab/>
      </w:r>
      <w:r w:rsidRPr="00D20BE0">
        <w:rPr>
          <w:rFonts w:hint="eastAsia"/>
          <w:lang w:val="en-US" w:eastAsia="zh-CN"/>
        </w:rPr>
        <w:t>两个新发布的</w:t>
      </w:r>
      <w:r w:rsidRPr="00D20BE0">
        <w:rPr>
          <w:rFonts w:hint="eastAsia"/>
          <w:lang w:val="en-US" w:eastAsia="zh-CN"/>
        </w:rPr>
        <w:t>2021</w:t>
      </w:r>
      <w:r w:rsidRPr="00D20BE0">
        <w:rPr>
          <w:rFonts w:hint="eastAsia"/>
          <w:lang w:val="en-US" w:eastAsia="zh-CN"/>
        </w:rPr>
        <w:t>年版国际电联水上业务出版物</w:t>
      </w:r>
      <w:r>
        <w:rPr>
          <w:rFonts w:hint="eastAsia"/>
          <w:lang w:val="en-US" w:eastAsia="zh-CN"/>
        </w:rPr>
        <w:t>（年度名录五</w:t>
      </w:r>
      <w:r>
        <w:rPr>
          <w:rFonts w:hint="eastAsia"/>
          <w:lang w:val="en-US" w:eastAsia="zh-CN"/>
        </w:rPr>
        <w:t>/</w:t>
      </w:r>
      <w:r w:rsidRPr="00D20BE0">
        <w:rPr>
          <w:rFonts w:hint="eastAsia"/>
          <w:lang w:val="en-US" w:eastAsia="zh-CN"/>
        </w:rPr>
        <w:t>4</w:t>
      </w:r>
      <w:r w:rsidRPr="00D20BE0">
        <w:rPr>
          <w:rFonts w:hint="eastAsia"/>
          <w:lang w:val="en-US" w:eastAsia="zh-CN"/>
        </w:rPr>
        <w:t>月的</w:t>
      </w:r>
      <w:r w:rsidRPr="00D84EEF">
        <w:rPr>
          <w:rFonts w:hint="eastAsia"/>
          <w:lang w:val="en-US" w:eastAsia="zh-CN"/>
        </w:rPr>
        <w:t>船舶电台名录</w:t>
      </w:r>
      <w:r>
        <w:rPr>
          <w:rFonts w:hint="eastAsia"/>
          <w:lang w:val="en-US" w:eastAsia="zh-CN"/>
        </w:rPr>
        <w:t>和双年度名录四</w:t>
      </w:r>
      <w:r w:rsidRPr="00D20BE0">
        <w:rPr>
          <w:rFonts w:hint="eastAsia"/>
          <w:lang w:val="en-US" w:eastAsia="zh-CN"/>
        </w:rPr>
        <w:t>/ 12</w:t>
      </w:r>
      <w:r w:rsidRPr="00D20BE0">
        <w:rPr>
          <w:rFonts w:hint="eastAsia"/>
          <w:lang w:val="en-US" w:eastAsia="zh-CN"/>
        </w:rPr>
        <w:t>月的</w:t>
      </w:r>
      <w:r w:rsidRPr="00405312">
        <w:rPr>
          <w:rFonts w:hint="eastAsia"/>
          <w:lang w:val="en-US" w:eastAsia="zh-CN"/>
        </w:rPr>
        <w:t>海岸电台名</w:t>
      </w:r>
      <w:r>
        <w:rPr>
          <w:rFonts w:hint="eastAsia"/>
          <w:lang w:val="en-US" w:eastAsia="zh-CN"/>
        </w:rPr>
        <w:t>录）</w:t>
      </w:r>
      <w:r w:rsidRPr="00D20BE0">
        <w:rPr>
          <w:rFonts w:hint="eastAsia"/>
          <w:lang w:val="en-US" w:eastAsia="zh-CN"/>
        </w:rPr>
        <w:t>以及</w:t>
      </w:r>
      <w:r w:rsidRPr="00D20BE0">
        <w:rPr>
          <w:rFonts w:hint="eastAsia"/>
          <w:lang w:val="en-US" w:eastAsia="zh-CN"/>
        </w:rPr>
        <w:t>2020</w:t>
      </w:r>
      <w:r w:rsidRPr="00D20BE0">
        <w:rPr>
          <w:rFonts w:hint="eastAsia"/>
          <w:lang w:val="en-US" w:eastAsia="zh-CN"/>
        </w:rPr>
        <w:t>年</w:t>
      </w:r>
      <w:r>
        <w:rPr>
          <w:rFonts w:hint="eastAsia"/>
          <w:lang w:val="en-US" w:eastAsia="zh-CN"/>
        </w:rPr>
        <w:t>版</w:t>
      </w:r>
      <w:r w:rsidRPr="00405312">
        <w:rPr>
          <w:rFonts w:hint="eastAsia"/>
          <w:lang w:val="en-US" w:eastAsia="zh-CN"/>
        </w:rPr>
        <w:t>《水上移动和水上卫星移动业务使用手册》</w:t>
      </w:r>
      <w:r>
        <w:rPr>
          <w:rFonts w:hint="eastAsia"/>
          <w:lang w:val="en-US" w:eastAsia="zh-CN"/>
        </w:rPr>
        <w:t>（</w:t>
      </w:r>
      <w:r w:rsidRPr="00D20BE0">
        <w:rPr>
          <w:rFonts w:hint="eastAsia"/>
          <w:lang w:val="en-US" w:eastAsia="zh-CN"/>
        </w:rPr>
        <w:t>《海事手册》</w:t>
      </w:r>
      <w:r>
        <w:rPr>
          <w:rFonts w:hint="eastAsia"/>
          <w:lang w:val="en-US" w:eastAsia="zh-CN"/>
        </w:rPr>
        <w:t>）</w:t>
      </w:r>
      <w:r w:rsidRPr="00D20BE0">
        <w:rPr>
          <w:rFonts w:hint="eastAsia"/>
          <w:lang w:val="en-US" w:eastAsia="zh-CN"/>
        </w:rPr>
        <w:t>的持续强劲销售</w:t>
      </w:r>
      <w:r>
        <w:rPr>
          <w:rFonts w:hint="eastAsia"/>
          <w:lang w:val="en-US" w:eastAsia="zh-CN"/>
        </w:rPr>
        <w:t>，</w:t>
      </w:r>
      <w:r w:rsidRPr="00D20BE0">
        <w:rPr>
          <w:rFonts w:hint="eastAsia"/>
          <w:lang w:val="en-US" w:eastAsia="zh-CN"/>
        </w:rPr>
        <w:t>推动</w:t>
      </w:r>
      <w:r>
        <w:rPr>
          <w:rFonts w:hint="eastAsia"/>
          <w:lang w:val="en-US" w:eastAsia="zh-CN"/>
        </w:rPr>
        <w:t>了</w:t>
      </w:r>
      <w:r w:rsidRPr="00D20BE0">
        <w:rPr>
          <w:rFonts w:hint="eastAsia"/>
          <w:lang w:val="en-US" w:eastAsia="zh-CN"/>
        </w:rPr>
        <w:t>收入的增加。</w:t>
      </w:r>
      <w:r>
        <w:rPr>
          <w:rFonts w:hint="eastAsia"/>
          <w:lang w:val="en-US" w:eastAsia="zh-CN"/>
        </w:rPr>
        <w:t>促销</w:t>
      </w:r>
      <w:r w:rsidRPr="00D20BE0">
        <w:rPr>
          <w:rFonts w:hint="eastAsia"/>
          <w:lang w:val="en-US" w:eastAsia="zh-CN"/>
        </w:rPr>
        <w:t>活动包括继续</w:t>
      </w:r>
      <w:r>
        <w:rPr>
          <w:rFonts w:hint="eastAsia"/>
          <w:lang w:val="en-US" w:eastAsia="zh-CN"/>
        </w:rPr>
        <w:t>拓展无线电通信局</w:t>
      </w:r>
      <w:r w:rsidRPr="009F7F29">
        <w:rPr>
          <w:rFonts w:hint="eastAsia"/>
          <w:lang w:val="en-US" w:eastAsia="zh-CN"/>
        </w:rPr>
        <w:t>水上服务出版物</w:t>
      </w:r>
      <w:r w:rsidRPr="00D20BE0">
        <w:rPr>
          <w:rFonts w:hint="eastAsia"/>
          <w:lang w:val="en-US" w:eastAsia="zh-CN"/>
        </w:rPr>
        <w:t>的全球分销渠道，以及</w:t>
      </w:r>
      <w:r>
        <w:rPr>
          <w:rFonts w:hint="eastAsia"/>
          <w:lang w:val="en-US" w:eastAsia="zh-CN"/>
        </w:rPr>
        <w:t>持续开展有关</w:t>
      </w:r>
      <w:r w:rsidRPr="00D20BE0">
        <w:rPr>
          <w:rFonts w:hint="eastAsia"/>
          <w:lang w:val="en-US" w:eastAsia="zh-CN"/>
        </w:rPr>
        <w:t>防伪措施</w:t>
      </w:r>
      <w:r>
        <w:rPr>
          <w:rFonts w:hint="eastAsia"/>
          <w:lang w:val="en-US" w:eastAsia="zh-CN"/>
        </w:rPr>
        <w:t>的</w:t>
      </w:r>
      <w:r w:rsidRPr="00D20BE0">
        <w:rPr>
          <w:rFonts w:hint="eastAsia"/>
          <w:lang w:val="en-US" w:eastAsia="zh-CN"/>
        </w:rPr>
        <w:t>宣传</w:t>
      </w:r>
      <w:r>
        <w:rPr>
          <w:rFonts w:hint="eastAsia"/>
          <w:lang w:val="en-US" w:eastAsia="zh-CN"/>
        </w:rPr>
        <w:t>工作</w:t>
      </w:r>
      <w:r w:rsidRPr="00D20BE0">
        <w:rPr>
          <w:rFonts w:hint="eastAsia"/>
          <w:lang w:val="en-US" w:eastAsia="zh-CN"/>
        </w:rPr>
        <w:t>。</w:t>
      </w:r>
    </w:p>
    <w:p w14:paraId="5DE802EC" w14:textId="77777777" w:rsidR="00B56A7B" w:rsidRPr="000C156A" w:rsidRDefault="00B56A7B" w:rsidP="00B56A7B">
      <w:pPr>
        <w:rPr>
          <w:lang w:eastAsia="zh-CN"/>
        </w:rPr>
      </w:pPr>
      <w:r>
        <w:rPr>
          <w:rFonts w:hint="eastAsia"/>
          <w:lang w:val="en-US" w:eastAsia="zh-CN"/>
        </w:rPr>
        <w:lastRenderedPageBreak/>
        <w:t>55</w:t>
      </w:r>
      <w:r w:rsidRPr="000C156A">
        <w:rPr>
          <w:lang w:val="en-US" w:eastAsia="zh-CN"/>
        </w:rPr>
        <w:tab/>
      </w:r>
      <w:r w:rsidRPr="00D945C0">
        <w:rPr>
          <w:rFonts w:hint="eastAsia"/>
          <w:lang w:val="en-US" w:eastAsia="zh-CN"/>
        </w:rPr>
        <w:t>尽管国际电联的绝大多数内容和书目</w:t>
      </w:r>
      <w:r>
        <w:rPr>
          <w:rFonts w:hint="eastAsia"/>
          <w:lang w:val="en-US" w:eastAsia="zh-CN"/>
        </w:rPr>
        <w:t>目前</w:t>
      </w:r>
      <w:r w:rsidRPr="00D945C0">
        <w:rPr>
          <w:rFonts w:hint="eastAsia"/>
          <w:lang w:val="en-US" w:eastAsia="zh-CN"/>
        </w:rPr>
        <w:t>都可在网上免费获得，但</w:t>
      </w:r>
      <w:r>
        <w:rPr>
          <w:rFonts w:hint="eastAsia"/>
          <w:lang w:val="en-US" w:eastAsia="zh-CN"/>
        </w:rPr>
        <w:t>国际电联统计数据</w:t>
      </w:r>
      <w:r w:rsidRPr="00D945C0">
        <w:rPr>
          <w:rFonts w:hint="eastAsia"/>
          <w:lang w:val="en-US" w:eastAsia="zh-CN"/>
        </w:rPr>
        <w:t>主要的传统客户，如《经济学家》资料处、安永会计师事务所和《金融时报》，</w:t>
      </w:r>
      <w:r>
        <w:rPr>
          <w:rFonts w:hint="eastAsia"/>
          <w:lang w:val="en-US" w:eastAsia="zh-CN"/>
        </w:rPr>
        <w:t>均</w:t>
      </w:r>
      <w:r w:rsidRPr="00D945C0">
        <w:rPr>
          <w:rFonts w:hint="eastAsia"/>
          <w:lang w:val="en-US" w:eastAsia="zh-CN"/>
        </w:rPr>
        <w:t>已</w:t>
      </w:r>
      <w:r>
        <w:rPr>
          <w:rFonts w:hint="eastAsia"/>
          <w:lang w:val="en-US" w:eastAsia="zh-CN"/>
        </w:rPr>
        <w:t>就</w:t>
      </w:r>
      <w:r w:rsidRPr="00D945C0">
        <w:rPr>
          <w:rFonts w:hint="eastAsia"/>
          <w:lang w:val="en-US" w:eastAsia="zh-CN"/>
        </w:rPr>
        <w:t>ITU-D</w:t>
      </w:r>
      <w:r w:rsidRPr="00D945C0">
        <w:rPr>
          <w:rFonts w:hint="eastAsia"/>
          <w:lang w:val="en-US" w:eastAsia="zh-CN"/>
        </w:rPr>
        <w:t>的世界电信</w:t>
      </w:r>
      <w:r w:rsidRPr="00D945C0">
        <w:rPr>
          <w:rFonts w:hint="eastAsia"/>
          <w:lang w:val="en-US" w:eastAsia="zh-CN"/>
        </w:rPr>
        <w:t>/ICT</w:t>
      </w:r>
      <w:r w:rsidRPr="00D945C0">
        <w:rPr>
          <w:rFonts w:hint="eastAsia"/>
          <w:lang w:val="en-US" w:eastAsia="zh-CN"/>
        </w:rPr>
        <w:t>指标数据库续签了定制数据许可协议，</w:t>
      </w:r>
      <w:r>
        <w:rPr>
          <w:rFonts w:hint="eastAsia"/>
          <w:lang w:val="en-US" w:eastAsia="zh-CN"/>
        </w:rPr>
        <w:t>从而</w:t>
      </w:r>
      <w:r w:rsidRPr="00D945C0">
        <w:rPr>
          <w:rFonts w:hint="eastAsia"/>
          <w:lang w:val="en-US" w:eastAsia="zh-CN"/>
        </w:rPr>
        <w:t>继续以年度版税的形式</w:t>
      </w:r>
      <w:r>
        <w:rPr>
          <w:rFonts w:hint="eastAsia"/>
          <w:lang w:val="en-US" w:eastAsia="zh-CN"/>
        </w:rPr>
        <w:t>为</w:t>
      </w:r>
      <w:r w:rsidRPr="00D945C0">
        <w:rPr>
          <w:rFonts w:hint="eastAsia"/>
          <w:lang w:val="en-US" w:eastAsia="zh-CN"/>
        </w:rPr>
        <w:t>国际电联</w:t>
      </w:r>
      <w:r>
        <w:rPr>
          <w:rFonts w:hint="eastAsia"/>
          <w:lang w:val="en-US" w:eastAsia="zh-CN"/>
        </w:rPr>
        <w:t>创收</w:t>
      </w:r>
      <w:r w:rsidRPr="00D945C0">
        <w:rPr>
          <w:rFonts w:hint="eastAsia"/>
          <w:lang w:val="en-US" w:eastAsia="zh-CN"/>
        </w:rPr>
        <w:t>。</w:t>
      </w:r>
    </w:p>
    <w:p w14:paraId="28C4FADE" w14:textId="77777777" w:rsidR="00B56A7B" w:rsidRPr="000C156A" w:rsidRDefault="00B56A7B" w:rsidP="00B56A7B">
      <w:pPr>
        <w:pStyle w:val="Headingb"/>
        <w:rPr>
          <w:lang w:val="en-US" w:eastAsia="zh-CN"/>
        </w:rPr>
      </w:pPr>
      <w:bookmarkStart w:id="1292" w:name="_Toc73518738"/>
      <w:bookmarkStart w:id="1293" w:name="_Toc73518885"/>
      <w:bookmarkStart w:id="1294" w:name="_Toc73519285"/>
      <w:bookmarkStart w:id="1295" w:name="_Toc73636324"/>
      <w:r w:rsidRPr="000C156A">
        <w:rPr>
          <w:rFonts w:hint="eastAsia"/>
          <w:lang w:val="en-US" w:eastAsia="zh-CN"/>
        </w:rPr>
        <w:t>实行成本回收的产品和服务</w:t>
      </w:r>
      <w:bookmarkEnd w:id="1292"/>
      <w:bookmarkEnd w:id="1293"/>
      <w:bookmarkEnd w:id="1294"/>
      <w:bookmarkEnd w:id="1295"/>
    </w:p>
    <w:p w14:paraId="27D8D60A" w14:textId="77777777" w:rsidR="00B56A7B" w:rsidRPr="0051402E" w:rsidRDefault="00B56A7B" w:rsidP="00B56A7B">
      <w:pPr>
        <w:rPr>
          <w:lang w:eastAsia="zh-CN"/>
        </w:rPr>
      </w:pPr>
      <w:r>
        <w:rPr>
          <w:rFonts w:hint="eastAsia"/>
          <w:lang w:eastAsia="zh-CN"/>
        </w:rPr>
        <w:t>56</w:t>
      </w:r>
      <w:r w:rsidRPr="000C156A">
        <w:rPr>
          <w:lang w:eastAsia="zh-CN"/>
        </w:rPr>
        <w:tab/>
      </w:r>
      <w:r w:rsidRPr="000C156A">
        <w:rPr>
          <w:rFonts w:hint="eastAsia"/>
          <w:lang w:eastAsia="zh-CN"/>
        </w:rPr>
        <w:t>在</w:t>
      </w:r>
      <w:r>
        <w:rPr>
          <w:rFonts w:hint="eastAsia"/>
          <w:lang w:eastAsia="zh-CN"/>
        </w:rPr>
        <w:t>2021</w:t>
      </w:r>
      <w:r w:rsidRPr="000C156A">
        <w:rPr>
          <w:rFonts w:hint="eastAsia"/>
          <w:lang w:eastAsia="zh-CN"/>
        </w:rPr>
        <w:t>年正常预算中，实行成本回收收入的产品和服务预计为</w:t>
      </w:r>
      <w:r w:rsidRPr="000C156A">
        <w:rPr>
          <w:rFonts w:hint="eastAsia"/>
          <w:lang w:eastAsia="zh-CN"/>
        </w:rPr>
        <w:t>1</w:t>
      </w:r>
      <w:r w:rsidRPr="000C156A">
        <w:rPr>
          <w:lang w:eastAsia="zh-CN"/>
        </w:rPr>
        <w:t xml:space="preserve"> </w:t>
      </w:r>
      <w:r w:rsidRPr="000C156A">
        <w:rPr>
          <w:rFonts w:hint="eastAsia"/>
          <w:lang w:eastAsia="zh-CN"/>
        </w:rPr>
        <w:t>750</w:t>
      </w:r>
      <w:r w:rsidRPr="000C156A">
        <w:rPr>
          <w:rFonts w:hint="eastAsia"/>
          <w:lang w:eastAsia="zh-CN"/>
        </w:rPr>
        <w:t>万瑞郎，实际收入为</w:t>
      </w:r>
      <w:r w:rsidRPr="000C156A">
        <w:rPr>
          <w:rFonts w:hint="eastAsia"/>
          <w:lang w:eastAsia="zh-CN"/>
        </w:rPr>
        <w:t>1</w:t>
      </w:r>
      <w:r w:rsidRPr="000C156A">
        <w:rPr>
          <w:lang w:eastAsia="zh-CN"/>
        </w:rPr>
        <w:t xml:space="preserve"> </w:t>
      </w:r>
      <w:r>
        <w:rPr>
          <w:lang w:eastAsia="zh-CN"/>
        </w:rPr>
        <w:t>1</w:t>
      </w:r>
      <w:r>
        <w:rPr>
          <w:rFonts w:hint="eastAsia"/>
          <w:lang w:eastAsia="zh-CN"/>
        </w:rPr>
        <w:t>56</w:t>
      </w:r>
      <w:r w:rsidRPr="000C156A">
        <w:rPr>
          <w:rFonts w:hint="eastAsia"/>
          <w:lang w:eastAsia="zh-CN"/>
        </w:rPr>
        <w:t>万瑞郎（</w:t>
      </w:r>
      <w:r>
        <w:rPr>
          <w:rFonts w:hint="eastAsia"/>
          <w:lang w:eastAsia="zh-CN"/>
        </w:rPr>
        <w:t>2020</w:t>
      </w:r>
      <w:r w:rsidRPr="000C156A">
        <w:rPr>
          <w:rFonts w:hint="eastAsia"/>
          <w:lang w:eastAsia="zh-CN"/>
        </w:rPr>
        <w:t>年为</w:t>
      </w:r>
      <w:r w:rsidRPr="000C156A">
        <w:rPr>
          <w:rFonts w:hint="eastAsia"/>
          <w:lang w:eastAsia="zh-CN"/>
        </w:rPr>
        <w:t>1</w:t>
      </w:r>
      <w:r w:rsidRPr="000C156A">
        <w:rPr>
          <w:lang w:eastAsia="zh-CN"/>
        </w:rPr>
        <w:t xml:space="preserve"> </w:t>
      </w:r>
      <w:r>
        <w:rPr>
          <w:rFonts w:hint="eastAsia"/>
          <w:lang w:eastAsia="zh-CN"/>
        </w:rPr>
        <w:t>39</w:t>
      </w:r>
      <w:r>
        <w:rPr>
          <w:lang w:eastAsia="zh-CN"/>
        </w:rPr>
        <w:t>2</w:t>
      </w:r>
      <w:r w:rsidRPr="000C156A">
        <w:rPr>
          <w:rFonts w:hint="eastAsia"/>
          <w:lang w:eastAsia="zh-CN"/>
        </w:rPr>
        <w:t>万瑞郎）。由于国际电联</w:t>
      </w:r>
      <w:r w:rsidRPr="000C156A">
        <w:rPr>
          <w:rFonts w:hint="eastAsia"/>
          <w:lang w:eastAsia="zh-CN"/>
        </w:rPr>
        <w:t>2020</w:t>
      </w:r>
      <w:r w:rsidRPr="000C156A">
        <w:rPr>
          <w:rFonts w:hint="eastAsia"/>
          <w:lang w:eastAsia="zh-CN"/>
        </w:rPr>
        <w:t>年世界电信展延期，因此秘书长决定不进行</w:t>
      </w:r>
      <w:r w:rsidRPr="000C156A">
        <w:rPr>
          <w:rFonts w:hint="eastAsia"/>
          <w:lang w:eastAsia="zh-CN"/>
        </w:rPr>
        <w:t>50</w:t>
      </w:r>
      <w:r w:rsidRPr="000C156A">
        <w:rPr>
          <w:rFonts w:hint="eastAsia"/>
          <w:lang w:eastAsia="zh-CN"/>
        </w:rPr>
        <w:t>万瑞郎的成本回收。这一收入的下降也由卫星网络申报造成。尽管在</w:t>
      </w:r>
      <w:r>
        <w:rPr>
          <w:rFonts w:hint="eastAsia"/>
          <w:lang w:eastAsia="zh-CN"/>
        </w:rPr>
        <w:t>2021</w:t>
      </w:r>
      <w:r w:rsidRPr="000C156A">
        <w:rPr>
          <w:rFonts w:hint="eastAsia"/>
          <w:lang w:eastAsia="zh-CN"/>
        </w:rPr>
        <w:t>年有许多开具通知发票的请求，但无法公布所有的卫星网络申报，这导致递延收入增加。</w:t>
      </w:r>
    </w:p>
    <w:p w14:paraId="44980ABC" w14:textId="77777777" w:rsidR="00B56A7B" w:rsidRPr="000C156A" w:rsidRDefault="00B56A7B" w:rsidP="00B56A7B">
      <w:pPr>
        <w:pStyle w:val="Headingb"/>
        <w:rPr>
          <w:lang w:val="en-US" w:eastAsia="zh-CN"/>
        </w:rPr>
      </w:pPr>
      <w:bookmarkStart w:id="1296" w:name="_Toc73518739"/>
      <w:bookmarkStart w:id="1297" w:name="_Toc73518886"/>
      <w:bookmarkStart w:id="1298" w:name="_Toc73519286"/>
      <w:bookmarkStart w:id="1299" w:name="_Toc73636325"/>
      <w:r w:rsidRPr="000C156A">
        <w:rPr>
          <w:rFonts w:hint="eastAsia"/>
          <w:lang w:val="en-US" w:eastAsia="zh-CN"/>
        </w:rPr>
        <w:t>利息收入</w:t>
      </w:r>
      <w:bookmarkEnd w:id="1296"/>
      <w:bookmarkEnd w:id="1297"/>
      <w:bookmarkEnd w:id="1298"/>
      <w:bookmarkEnd w:id="1299"/>
    </w:p>
    <w:p w14:paraId="17E0A49E" w14:textId="77777777" w:rsidR="00B56A7B" w:rsidRPr="000C156A" w:rsidRDefault="00B56A7B" w:rsidP="00B56A7B">
      <w:pPr>
        <w:rPr>
          <w:rFonts w:asciiTheme="minorEastAsia" w:eastAsiaTheme="minorEastAsia" w:hAnsiTheme="minorEastAsia"/>
          <w:lang w:eastAsia="zh-CN"/>
        </w:rPr>
      </w:pPr>
      <w:r>
        <w:rPr>
          <w:lang w:eastAsia="zh-CN"/>
        </w:rPr>
        <w:t>57</w:t>
      </w:r>
      <w:r w:rsidRPr="000C156A">
        <w:rPr>
          <w:lang w:eastAsia="zh-CN"/>
        </w:rPr>
        <w:tab/>
      </w:r>
      <w:r w:rsidRPr="000C156A">
        <w:rPr>
          <w:rFonts w:cs="Calibri" w:hint="eastAsia"/>
          <w:lang w:val="en-US" w:eastAsia="zh-CN"/>
        </w:rPr>
        <w:t>预算</w:t>
      </w:r>
      <w:r>
        <w:rPr>
          <w:rFonts w:cs="Calibri" w:hint="eastAsia"/>
          <w:lang w:val="en-US" w:eastAsia="zh-CN"/>
        </w:rPr>
        <w:t>的</w:t>
      </w:r>
      <w:r w:rsidRPr="000C156A">
        <w:rPr>
          <w:rFonts w:cs="Calibri" w:hint="eastAsia"/>
          <w:lang w:val="en-US" w:eastAsia="zh-CN"/>
        </w:rPr>
        <w:t>利息收入为</w:t>
      </w:r>
      <w:r w:rsidRPr="000C156A">
        <w:rPr>
          <w:rFonts w:cs="Calibri" w:hint="eastAsia"/>
          <w:lang w:val="en-US" w:eastAsia="zh-CN"/>
        </w:rPr>
        <w:t>30</w:t>
      </w:r>
      <w:r w:rsidRPr="000C156A">
        <w:rPr>
          <w:rFonts w:cs="Calibri" w:hint="eastAsia"/>
          <w:lang w:val="en-US" w:eastAsia="zh-CN"/>
        </w:rPr>
        <w:t>万瑞郎，</w:t>
      </w:r>
      <w:r>
        <w:rPr>
          <w:rFonts w:cs="Calibri" w:hint="eastAsia"/>
          <w:lang w:val="en-US" w:eastAsia="zh-CN"/>
        </w:rPr>
        <w:t>而</w:t>
      </w:r>
      <w:r w:rsidRPr="000C156A">
        <w:rPr>
          <w:rFonts w:cs="Calibri" w:hint="eastAsia"/>
          <w:lang w:val="en-US" w:eastAsia="zh-CN"/>
        </w:rPr>
        <w:t>实际收入为</w:t>
      </w:r>
      <w:r w:rsidRPr="000C156A">
        <w:rPr>
          <w:rFonts w:cs="Calibri" w:hint="eastAsia"/>
          <w:lang w:val="en-US" w:eastAsia="zh-CN"/>
        </w:rPr>
        <w:t>1</w:t>
      </w:r>
      <w:r>
        <w:rPr>
          <w:rFonts w:cs="Calibri"/>
          <w:lang w:val="en-US" w:eastAsia="zh-CN"/>
        </w:rPr>
        <w:t>6</w:t>
      </w:r>
      <w:r w:rsidRPr="000C156A">
        <w:rPr>
          <w:rFonts w:cs="Calibri"/>
          <w:lang w:val="en-US" w:eastAsia="zh-CN"/>
        </w:rPr>
        <w:t>.</w:t>
      </w:r>
      <w:r>
        <w:rPr>
          <w:rFonts w:cs="Calibri"/>
          <w:lang w:val="en-US" w:eastAsia="zh-CN"/>
        </w:rPr>
        <w:t>6</w:t>
      </w:r>
      <w:r w:rsidRPr="000C156A">
        <w:rPr>
          <w:rFonts w:cs="Calibri" w:hint="eastAsia"/>
          <w:lang w:val="en-US" w:eastAsia="zh-CN"/>
        </w:rPr>
        <w:t>万瑞郎（</w:t>
      </w:r>
      <w:r w:rsidRPr="000C156A">
        <w:rPr>
          <w:rFonts w:cs="Calibri" w:hint="eastAsia"/>
          <w:lang w:val="en-US" w:eastAsia="zh-CN"/>
        </w:rPr>
        <w:t>20</w:t>
      </w:r>
      <w:r>
        <w:rPr>
          <w:rFonts w:cs="Calibri"/>
          <w:lang w:val="en-US" w:eastAsia="zh-CN"/>
        </w:rPr>
        <w:t>20</w:t>
      </w:r>
      <w:r w:rsidRPr="000C156A">
        <w:rPr>
          <w:rFonts w:cs="Calibri" w:hint="eastAsia"/>
          <w:lang w:val="en-US" w:eastAsia="zh-CN"/>
        </w:rPr>
        <w:t>年为</w:t>
      </w:r>
      <w:r>
        <w:rPr>
          <w:rFonts w:cs="Calibri"/>
          <w:lang w:val="en-US" w:eastAsia="zh-CN"/>
        </w:rPr>
        <w:t>12</w:t>
      </w:r>
      <w:r w:rsidRPr="000C156A">
        <w:rPr>
          <w:rFonts w:cs="Calibri"/>
          <w:lang w:val="en-US" w:eastAsia="zh-CN"/>
        </w:rPr>
        <w:t>.</w:t>
      </w:r>
      <w:r>
        <w:rPr>
          <w:rFonts w:cs="Calibri"/>
          <w:lang w:val="en-US" w:eastAsia="zh-CN"/>
        </w:rPr>
        <w:t>5</w:t>
      </w:r>
      <w:r w:rsidRPr="000C156A">
        <w:rPr>
          <w:rFonts w:cs="Calibri" w:hint="eastAsia"/>
          <w:lang w:val="en-US" w:eastAsia="zh-CN"/>
        </w:rPr>
        <w:t>万瑞郎）。</w:t>
      </w:r>
      <w:r>
        <w:rPr>
          <w:rFonts w:cs="Calibri" w:hint="eastAsia"/>
          <w:lang w:val="en-US" w:eastAsia="zh-CN"/>
        </w:rPr>
        <w:t>由于</w:t>
      </w:r>
      <w:r w:rsidRPr="000C156A">
        <w:rPr>
          <w:rFonts w:cs="Calibri" w:hint="eastAsia"/>
          <w:lang w:val="en-US" w:eastAsia="zh-CN"/>
        </w:rPr>
        <w:t>202</w:t>
      </w:r>
      <w:r>
        <w:rPr>
          <w:rFonts w:cs="Calibri"/>
          <w:lang w:val="en-US" w:eastAsia="zh-CN"/>
        </w:rPr>
        <w:t>1</w:t>
      </w:r>
      <w:r w:rsidRPr="000C156A">
        <w:rPr>
          <w:rFonts w:cs="Calibri" w:hint="eastAsia"/>
          <w:lang w:val="en-US" w:eastAsia="zh-CN"/>
        </w:rPr>
        <w:t>年美元存款利息</w:t>
      </w:r>
      <w:r>
        <w:rPr>
          <w:rFonts w:cs="Calibri" w:hint="eastAsia"/>
          <w:lang w:val="en-US" w:eastAsia="zh-CN"/>
        </w:rPr>
        <w:t>很低</w:t>
      </w:r>
      <w:r w:rsidRPr="000C156A">
        <w:rPr>
          <w:rFonts w:cs="Calibri" w:hint="eastAsia"/>
          <w:lang w:val="en-US" w:eastAsia="zh-CN"/>
        </w:rPr>
        <w:t>，国际电联不得不</w:t>
      </w:r>
      <w:r>
        <w:rPr>
          <w:rFonts w:cs="Calibri" w:hint="eastAsia"/>
          <w:lang w:val="en-US" w:eastAsia="zh-CN"/>
        </w:rPr>
        <w:t>支付美元存款无法抵消的</w:t>
      </w:r>
      <w:r w:rsidRPr="002459AC">
        <w:rPr>
          <w:rFonts w:cs="Calibri" w:hint="eastAsia"/>
          <w:lang w:val="en-US" w:eastAsia="zh-CN"/>
        </w:rPr>
        <w:t>负利率</w:t>
      </w:r>
      <w:r w:rsidRPr="000C156A">
        <w:rPr>
          <w:rFonts w:cs="Calibri" w:hint="eastAsia"/>
          <w:lang w:val="en-US" w:eastAsia="zh-CN"/>
        </w:rPr>
        <w:t>。</w:t>
      </w:r>
    </w:p>
    <w:p w14:paraId="2017FE78" w14:textId="77777777" w:rsidR="00B56A7B" w:rsidRPr="000C156A" w:rsidRDefault="00B56A7B" w:rsidP="00B56A7B">
      <w:pPr>
        <w:pStyle w:val="Headingb"/>
        <w:rPr>
          <w:lang w:val="en-US" w:eastAsia="zh-CN"/>
        </w:rPr>
      </w:pPr>
      <w:bookmarkStart w:id="1300" w:name="_Toc73518740"/>
      <w:bookmarkStart w:id="1301" w:name="_Toc73518887"/>
      <w:bookmarkStart w:id="1302" w:name="_Toc73519287"/>
      <w:bookmarkStart w:id="1303" w:name="_Toc73636326"/>
      <w:r w:rsidRPr="000C156A">
        <w:rPr>
          <w:rFonts w:hint="eastAsia"/>
          <w:lang w:val="en-US" w:eastAsia="zh-CN"/>
        </w:rPr>
        <w:t>费用</w:t>
      </w:r>
      <w:bookmarkEnd w:id="1300"/>
      <w:bookmarkEnd w:id="1301"/>
      <w:bookmarkEnd w:id="1302"/>
      <w:bookmarkEnd w:id="1303"/>
    </w:p>
    <w:p w14:paraId="5389F67E" w14:textId="77777777" w:rsidR="00B56A7B" w:rsidRPr="000C156A" w:rsidRDefault="00B56A7B" w:rsidP="00B56A7B">
      <w:pPr>
        <w:rPr>
          <w:lang w:eastAsia="zh-CN"/>
        </w:rPr>
      </w:pPr>
      <w:r>
        <w:rPr>
          <w:rFonts w:hint="eastAsia"/>
          <w:lang w:eastAsia="zh-CN"/>
        </w:rPr>
        <w:t>5</w:t>
      </w:r>
      <w:r>
        <w:rPr>
          <w:lang w:eastAsia="zh-CN"/>
        </w:rPr>
        <w:t>8</w:t>
      </w:r>
      <w:r w:rsidRPr="000C156A">
        <w:rPr>
          <w:lang w:eastAsia="zh-CN"/>
        </w:rPr>
        <w:tab/>
      </w:r>
      <w:r w:rsidRPr="000C156A">
        <w:rPr>
          <w:rFonts w:hint="eastAsia"/>
          <w:lang w:eastAsia="zh-CN"/>
        </w:rPr>
        <w:t>有关费用的信息见说明</w:t>
      </w:r>
      <w:r w:rsidRPr="000C156A">
        <w:rPr>
          <w:lang w:eastAsia="zh-CN"/>
        </w:rPr>
        <w:t>23</w:t>
      </w:r>
      <w:r w:rsidRPr="000C156A">
        <w:rPr>
          <w:rFonts w:hint="eastAsia"/>
          <w:lang w:eastAsia="zh-CN"/>
        </w:rPr>
        <w:t>。</w:t>
      </w:r>
    </w:p>
    <w:p w14:paraId="6EC222C0" w14:textId="77777777" w:rsidR="00B56A7B" w:rsidRPr="000C156A" w:rsidRDefault="00B56A7B" w:rsidP="00B56A7B">
      <w:pPr>
        <w:rPr>
          <w:rFonts w:cs="Calibri"/>
          <w:bCs/>
          <w:lang w:eastAsia="zh-CN"/>
        </w:rPr>
      </w:pPr>
      <w:r>
        <w:rPr>
          <w:rFonts w:cs="Calibri" w:hint="eastAsia"/>
          <w:lang w:eastAsia="zh-CN"/>
        </w:rPr>
        <w:t>59</w:t>
      </w:r>
      <w:r w:rsidRPr="000C156A">
        <w:rPr>
          <w:rFonts w:cs="Calibri"/>
          <w:lang w:eastAsia="zh-CN"/>
        </w:rPr>
        <w:tab/>
      </w:r>
      <w:r w:rsidRPr="000C156A">
        <w:rPr>
          <w:rFonts w:cs="Calibri" w:hint="eastAsia"/>
          <w:bCs/>
          <w:lang w:eastAsia="zh-CN"/>
        </w:rPr>
        <w:t>202</w:t>
      </w:r>
      <w:r>
        <w:rPr>
          <w:rFonts w:cs="Calibri"/>
          <w:bCs/>
          <w:lang w:eastAsia="zh-CN"/>
        </w:rPr>
        <w:t>1</w:t>
      </w:r>
      <w:r w:rsidRPr="000C156A">
        <w:rPr>
          <w:rFonts w:cs="Calibri" w:hint="eastAsia"/>
          <w:bCs/>
          <w:lang w:eastAsia="zh-CN"/>
        </w:rPr>
        <w:t>年，</w:t>
      </w:r>
      <w:r w:rsidRPr="000C156A">
        <w:rPr>
          <w:rFonts w:eastAsia="Times New Roman"/>
          <w:lang w:eastAsia="zh-CN"/>
        </w:rPr>
        <w:t>ITU-T</w:t>
      </w:r>
      <w:r w:rsidRPr="000C156A">
        <w:rPr>
          <w:rFonts w:cs="Calibri" w:hint="eastAsia"/>
          <w:bCs/>
          <w:lang w:eastAsia="zh-CN"/>
        </w:rPr>
        <w:t>的总支出为</w:t>
      </w:r>
      <w:r w:rsidRPr="000C156A">
        <w:rPr>
          <w:rFonts w:cs="Calibri" w:hint="eastAsia"/>
          <w:bCs/>
          <w:lang w:eastAsia="zh-CN"/>
        </w:rPr>
        <w:t xml:space="preserve">1 </w:t>
      </w:r>
      <w:r>
        <w:rPr>
          <w:rFonts w:cs="Calibri"/>
          <w:bCs/>
          <w:lang w:eastAsia="zh-CN"/>
        </w:rPr>
        <w:t>245</w:t>
      </w:r>
      <w:r w:rsidRPr="000C156A">
        <w:rPr>
          <w:rFonts w:cs="Calibri" w:hint="eastAsia"/>
          <w:bCs/>
          <w:lang w:eastAsia="zh-CN"/>
        </w:rPr>
        <w:t>万瑞郎，占</w:t>
      </w:r>
      <w:r w:rsidRPr="000C156A">
        <w:rPr>
          <w:rFonts w:cs="Calibri" w:hint="eastAsia"/>
          <w:bCs/>
          <w:lang w:eastAsia="zh-CN"/>
        </w:rPr>
        <w:t>1 335</w:t>
      </w:r>
      <w:r w:rsidRPr="000C156A">
        <w:rPr>
          <w:rFonts w:cs="Calibri" w:hint="eastAsia"/>
          <w:bCs/>
          <w:lang w:eastAsia="zh-CN"/>
        </w:rPr>
        <w:t>万瑞郎预算的</w:t>
      </w:r>
      <w:r w:rsidRPr="000C156A">
        <w:rPr>
          <w:rFonts w:cs="Calibri" w:hint="eastAsia"/>
          <w:bCs/>
          <w:lang w:eastAsia="zh-CN"/>
        </w:rPr>
        <w:t>9</w:t>
      </w:r>
      <w:r>
        <w:rPr>
          <w:rFonts w:cs="Calibri"/>
          <w:bCs/>
          <w:lang w:eastAsia="zh-CN"/>
        </w:rPr>
        <w:t>2.1</w:t>
      </w:r>
      <w:r w:rsidRPr="000C156A">
        <w:rPr>
          <w:rFonts w:cs="Calibri" w:hint="eastAsia"/>
          <w:bCs/>
          <w:lang w:eastAsia="zh-CN"/>
        </w:rPr>
        <w:t>%</w:t>
      </w:r>
      <w:r w:rsidRPr="000C156A">
        <w:rPr>
          <w:rFonts w:cs="Calibri" w:hint="eastAsia"/>
          <w:bCs/>
          <w:lang w:eastAsia="zh-CN"/>
        </w:rPr>
        <w:t>。</w:t>
      </w:r>
      <w:r w:rsidRPr="00867B74">
        <w:rPr>
          <w:rFonts w:cs="Calibri" w:hint="eastAsia"/>
          <w:bCs/>
          <w:lang w:eastAsia="zh-CN"/>
        </w:rPr>
        <w:t>由于新冠肺炎疫情造成的限制，</w:t>
      </w:r>
      <w:r w:rsidRPr="000D0DB2">
        <w:rPr>
          <w:rFonts w:cs="Calibri" w:hint="eastAsia"/>
          <w:bCs/>
          <w:lang w:eastAsia="zh-CN"/>
        </w:rPr>
        <w:t>ITU-T</w:t>
      </w:r>
      <w:r>
        <w:rPr>
          <w:rFonts w:cs="Calibri"/>
          <w:bCs/>
          <w:lang w:eastAsia="zh-CN"/>
        </w:rPr>
        <w:t xml:space="preserve"> </w:t>
      </w:r>
      <w:r w:rsidRPr="000D0DB2">
        <w:rPr>
          <w:rFonts w:cs="Calibri" w:hint="eastAsia"/>
          <w:bCs/>
          <w:lang w:eastAsia="zh-CN"/>
        </w:rPr>
        <w:t>2021</w:t>
      </w:r>
      <w:r w:rsidRPr="000D0DB2">
        <w:rPr>
          <w:rFonts w:cs="Calibri" w:hint="eastAsia"/>
          <w:bCs/>
          <w:lang w:eastAsia="zh-CN"/>
        </w:rPr>
        <w:t>年</w:t>
      </w:r>
      <w:r>
        <w:rPr>
          <w:rFonts w:cs="Calibri" w:hint="eastAsia"/>
          <w:bCs/>
          <w:lang w:eastAsia="zh-CN"/>
        </w:rPr>
        <w:t>的</w:t>
      </w:r>
      <w:r w:rsidRPr="000D0DB2">
        <w:rPr>
          <w:rFonts w:cs="Calibri" w:hint="eastAsia"/>
          <w:bCs/>
          <w:lang w:eastAsia="zh-CN"/>
        </w:rPr>
        <w:t>所有会议都</w:t>
      </w:r>
      <w:r>
        <w:rPr>
          <w:rFonts w:cs="Calibri" w:hint="eastAsia"/>
          <w:bCs/>
          <w:lang w:eastAsia="zh-CN"/>
        </w:rPr>
        <w:t>以</w:t>
      </w:r>
      <w:r w:rsidRPr="000D0DB2">
        <w:rPr>
          <w:rFonts w:cs="Calibri" w:hint="eastAsia"/>
          <w:bCs/>
          <w:lang w:eastAsia="zh-CN"/>
        </w:rPr>
        <w:t>虚拟</w:t>
      </w:r>
      <w:r>
        <w:rPr>
          <w:rFonts w:cs="Calibri" w:hint="eastAsia"/>
          <w:bCs/>
          <w:lang w:eastAsia="zh-CN"/>
        </w:rPr>
        <w:t>方式举行</w:t>
      </w:r>
      <w:r w:rsidRPr="000D0DB2">
        <w:rPr>
          <w:rFonts w:cs="Calibri" w:hint="eastAsia"/>
          <w:bCs/>
          <w:lang w:eastAsia="zh-CN"/>
        </w:rPr>
        <w:t>，</w:t>
      </w:r>
      <w:r>
        <w:rPr>
          <w:rFonts w:cs="Calibri" w:hint="eastAsia"/>
          <w:bCs/>
          <w:lang w:eastAsia="zh-CN"/>
        </w:rPr>
        <w:t>主要节省了</w:t>
      </w:r>
      <w:r w:rsidRPr="000D0DB2">
        <w:rPr>
          <w:rFonts w:cs="Calibri" w:hint="eastAsia"/>
          <w:bCs/>
          <w:lang w:eastAsia="zh-CN"/>
        </w:rPr>
        <w:t>差旅费、与会补贴</w:t>
      </w:r>
      <w:r>
        <w:rPr>
          <w:rFonts w:cs="Calibri" w:hint="eastAsia"/>
          <w:bCs/>
          <w:lang w:eastAsia="zh-CN"/>
        </w:rPr>
        <w:t>和</w:t>
      </w:r>
      <w:r w:rsidRPr="000D0DB2">
        <w:rPr>
          <w:rFonts w:cs="Calibri" w:hint="eastAsia"/>
          <w:bCs/>
          <w:lang w:eastAsia="zh-CN"/>
        </w:rPr>
        <w:t>口译费用。</w:t>
      </w:r>
    </w:p>
    <w:p w14:paraId="28BC1DEE" w14:textId="77777777" w:rsidR="00B56A7B" w:rsidRPr="000C156A" w:rsidRDefault="00B56A7B" w:rsidP="00B56A7B">
      <w:pPr>
        <w:tabs>
          <w:tab w:val="left" w:pos="0"/>
        </w:tabs>
        <w:rPr>
          <w:rFonts w:eastAsia="Times New Roman" w:cs="Calibri"/>
          <w:bCs/>
          <w:lang w:eastAsia="zh-CN"/>
        </w:rPr>
      </w:pPr>
      <w:r>
        <w:rPr>
          <w:rFonts w:cs="Calibri" w:hint="eastAsia"/>
          <w:bCs/>
          <w:lang w:eastAsia="zh-CN"/>
        </w:rPr>
        <w:t>60</w:t>
      </w:r>
      <w:r w:rsidRPr="000C156A">
        <w:rPr>
          <w:rFonts w:cs="Calibri"/>
          <w:bCs/>
          <w:lang w:eastAsia="zh-CN"/>
        </w:rPr>
        <w:tab/>
      </w:r>
      <w:r w:rsidRPr="00867B74">
        <w:rPr>
          <w:rFonts w:cs="Calibri" w:hint="eastAsia"/>
          <w:bCs/>
          <w:lang w:eastAsia="zh-CN"/>
        </w:rPr>
        <w:t>2021</w:t>
      </w:r>
      <w:r w:rsidRPr="00867B74">
        <w:rPr>
          <w:rFonts w:cs="Calibri" w:hint="eastAsia"/>
          <w:bCs/>
          <w:lang w:eastAsia="zh-CN"/>
        </w:rPr>
        <w:t>年，</w:t>
      </w:r>
      <w:bookmarkStart w:id="1304" w:name="_Hlk109662279"/>
      <w:r w:rsidRPr="00867B74">
        <w:rPr>
          <w:rFonts w:cs="Calibri" w:hint="eastAsia"/>
          <w:bCs/>
          <w:lang w:eastAsia="zh-CN"/>
        </w:rPr>
        <w:t>无线电通信局</w:t>
      </w:r>
      <w:r>
        <w:rPr>
          <w:rFonts w:cs="Calibri" w:hint="eastAsia"/>
          <w:bCs/>
          <w:lang w:eastAsia="zh-CN"/>
        </w:rPr>
        <w:t>的</w:t>
      </w:r>
      <w:bookmarkEnd w:id="1304"/>
      <w:r w:rsidRPr="00867B74">
        <w:rPr>
          <w:rFonts w:cs="Calibri" w:hint="eastAsia"/>
          <w:bCs/>
          <w:lang w:eastAsia="zh-CN"/>
        </w:rPr>
        <w:t>活动管理</w:t>
      </w:r>
      <w:r>
        <w:rPr>
          <w:rFonts w:cs="Calibri" w:hint="eastAsia"/>
          <w:bCs/>
          <w:lang w:eastAsia="zh-CN"/>
        </w:rPr>
        <w:t>切实有效，各项支出均在</w:t>
      </w:r>
      <w:r w:rsidRPr="00E310B6">
        <w:rPr>
          <w:rFonts w:cs="Calibri" w:hint="eastAsia"/>
          <w:bCs/>
          <w:lang w:eastAsia="zh-CN"/>
        </w:rPr>
        <w:t>核定预算</w:t>
      </w:r>
      <w:r w:rsidRPr="00867B74">
        <w:rPr>
          <w:rFonts w:cs="Calibri" w:hint="eastAsia"/>
          <w:bCs/>
          <w:lang w:eastAsia="zh-CN"/>
        </w:rPr>
        <w:t>范围</w:t>
      </w:r>
      <w:r>
        <w:rPr>
          <w:rFonts w:cs="Calibri" w:hint="eastAsia"/>
          <w:bCs/>
          <w:lang w:eastAsia="zh-CN"/>
        </w:rPr>
        <w:t>之内</w:t>
      </w:r>
      <w:r w:rsidRPr="00867B74">
        <w:rPr>
          <w:rFonts w:cs="Calibri" w:hint="eastAsia"/>
          <w:bCs/>
          <w:lang w:eastAsia="zh-CN"/>
        </w:rPr>
        <w:t>。</w:t>
      </w:r>
      <w:r w:rsidRPr="00E310B6">
        <w:rPr>
          <w:rFonts w:cs="Calibri" w:hint="eastAsia"/>
          <w:bCs/>
          <w:lang w:eastAsia="zh-CN"/>
        </w:rPr>
        <w:t>无线电通信局的</w:t>
      </w:r>
      <w:r w:rsidRPr="00867B74">
        <w:rPr>
          <w:rFonts w:cs="Calibri" w:hint="eastAsia"/>
          <w:bCs/>
          <w:lang w:eastAsia="zh-CN"/>
        </w:rPr>
        <w:t>总支出为</w:t>
      </w:r>
      <w:r w:rsidRPr="00867B74">
        <w:rPr>
          <w:rFonts w:cs="Calibri" w:hint="eastAsia"/>
          <w:bCs/>
          <w:lang w:eastAsia="zh-CN"/>
        </w:rPr>
        <w:t>2</w:t>
      </w:r>
      <w:r>
        <w:rPr>
          <w:rFonts w:cs="Calibri"/>
          <w:bCs/>
          <w:lang w:eastAsia="zh-CN"/>
        </w:rPr>
        <w:t xml:space="preserve"> </w:t>
      </w:r>
      <w:r w:rsidRPr="00867B74">
        <w:rPr>
          <w:rFonts w:cs="Calibri" w:hint="eastAsia"/>
          <w:bCs/>
          <w:lang w:eastAsia="zh-CN"/>
        </w:rPr>
        <w:t>750</w:t>
      </w:r>
      <w:r w:rsidRPr="00867B74">
        <w:rPr>
          <w:rFonts w:cs="Calibri" w:hint="eastAsia"/>
          <w:bCs/>
          <w:lang w:eastAsia="zh-CN"/>
        </w:rPr>
        <w:t>万瑞郎</w:t>
      </w:r>
      <w:r>
        <w:rPr>
          <w:rFonts w:cs="Calibri" w:hint="eastAsia"/>
          <w:bCs/>
          <w:lang w:eastAsia="zh-CN"/>
        </w:rPr>
        <w:t>（</w:t>
      </w:r>
      <w:r w:rsidRPr="00867B74">
        <w:rPr>
          <w:rFonts w:cs="Calibri" w:hint="eastAsia"/>
          <w:bCs/>
          <w:lang w:eastAsia="zh-CN"/>
        </w:rPr>
        <w:t>占</w:t>
      </w:r>
      <w:r w:rsidRPr="00867B74">
        <w:rPr>
          <w:rFonts w:cs="Calibri" w:hint="eastAsia"/>
          <w:bCs/>
          <w:lang w:eastAsia="zh-CN"/>
        </w:rPr>
        <w:t>2</w:t>
      </w:r>
      <w:r>
        <w:rPr>
          <w:rFonts w:cs="Calibri"/>
          <w:bCs/>
          <w:lang w:eastAsia="zh-CN"/>
        </w:rPr>
        <w:t xml:space="preserve"> </w:t>
      </w:r>
      <w:r w:rsidRPr="00867B74">
        <w:rPr>
          <w:rFonts w:cs="Calibri" w:hint="eastAsia"/>
          <w:bCs/>
          <w:lang w:eastAsia="zh-CN"/>
        </w:rPr>
        <w:t>970</w:t>
      </w:r>
      <w:r w:rsidRPr="00867B74">
        <w:rPr>
          <w:rFonts w:cs="Calibri" w:hint="eastAsia"/>
          <w:bCs/>
          <w:lang w:eastAsia="zh-CN"/>
        </w:rPr>
        <w:t>万瑞郎核定预算的</w:t>
      </w:r>
      <w:r w:rsidRPr="00867B74">
        <w:rPr>
          <w:rFonts w:cs="Calibri" w:hint="eastAsia"/>
          <w:bCs/>
          <w:lang w:eastAsia="zh-CN"/>
        </w:rPr>
        <w:t>93%</w:t>
      </w:r>
      <w:r>
        <w:rPr>
          <w:rFonts w:cs="Calibri" w:hint="eastAsia"/>
          <w:bCs/>
          <w:lang w:eastAsia="zh-CN"/>
        </w:rPr>
        <w:t>）</w:t>
      </w:r>
      <w:r w:rsidRPr="00867B74">
        <w:rPr>
          <w:rFonts w:cs="Calibri" w:hint="eastAsia"/>
          <w:bCs/>
          <w:lang w:eastAsia="zh-CN"/>
        </w:rPr>
        <w:t>。</w:t>
      </w:r>
    </w:p>
    <w:p w14:paraId="53D508CE" w14:textId="77777777" w:rsidR="00B56A7B" w:rsidRPr="000C156A" w:rsidRDefault="00B56A7B" w:rsidP="00B56A7B">
      <w:pPr>
        <w:rPr>
          <w:lang w:eastAsia="zh-CN"/>
        </w:rPr>
      </w:pPr>
      <w:r>
        <w:rPr>
          <w:lang w:eastAsia="zh-CN"/>
        </w:rPr>
        <w:t>61</w:t>
      </w:r>
      <w:r w:rsidRPr="000C156A">
        <w:rPr>
          <w:lang w:eastAsia="zh-CN"/>
        </w:rPr>
        <w:tab/>
        <w:t>20</w:t>
      </w:r>
      <w:r>
        <w:rPr>
          <w:rFonts w:hint="eastAsia"/>
          <w:lang w:eastAsia="zh-CN"/>
        </w:rPr>
        <w:t>21</w:t>
      </w:r>
      <w:r w:rsidRPr="000C156A">
        <w:rPr>
          <w:rFonts w:hint="eastAsia"/>
          <w:lang w:eastAsia="zh-CN"/>
        </w:rPr>
        <w:t>年，电信发展局的总支出为</w:t>
      </w:r>
      <w:r w:rsidRPr="000C156A">
        <w:rPr>
          <w:rFonts w:hint="eastAsia"/>
          <w:lang w:eastAsia="zh-CN"/>
        </w:rPr>
        <w:t>2</w:t>
      </w:r>
      <w:r>
        <w:rPr>
          <w:lang w:eastAsia="zh-CN"/>
        </w:rPr>
        <w:t xml:space="preserve"> 111</w:t>
      </w:r>
      <w:r w:rsidRPr="000C156A">
        <w:rPr>
          <w:rFonts w:hint="eastAsia"/>
          <w:lang w:eastAsia="zh-CN"/>
        </w:rPr>
        <w:t>万瑞郎，占</w:t>
      </w:r>
      <w:r>
        <w:rPr>
          <w:rFonts w:hint="eastAsia"/>
          <w:lang w:eastAsia="zh-CN"/>
        </w:rPr>
        <w:t>2</w:t>
      </w:r>
      <w:r>
        <w:rPr>
          <w:lang w:eastAsia="zh-CN"/>
        </w:rPr>
        <w:t xml:space="preserve"> 781</w:t>
      </w:r>
      <w:r w:rsidRPr="000C156A">
        <w:rPr>
          <w:rFonts w:hint="eastAsia"/>
          <w:lang w:eastAsia="zh-CN"/>
        </w:rPr>
        <w:t>万瑞郎核定预算的</w:t>
      </w:r>
      <w:r>
        <w:rPr>
          <w:lang w:eastAsia="zh-CN"/>
        </w:rPr>
        <w:t>97.50</w:t>
      </w:r>
      <w:r w:rsidRPr="000C156A">
        <w:rPr>
          <w:rFonts w:hint="eastAsia"/>
          <w:lang w:eastAsia="zh-CN"/>
        </w:rPr>
        <w:t>%</w:t>
      </w:r>
      <w:r w:rsidRPr="000C156A">
        <w:rPr>
          <w:rFonts w:hint="eastAsia"/>
          <w:lang w:eastAsia="zh-CN"/>
        </w:rPr>
        <w:t>。</w:t>
      </w:r>
    </w:p>
    <w:p w14:paraId="2EBF9C68" w14:textId="77777777" w:rsidR="00B56A7B" w:rsidRPr="000C156A" w:rsidRDefault="00B56A7B" w:rsidP="00B56A7B">
      <w:pPr>
        <w:pStyle w:val="Headingb"/>
        <w:rPr>
          <w:lang w:val="en-US" w:eastAsia="zh-CN"/>
        </w:rPr>
      </w:pPr>
      <w:bookmarkStart w:id="1305" w:name="_Toc73518741"/>
      <w:bookmarkStart w:id="1306" w:name="_Toc73518888"/>
      <w:bookmarkStart w:id="1307" w:name="_Toc73519288"/>
      <w:bookmarkStart w:id="1308" w:name="_Toc73636327"/>
      <w:r w:rsidRPr="000C156A">
        <w:rPr>
          <w:rFonts w:hint="eastAsia"/>
          <w:lang w:val="en-US" w:eastAsia="zh-CN"/>
        </w:rPr>
        <w:t>预算中未预料到的费用</w:t>
      </w:r>
      <w:bookmarkEnd w:id="1305"/>
      <w:bookmarkEnd w:id="1306"/>
      <w:bookmarkEnd w:id="1307"/>
      <w:bookmarkEnd w:id="1308"/>
    </w:p>
    <w:p w14:paraId="07E005E5" w14:textId="77777777" w:rsidR="00B56A7B" w:rsidRPr="000C156A" w:rsidRDefault="00B56A7B" w:rsidP="00B56A7B">
      <w:pPr>
        <w:rPr>
          <w:lang w:eastAsia="zh-CN"/>
        </w:rPr>
      </w:pPr>
      <w:r>
        <w:rPr>
          <w:lang w:eastAsia="zh-CN"/>
        </w:rPr>
        <w:t>62</w:t>
      </w:r>
      <w:r w:rsidRPr="000C156A">
        <w:rPr>
          <w:lang w:eastAsia="zh-CN"/>
        </w:rPr>
        <w:tab/>
      </w:r>
      <w:r w:rsidRPr="000C156A">
        <w:rPr>
          <w:rFonts w:hint="eastAsia"/>
          <w:lang w:eastAsia="zh-CN"/>
        </w:rPr>
        <w:t>职员离职后健康保险（</w:t>
      </w:r>
      <w:r w:rsidRPr="000C156A">
        <w:rPr>
          <w:lang w:eastAsia="zh-CN"/>
        </w:rPr>
        <w:t>ASHI</w:t>
      </w:r>
      <w:r w:rsidRPr="000C156A">
        <w:rPr>
          <w:rFonts w:hint="eastAsia"/>
          <w:lang w:eastAsia="zh-CN"/>
        </w:rPr>
        <w:t>）的调整费用被确认为</w:t>
      </w:r>
      <w:r>
        <w:rPr>
          <w:lang w:eastAsia="zh-CN"/>
        </w:rPr>
        <w:t>1 726</w:t>
      </w:r>
      <w:r w:rsidRPr="000C156A">
        <w:rPr>
          <w:rFonts w:hint="eastAsia"/>
          <w:lang w:eastAsia="zh-CN"/>
        </w:rPr>
        <w:t>万瑞郎。</w:t>
      </w:r>
      <w:r w:rsidRPr="000C156A">
        <w:rPr>
          <w:lang w:eastAsia="zh-CN"/>
        </w:rPr>
        <w:t>这笔费用视为统计费用，不属于预算结果的一部分</w:t>
      </w:r>
      <w:r w:rsidRPr="000C156A">
        <w:rPr>
          <w:rFonts w:hint="eastAsia"/>
          <w:lang w:eastAsia="zh-CN"/>
        </w:rPr>
        <w:t>。</w:t>
      </w:r>
    </w:p>
    <w:p w14:paraId="384ED9F0" w14:textId="77777777" w:rsidR="00B56A7B" w:rsidRPr="000C156A" w:rsidRDefault="00B56A7B" w:rsidP="00B56A7B">
      <w:pPr>
        <w:rPr>
          <w:lang w:eastAsia="zh-CN"/>
        </w:rPr>
      </w:pPr>
      <w:r>
        <w:rPr>
          <w:lang w:eastAsia="zh-CN"/>
        </w:rPr>
        <w:t>62</w:t>
      </w:r>
      <w:r w:rsidRPr="000C156A">
        <w:rPr>
          <w:lang w:eastAsia="zh-CN"/>
        </w:rPr>
        <w:tab/>
      </w:r>
      <w:r w:rsidRPr="000C156A">
        <w:rPr>
          <w:rFonts w:hint="eastAsia"/>
          <w:lang w:eastAsia="zh-CN"/>
        </w:rPr>
        <w:t>实物捐赠同时被确认为费用和收入。对实物捐赠的确认是基于瑞士议会</w:t>
      </w:r>
      <w:r w:rsidRPr="000C156A">
        <w:rPr>
          <w:lang w:eastAsia="zh-CN"/>
        </w:rPr>
        <w:t>1996</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日起生效的决定，即，终止对国际组织不动产基金会（</w:t>
      </w:r>
      <w:r w:rsidRPr="000C156A">
        <w:rPr>
          <w:lang w:eastAsia="zh-CN"/>
        </w:rPr>
        <w:t>FIPOI</w:t>
      </w:r>
      <w:r w:rsidRPr="000C156A">
        <w:rPr>
          <w:rFonts w:hint="eastAsia"/>
          <w:lang w:eastAsia="zh-CN"/>
        </w:rPr>
        <w:t>）的贷款收取利息。截至</w:t>
      </w:r>
      <w:r w:rsidRPr="000C156A">
        <w:rPr>
          <w:lang w:eastAsia="zh-CN"/>
        </w:rPr>
        <w:t>20</w:t>
      </w:r>
      <w:r w:rsidRPr="000C156A">
        <w:rPr>
          <w:rFonts w:hint="eastAsia"/>
          <w:lang w:eastAsia="zh-CN"/>
        </w:rPr>
        <w:t>2</w:t>
      </w:r>
      <w:r>
        <w:rPr>
          <w:lang w:eastAsia="zh-CN"/>
        </w:rPr>
        <w:t>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日，依照</w:t>
      </w:r>
      <w:r w:rsidRPr="000C156A">
        <w:rPr>
          <w:lang w:eastAsia="zh-CN"/>
        </w:rPr>
        <w:t>3.25%</w:t>
      </w:r>
      <w:r w:rsidRPr="000C156A">
        <w:rPr>
          <w:rFonts w:hint="eastAsia"/>
          <w:lang w:eastAsia="zh-CN"/>
        </w:rPr>
        <w:t>的长期利息计算，此项捐赠每年可为国际电联节省</w:t>
      </w:r>
      <w:r>
        <w:rPr>
          <w:lang w:eastAsia="zh-CN"/>
        </w:rPr>
        <w:t>79.8</w:t>
      </w:r>
      <w:r w:rsidRPr="000C156A">
        <w:rPr>
          <w:rFonts w:hint="eastAsia"/>
          <w:lang w:eastAsia="zh-CN"/>
        </w:rPr>
        <w:t>万瑞郎。</w:t>
      </w:r>
    </w:p>
    <w:p w14:paraId="440BAB6C" w14:textId="77777777" w:rsidR="00B56A7B" w:rsidRPr="000C156A" w:rsidRDefault="00B56A7B" w:rsidP="00B56A7B">
      <w:pPr>
        <w:rPr>
          <w:lang w:eastAsia="zh-CN"/>
        </w:rPr>
      </w:pPr>
      <w:r>
        <w:rPr>
          <w:lang w:eastAsia="zh-CN"/>
        </w:rPr>
        <w:t>64</w:t>
      </w:r>
      <w:r w:rsidRPr="000C156A">
        <w:rPr>
          <w:lang w:eastAsia="zh-CN"/>
        </w:rPr>
        <w:tab/>
        <w:t>20</w:t>
      </w:r>
      <w:r>
        <w:rPr>
          <w:rFonts w:hint="eastAsia"/>
          <w:lang w:eastAsia="zh-CN"/>
        </w:rPr>
        <w:t>21</w:t>
      </w:r>
      <w:r w:rsidRPr="000C156A">
        <w:rPr>
          <w:rFonts w:hint="eastAsia"/>
          <w:lang w:eastAsia="zh-CN"/>
        </w:rPr>
        <w:t>年度登记的折旧中，有</w:t>
      </w:r>
      <w:r>
        <w:rPr>
          <w:rFonts w:hint="eastAsia"/>
          <w:lang w:eastAsia="zh-CN"/>
        </w:rPr>
        <w:t>9</w:t>
      </w:r>
      <w:r>
        <w:rPr>
          <w:lang w:eastAsia="zh-CN"/>
        </w:rPr>
        <w:t>70</w:t>
      </w:r>
      <w:r w:rsidRPr="000C156A">
        <w:rPr>
          <w:rFonts w:hint="eastAsia"/>
          <w:lang w:eastAsia="zh-CN"/>
        </w:rPr>
        <w:t>万瑞郎被确认为费用。</w:t>
      </w:r>
    </w:p>
    <w:p w14:paraId="0EBC22E8" w14:textId="77777777" w:rsidR="00B56A7B" w:rsidRPr="000C156A" w:rsidRDefault="00B56A7B" w:rsidP="00B56A7B">
      <w:pPr>
        <w:pStyle w:val="Heading1"/>
        <w:rPr>
          <w:lang w:eastAsia="zh-CN"/>
        </w:rPr>
      </w:pPr>
      <w:bookmarkStart w:id="1309" w:name="_Toc511116014"/>
      <w:bookmarkStart w:id="1310" w:name="_Toc41905905"/>
      <w:bookmarkStart w:id="1311" w:name="_Toc41908075"/>
      <w:bookmarkStart w:id="1312" w:name="_Toc73636329"/>
      <w:bookmarkStart w:id="1313" w:name="_Toc110265751"/>
      <w:bookmarkStart w:id="1314" w:name="_Toc110330286"/>
      <w:bookmarkStart w:id="1315" w:name="_Toc482894263"/>
      <w:bookmarkStart w:id="1316" w:name="_Toc358364829"/>
      <w:r w:rsidRPr="000C156A">
        <w:rPr>
          <w:rFonts w:hint="eastAsia"/>
          <w:lang w:eastAsia="zh-CN"/>
        </w:rPr>
        <w:t>二</w:t>
      </w:r>
      <w:r w:rsidRPr="000C156A">
        <w:rPr>
          <w:lang w:eastAsia="zh-CN"/>
        </w:rPr>
        <w:tab/>
      </w:r>
      <w:r w:rsidRPr="000C156A">
        <w:rPr>
          <w:rFonts w:hint="eastAsia"/>
          <w:lang w:eastAsia="zh-CN"/>
        </w:rPr>
        <w:t>总部新办公楼（附件</w:t>
      </w:r>
      <w:r w:rsidRPr="000C156A">
        <w:rPr>
          <w:lang w:eastAsia="zh-CN"/>
        </w:rPr>
        <w:t>B</w:t>
      </w:r>
      <w:r w:rsidRPr="000C156A">
        <w:rPr>
          <w:rFonts w:hint="eastAsia"/>
          <w:lang w:eastAsia="zh-CN"/>
        </w:rPr>
        <w:t>2</w:t>
      </w:r>
      <w:r w:rsidRPr="000C156A">
        <w:rPr>
          <w:rFonts w:hint="eastAsia"/>
          <w:lang w:eastAsia="zh-CN"/>
        </w:rPr>
        <w:t>）</w:t>
      </w:r>
      <w:bookmarkEnd w:id="1309"/>
      <w:bookmarkEnd w:id="1310"/>
      <w:bookmarkEnd w:id="1311"/>
      <w:bookmarkEnd w:id="1312"/>
      <w:bookmarkEnd w:id="1313"/>
      <w:bookmarkEnd w:id="1314"/>
    </w:p>
    <w:p w14:paraId="6293DB7F" w14:textId="77777777" w:rsidR="00B56A7B" w:rsidRPr="000C156A" w:rsidRDefault="00B56A7B" w:rsidP="00B56A7B">
      <w:pPr>
        <w:jc w:val="both"/>
        <w:rPr>
          <w:rFonts w:eastAsia="Times New Roman"/>
          <w:highlight w:val="cyan"/>
          <w:lang w:eastAsia="zh-CN"/>
        </w:rPr>
      </w:pPr>
      <w:r>
        <w:rPr>
          <w:rFonts w:hint="eastAsia"/>
          <w:bCs/>
          <w:szCs w:val="24"/>
          <w:lang w:val="en-US" w:eastAsia="zh-CN"/>
        </w:rPr>
        <w:t>65</w:t>
      </w:r>
      <w:r w:rsidRPr="000C156A">
        <w:rPr>
          <w:bCs/>
          <w:szCs w:val="24"/>
          <w:lang w:val="en-US" w:eastAsia="zh-CN"/>
        </w:rPr>
        <w:tab/>
      </w:r>
      <w:r w:rsidRPr="000C156A">
        <w:rPr>
          <w:bCs/>
          <w:szCs w:val="24"/>
          <w:lang w:eastAsia="zh-CN"/>
        </w:rPr>
        <w:t>在</w:t>
      </w:r>
      <w:r w:rsidRPr="000C156A">
        <w:rPr>
          <w:bCs/>
          <w:szCs w:val="24"/>
          <w:lang w:eastAsia="zh-CN"/>
        </w:rPr>
        <w:t>202</w:t>
      </w:r>
      <w:r>
        <w:rPr>
          <w:bCs/>
          <w:szCs w:val="24"/>
          <w:lang w:eastAsia="zh-CN"/>
        </w:rPr>
        <w:t>1</w:t>
      </w:r>
      <w:r w:rsidRPr="000C156A">
        <w:rPr>
          <w:bCs/>
          <w:szCs w:val="24"/>
          <w:lang w:eastAsia="zh-CN"/>
        </w:rPr>
        <w:t>年期间，</w:t>
      </w:r>
      <w:r>
        <w:rPr>
          <w:rFonts w:hint="eastAsia"/>
          <w:bCs/>
          <w:szCs w:val="24"/>
          <w:lang w:eastAsia="zh-CN"/>
        </w:rPr>
        <w:t>对</w:t>
      </w:r>
      <w:r w:rsidRPr="000C156A">
        <w:rPr>
          <w:bCs/>
          <w:szCs w:val="24"/>
          <w:lang w:eastAsia="zh-CN"/>
        </w:rPr>
        <w:t>项目设计和成本</w:t>
      </w:r>
      <w:r>
        <w:rPr>
          <w:rFonts w:hint="eastAsia"/>
          <w:bCs/>
          <w:szCs w:val="24"/>
          <w:lang w:eastAsia="zh-CN"/>
        </w:rPr>
        <w:t>做了</w:t>
      </w:r>
      <w:r w:rsidRPr="000C156A">
        <w:rPr>
          <w:bCs/>
          <w:szCs w:val="24"/>
          <w:lang w:eastAsia="zh-CN"/>
        </w:rPr>
        <w:t>进一步细化，</w:t>
      </w:r>
      <w:r>
        <w:rPr>
          <w:rFonts w:hint="eastAsia"/>
          <w:bCs/>
          <w:szCs w:val="24"/>
          <w:lang w:eastAsia="zh-CN"/>
        </w:rPr>
        <w:t>并于</w:t>
      </w:r>
      <w:r>
        <w:rPr>
          <w:rFonts w:hint="eastAsia"/>
          <w:bCs/>
          <w:szCs w:val="24"/>
          <w:lang w:eastAsia="zh-CN"/>
        </w:rPr>
        <w:t>2</w:t>
      </w:r>
      <w:r>
        <w:rPr>
          <w:bCs/>
          <w:szCs w:val="24"/>
          <w:lang w:eastAsia="zh-CN"/>
        </w:rPr>
        <w:t>021</w:t>
      </w:r>
      <w:r>
        <w:rPr>
          <w:rFonts w:hint="eastAsia"/>
          <w:bCs/>
          <w:szCs w:val="24"/>
          <w:lang w:eastAsia="zh-CN"/>
        </w:rPr>
        <w:t>年</w:t>
      </w:r>
      <w:r>
        <w:rPr>
          <w:rFonts w:hint="eastAsia"/>
          <w:bCs/>
          <w:szCs w:val="24"/>
          <w:lang w:eastAsia="zh-CN"/>
        </w:rPr>
        <w:t>1</w:t>
      </w:r>
      <w:r>
        <w:rPr>
          <w:bCs/>
          <w:szCs w:val="24"/>
          <w:lang w:eastAsia="zh-CN"/>
        </w:rPr>
        <w:t>2</w:t>
      </w:r>
      <w:r>
        <w:rPr>
          <w:rFonts w:hint="eastAsia"/>
          <w:bCs/>
          <w:szCs w:val="24"/>
          <w:lang w:eastAsia="zh-CN"/>
        </w:rPr>
        <w:t>月</w:t>
      </w:r>
      <w:r>
        <w:rPr>
          <w:rFonts w:hint="eastAsia"/>
          <w:bCs/>
          <w:szCs w:val="24"/>
          <w:lang w:eastAsia="zh-CN"/>
        </w:rPr>
        <w:t>1</w:t>
      </w:r>
      <w:r>
        <w:rPr>
          <w:bCs/>
          <w:szCs w:val="24"/>
          <w:lang w:eastAsia="zh-CN"/>
        </w:rPr>
        <w:t>5</w:t>
      </w:r>
      <w:r>
        <w:rPr>
          <w:rFonts w:hint="eastAsia"/>
          <w:bCs/>
          <w:szCs w:val="24"/>
          <w:lang w:eastAsia="zh-CN"/>
        </w:rPr>
        <w:t>日</w:t>
      </w:r>
      <w:r w:rsidRPr="000C156A">
        <w:rPr>
          <w:bCs/>
          <w:szCs w:val="24"/>
          <w:lang w:eastAsia="zh-CN"/>
        </w:rPr>
        <w:t>提交</w:t>
      </w:r>
      <w:r>
        <w:rPr>
          <w:rFonts w:hint="eastAsia"/>
          <w:bCs/>
          <w:szCs w:val="24"/>
          <w:lang w:eastAsia="zh-CN"/>
        </w:rPr>
        <w:t>了新办公楼</w:t>
      </w:r>
      <w:r w:rsidRPr="000C156A">
        <w:rPr>
          <w:bCs/>
          <w:szCs w:val="24"/>
          <w:lang w:eastAsia="zh-CN"/>
        </w:rPr>
        <w:t>施工许可申请</w:t>
      </w:r>
      <w:r w:rsidRPr="000C156A">
        <w:rPr>
          <w:rFonts w:hint="eastAsia"/>
          <w:bCs/>
          <w:szCs w:val="24"/>
          <w:lang w:eastAsia="zh-CN"/>
        </w:rPr>
        <w:t>。</w:t>
      </w:r>
    </w:p>
    <w:p w14:paraId="5D588056" w14:textId="77777777" w:rsidR="00B56A7B" w:rsidRPr="000C156A" w:rsidRDefault="00B56A7B" w:rsidP="00B56A7B">
      <w:pPr>
        <w:rPr>
          <w:bCs/>
          <w:szCs w:val="24"/>
          <w:lang w:val="en-US" w:eastAsia="zh-CN"/>
        </w:rPr>
      </w:pPr>
      <w:r>
        <w:rPr>
          <w:rFonts w:hint="eastAsia"/>
          <w:bCs/>
          <w:szCs w:val="24"/>
          <w:lang w:val="en-US" w:eastAsia="zh-CN"/>
        </w:rPr>
        <w:t>66</w:t>
      </w:r>
      <w:r w:rsidRPr="000C156A">
        <w:rPr>
          <w:bCs/>
          <w:szCs w:val="24"/>
          <w:lang w:val="en-US" w:eastAsia="zh-CN"/>
        </w:rPr>
        <w:tab/>
      </w:r>
      <w:r w:rsidRPr="000C156A">
        <w:rPr>
          <w:rFonts w:hint="eastAsia"/>
          <w:bCs/>
          <w:szCs w:val="24"/>
          <w:lang w:eastAsia="zh-CN"/>
        </w:rPr>
        <w:t>第二笔贷款于</w:t>
      </w:r>
      <w:r w:rsidRPr="000C156A">
        <w:rPr>
          <w:rFonts w:hint="eastAsia"/>
          <w:bCs/>
          <w:szCs w:val="24"/>
          <w:lang w:eastAsia="zh-CN"/>
        </w:rPr>
        <w:t>2021</w:t>
      </w:r>
      <w:r w:rsidRPr="000C156A">
        <w:rPr>
          <w:rFonts w:hint="eastAsia"/>
          <w:bCs/>
          <w:szCs w:val="24"/>
          <w:lang w:eastAsia="zh-CN"/>
        </w:rPr>
        <w:t>年</w:t>
      </w:r>
      <w:r w:rsidRPr="000C156A">
        <w:rPr>
          <w:rFonts w:hint="eastAsia"/>
          <w:bCs/>
          <w:szCs w:val="24"/>
          <w:lang w:eastAsia="zh-CN"/>
        </w:rPr>
        <w:t>2</w:t>
      </w:r>
      <w:r w:rsidRPr="000C156A">
        <w:rPr>
          <w:rFonts w:hint="eastAsia"/>
          <w:bCs/>
          <w:szCs w:val="24"/>
          <w:lang w:eastAsia="zh-CN"/>
        </w:rPr>
        <w:t>月发放，金额为</w:t>
      </w:r>
      <w:r w:rsidRPr="000C156A">
        <w:rPr>
          <w:rFonts w:hint="eastAsia"/>
          <w:bCs/>
          <w:szCs w:val="24"/>
          <w:lang w:eastAsia="zh-CN"/>
        </w:rPr>
        <w:t>1.38</w:t>
      </w:r>
      <w:r w:rsidRPr="000C156A">
        <w:rPr>
          <w:rFonts w:hint="eastAsia"/>
          <w:bCs/>
          <w:szCs w:val="24"/>
          <w:lang w:eastAsia="zh-CN"/>
        </w:rPr>
        <w:t>亿瑞郎。</w:t>
      </w:r>
    </w:p>
    <w:p w14:paraId="27403DFB" w14:textId="77777777" w:rsidR="00B56A7B" w:rsidRPr="000C156A" w:rsidRDefault="00B56A7B" w:rsidP="00B56A7B">
      <w:pPr>
        <w:rPr>
          <w:rFonts w:eastAsia="Times New Roman"/>
          <w:lang w:eastAsia="zh-CN"/>
        </w:rPr>
      </w:pPr>
      <w:r>
        <w:rPr>
          <w:rFonts w:hint="eastAsia"/>
          <w:bCs/>
          <w:szCs w:val="24"/>
          <w:lang w:val="en-US" w:eastAsia="zh-CN"/>
        </w:rPr>
        <w:t>67</w:t>
      </w:r>
      <w:r w:rsidRPr="000C156A">
        <w:rPr>
          <w:bCs/>
          <w:szCs w:val="24"/>
          <w:lang w:val="en-US" w:eastAsia="zh-CN"/>
        </w:rPr>
        <w:tab/>
      </w:r>
      <w:r w:rsidRPr="000C156A">
        <w:rPr>
          <w:bCs/>
          <w:szCs w:val="24"/>
          <w:lang w:val="en-US" w:eastAsia="zh-CN"/>
        </w:rPr>
        <w:t>已收到数额为</w:t>
      </w:r>
      <w:r>
        <w:rPr>
          <w:bCs/>
          <w:szCs w:val="24"/>
          <w:lang w:val="en-US" w:eastAsia="zh-CN"/>
        </w:rPr>
        <w:t>766</w:t>
      </w:r>
      <w:r w:rsidRPr="000C156A">
        <w:rPr>
          <w:rFonts w:hint="eastAsia"/>
          <w:bCs/>
          <w:szCs w:val="24"/>
          <w:lang w:val="en-US" w:eastAsia="zh-CN"/>
        </w:rPr>
        <w:t>万瑞郎</w:t>
      </w:r>
      <w:r w:rsidRPr="000C156A">
        <w:rPr>
          <w:bCs/>
          <w:szCs w:val="24"/>
          <w:lang w:val="en-US" w:eastAsia="zh-CN"/>
        </w:rPr>
        <w:t>的贷款</w:t>
      </w:r>
      <w:r w:rsidRPr="000C156A">
        <w:rPr>
          <w:rFonts w:hint="eastAsia"/>
          <w:bCs/>
          <w:szCs w:val="24"/>
          <w:lang w:val="en-US" w:eastAsia="zh-CN"/>
        </w:rPr>
        <w:t>；</w:t>
      </w:r>
      <w:r>
        <w:rPr>
          <w:bCs/>
          <w:szCs w:val="24"/>
          <w:lang w:val="en-US" w:eastAsia="zh-CN"/>
        </w:rPr>
        <w:t>2021</w:t>
      </w:r>
      <w:r w:rsidRPr="000C156A">
        <w:rPr>
          <w:bCs/>
          <w:szCs w:val="24"/>
          <w:lang w:val="en-US" w:eastAsia="zh-CN"/>
        </w:rPr>
        <w:t>年，新办公楼项目的支出达到</w:t>
      </w:r>
      <w:r>
        <w:rPr>
          <w:bCs/>
          <w:szCs w:val="24"/>
          <w:lang w:eastAsia="zh-CN"/>
        </w:rPr>
        <w:t>51</w:t>
      </w:r>
      <w:r w:rsidRPr="000C156A">
        <w:rPr>
          <w:bCs/>
          <w:szCs w:val="24"/>
          <w:lang w:eastAsia="zh-CN"/>
        </w:rPr>
        <w:t>0</w:t>
      </w:r>
      <w:r w:rsidRPr="000C156A">
        <w:rPr>
          <w:rFonts w:hint="eastAsia"/>
          <w:bCs/>
          <w:szCs w:val="24"/>
          <w:lang w:eastAsia="zh-CN"/>
        </w:rPr>
        <w:t>万</w:t>
      </w:r>
      <w:r w:rsidRPr="000C156A">
        <w:rPr>
          <w:bCs/>
          <w:szCs w:val="24"/>
          <w:lang w:val="en-US" w:eastAsia="zh-CN"/>
        </w:rPr>
        <w:t>瑞郎。</w:t>
      </w:r>
    </w:p>
    <w:p w14:paraId="66969EBF" w14:textId="77777777" w:rsidR="00B56A7B" w:rsidRPr="000C156A" w:rsidRDefault="00B56A7B" w:rsidP="00B56A7B">
      <w:pPr>
        <w:rPr>
          <w:lang w:eastAsia="zh-CN"/>
        </w:rPr>
      </w:pPr>
      <w:r>
        <w:rPr>
          <w:lang w:eastAsia="zh-CN"/>
        </w:rPr>
        <w:t>68</w:t>
      </w:r>
      <w:r w:rsidRPr="000C156A">
        <w:rPr>
          <w:lang w:eastAsia="zh-CN"/>
        </w:rPr>
        <w:tab/>
      </w:r>
      <w:r w:rsidRPr="00FF6021">
        <w:rPr>
          <w:rFonts w:hint="eastAsia"/>
          <w:bCs/>
          <w:szCs w:val="24"/>
          <w:lang w:eastAsia="zh-CN"/>
        </w:rPr>
        <w:t>2021</w:t>
      </w:r>
      <w:r w:rsidRPr="00FF6021">
        <w:rPr>
          <w:rFonts w:hint="eastAsia"/>
          <w:bCs/>
          <w:szCs w:val="24"/>
          <w:lang w:eastAsia="zh-CN"/>
        </w:rPr>
        <w:t>年的预算执行</w:t>
      </w:r>
      <w:r>
        <w:rPr>
          <w:rFonts w:hint="eastAsia"/>
          <w:bCs/>
          <w:szCs w:val="24"/>
          <w:lang w:eastAsia="zh-CN"/>
        </w:rPr>
        <w:t>情况</w:t>
      </w:r>
      <w:r w:rsidRPr="00FF6021">
        <w:rPr>
          <w:rFonts w:hint="eastAsia"/>
          <w:bCs/>
          <w:szCs w:val="24"/>
          <w:lang w:eastAsia="zh-CN"/>
        </w:rPr>
        <w:t>不允许</w:t>
      </w:r>
      <w:r>
        <w:rPr>
          <w:rFonts w:hint="eastAsia"/>
          <w:bCs/>
          <w:szCs w:val="24"/>
          <w:lang w:eastAsia="zh-CN"/>
        </w:rPr>
        <w:t>对</w:t>
      </w:r>
      <w:r w:rsidRPr="00FF6021">
        <w:rPr>
          <w:rFonts w:hint="eastAsia"/>
          <w:bCs/>
          <w:szCs w:val="24"/>
          <w:lang w:eastAsia="zh-CN"/>
        </w:rPr>
        <w:t>风险管控基金</w:t>
      </w:r>
      <w:r>
        <w:rPr>
          <w:rFonts w:hint="eastAsia"/>
          <w:bCs/>
          <w:szCs w:val="24"/>
          <w:lang w:eastAsia="zh-CN"/>
        </w:rPr>
        <w:t>进行</w:t>
      </w:r>
      <w:r w:rsidRPr="00FF6021">
        <w:rPr>
          <w:rFonts w:hint="eastAsia"/>
          <w:bCs/>
          <w:szCs w:val="24"/>
          <w:lang w:eastAsia="zh-CN"/>
        </w:rPr>
        <w:t>补充，</w:t>
      </w:r>
      <w:r>
        <w:rPr>
          <w:rFonts w:hint="eastAsia"/>
          <w:bCs/>
          <w:szCs w:val="24"/>
          <w:lang w:eastAsia="zh-CN"/>
        </w:rPr>
        <w:t>截至</w:t>
      </w:r>
      <w:r w:rsidRPr="00FF6021">
        <w:rPr>
          <w:rFonts w:hint="eastAsia"/>
          <w:bCs/>
          <w:szCs w:val="24"/>
          <w:lang w:eastAsia="zh-CN"/>
        </w:rPr>
        <w:t>2021</w:t>
      </w:r>
      <w:r w:rsidRPr="00FF6021">
        <w:rPr>
          <w:rFonts w:hint="eastAsia"/>
          <w:bCs/>
          <w:szCs w:val="24"/>
          <w:lang w:eastAsia="zh-CN"/>
        </w:rPr>
        <w:t>年</w:t>
      </w:r>
      <w:r w:rsidRPr="00FF6021">
        <w:rPr>
          <w:rFonts w:hint="eastAsia"/>
          <w:bCs/>
          <w:szCs w:val="24"/>
          <w:lang w:eastAsia="zh-CN"/>
        </w:rPr>
        <w:t>12</w:t>
      </w:r>
      <w:r w:rsidRPr="00FF6021">
        <w:rPr>
          <w:rFonts w:hint="eastAsia"/>
          <w:bCs/>
          <w:szCs w:val="24"/>
          <w:lang w:eastAsia="zh-CN"/>
        </w:rPr>
        <w:t>月</w:t>
      </w:r>
      <w:r w:rsidRPr="00FF6021">
        <w:rPr>
          <w:rFonts w:hint="eastAsia"/>
          <w:bCs/>
          <w:szCs w:val="24"/>
          <w:lang w:eastAsia="zh-CN"/>
        </w:rPr>
        <w:t>31</w:t>
      </w:r>
      <w:r w:rsidRPr="00FF6021">
        <w:rPr>
          <w:rFonts w:hint="eastAsia"/>
          <w:bCs/>
          <w:szCs w:val="24"/>
          <w:lang w:eastAsia="zh-CN"/>
        </w:rPr>
        <w:t>日</w:t>
      </w:r>
      <w:r>
        <w:rPr>
          <w:rFonts w:hint="eastAsia"/>
          <w:bCs/>
          <w:szCs w:val="24"/>
          <w:lang w:eastAsia="zh-CN"/>
        </w:rPr>
        <w:t>，</w:t>
      </w:r>
      <w:r w:rsidRPr="00FF6021">
        <w:rPr>
          <w:rFonts w:hint="eastAsia"/>
          <w:bCs/>
          <w:szCs w:val="24"/>
          <w:lang w:eastAsia="zh-CN"/>
        </w:rPr>
        <w:t>该基金</w:t>
      </w:r>
      <w:r>
        <w:rPr>
          <w:rFonts w:hint="eastAsia"/>
          <w:bCs/>
          <w:szCs w:val="24"/>
          <w:lang w:eastAsia="zh-CN"/>
        </w:rPr>
        <w:t>额为</w:t>
      </w:r>
      <w:r w:rsidRPr="00FF6021">
        <w:rPr>
          <w:rFonts w:hint="eastAsia"/>
          <w:bCs/>
          <w:szCs w:val="24"/>
          <w:lang w:eastAsia="zh-CN"/>
        </w:rPr>
        <w:t>340</w:t>
      </w:r>
      <w:r w:rsidRPr="00FF6021">
        <w:rPr>
          <w:rFonts w:hint="eastAsia"/>
          <w:bCs/>
          <w:szCs w:val="24"/>
          <w:lang w:eastAsia="zh-CN"/>
        </w:rPr>
        <w:t>万瑞郎。</w:t>
      </w:r>
      <w:r>
        <w:rPr>
          <w:rFonts w:hint="eastAsia"/>
          <w:bCs/>
          <w:szCs w:val="24"/>
          <w:lang w:eastAsia="zh-CN"/>
        </w:rPr>
        <w:t>而</w:t>
      </w:r>
      <w:r w:rsidRPr="00E50B41">
        <w:rPr>
          <w:rFonts w:hint="eastAsia"/>
          <w:lang w:eastAsia="zh-CN"/>
        </w:rPr>
        <w:t>根据理事会第</w:t>
      </w:r>
      <w:r w:rsidRPr="00E50B41">
        <w:rPr>
          <w:rFonts w:hint="eastAsia"/>
          <w:lang w:eastAsia="zh-CN"/>
        </w:rPr>
        <w:t>619</w:t>
      </w:r>
      <w:r w:rsidRPr="00E50B41">
        <w:rPr>
          <w:rFonts w:hint="eastAsia"/>
          <w:lang w:eastAsia="zh-CN"/>
        </w:rPr>
        <w:t>号决定，为</w:t>
      </w:r>
      <w:r w:rsidRPr="00E50B41">
        <w:rPr>
          <w:rFonts w:cs="Calibri"/>
          <w:color w:val="000000"/>
          <w:szCs w:val="24"/>
          <w:lang w:eastAsia="zh-CN"/>
        </w:rPr>
        <w:t>2022</w:t>
      </w:r>
      <w:r w:rsidRPr="00E50B41">
        <w:rPr>
          <w:rFonts w:cs="Calibri"/>
          <w:color w:val="000000"/>
          <w:szCs w:val="24"/>
          <w:lang w:eastAsia="zh-CN"/>
        </w:rPr>
        <w:t>年</w:t>
      </w:r>
      <w:r w:rsidRPr="00E50B41">
        <w:rPr>
          <w:rFonts w:hint="eastAsia"/>
          <w:lang w:eastAsia="zh-CN"/>
        </w:rPr>
        <w:t>分配</w:t>
      </w:r>
      <w:r w:rsidRPr="00E50B41">
        <w:rPr>
          <w:rFonts w:cs="Calibri"/>
          <w:color w:val="000000"/>
          <w:szCs w:val="24"/>
          <w:lang w:eastAsia="zh-CN"/>
        </w:rPr>
        <w:t>的</w:t>
      </w:r>
      <w:r w:rsidRPr="00E50B41">
        <w:rPr>
          <w:rFonts w:hint="eastAsia"/>
          <w:lang w:eastAsia="zh-CN"/>
        </w:rPr>
        <w:t>间接费用</w:t>
      </w:r>
      <w:r>
        <w:rPr>
          <w:rFonts w:hint="eastAsia"/>
          <w:lang w:eastAsia="zh-CN"/>
        </w:rPr>
        <w:t>为</w:t>
      </w:r>
      <w:r w:rsidRPr="00E50B41">
        <w:rPr>
          <w:lang w:eastAsia="zh-CN"/>
        </w:rPr>
        <w:t>7</w:t>
      </w:r>
      <w:r w:rsidRPr="00E50B41">
        <w:rPr>
          <w:rFonts w:hint="eastAsia"/>
          <w:lang w:val="en-US" w:eastAsia="zh-CN"/>
        </w:rPr>
        <w:t>8</w:t>
      </w:r>
      <w:r w:rsidRPr="00E50B41">
        <w:rPr>
          <w:lang w:eastAsia="zh-CN"/>
        </w:rPr>
        <w:t>.</w:t>
      </w:r>
      <w:r w:rsidRPr="00E50B41">
        <w:rPr>
          <w:rFonts w:hint="eastAsia"/>
          <w:lang w:eastAsia="zh-CN"/>
        </w:rPr>
        <w:t>5</w:t>
      </w:r>
      <w:r w:rsidRPr="00E50B41">
        <w:rPr>
          <w:rFonts w:hint="eastAsia"/>
          <w:lang w:eastAsia="zh-CN"/>
        </w:rPr>
        <w:t>万瑞郎</w:t>
      </w:r>
      <w:r>
        <w:rPr>
          <w:rFonts w:hint="eastAsia"/>
          <w:lang w:eastAsia="zh-CN"/>
        </w:rPr>
        <w:t>。</w:t>
      </w:r>
    </w:p>
    <w:p w14:paraId="3B54FA0D" w14:textId="77777777" w:rsidR="00B56A7B" w:rsidRPr="000C156A" w:rsidRDefault="00B56A7B" w:rsidP="00B56A7B">
      <w:pPr>
        <w:rPr>
          <w:bCs/>
          <w:szCs w:val="24"/>
          <w:lang w:eastAsia="zh-CN"/>
        </w:rPr>
      </w:pPr>
      <w:r>
        <w:rPr>
          <w:lang w:eastAsia="zh-CN"/>
        </w:rPr>
        <w:t>69</w:t>
      </w:r>
      <w:r w:rsidRPr="000C156A">
        <w:rPr>
          <w:lang w:eastAsia="zh-CN"/>
        </w:rPr>
        <w:tab/>
      </w:r>
      <w:r w:rsidRPr="000C156A">
        <w:rPr>
          <w:rFonts w:hint="eastAsia"/>
          <w:bCs/>
          <w:szCs w:val="24"/>
          <w:lang w:eastAsia="zh-CN"/>
        </w:rPr>
        <w:t>更多详情可参见</w:t>
      </w:r>
      <w:hyperlink r:id="rId47" w:history="1">
        <w:r w:rsidRPr="009515BE">
          <w:rPr>
            <w:rStyle w:val="Hyperlink"/>
            <w:lang w:eastAsia="zh-CN"/>
          </w:rPr>
          <w:t>C22/7</w:t>
        </w:r>
      </w:hyperlink>
      <w:r w:rsidRPr="000C156A">
        <w:rPr>
          <w:rFonts w:hint="eastAsia"/>
          <w:bCs/>
          <w:szCs w:val="24"/>
          <w:lang w:eastAsia="zh-CN"/>
        </w:rPr>
        <w:t>号文件。</w:t>
      </w:r>
    </w:p>
    <w:p w14:paraId="46099772" w14:textId="77777777" w:rsidR="00B56A7B" w:rsidRPr="000C156A" w:rsidRDefault="00B56A7B" w:rsidP="00B56A7B">
      <w:pPr>
        <w:pStyle w:val="Heading1"/>
        <w:rPr>
          <w:lang w:eastAsia="zh-CN"/>
        </w:rPr>
      </w:pPr>
      <w:bookmarkStart w:id="1317" w:name="_Toc511116015"/>
      <w:bookmarkStart w:id="1318" w:name="_Toc41905906"/>
      <w:bookmarkStart w:id="1319" w:name="_Toc41908076"/>
      <w:bookmarkStart w:id="1320" w:name="_Toc73636330"/>
      <w:bookmarkStart w:id="1321" w:name="_Toc110265752"/>
      <w:bookmarkStart w:id="1322" w:name="_Toc110330287"/>
      <w:r w:rsidRPr="000C156A">
        <w:rPr>
          <w:rFonts w:hint="eastAsia"/>
          <w:lang w:eastAsia="zh-CN"/>
        </w:rPr>
        <w:lastRenderedPageBreak/>
        <w:t>三</w:t>
      </w:r>
      <w:r w:rsidRPr="000C156A">
        <w:rPr>
          <w:lang w:eastAsia="zh-CN"/>
        </w:rPr>
        <w:tab/>
      </w:r>
      <w:r w:rsidRPr="000C156A">
        <w:rPr>
          <w:rFonts w:hint="eastAsia"/>
          <w:lang w:eastAsia="zh-CN"/>
        </w:rPr>
        <w:t>职员退休和福利基金（附件</w:t>
      </w:r>
      <w:r w:rsidRPr="000C156A">
        <w:rPr>
          <w:lang w:eastAsia="zh-CN"/>
        </w:rPr>
        <w:t>B3</w:t>
      </w:r>
      <w:r w:rsidRPr="000C156A">
        <w:rPr>
          <w:rFonts w:hint="eastAsia"/>
          <w:lang w:eastAsia="zh-CN"/>
        </w:rPr>
        <w:t>）</w:t>
      </w:r>
      <w:bookmarkEnd w:id="1315"/>
      <w:bookmarkEnd w:id="1316"/>
      <w:bookmarkEnd w:id="1317"/>
      <w:bookmarkEnd w:id="1318"/>
      <w:bookmarkEnd w:id="1319"/>
      <w:bookmarkEnd w:id="1320"/>
      <w:bookmarkEnd w:id="1321"/>
      <w:bookmarkEnd w:id="1322"/>
    </w:p>
    <w:p w14:paraId="7903B844" w14:textId="77777777" w:rsidR="00B56A7B" w:rsidRPr="000C156A" w:rsidRDefault="00B56A7B" w:rsidP="00B56A7B">
      <w:pPr>
        <w:keepNext/>
        <w:keepLines/>
        <w:rPr>
          <w:lang w:eastAsia="zh-CN"/>
        </w:rPr>
      </w:pPr>
      <w:r>
        <w:rPr>
          <w:lang w:eastAsia="zh-CN"/>
        </w:rPr>
        <w:t>70</w:t>
      </w:r>
      <w:r w:rsidRPr="000C156A">
        <w:rPr>
          <w:lang w:eastAsia="zh-CN"/>
        </w:rPr>
        <w:tab/>
      </w:r>
      <w:r w:rsidRPr="000C156A">
        <w:rPr>
          <w:rFonts w:hint="eastAsia"/>
          <w:lang w:eastAsia="zh-CN"/>
        </w:rPr>
        <w:t>国际电联职员退休和福利基金是由保障在</w:t>
      </w:r>
      <w:r w:rsidRPr="000C156A">
        <w:rPr>
          <w:lang w:eastAsia="zh-CN"/>
        </w:rPr>
        <w:t>1960</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日（即国际电联参加联合国合办职员养恤基金之日）之前任职的职员退休金的一系列基金组成。最初，它由几个独立的基金和账目组成。</w:t>
      </w:r>
      <w:r w:rsidRPr="000C156A">
        <w:rPr>
          <w:lang w:eastAsia="zh-CN"/>
        </w:rPr>
        <w:t>20</w:t>
      </w:r>
      <w:r>
        <w:rPr>
          <w:rFonts w:hint="eastAsia"/>
          <w:lang w:eastAsia="zh-CN"/>
        </w:rPr>
        <w:t>21</w:t>
      </w:r>
      <w:r w:rsidRPr="000C156A">
        <w:rPr>
          <w:rFonts w:hint="eastAsia"/>
          <w:lang w:eastAsia="zh-CN"/>
        </w:rPr>
        <w:t>年底，储备与补充基金负担</w:t>
      </w:r>
      <w:r>
        <w:rPr>
          <w:rFonts w:hint="eastAsia"/>
          <w:lang w:eastAsia="zh-CN"/>
        </w:rPr>
        <w:t>15</w:t>
      </w:r>
      <w:r w:rsidRPr="000C156A">
        <w:rPr>
          <w:rFonts w:hint="eastAsia"/>
          <w:lang w:eastAsia="zh-CN"/>
        </w:rPr>
        <w:t>份退休金和</w:t>
      </w:r>
      <w:r w:rsidRPr="000C156A">
        <w:rPr>
          <w:rFonts w:hint="eastAsia"/>
          <w:lang w:eastAsia="zh-CN"/>
        </w:rPr>
        <w:t>16</w:t>
      </w:r>
      <w:r w:rsidRPr="000C156A">
        <w:rPr>
          <w:rFonts w:hint="eastAsia"/>
          <w:lang w:eastAsia="zh-CN"/>
        </w:rPr>
        <w:t>位遗属养恤金；援助基金用于帮助处于财务困境的职员或养恤金领取人员。针对国际电联退休和福利基金受益人准备金义务进行的最后一次计算于</w:t>
      </w:r>
      <w:r w:rsidRPr="000C156A">
        <w:rPr>
          <w:lang w:eastAsia="zh-CN"/>
        </w:rPr>
        <w:t>2011</w:t>
      </w:r>
      <w:r w:rsidRPr="000C156A">
        <w:rPr>
          <w:rFonts w:hint="eastAsia"/>
          <w:lang w:eastAsia="zh-CN"/>
        </w:rPr>
        <w:t>年</w:t>
      </w:r>
      <w:r w:rsidRPr="000C156A">
        <w:rPr>
          <w:lang w:eastAsia="zh-CN"/>
        </w:rPr>
        <w:t>12</w:t>
      </w:r>
      <w:r w:rsidRPr="000C156A">
        <w:rPr>
          <w:rFonts w:hint="eastAsia"/>
          <w:lang w:eastAsia="zh-CN"/>
        </w:rPr>
        <w:t>月</w:t>
      </w:r>
      <w:r w:rsidRPr="000C156A">
        <w:rPr>
          <w:lang w:eastAsia="zh-CN"/>
        </w:rPr>
        <w:t>31</w:t>
      </w:r>
      <w:r w:rsidRPr="000C156A">
        <w:rPr>
          <w:rFonts w:hint="eastAsia"/>
          <w:lang w:eastAsia="zh-CN"/>
        </w:rPr>
        <w:t>日进行。</w:t>
      </w:r>
    </w:p>
    <w:p w14:paraId="1EC11053" w14:textId="77777777" w:rsidR="00B56A7B" w:rsidRPr="000C156A" w:rsidRDefault="00B56A7B" w:rsidP="00B56A7B">
      <w:pPr>
        <w:rPr>
          <w:lang w:val="en-US" w:eastAsia="zh-CN"/>
        </w:rPr>
      </w:pPr>
      <w:r>
        <w:rPr>
          <w:rFonts w:hint="eastAsia"/>
          <w:lang w:eastAsia="zh-CN"/>
        </w:rPr>
        <w:t>71</w:t>
      </w:r>
      <w:r w:rsidRPr="000C156A">
        <w:rPr>
          <w:lang w:eastAsia="zh-CN"/>
        </w:rPr>
        <w:tab/>
      </w:r>
      <w:r w:rsidRPr="000C156A">
        <w:rPr>
          <w:rFonts w:hint="eastAsia"/>
          <w:lang w:eastAsia="zh-CN"/>
        </w:rPr>
        <w:t>根据全权代表大会（</w:t>
      </w:r>
      <w:r w:rsidRPr="000C156A">
        <w:rPr>
          <w:lang w:eastAsia="zh-CN"/>
        </w:rPr>
        <w:t>1959</w:t>
      </w:r>
      <w:r w:rsidRPr="000C156A">
        <w:rPr>
          <w:rFonts w:hint="eastAsia"/>
          <w:lang w:eastAsia="zh-CN"/>
        </w:rPr>
        <w:t>年，日内瓦）第</w:t>
      </w:r>
      <w:r w:rsidRPr="000C156A">
        <w:rPr>
          <w:lang w:eastAsia="zh-CN"/>
        </w:rPr>
        <w:t>7</w:t>
      </w:r>
      <w:r w:rsidRPr="000C156A">
        <w:rPr>
          <w:rFonts w:hint="eastAsia"/>
          <w:lang w:eastAsia="zh-CN"/>
        </w:rPr>
        <w:t>号决议，国际电联职员自</w:t>
      </w:r>
      <w:r w:rsidRPr="000C156A">
        <w:rPr>
          <w:lang w:eastAsia="zh-CN"/>
        </w:rPr>
        <w:t>1960</w:t>
      </w:r>
      <w:r w:rsidRPr="000C156A">
        <w:rPr>
          <w:rFonts w:hint="eastAsia"/>
          <w:lang w:eastAsia="zh-CN"/>
        </w:rPr>
        <w:t>年</w:t>
      </w:r>
      <w:r w:rsidRPr="000C156A">
        <w:rPr>
          <w:lang w:eastAsia="zh-CN"/>
        </w:rPr>
        <w:t>1</w:t>
      </w:r>
      <w:r w:rsidRPr="000C156A">
        <w:rPr>
          <w:rFonts w:hint="eastAsia"/>
          <w:lang w:eastAsia="zh-CN"/>
        </w:rPr>
        <w:t>月</w:t>
      </w:r>
      <w:r w:rsidRPr="000C156A">
        <w:rPr>
          <w:lang w:eastAsia="zh-CN"/>
        </w:rPr>
        <w:t>1</w:t>
      </w:r>
      <w:r w:rsidRPr="000C156A">
        <w:rPr>
          <w:rFonts w:hint="eastAsia"/>
          <w:lang w:eastAsia="zh-CN"/>
        </w:rPr>
        <w:t>日起参加联合国合办职员养恤基金。根据“国际电联职员退休和福利基金规则”第</w:t>
      </w:r>
      <w:r w:rsidRPr="000C156A">
        <w:rPr>
          <w:lang w:eastAsia="zh-CN"/>
        </w:rPr>
        <w:t>86</w:t>
      </w:r>
      <w:r w:rsidRPr="000C156A">
        <w:rPr>
          <w:rFonts w:hint="eastAsia"/>
          <w:lang w:eastAsia="zh-CN"/>
        </w:rPr>
        <w:t>条，这些基金由国际电联管理。退休和福利基金的资产必须投资于信托证券。该基金的账目由外部审计员在定期审计国际电联账目时进行审查。</w:t>
      </w:r>
    </w:p>
    <w:p w14:paraId="6F9C114C" w14:textId="77777777" w:rsidR="00B56A7B" w:rsidRPr="000C156A" w:rsidRDefault="00B56A7B" w:rsidP="00B56A7B">
      <w:pPr>
        <w:rPr>
          <w:rFonts w:eastAsiaTheme="minorEastAsia"/>
          <w:lang w:eastAsia="zh-CN"/>
        </w:rPr>
      </w:pPr>
      <w:r>
        <w:rPr>
          <w:rFonts w:hint="eastAsia"/>
          <w:lang w:val="en-US" w:eastAsia="zh-CN"/>
        </w:rPr>
        <w:t>72</w:t>
      </w:r>
      <w:r w:rsidRPr="000C156A">
        <w:rPr>
          <w:lang w:val="en-US" w:eastAsia="zh-CN"/>
        </w:rPr>
        <w:tab/>
      </w:r>
      <w:r w:rsidRPr="000C156A">
        <w:rPr>
          <w:rFonts w:hint="eastAsia"/>
          <w:lang w:eastAsia="zh-CN"/>
        </w:rPr>
        <w:t>剩余的两个基金每个都在法国</w:t>
      </w:r>
      <w:r w:rsidRPr="000C156A">
        <w:rPr>
          <w:rFonts w:eastAsia="Times New Roman"/>
          <w:lang w:eastAsia="zh-CN"/>
        </w:rPr>
        <w:t>Credit Mutuel</w:t>
      </w:r>
      <w:r w:rsidRPr="000C156A">
        <w:rPr>
          <w:rFonts w:eastAsiaTheme="minorEastAsia" w:hint="eastAsia"/>
          <w:lang w:eastAsia="zh-CN"/>
        </w:rPr>
        <w:t>设有活期存款账户。</w:t>
      </w:r>
    </w:p>
    <w:p w14:paraId="515085F2" w14:textId="77777777" w:rsidR="00B56A7B" w:rsidRPr="000C156A" w:rsidRDefault="00B56A7B" w:rsidP="00B56A7B">
      <w:pPr>
        <w:rPr>
          <w:bCs/>
          <w:szCs w:val="24"/>
          <w:lang w:eastAsia="zh-CN"/>
        </w:rPr>
      </w:pPr>
      <w:r>
        <w:rPr>
          <w:rFonts w:eastAsiaTheme="minorEastAsia" w:hint="eastAsia"/>
          <w:lang w:eastAsia="zh-CN"/>
        </w:rPr>
        <w:t>73</w:t>
      </w:r>
      <w:r w:rsidRPr="000C156A">
        <w:rPr>
          <w:rFonts w:eastAsiaTheme="minorEastAsia"/>
          <w:lang w:eastAsia="zh-CN"/>
        </w:rPr>
        <w:tab/>
      </w:r>
      <w:r w:rsidRPr="00966FB4">
        <w:rPr>
          <w:rFonts w:eastAsiaTheme="minorEastAsia" w:hint="eastAsia"/>
          <w:lang w:eastAsia="zh-CN"/>
        </w:rPr>
        <w:t>2021</w:t>
      </w:r>
      <w:r w:rsidRPr="00966FB4">
        <w:rPr>
          <w:rFonts w:eastAsiaTheme="minorEastAsia" w:hint="eastAsia"/>
          <w:lang w:eastAsia="zh-CN"/>
        </w:rPr>
        <w:t>年，由于美元短期存款</w:t>
      </w:r>
      <w:r>
        <w:rPr>
          <w:rFonts w:eastAsiaTheme="minorEastAsia" w:hint="eastAsia"/>
          <w:lang w:eastAsia="zh-CN"/>
        </w:rPr>
        <w:t>生成</w:t>
      </w:r>
      <w:r w:rsidRPr="00966FB4">
        <w:rPr>
          <w:rFonts w:eastAsiaTheme="minorEastAsia" w:hint="eastAsia"/>
          <w:lang w:eastAsia="zh-CN"/>
        </w:rPr>
        <w:t>的利息，</w:t>
      </w:r>
      <w:r>
        <w:rPr>
          <w:rFonts w:eastAsiaTheme="minorEastAsia" w:hint="eastAsia"/>
          <w:lang w:eastAsia="zh-CN"/>
        </w:rPr>
        <w:t>“</w:t>
      </w:r>
      <w:r w:rsidRPr="00A677DE">
        <w:rPr>
          <w:rFonts w:eastAsiaTheme="minorEastAsia" w:hint="eastAsia"/>
          <w:lang w:eastAsia="zh-CN"/>
        </w:rPr>
        <w:t>储备与补充基金</w:t>
      </w:r>
      <w:r>
        <w:rPr>
          <w:rFonts w:eastAsiaTheme="minorEastAsia" w:hint="eastAsia"/>
          <w:lang w:eastAsia="zh-CN"/>
        </w:rPr>
        <w:t>”</w:t>
      </w:r>
      <w:r w:rsidRPr="00966FB4">
        <w:rPr>
          <w:rFonts w:eastAsiaTheme="minorEastAsia" w:hint="eastAsia"/>
          <w:lang w:eastAsia="zh-CN"/>
        </w:rPr>
        <w:t>出现</w:t>
      </w:r>
      <w:r>
        <w:rPr>
          <w:rFonts w:eastAsiaTheme="minorEastAsia" w:hint="eastAsia"/>
          <w:lang w:eastAsia="zh-CN"/>
        </w:rPr>
        <w:t>了</w:t>
      </w:r>
      <w:r w:rsidRPr="00966FB4">
        <w:rPr>
          <w:rFonts w:eastAsiaTheme="minorEastAsia" w:hint="eastAsia"/>
          <w:lang w:eastAsia="zh-CN"/>
        </w:rPr>
        <w:t>12</w:t>
      </w:r>
      <w:r>
        <w:rPr>
          <w:rFonts w:eastAsiaTheme="minorEastAsia" w:hint="eastAsia"/>
          <w:lang w:eastAsia="zh-CN"/>
        </w:rPr>
        <w:t>.</w:t>
      </w:r>
      <w:r w:rsidRPr="00966FB4">
        <w:rPr>
          <w:rFonts w:eastAsiaTheme="minorEastAsia" w:hint="eastAsia"/>
          <w:lang w:eastAsia="zh-CN"/>
        </w:rPr>
        <w:t>4</w:t>
      </w:r>
      <w:r>
        <w:rPr>
          <w:rFonts w:eastAsiaTheme="minorEastAsia" w:hint="eastAsia"/>
          <w:lang w:eastAsia="zh-CN"/>
        </w:rPr>
        <w:t>万瑞</w:t>
      </w:r>
      <w:r w:rsidRPr="00966FB4">
        <w:rPr>
          <w:rFonts w:eastAsiaTheme="minorEastAsia" w:hint="eastAsia"/>
          <w:lang w:eastAsia="zh-CN"/>
        </w:rPr>
        <w:t>朗的盈余。</w:t>
      </w:r>
    </w:p>
    <w:p w14:paraId="192F8024" w14:textId="77777777" w:rsidR="00B56A7B" w:rsidRPr="000C156A" w:rsidRDefault="00B56A7B" w:rsidP="00B56A7B">
      <w:pPr>
        <w:pStyle w:val="Heading1"/>
        <w:rPr>
          <w:lang w:eastAsia="zh-CN"/>
        </w:rPr>
      </w:pPr>
      <w:bookmarkStart w:id="1323" w:name="_Toc482894264"/>
      <w:bookmarkStart w:id="1324" w:name="_Toc358364830"/>
      <w:bookmarkStart w:id="1325" w:name="_Toc511116016"/>
      <w:bookmarkStart w:id="1326" w:name="_Toc41905907"/>
      <w:bookmarkStart w:id="1327" w:name="_Toc41908077"/>
      <w:bookmarkStart w:id="1328" w:name="_Toc73636331"/>
      <w:bookmarkStart w:id="1329" w:name="_Toc110265753"/>
      <w:bookmarkStart w:id="1330" w:name="_Toc110330288"/>
      <w:r w:rsidRPr="000C156A">
        <w:rPr>
          <w:rFonts w:hint="eastAsia"/>
          <w:lang w:val="en-US" w:eastAsia="zh-CN"/>
        </w:rPr>
        <w:t>四</w:t>
      </w:r>
      <w:r w:rsidRPr="000C156A">
        <w:rPr>
          <w:lang w:eastAsia="zh-CN"/>
        </w:rPr>
        <w:tab/>
      </w:r>
      <w:r w:rsidRPr="000C156A">
        <w:rPr>
          <w:rFonts w:hint="eastAsia"/>
          <w:lang w:eastAsia="zh-CN"/>
        </w:rPr>
        <w:t>联合国开发计划署</w:t>
      </w:r>
      <w:bookmarkEnd w:id="1323"/>
      <w:bookmarkEnd w:id="1324"/>
      <w:bookmarkEnd w:id="1325"/>
      <w:bookmarkEnd w:id="1326"/>
      <w:bookmarkEnd w:id="1327"/>
      <w:bookmarkEnd w:id="1328"/>
      <w:bookmarkEnd w:id="1329"/>
      <w:bookmarkEnd w:id="1330"/>
    </w:p>
    <w:p w14:paraId="4E5395C8" w14:textId="77777777" w:rsidR="00B56A7B" w:rsidRPr="000C156A" w:rsidRDefault="00B56A7B" w:rsidP="00B56A7B">
      <w:pPr>
        <w:rPr>
          <w:lang w:eastAsia="zh-CN"/>
        </w:rPr>
      </w:pPr>
      <w:r>
        <w:rPr>
          <w:rFonts w:hint="eastAsia"/>
          <w:lang w:eastAsia="zh-CN"/>
        </w:rPr>
        <w:t>74</w:t>
      </w:r>
      <w:r w:rsidRPr="000C156A">
        <w:rPr>
          <w:lang w:eastAsia="zh-CN"/>
        </w:rPr>
        <w:tab/>
      </w:r>
      <w:r w:rsidRPr="000C156A">
        <w:rPr>
          <w:rFonts w:hint="eastAsia"/>
          <w:lang w:eastAsia="zh-CN"/>
        </w:rPr>
        <w:t>在各类联合国开发计划署（</w:t>
      </w:r>
      <w:r w:rsidRPr="000C156A">
        <w:rPr>
          <w:lang w:eastAsia="zh-CN"/>
        </w:rPr>
        <w:t>UNDP</w:t>
      </w:r>
      <w:r w:rsidRPr="000C156A">
        <w:rPr>
          <w:rFonts w:hint="eastAsia"/>
          <w:lang w:eastAsia="zh-CN"/>
        </w:rPr>
        <w:t>）项目中，国际电联既可单独执行项目，也可与</w:t>
      </w:r>
      <w:r w:rsidRPr="000C156A">
        <w:rPr>
          <w:lang w:eastAsia="zh-CN"/>
        </w:rPr>
        <w:t>UNDP</w:t>
      </w:r>
      <w:r w:rsidRPr="000C156A">
        <w:rPr>
          <w:rFonts w:hint="eastAsia"/>
          <w:lang w:eastAsia="zh-CN"/>
        </w:rPr>
        <w:t>共同执行项目。</w:t>
      </w:r>
    </w:p>
    <w:p w14:paraId="77A5F60A" w14:textId="77777777" w:rsidR="00B56A7B" w:rsidRPr="000C156A" w:rsidRDefault="00B56A7B" w:rsidP="00B56A7B">
      <w:pPr>
        <w:rPr>
          <w:lang w:eastAsia="zh-CN"/>
        </w:rPr>
      </w:pPr>
      <w:r>
        <w:rPr>
          <w:rFonts w:hint="eastAsia"/>
          <w:lang w:eastAsia="zh-CN"/>
        </w:rPr>
        <w:t>75</w:t>
      </w:r>
      <w:r w:rsidRPr="000C156A">
        <w:rPr>
          <w:lang w:eastAsia="zh-CN"/>
        </w:rPr>
        <w:tab/>
        <w:t>UNDP</w:t>
      </w:r>
      <w:r w:rsidRPr="000C156A">
        <w:rPr>
          <w:rFonts w:hint="eastAsia"/>
          <w:lang w:eastAsia="zh-CN"/>
        </w:rPr>
        <w:t>项目通常分为两类，即：国际电联执行的项目和各国政府执行的项目。</w:t>
      </w:r>
    </w:p>
    <w:p w14:paraId="34DCDC6A" w14:textId="77777777" w:rsidR="00B56A7B" w:rsidRPr="000C156A" w:rsidRDefault="00B56A7B" w:rsidP="00B56A7B">
      <w:pPr>
        <w:rPr>
          <w:lang w:eastAsia="zh-CN"/>
        </w:rPr>
      </w:pPr>
      <w:r>
        <w:rPr>
          <w:rFonts w:hint="eastAsia"/>
          <w:lang w:eastAsia="zh-CN"/>
        </w:rPr>
        <w:t>76</w:t>
      </w:r>
      <w:r w:rsidRPr="000C156A">
        <w:rPr>
          <w:lang w:eastAsia="zh-CN"/>
        </w:rPr>
        <w:tab/>
      </w:r>
      <w:r w:rsidRPr="000C156A">
        <w:rPr>
          <w:rFonts w:hint="eastAsia"/>
          <w:lang w:eastAsia="zh-CN"/>
        </w:rPr>
        <w:t>对于由国际电联部分或全部执行的项目，国际电联从</w:t>
      </w:r>
      <w:r w:rsidRPr="000C156A">
        <w:rPr>
          <w:lang w:eastAsia="zh-CN"/>
        </w:rPr>
        <w:t>UNDP</w:t>
      </w:r>
      <w:r w:rsidRPr="000C156A">
        <w:rPr>
          <w:rFonts w:hint="eastAsia"/>
          <w:lang w:eastAsia="zh-CN"/>
        </w:rPr>
        <w:t>得到预算拨款。每年年底</w:t>
      </w:r>
      <w:r w:rsidRPr="000C156A">
        <w:rPr>
          <w:lang w:eastAsia="zh-CN"/>
        </w:rPr>
        <w:t>UNDP</w:t>
      </w:r>
      <w:r w:rsidRPr="000C156A">
        <w:rPr>
          <w:rFonts w:hint="eastAsia"/>
          <w:lang w:eastAsia="zh-CN"/>
        </w:rPr>
        <w:t>根据项目交付情况报告（</w:t>
      </w:r>
      <w:r w:rsidRPr="000C156A">
        <w:rPr>
          <w:lang w:eastAsia="zh-CN"/>
        </w:rPr>
        <w:t>PDR</w:t>
      </w:r>
      <w:r w:rsidRPr="000C156A">
        <w:rPr>
          <w:rFonts w:hint="eastAsia"/>
          <w:lang w:eastAsia="zh-CN"/>
        </w:rPr>
        <w:t>），在预算拨款范围内对国际电联的所有支出予以偿还。国际电联为项目提供的支持，将依据</w:t>
      </w:r>
      <w:r w:rsidRPr="000C156A">
        <w:rPr>
          <w:lang w:eastAsia="zh-CN"/>
        </w:rPr>
        <w:t>PDR</w:t>
      </w:r>
      <w:r w:rsidRPr="000C156A">
        <w:rPr>
          <w:rFonts w:hint="eastAsia"/>
          <w:lang w:eastAsia="zh-CN"/>
        </w:rPr>
        <w:t>记录的支出按比例得到拨款。</w:t>
      </w:r>
    </w:p>
    <w:p w14:paraId="18008EE0" w14:textId="77777777" w:rsidR="00B56A7B" w:rsidRPr="000C156A" w:rsidRDefault="00B56A7B" w:rsidP="00B56A7B">
      <w:pPr>
        <w:rPr>
          <w:lang w:eastAsia="zh-CN"/>
        </w:rPr>
      </w:pPr>
      <w:r>
        <w:rPr>
          <w:rFonts w:hint="eastAsia"/>
          <w:lang w:eastAsia="zh-CN"/>
        </w:rPr>
        <w:t>77</w:t>
      </w:r>
      <w:r w:rsidRPr="000C156A">
        <w:rPr>
          <w:lang w:eastAsia="zh-CN"/>
        </w:rPr>
        <w:tab/>
        <w:t>20</w:t>
      </w:r>
      <w:r>
        <w:rPr>
          <w:rFonts w:hint="eastAsia"/>
          <w:lang w:eastAsia="zh-CN"/>
        </w:rPr>
        <w:t>21</w:t>
      </w:r>
      <w:r w:rsidRPr="000C156A">
        <w:rPr>
          <w:rFonts w:hint="eastAsia"/>
          <w:lang w:eastAsia="zh-CN"/>
        </w:rPr>
        <w:t>年，联合国开发计划署的运作基金显示，国际电联余额为</w:t>
      </w:r>
      <w:r>
        <w:rPr>
          <w:rFonts w:hint="eastAsia"/>
          <w:lang w:eastAsia="zh-CN"/>
        </w:rPr>
        <w:t>90</w:t>
      </w:r>
      <w:r w:rsidRPr="000C156A">
        <w:rPr>
          <w:rFonts w:hint="eastAsia"/>
          <w:lang w:eastAsia="zh-CN"/>
        </w:rPr>
        <w:t>万瑞郎（</w:t>
      </w:r>
      <w:r>
        <w:rPr>
          <w:rFonts w:hint="eastAsia"/>
          <w:lang w:eastAsia="zh-CN"/>
        </w:rPr>
        <w:t>2020</w:t>
      </w:r>
      <w:r w:rsidRPr="000C156A">
        <w:rPr>
          <w:rFonts w:hint="eastAsia"/>
          <w:lang w:eastAsia="zh-CN"/>
        </w:rPr>
        <w:t>年国际电联余额为</w:t>
      </w:r>
      <w:r>
        <w:rPr>
          <w:rFonts w:hint="eastAsia"/>
          <w:lang w:eastAsia="zh-CN"/>
        </w:rPr>
        <w:t>100</w:t>
      </w:r>
      <w:r w:rsidRPr="000C156A">
        <w:rPr>
          <w:rFonts w:hint="eastAsia"/>
          <w:lang w:eastAsia="zh-CN"/>
        </w:rPr>
        <w:t>瑞郎）。</w:t>
      </w:r>
    </w:p>
    <w:p w14:paraId="6875DBF9" w14:textId="77777777" w:rsidR="00B56A7B" w:rsidRPr="000C156A" w:rsidRDefault="00B56A7B" w:rsidP="00B56A7B">
      <w:pPr>
        <w:pStyle w:val="Heading1"/>
        <w:rPr>
          <w:lang w:eastAsia="zh-CN"/>
        </w:rPr>
      </w:pPr>
      <w:bookmarkStart w:id="1331" w:name="_Toc482894265"/>
      <w:bookmarkStart w:id="1332" w:name="_Toc358364832"/>
      <w:bookmarkStart w:id="1333" w:name="_Toc511116017"/>
      <w:bookmarkStart w:id="1334" w:name="_Toc41905908"/>
      <w:bookmarkStart w:id="1335" w:name="_Toc41908078"/>
      <w:bookmarkStart w:id="1336" w:name="_Toc73636332"/>
      <w:bookmarkStart w:id="1337" w:name="_Toc110265754"/>
      <w:bookmarkStart w:id="1338" w:name="_Toc110330289"/>
      <w:r w:rsidRPr="000C156A">
        <w:rPr>
          <w:rFonts w:hint="eastAsia"/>
          <w:lang w:eastAsia="zh-CN"/>
        </w:rPr>
        <w:t>五</w:t>
      </w:r>
      <w:r w:rsidRPr="000C156A">
        <w:rPr>
          <w:lang w:eastAsia="zh-CN"/>
        </w:rPr>
        <w:tab/>
      </w:r>
      <w:r w:rsidRPr="000C156A">
        <w:rPr>
          <w:rFonts w:hint="eastAsia"/>
          <w:lang w:eastAsia="zh-CN"/>
        </w:rPr>
        <w:t>信托基金（附件</w:t>
      </w:r>
      <w:r w:rsidRPr="000C156A">
        <w:rPr>
          <w:lang w:eastAsia="zh-CN"/>
        </w:rPr>
        <w:t>B4</w:t>
      </w:r>
      <w:r w:rsidRPr="000C156A">
        <w:rPr>
          <w:rFonts w:hint="eastAsia"/>
          <w:lang w:eastAsia="zh-CN"/>
        </w:rPr>
        <w:t>）</w:t>
      </w:r>
      <w:bookmarkEnd w:id="1331"/>
      <w:bookmarkEnd w:id="1332"/>
      <w:bookmarkEnd w:id="1333"/>
      <w:bookmarkEnd w:id="1334"/>
      <w:bookmarkEnd w:id="1335"/>
      <w:bookmarkEnd w:id="1336"/>
      <w:bookmarkEnd w:id="1337"/>
      <w:bookmarkEnd w:id="1338"/>
    </w:p>
    <w:p w14:paraId="0C84CCEE" w14:textId="77777777" w:rsidR="00B56A7B" w:rsidRPr="000C156A" w:rsidRDefault="00B56A7B" w:rsidP="00B56A7B">
      <w:pPr>
        <w:rPr>
          <w:lang w:eastAsia="zh-CN"/>
        </w:rPr>
      </w:pPr>
      <w:r>
        <w:rPr>
          <w:rFonts w:hint="eastAsia"/>
          <w:lang w:eastAsia="zh-CN"/>
        </w:rPr>
        <w:t>78</w:t>
      </w:r>
      <w:r w:rsidRPr="000C156A">
        <w:rPr>
          <w:lang w:eastAsia="zh-CN"/>
        </w:rPr>
        <w:tab/>
      </w:r>
      <w:r w:rsidRPr="000C156A">
        <w:rPr>
          <w:rFonts w:hint="eastAsia"/>
          <w:lang w:eastAsia="zh-CN"/>
        </w:rPr>
        <w:t>技术合作专项基金（</w:t>
      </w:r>
      <w:r w:rsidRPr="000C156A">
        <w:rPr>
          <w:lang w:eastAsia="zh-CN"/>
        </w:rPr>
        <w:t>SFTC</w:t>
      </w:r>
      <w:r w:rsidRPr="000C156A">
        <w:rPr>
          <w:rFonts w:hint="eastAsia"/>
          <w:lang w:eastAsia="zh-CN"/>
        </w:rPr>
        <w:t>）旨在满足发展中国家提出的紧急援助要求。此基金基于自愿捐款，其形式既可以是任何币种的现金亦可采用其它方式。</w:t>
      </w:r>
    </w:p>
    <w:p w14:paraId="5DB68865" w14:textId="77777777" w:rsidR="00B56A7B" w:rsidRPr="000C156A" w:rsidRDefault="00B56A7B" w:rsidP="00B56A7B">
      <w:pPr>
        <w:rPr>
          <w:lang w:eastAsia="zh-CN"/>
        </w:rPr>
      </w:pPr>
      <w:r>
        <w:rPr>
          <w:rFonts w:hint="eastAsia"/>
          <w:lang w:eastAsia="zh-CN"/>
        </w:rPr>
        <w:t>79</w:t>
      </w:r>
      <w:r>
        <w:rPr>
          <w:lang w:eastAsia="zh-CN"/>
        </w:rPr>
        <w:tab/>
        <w:t>202</w:t>
      </w:r>
      <w:r>
        <w:rPr>
          <w:rFonts w:hint="eastAsia"/>
          <w:lang w:eastAsia="zh-CN"/>
        </w:rPr>
        <w:t>1</w:t>
      </w:r>
      <w:r w:rsidRPr="000C156A">
        <w:rPr>
          <w:rFonts w:hint="eastAsia"/>
          <w:lang w:eastAsia="zh-CN"/>
        </w:rPr>
        <w:t>年各类第三方项目和国际电联基金未用拨款金额为</w:t>
      </w:r>
      <w:r>
        <w:rPr>
          <w:rFonts w:hint="eastAsia"/>
          <w:lang w:eastAsia="zh-CN"/>
        </w:rPr>
        <w:t>4</w:t>
      </w:r>
      <w:r>
        <w:rPr>
          <w:lang w:eastAsia="zh-CN"/>
        </w:rPr>
        <w:t xml:space="preserve"> </w:t>
      </w:r>
      <w:r>
        <w:rPr>
          <w:rFonts w:hint="eastAsia"/>
          <w:lang w:eastAsia="zh-CN"/>
        </w:rPr>
        <w:t>5</w:t>
      </w:r>
      <w:r>
        <w:rPr>
          <w:lang w:eastAsia="zh-CN"/>
        </w:rPr>
        <w:t>6</w:t>
      </w:r>
      <w:r>
        <w:rPr>
          <w:rFonts w:hint="eastAsia"/>
          <w:lang w:eastAsia="zh-CN"/>
        </w:rPr>
        <w:t>2</w:t>
      </w:r>
      <w:r w:rsidRPr="000C156A">
        <w:rPr>
          <w:rFonts w:hint="eastAsia"/>
          <w:lang w:eastAsia="zh-CN"/>
        </w:rPr>
        <w:t>万瑞郎（</w:t>
      </w:r>
      <w:r>
        <w:rPr>
          <w:lang w:eastAsia="zh-CN"/>
        </w:rPr>
        <w:t>20</w:t>
      </w:r>
      <w:r>
        <w:rPr>
          <w:rFonts w:hint="eastAsia"/>
          <w:lang w:eastAsia="zh-CN"/>
        </w:rPr>
        <w:t>20</w:t>
      </w:r>
      <w:r w:rsidRPr="000C156A">
        <w:rPr>
          <w:rFonts w:hint="eastAsia"/>
          <w:lang w:eastAsia="zh-CN"/>
        </w:rPr>
        <w:t>年为</w:t>
      </w:r>
      <w:r>
        <w:rPr>
          <w:rFonts w:hint="eastAsia"/>
          <w:lang w:eastAsia="zh-CN"/>
        </w:rPr>
        <w:t>3</w:t>
      </w:r>
      <w:r>
        <w:rPr>
          <w:lang w:eastAsia="zh-CN"/>
        </w:rPr>
        <w:t xml:space="preserve"> </w:t>
      </w:r>
      <w:r>
        <w:rPr>
          <w:rFonts w:hint="eastAsia"/>
          <w:lang w:eastAsia="zh-CN"/>
        </w:rPr>
        <w:t>760</w:t>
      </w:r>
      <w:r w:rsidRPr="000C156A">
        <w:rPr>
          <w:rFonts w:hint="eastAsia"/>
          <w:lang w:val="en-US" w:eastAsia="zh-CN"/>
        </w:rPr>
        <w:t>万</w:t>
      </w:r>
      <w:r w:rsidRPr="000C156A">
        <w:rPr>
          <w:rFonts w:hint="eastAsia"/>
          <w:lang w:eastAsia="zh-CN"/>
        </w:rPr>
        <w:t>瑞郎）。</w:t>
      </w:r>
      <w:r w:rsidRPr="000C156A">
        <w:rPr>
          <w:rFonts w:hint="eastAsia"/>
          <w:lang w:eastAsia="zh-CN"/>
        </w:rPr>
        <w:t>2</w:t>
      </w:r>
      <w:r>
        <w:rPr>
          <w:lang w:eastAsia="zh-CN"/>
        </w:rPr>
        <w:t>02</w:t>
      </w:r>
      <w:r>
        <w:rPr>
          <w:rFonts w:hint="eastAsia"/>
          <w:lang w:eastAsia="zh-CN"/>
        </w:rPr>
        <w:t>1</w:t>
      </w:r>
      <w:r w:rsidRPr="000C156A">
        <w:rPr>
          <w:rFonts w:hint="eastAsia"/>
          <w:lang w:eastAsia="zh-CN"/>
        </w:rPr>
        <w:t>年底时，正在拨款的第三方资金余额为</w:t>
      </w:r>
      <w:r w:rsidRPr="000C156A">
        <w:rPr>
          <w:rFonts w:hint="eastAsia"/>
          <w:lang w:eastAsia="zh-CN"/>
        </w:rPr>
        <w:t>3</w:t>
      </w:r>
      <w:r>
        <w:rPr>
          <w:rFonts w:hint="eastAsia"/>
          <w:lang w:eastAsia="zh-CN"/>
        </w:rPr>
        <w:t>6</w:t>
      </w:r>
      <w:r w:rsidRPr="000C156A">
        <w:rPr>
          <w:lang w:eastAsia="zh-CN"/>
        </w:rPr>
        <w:t>0</w:t>
      </w:r>
      <w:r w:rsidRPr="000C156A">
        <w:rPr>
          <w:rFonts w:hint="eastAsia"/>
          <w:lang w:eastAsia="zh-CN"/>
        </w:rPr>
        <w:t>万瑞郎（</w:t>
      </w:r>
      <w:r>
        <w:rPr>
          <w:lang w:eastAsia="zh-CN"/>
        </w:rPr>
        <w:t>20</w:t>
      </w:r>
      <w:r>
        <w:rPr>
          <w:rFonts w:hint="eastAsia"/>
          <w:lang w:eastAsia="zh-CN"/>
        </w:rPr>
        <w:t>20</w:t>
      </w:r>
      <w:r w:rsidRPr="000C156A">
        <w:rPr>
          <w:rFonts w:hint="eastAsia"/>
          <w:lang w:eastAsia="zh-CN"/>
        </w:rPr>
        <w:t>年底时为</w:t>
      </w:r>
      <w:r>
        <w:rPr>
          <w:rFonts w:hint="eastAsia"/>
          <w:lang w:eastAsia="zh-CN"/>
        </w:rPr>
        <w:t>300</w:t>
      </w:r>
      <w:r w:rsidRPr="000C156A">
        <w:rPr>
          <w:rFonts w:hint="eastAsia"/>
          <w:lang w:eastAsia="zh-CN"/>
        </w:rPr>
        <w:t>万瑞郎），这些涉及即将开始项目新收到的资金和结束项目的剩余资金。这些余额或将退还捐赠方或划拨给新项目。</w:t>
      </w:r>
    </w:p>
    <w:p w14:paraId="3E9B84E6" w14:textId="77777777" w:rsidR="00B56A7B" w:rsidRPr="000C156A" w:rsidRDefault="00B56A7B" w:rsidP="00B56A7B">
      <w:pPr>
        <w:rPr>
          <w:lang w:eastAsia="zh-CN"/>
        </w:rPr>
      </w:pPr>
      <w:r>
        <w:rPr>
          <w:rFonts w:hint="eastAsia"/>
          <w:lang w:eastAsia="zh-CN"/>
        </w:rPr>
        <w:t>80</w:t>
      </w:r>
      <w:r w:rsidRPr="000C156A">
        <w:rPr>
          <w:lang w:eastAsia="zh-CN"/>
        </w:rPr>
        <w:tab/>
      </w:r>
      <w:r w:rsidRPr="000C156A">
        <w:rPr>
          <w:rFonts w:hint="eastAsia"/>
          <w:lang w:eastAsia="zh-CN"/>
        </w:rPr>
        <w:t>202</w:t>
      </w:r>
      <w:r>
        <w:rPr>
          <w:lang w:eastAsia="zh-CN"/>
        </w:rPr>
        <w:t>1</w:t>
      </w:r>
      <w:r w:rsidRPr="000C156A">
        <w:rPr>
          <w:rFonts w:hint="eastAsia"/>
          <w:lang w:eastAsia="zh-CN"/>
        </w:rPr>
        <w:t>年，流动资产达</w:t>
      </w:r>
      <w:r>
        <w:rPr>
          <w:lang w:eastAsia="zh-CN"/>
        </w:rPr>
        <w:t>2</w:t>
      </w:r>
      <w:r w:rsidRPr="000C156A">
        <w:rPr>
          <w:rFonts w:hint="eastAsia"/>
          <w:lang w:eastAsia="zh-CN"/>
        </w:rPr>
        <w:t xml:space="preserve"> </w:t>
      </w:r>
      <w:r>
        <w:rPr>
          <w:lang w:eastAsia="zh-CN"/>
        </w:rPr>
        <w:t>17</w:t>
      </w:r>
      <w:r w:rsidRPr="000C156A">
        <w:rPr>
          <w:rFonts w:hint="eastAsia"/>
          <w:lang w:eastAsia="zh-CN"/>
        </w:rPr>
        <w:t>0</w:t>
      </w:r>
      <w:r w:rsidRPr="000C156A">
        <w:rPr>
          <w:rFonts w:hint="eastAsia"/>
          <w:lang w:eastAsia="zh-CN"/>
        </w:rPr>
        <w:t>万瑞郎（</w:t>
      </w:r>
      <w:r w:rsidRPr="000C156A">
        <w:rPr>
          <w:rFonts w:hint="eastAsia"/>
          <w:lang w:eastAsia="zh-CN"/>
        </w:rPr>
        <w:t>20</w:t>
      </w:r>
      <w:r>
        <w:rPr>
          <w:lang w:eastAsia="zh-CN"/>
        </w:rPr>
        <w:t>20</w:t>
      </w:r>
      <w:r w:rsidRPr="000C156A">
        <w:rPr>
          <w:rFonts w:hint="eastAsia"/>
          <w:lang w:eastAsia="zh-CN"/>
        </w:rPr>
        <w:t>年为</w:t>
      </w:r>
      <w:r>
        <w:rPr>
          <w:lang w:eastAsia="zh-CN"/>
        </w:rPr>
        <w:t>1</w:t>
      </w:r>
      <w:r w:rsidRPr="000C156A">
        <w:rPr>
          <w:rFonts w:hint="eastAsia"/>
          <w:lang w:eastAsia="zh-CN"/>
        </w:rPr>
        <w:t xml:space="preserve"> </w:t>
      </w:r>
      <w:r>
        <w:rPr>
          <w:lang w:eastAsia="zh-CN"/>
        </w:rPr>
        <w:t>55</w:t>
      </w:r>
      <w:r w:rsidRPr="000C156A">
        <w:rPr>
          <w:rFonts w:hint="eastAsia"/>
          <w:lang w:eastAsia="zh-CN"/>
        </w:rPr>
        <w:t>0</w:t>
      </w:r>
      <w:r w:rsidRPr="000C156A">
        <w:rPr>
          <w:rFonts w:hint="eastAsia"/>
          <w:lang w:eastAsia="zh-CN"/>
        </w:rPr>
        <w:t>万瑞郎）。截至</w:t>
      </w:r>
      <w:r w:rsidRPr="000C156A">
        <w:rPr>
          <w:rFonts w:hint="eastAsia"/>
          <w:lang w:eastAsia="zh-CN"/>
        </w:rPr>
        <w:t>202</w:t>
      </w:r>
      <w:r>
        <w:rPr>
          <w:lang w:eastAsia="zh-CN"/>
        </w:rPr>
        <w:t>1</w:t>
      </w:r>
      <w:r w:rsidRPr="000C156A">
        <w:rPr>
          <w:rFonts w:hint="eastAsia"/>
          <w:lang w:eastAsia="zh-CN"/>
        </w:rPr>
        <w:t>年底，投资总额为</w:t>
      </w:r>
      <w:r w:rsidRPr="000C156A">
        <w:rPr>
          <w:rFonts w:hint="eastAsia"/>
          <w:lang w:eastAsia="zh-CN"/>
        </w:rPr>
        <w:t xml:space="preserve">2 </w:t>
      </w:r>
      <w:r>
        <w:rPr>
          <w:lang w:eastAsia="zh-CN"/>
        </w:rPr>
        <w:t>86</w:t>
      </w:r>
      <w:r w:rsidRPr="000C156A">
        <w:rPr>
          <w:rFonts w:hint="eastAsia"/>
          <w:lang w:eastAsia="zh-CN"/>
        </w:rPr>
        <w:t>0</w:t>
      </w:r>
      <w:r w:rsidRPr="000C156A">
        <w:rPr>
          <w:rFonts w:hint="eastAsia"/>
          <w:lang w:eastAsia="zh-CN"/>
        </w:rPr>
        <w:t>万瑞郎（</w:t>
      </w:r>
      <w:r w:rsidRPr="000C156A">
        <w:rPr>
          <w:rFonts w:hint="eastAsia"/>
          <w:lang w:eastAsia="zh-CN"/>
        </w:rPr>
        <w:t>20</w:t>
      </w:r>
      <w:r>
        <w:rPr>
          <w:lang w:eastAsia="zh-CN"/>
        </w:rPr>
        <w:t>20</w:t>
      </w:r>
      <w:r w:rsidRPr="000C156A">
        <w:rPr>
          <w:rFonts w:hint="eastAsia"/>
          <w:lang w:eastAsia="zh-CN"/>
        </w:rPr>
        <w:t>年为</w:t>
      </w:r>
      <w:r>
        <w:rPr>
          <w:lang w:eastAsia="zh-CN"/>
        </w:rPr>
        <w:t>2</w:t>
      </w:r>
      <w:r w:rsidRPr="000C156A">
        <w:rPr>
          <w:rFonts w:hint="eastAsia"/>
          <w:lang w:eastAsia="zh-CN"/>
        </w:rPr>
        <w:t xml:space="preserve"> </w:t>
      </w:r>
      <w:r>
        <w:rPr>
          <w:lang w:eastAsia="zh-CN"/>
        </w:rPr>
        <w:t>08</w:t>
      </w:r>
      <w:r w:rsidRPr="000C156A">
        <w:rPr>
          <w:rFonts w:hint="eastAsia"/>
          <w:lang w:eastAsia="zh-CN"/>
        </w:rPr>
        <w:t>0</w:t>
      </w:r>
      <w:r w:rsidRPr="000C156A">
        <w:rPr>
          <w:rFonts w:hint="eastAsia"/>
          <w:lang w:eastAsia="zh-CN"/>
        </w:rPr>
        <w:t>万瑞郎）。</w:t>
      </w:r>
    </w:p>
    <w:p w14:paraId="6F464F35" w14:textId="77777777" w:rsidR="00B56A7B" w:rsidRPr="000C156A" w:rsidRDefault="00B56A7B" w:rsidP="00B56A7B">
      <w:pPr>
        <w:pStyle w:val="Headingb"/>
        <w:rPr>
          <w:lang w:eastAsia="zh-CN"/>
        </w:rPr>
      </w:pPr>
      <w:bookmarkStart w:id="1339" w:name="_Toc73518894"/>
      <w:bookmarkStart w:id="1340" w:name="_Toc73519294"/>
      <w:bookmarkStart w:id="1341" w:name="_Toc73636333"/>
      <w:r w:rsidRPr="000C156A">
        <w:rPr>
          <w:lang w:eastAsia="zh-CN"/>
        </w:rPr>
        <w:t>20</w:t>
      </w:r>
      <w:r>
        <w:rPr>
          <w:rFonts w:hint="eastAsia"/>
          <w:lang w:eastAsia="zh-CN"/>
        </w:rPr>
        <w:t>21</w:t>
      </w:r>
      <w:r w:rsidRPr="000C156A">
        <w:rPr>
          <w:rFonts w:hint="eastAsia"/>
          <w:lang w:eastAsia="zh-CN"/>
        </w:rPr>
        <w:t>年项目交付和支持费用</w:t>
      </w:r>
      <w:bookmarkEnd w:id="1339"/>
      <w:bookmarkEnd w:id="1340"/>
      <w:bookmarkEnd w:id="1341"/>
    </w:p>
    <w:p w14:paraId="7759946B" w14:textId="77777777" w:rsidR="00B56A7B" w:rsidRPr="000C156A" w:rsidRDefault="00B56A7B" w:rsidP="00B56A7B">
      <w:pPr>
        <w:rPr>
          <w:lang w:eastAsia="zh-CN"/>
        </w:rPr>
      </w:pPr>
      <w:r>
        <w:rPr>
          <w:rFonts w:hint="eastAsia"/>
          <w:lang w:eastAsia="zh-CN"/>
        </w:rPr>
        <w:t>81</w:t>
      </w:r>
      <w:r w:rsidRPr="000C156A">
        <w:rPr>
          <w:lang w:eastAsia="zh-CN"/>
        </w:rPr>
        <w:tab/>
        <w:t>20</w:t>
      </w:r>
      <w:r>
        <w:rPr>
          <w:rFonts w:hint="eastAsia"/>
          <w:lang w:eastAsia="zh-CN"/>
        </w:rPr>
        <w:t>21</w:t>
      </w:r>
      <w:r w:rsidRPr="000C156A">
        <w:rPr>
          <w:rFonts w:hint="eastAsia"/>
          <w:lang w:eastAsia="zh-CN"/>
        </w:rPr>
        <w:t>年，各类信托基金项目费用总额为</w:t>
      </w:r>
      <w:r>
        <w:rPr>
          <w:rFonts w:hint="eastAsia"/>
          <w:lang w:eastAsia="zh-CN"/>
        </w:rPr>
        <w:t>1</w:t>
      </w:r>
      <w:r>
        <w:rPr>
          <w:lang w:eastAsia="zh-CN"/>
        </w:rPr>
        <w:t xml:space="preserve"> </w:t>
      </w:r>
      <w:r>
        <w:rPr>
          <w:rFonts w:hint="eastAsia"/>
          <w:lang w:eastAsia="zh-CN"/>
        </w:rPr>
        <w:t>240</w:t>
      </w:r>
      <w:r w:rsidRPr="000C156A">
        <w:rPr>
          <w:rFonts w:hint="eastAsia"/>
          <w:lang w:eastAsia="zh-CN"/>
        </w:rPr>
        <w:t>万瑞郎（</w:t>
      </w:r>
      <w:r w:rsidRPr="000C156A">
        <w:rPr>
          <w:lang w:eastAsia="zh-CN"/>
        </w:rPr>
        <w:t>20</w:t>
      </w:r>
      <w:r>
        <w:rPr>
          <w:rFonts w:hint="eastAsia"/>
          <w:lang w:eastAsia="zh-CN"/>
        </w:rPr>
        <w:t>20</w:t>
      </w:r>
      <w:r w:rsidRPr="000C156A">
        <w:rPr>
          <w:rFonts w:hint="eastAsia"/>
          <w:lang w:eastAsia="zh-CN"/>
        </w:rPr>
        <w:t>年为</w:t>
      </w:r>
      <w:r>
        <w:rPr>
          <w:rFonts w:hint="eastAsia"/>
          <w:lang w:eastAsia="zh-CN"/>
        </w:rPr>
        <w:t>6</w:t>
      </w:r>
      <w:r w:rsidRPr="000C156A">
        <w:rPr>
          <w:lang w:eastAsia="zh-CN"/>
        </w:rPr>
        <w:t>70</w:t>
      </w:r>
      <w:r w:rsidRPr="000C156A">
        <w:rPr>
          <w:rFonts w:hint="eastAsia"/>
          <w:lang w:eastAsia="zh-CN"/>
        </w:rPr>
        <w:t>万瑞郎）。</w:t>
      </w:r>
      <w:r>
        <w:rPr>
          <w:lang w:eastAsia="zh-CN"/>
        </w:rPr>
        <w:t>202</w:t>
      </w:r>
      <w:r>
        <w:rPr>
          <w:rFonts w:hint="eastAsia"/>
          <w:lang w:eastAsia="zh-CN"/>
        </w:rPr>
        <w:t>1</w:t>
      </w:r>
      <w:r w:rsidRPr="000C156A">
        <w:rPr>
          <w:rFonts w:hint="eastAsia"/>
          <w:lang w:eastAsia="zh-CN"/>
        </w:rPr>
        <w:t>年的支持费用为</w:t>
      </w:r>
      <w:r>
        <w:rPr>
          <w:rFonts w:hint="eastAsia"/>
          <w:lang w:eastAsia="zh-CN"/>
        </w:rPr>
        <w:t>72.4</w:t>
      </w:r>
      <w:r w:rsidRPr="000C156A">
        <w:rPr>
          <w:rFonts w:hint="eastAsia"/>
          <w:lang w:eastAsia="zh-CN"/>
        </w:rPr>
        <w:t>万瑞郎（</w:t>
      </w:r>
      <w:r>
        <w:rPr>
          <w:lang w:eastAsia="zh-CN"/>
        </w:rPr>
        <w:t>20</w:t>
      </w:r>
      <w:r>
        <w:rPr>
          <w:rFonts w:hint="eastAsia"/>
          <w:lang w:eastAsia="zh-CN"/>
        </w:rPr>
        <w:t>20</w:t>
      </w:r>
      <w:r w:rsidRPr="000C156A">
        <w:rPr>
          <w:rFonts w:hint="eastAsia"/>
          <w:lang w:eastAsia="zh-CN"/>
        </w:rPr>
        <w:t>年为</w:t>
      </w:r>
      <w:r w:rsidRPr="000C156A">
        <w:rPr>
          <w:rFonts w:hint="eastAsia"/>
          <w:lang w:eastAsia="zh-CN"/>
        </w:rPr>
        <w:t>2</w:t>
      </w:r>
      <w:r w:rsidRPr="000C156A">
        <w:rPr>
          <w:lang w:eastAsia="zh-CN"/>
        </w:rPr>
        <w:t>3.6</w:t>
      </w:r>
      <w:r w:rsidRPr="000C156A">
        <w:rPr>
          <w:rFonts w:hint="eastAsia"/>
          <w:lang w:eastAsia="zh-CN"/>
        </w:rPr>
        <w:t>万瑞郎）。</w:t>
      </w:r>
    </w:p>
    <w:p w14:paraId="429FC9ED" w14:textId="77777777" w:rsidR="00B56A7B" w:rsidRPr="000C156A" w:rsidRDefault="00B56A7B" w:rsidP="00B56A7B">
      <w:pPr>
        <w:pStyle w:val="Heading1"/>
        <w:rPr>
          <w:lang w:eastAsia="zh-CN"/>
        </w:rPr>
      </w:pPr>
      <w:bookmarkStart w:id="1342" w:name="_Toc482894266"/>
      <w:bookmarkStart w:id="1343" w:name="_Toc358364833"/>
      <w:bookmarkStart w:id="1344" w:name="_Toc329077315"/>
      <w:bookmarkStart w:id="1345" w:name="_Toc511116018"/>
      <w:bookmarkStart w:id="1346" w:name="_Toc41905909"/>
      <w:bookmarkStart w:id="1347" w:name="_Toc41908079"/>
      <w:bookmarkStart w:id="1348" w:name="_Toc73636334"/>
      <w:bookmarkStart w:id="1349" w:name="_Toc110265755"/>
      <w:bookmarkStart w:id="1350" w:name="_Toc110330290"/>
      <w:r w:rsidRPr="000C156A">
        <w:rPr>
          <w:rFonts w:hint="eastAsia"/>
          <w:lang w:eastAsia="zh-CN"/>
        </w:rPr>
        <w:lastRenderedPageBreak/>
        <w:t>六</w:t>
      </w:r>
      <w:r w:rsidRPr="000C156A">
        <w:rPr>
          <w:lang w:eastAsia="zh-CN"/>
        </w:rPr>
        <w:tab/>
      </w:r>
      <w:r w:rsidRPr="000C156A">
        <w:rPr>
          <w:rFonts w:hint="eastAsia"/>
          <w:lang w:eastAsia="zh-CN"/>
        </w:rPr>
        <w:t>自愿捐款（附件</w:t>
      </w:r>
      <w:r w:rsidRPr="000C156A">
        <w:rPr>
          <w:lang w:eastAsia="zh-CN"/>
        </w:rPr>
        <w:t>B5</w:t>
      </w:r>
      <w:r w:rsidRPr="000C156A">
        <w:rPr>
          <w:rFonts w:hint="eastAsia"/>
          <w:lang w:eastAsia="zh-CN"/>
        </w:rPr>
        <w:t>）</w:t>
      </w:r>
      <w:bookmarkEnd w:id="1342"/>
      <w:bookmarkEnd w:id="1343"/>
      <w:bookmarkEnd w:id="1344"/>
      <w:bookmarkEnd w:id="1345"/>
      <w:bookmarkEnd w:id="1346"/>
      <w:bookmarkEnd w:id="1347"/>
      <w:bookmarkEnd w:id="1348"/>
      <w:bookmarkEnd w:id="1349"/>
      <w:bookmarkEnd w:id="1350"/>
    </w:p>
    <w:p w14:paraId="07126916" w14:textId="77777777" w:rsidR="00B56A7B" w:rsidRPr="000C156A" w:rsidRDefault="00B56A7B" w:rsidP="00B56A7B">
      <w:pPr>
        <w:rPr>
          <w:rFonts w:eastAsiaTheme="minorEastAsia"/>
          <w:lang w:eastAsia="zh-CN"/>
        </w:rPr>
      </w:pPr>
      <w:r>
        <w:rPr>
          <w:rFonts w:hint="eastAsia"/>
          <w:lang w:eastAsia="zh-CN"/>
        </w:rPr>
        <w:t>82</w:t>
      </w:r>
      <w:r w:rsidRPr="000C156A">
        <w:rPr>
          <w:lang w:eastAsia="zh-CN"/>
        </w:rPr>
        <w:tab/>
      </w:r>
      <w:r w:rsidRPr="000C156A">
        <w:rPr>
          <w:rFonts w:cs="Calibri"/>
          <w:lang w:eastAsia="zh-CN"/>
        </w:rPr>
        <w:t>20</w:t>
      </w:r>
      <w:r>
        <w:rPr>
          <w:rFonts w:cs="Calibri" w:hint="eastAsia"/>
          <w:lang w:eastAsia="zh-CN"/>
        </w:rPr>
        <w:t>21</w:t>
      </w:r>
      <w:r w:rsidRPr="000C156A">
        <w:rPr>
          <w:rFonts w:eastAsiaTheme="minorEastAsia" w:hint="eastAsia"/>
          <w:lang w:eastAsia="zh-CN"/>
        </w:rPr>
        <w:t>年，流动资产数额达到</w:t>
      </w:r>
      <w:r>
        <w:rPr>
          <w:rFonts w:eastAsiaTheme="minorEastAsia" w:hint="eastAsia"/>
          <w:lang w:eastAsia="zh-CN"/>
        </w:rPr>
        <w:t>88</w:t>
      </w:r>
      <w:r w:rsidRPr="000C156A">
        <w:rPr>
          <w:rFonts w:eastAsiaTheme="minorEastAsia"/>
          <w:lang w:eastAsia="zh-CN"/>
        </w:rPr>
        <w:t>0</w:t>
      </w:r>
      <w:r w:rsidRPr="000C156A">
        <w:rPr>
          <w:rFonts w:eastAsiaTheme="minorEastAsia" w:hint="eastAsia"/>
          <w:lang w:eastAsia="zh-CN"/>
        </w:rPr>
        <w:t>万瑞郎（</w:t>
      </w:r>
      <w:r>
        <w:rPr>
          <w:rFonts w:eastAsiaTheme="minorEastAsia"/>
          <w:lang w:eastAsia="zh-CN"/>
        </w:rPr>
        <w:t>20</w:t>
      </w:r>
      <w:r>
        <w:rPr>
          <w:rFonts w:eastAsiaTheme="minorEastAsia" w:hint="eastAsia"/>
          <w:lang w:eastAsia="zh-CN"/>
        </w:rPr>
        <w:t>20</w:t>
      </w:r>
      <w:r w:rsidRPr="000C156A">
        <w:rPr>
          <w:rFonts w:eastAsiaTheme="minorEastAsia" w:hint="eastAsia"/>
          <w:lang w:eastAsia="zh-CN"/>
        </w:rPr>
        <w:t>年为</w:t>
      </w:r>
      <w:r w:rsidRPr="000C156A">
        <w:rPr>
          <w:rFonts w:eastAsiaTheme="minorEastAsia" w:hint="eastAsia"/>
          <w:lang w:eastAsia="zh-CN"/>
        </w:rPr>
        <w:t>5</w:t>
      </w:r>
      <w:r w:rsidRPr="000C156A">
        <w:rPr>
          <w:rFonts w:eastAsiaTheme="minorEastAsia"/>
          <w:lang w:eastAsia="zh-CN"/>
        </w:rPr>
        <w:t>60</w:t>
      </w:r>
      <w:r w:rsidRPr="000C156A">
        <w:rPr>
          <w:rFonts w:eastAsiaTheme="minorEastAsia" w:hint="eastAsia"/>
          <w:lang w:eastAsia="zh-CN"/>
        </w:rPr>
        <w:t>万瑞郎）。</w:t>
      </w:r>
    </w:p>
    <w:p w14:paraId="68561841" w14:textId="77777777" w:rsidR="00B56A7B" w:rsidRPr="000C156A" w:rsidRDefault="00B56A7B" w:rsidP="00B56A7B">
      <w:pPr>
        <w:rPr>
          <w:rFonts w:eastAsiaTheme="minorEastAsia"/>
          <w:lang w:eastAsia="zh-CN"/>
        </w:rPr>
      </w:pPr>
      <w:r>
        <w:rPr>
          <w:rFonts w:hint="eastAsia"/>
          <w:lang w:eastAsia="zh-CN"/>
        </w:rPr>
        <w:t>83</w:t>
      </w:r>
      <w:r w:rsidRPr="000C156A">
        <w:rPr>
          <w:lang w:eastAsia="zh-CN"/>
        </w:rPr>
        <w:tab/>
      </w:r>
      <w:r w:rsidRPr="000C156A">
        <w:rPr>
          <w:rFonts w:eastAsia="Times New Roman"/>
          <w:lang w:eastAsia="zh-CN"/>
        </w:rPr>
        <w:t>20</w:t>
      </w:r>
      <w:r>
        <w:rPr>
          <w:rFonts w:cs="Calibri" w:hint="eastAsia"/>
          <w:lang w:eastAsia="zh-CN"/>
        </w:rPr>
        <w:t>21</w:t>
      </w:r>
      <w:r w:rsidRPr="000C156A">
        <w:rPr>
          <w:rFonts w:eastAsiaTheme="minorEastAsia" w:hint="eastAsia"/>
          <w:lang w:eastAsia="zh-CN"/>
        </w:rPr>
        <w:t>年，各类自愿捐款费用达到</w:t>
      </w:r>
      <w:r>
        <w:rPr>
          <w:rFonts w:eastAsiaTheme="minorEastAsia" w:hint="eastAsia"/>
          <w:lang w:eastAsia="zh-CN"/>
        </w:rPr>
        <w:t>29</w:t>
      </w:r>
      <w:r w:rsidRPr="000C156A">
        <w:rPr>
          <w:rFonts w:eastAsiaTheme="minorEastAsia"/>
          <w:lang w:eastAsia="zh-CN"/>
        </w:rPr>
        <w:t>0</w:t>
      </w:r>
      <w:r w:rsidRPr="000C156A">
        <w:rPr>
          <w:rFonts w:eastAsiaTheme="minorEastAsia" w:hint="eastAsia"/>
          <w:lang w:eastAsia="zh-CN"/>
        </w:rPr>
        <w:t>万瑞郎，</w:t>
      </w:r>
      <w:r w:rsidRPr="000C156A">
        <w:rPr>
          <w:rFonts w:eastAsiaTheme="minorEastAsia"/>
          <w:lang w:eastAsia="zh-CN"/>
        </w:rPr>
        <w:t>20</w:t>
      </w:r>
      <w:r>
        <w:rPr>
          <w:rFonts w:eastAsiaTheme="minorEastAsia" w:hint="eastAsia"/>
          <w:lang w:eastAsia="zh-CN"/>
        </w:rPr>
        <w:t>20</w:t>
      </w:r>
      <w:r w:rsidRPr="000C156A">
        <w:rPr>
          <w:rFonts w:eastAsiaTheme="minorEastAsia" w:hint="eastAsia"/>
          <w:lang w:eastAsia="zh-CN"/>
        </w:rPr>
        <w:t>年为</w:t>
      </w:r>
      <w:r>
        <w:rPr>
          <w:rFonts w:eastAsiaTheme="minorEastAsia" w:hint="eastAsia"/>
          <w:lang w:eastAsia="zh-CN"/>
        </w:rPr>
        <w:t>32</w:t>
      </w:r>
      <w:r w:rsidRPr="000C156A">
        <w:rPr>
          <w:rFonts w:eastAsiaTheme="minorEastAsia"/>
          <w:lang w:eastAsia="zh-CN"/>
        </w:rPr>
        <w:t>0</w:t>
      </w:r>
      <w:r w:rsidRPr="000C156A">
        <w:rPr>
          <w:rFonts w:eastAsiaTheme="minorEastAsia" w:hint="eastAsia"/>
          <w:lang w:eastAsia="zh-CN"/>
        </w:rPr>
        <w:t>万瑞郎。</w:t>
      </w:r>
    </w:p>
    <w:p w14:paraId="49ED5658" w14:textId="77777777" w:rsidR="00B56A7B" w:rsidRPr="000C156A" w:rsidRDefault="00B56A7B" w:rsidP="00B56A7B">
      <w:pPr>
        <w:pStyle w:val="Heading1"/>
        <w:rPr>
          <w:lang w:eastAsia="zh-CN"/>
        </w:rPr>
      </w:pPr>
      <w:bookmarkStart w:id="1351" w:name="_Toc358364834"/>
      <w:bookmarkStart w:id="1352" w:name="_Toc482894267"/>
      <w:bookmarkStart w:id="1353" w:name="_Toc511116019"/>
      <w:bookmarkStart w:id="1354" w:name="_Toc41905910"/>
      <w:bookmarkStart w:id="1355" w:name="_Toc41908080"/>
      <w:bookmarkStart w:id="1356" w:name="_Toc73636335"/>
      <w:bookmarkStart w:id="1357" w:name="_Toc110265756"/>
      <w:bookmarkStart w:id="1358" w:name="_Toc110330291"/>
      <w:r w:rsidRPr="000C156A">
        <w:rPr>
          <w:rFonts w:hint="eastAsia"/>
          <w:lang w:eastAsia="zh-CN"/>
        </w:rPr>
        <w:t>七</w:t>
      </w:r>
      <w:r w:rsidRPr="000C156A">
        <w:rPr>
          <w:lang w:eastAsia="zh-CN"/>
        </w:rPr>
        <w:tab/>
      </w:r>
      <w:bookmarkStart w:id="1359" w:name="_Toc268074319"/>
      <w:r w:rsidRPr="000C156A">
        <w:rPr>
          <w:rFonts w:hint="eastAsia"/>
          <w:lang w:eastAsia="zh-CN"/>
        </w:rPr>
        <w:t>信息通信技术（</w:t>
      </w:r>
      <w:r w:rsidRPr="000C156A">
        <w:rPr>
          <w:lang w:eastAsia="zh-CN"/>
        </w:rPr>
        <w:t>ICT</w:t>
      </w:r>
      <w:r w:rsidRPr="000C156A">
        <w:rPr>
          <w:rFonts w:hint="eastAsia"/>
          <w:lang w:eastAsia="zh-CN"/>
        </w:rPr>
        <w:t>）发展基金</w:t>
      </w:r>
      <w:bookmarkEnd w:id="1359"/>
      <w:r w:rsidRPr="000C156A">
        <w:rPr>
          <w:rFonts w:hint="eastAsia"/>
          <w:lang w:eastAsia="zh-CN"/>
        </w:rPr>
        <w:t>（附件</w:t>
      </w:r>
      <w:r w:rsidRPr="000C156A">
        <w:rPr>
          <w:lang w:eastAsia="zh-CN"/>
        </w:rPr>
        <w:t>B6</w:t>
      </w:r>
      <w:r w:rsidRPr="000C156A">
        <w:rPr>
          <w:rFonts w:hint="eastAsia"/>
          <w:lang w:eastAsia="zh-CN"/>
        </w:rPr>
        <w:t>）</w:t>
      </w:r>
      <w:bookmarkEnd w:id="1351"/>
      <w:bookmarkEnd w:id="1352"/>
      <w:bookmarkEnd w:id="1353"/>
      <w:bookmarkEnd w:id="1354"/>
      <w:bookmarkEnd w:id="1355"/>
      <w:bookmarkEnd w:id="1356"/>
      <w:bookmarkEnd w:id="1357"/>
      <w:bookmarkEnd w:id="1358"/>
    </w:p>
    <w:p w14:paraId="31165AEA" w14:textId="77777777" w:rsidR="00B56A7B" w:rsidRPr="000C156A" w:rsidRDefault="00B56A7B" w:rsidP="00B56A7B">
      <w:pPr>
        <w:rPr>
          <w:lang w:eastAsia="zh-CN"/>
        </w:rPr>
      </w:pPr>
      <w:r>
        <w:rPr>
          <w:rFonts w:hint="eastAsia"/>
          <w:lang w:eastAsia="zh-CN"/>
        </w:rPr>
        <w:t>84</w:t>
      </w:r>
      <w:r w:rsidRPr="000C156A">
        <w:rPr>
          <w:lang w:eastAsia="zh-CN"/>
        </w:rPr>
        <w:tab/>
        <w:t>20</w:t>
      </w:r>
      <w:r>
        <w:rPr>
          <w:rFonts w:hint="eastAsia"/>
          <w:lang w:eastAsia="zh-CN"/>
        </w:rPr>
        <w:t>21</w:t>
      </w:r>
      <w:r w:rsidRPr="000C156A">
        <w:rPr>
          <w:rFonts w:hint="eastAsia"/>
          <w:lang w:eastAsia="zh-CN"/>
        </w:rPr>
        <w:t>年</w:t>
      </w:r>
      <w:r w:rsidRPr="000C156A">
        <w:rPr>
          <w:rFonts w:hint="eastAsia"/>
          <w:lang w:eastAsia="zh-CN"/>
        </w:rPr>
        <w:t>12</w:t>
      </w:r>
      <w:r w:rsidRPr="000C156A">
        <w:rPr>
          <w:rFonts w:hint="eastAsia"/>
          <w:lang w:eastAsia="zh-CN"/>
        </w:rPr>
        <w:t>月</w:t>
      </w:r>
      <w:r w:rsidRPr="000C156A">
        <w:rPr>
          <w:rFonts w:hint="eastAsia"/>
          <w:lang w:eastAsia="zh-CN"/>
        </w:rPr>
        <w:t>31</w:t>
      </w:r>
      <w:r w:rsidRPr="000C156A">
        <w:rPr>
          <w:rFonts w:hint="eastAsia"/>
          <w:lang w:eastAsia="zh-CN"/>
        </w:rPr>
        <w:t>日，</w:t>
      </w:r>
      <w:r w:rsidRPr="000C156A">
        <w:rPr>
          <w:rFonts w:hint="eastAsia"/>
          <w:lang w:eastAsia="zh-CN"/>
        </w:rPr>
        <w:t>ICT</w:t>
      </w:r>
      <w:r w:rsidRPr="000C156A">
        <w:rPr>
          <w:rFonts w:hint="eastAsia"/>
          <w:lang w:eastAsia="zh-CN"/>
        </w:rPr>
        <w:t>发展基金（</w:t>
      </w:r>
      <w:r w:rsidRPr="000C156A">
        <w:rPr>
          <w:rFonts w:hint="eastAsia"/>
          <w:lang w:eastAsia="zh-CN"/>
        </w:rPr>
        <w:t>ICTDF</w:t>
      </w:r>
      <w:r w:rsidRPr="000C156A">
        <w:rPr>
          <w:rFonts w:hint="eastAsia"/>
          <w:lang w:eastAsia="zh-CN"/>
        </w:rPr>
        <w:t>）的余额为</w:t>
      </w:r>
      <w:r>
        <w:rPr>
          <w:rFonts w:hint="eastAsia"/>
          <w:lang w:eastAsia="zh-CN"/>
        </w:rPr>
        <w:t>31</w:t>
      </w:r>
      <w:r w:rsidRPr="000C156A">
        <w:rPr>
          <w:rFonts w:hint="eastAsia"/>
          <w:lang w:eastAsia="zh-CN"/>
        </w:rPr>
        <w:t>0</w:t>
      </w:r>
      <w:r w:rsidRPr="000C156A">
        <w:rPr>
          <w:rFonts w:hint="eastAsia"/>
          <w:lang w:eastAsia="zh-CN"/>
        </w:rPr>
        <w:t>万瑞郎（</w:t>
      </w:r>
      <w:r>
        <w:rPr>
          <w:rFonts w:hint="eastAsia"/>
          <w:lang w:eastAsia="zh-CN"/>
        </w:rPr>
        <w:t>2020</w:t>
      </w:r>
      <w:r w:rsidRPr="000C156A">
        <w:rPr>
          <w:rFonts w:hint="eastAsia"/>
          <w:lang w:eastAsia="zh-CN"/>
        </w:rPr>
        <w:t>年</w:t>
      </w:r>
      <w:r w:rsidRPr="000C156A">
        <w:rPr>
          <w:rFonts w:hint="eastAsia"/>
          <w:lang w:eastAsia="zh-CN"/>
        </w:rPr>
        <w:t>12</w:t>
      </w:r>
      <w:r w:rsidRPr="000C156A">
        <w:rPr>
          <w:rFonts w:hint="eastAsia"/>
          <w:lang w:eastAsia="zh-CN"/>
        </w:rPr>
        <w:t>月</w:t>
      </w:r>
      <w:r w:rsidRPr="000C156A">
        <w:rPr>
          <w:rFonts w:hint="eastAsia"/>
          <w:lang w:eastAsia="zh-CN"/>
        </w:rPr>
        <w:t>31</w:t>
      </w:r>
      <w:r w:rsidRPr="000C156A">
        <w:rPr>
          <w:rFonts w:hint="eastAsia"/>
          <w:lang w:eastAsia="zh-CN"/>
        </w:rPr>
        <w:t>日为</w:t>
      </w:r>
      <w:r>
        <w:rPr>
          <w:rFonts w:hint="eastAsia"/>
          <w:lang w:eastAsia="zh-CN"/>
        </w:rPr>
        <w:t>38</w:t>
      </w:r>
      <w:r w:rsidRPr="000C156A">
        <w:rPr>
          <w:rFonts w:hint="eastAsia"/>
          <w:lang w:eastAsia="zh-CN"/>
        </w:rPr>
        <w:t>0</w:t>
      </w:r>
      <w:r w:rsidRPr="000C156A">
        <w:rPr>
          <w:rFonts w:hint="eastAsia"/>
          <w:lang w:eastAsia="zh-CN"/>
        </w:rPr>
        <w:t>万瑞郎）。</w:t>
      </w:r>
    </w:p>
    <w:p w14:paraId="41AAA0E5" w14:textId="77777777" w:rsidR="00B56A7B" w:rsidRPr="000C156A" w:rsidRDefault="00B56A7B" w:rsidP="00B56A7B">
      <w:pPr>
        <w:rPr>
          <w:lang w:eastAsia="zh-CN"/>
        </w:rPr>
      </w:pPr>
      <w:r>
        <w:rPr>
          <w:rFonts w:hint="eastAsia"/>
          <w:lang w:eastAsia="zh-CN"/>
        </w:rPr>
        <w:t>85</w:t>
      </w:r>
      <w:r w:rsidRPr="000C156A">
        <w:rPr>
          <w:lang w:eastAsia="zh-CN"/>
        </w:rPr>
        <w:tab/>
        <w:t>20</w:t>
      </w:r>
      <w:r>
        <w:rPr>
          <w:rFonts w:hint="eastAsia"/>
          <w:lang w:eastAsia="zh-CN"/>
        </w:rPr>
        <w:t>21</w:t>
      </w:r>
      <w:r w:rsidRPr="000C156A">
        <w:rPr>
          <w:rFonts w:hint="eastAsia"/>
          <w:lang w:eastAsia="zh-CN"/>
        </w:rPr>
        <w:t>年，为</w:t>
      </w:r>
      <w:r w:rsidRPr="000C156A">
        <w:rPr>
          <w:rFonts w:hint="eastAsia"/>
          <w:lang w:eastAsia="zh-CN"/>
        </w:rPr>
        <w:t>I</w:t>
      </w:r>
      <w:r w:rsidRPr="000C156A">
        <w:rPr>
          <w:lang w:eastAsia="zh-CN"/>
        </w:rPr>
        <w:t>CT</w:t>
      </w:r>
      <w:r w:rsidRPr="000C156A">
        <w:rPr>
          <w:rFonts w:hint="eastAsia"/>
          <w:lang w:eastAsia="zh-CN"/>
        </w:rPr>
        <w:t>项目划拨了</w:t>
      </w:r>
      <w:r w:rsidRPr="000C156A">
        <w:rPr>
          <w:lang w:eastAsia="zh-CN"/>
        </w:rPr>
        <w:t>170</w:t>
      </w:r>
      <w:r w:rsidRPr="000C156A">
        <w:rPr>
          <w:rFonts w:hint="eastAsia"/>
          <w:lang w:eastAsia="zh-CN"/>
        </w:rPr>
        <w:t>万瑞郎的资金，</w:t>
      </w:r>
      <w:r w:rsidRPr="000C156A">
        <w:rPr>
          <w:rFonts w:hint="eastAsia"/>
          <w:lang w:eastAsia="zh-CN"/>
        </w:rPr>
        <w:t>1.6</w:t>
      </w:r>
      <w:r w:rsidRPr="000C156A">
        <w:rPr>
          <w:rFonts w:hint="eastAsia"/>
          <w:lang w:eastAsia="zh-CN"/>
        </w:rPr>
        <w:t>万瑞郎的存款利息已转入</w:t>
      </w:r>
      <w:r w:rsidRPr="000C156A">
        <w:rPr>
          <w:rFonts w:hint="eastAsia"/>
          <w:lang w:eastAsia="zh-CN"/>
        </w:rPr>
        <w:t>I</w:t>
      </w:r>
      <w:r w:rsidRPr="000C156A">
        <w:rPr>
          <w:lang w:eastAsia="zh-CN"/>
        </w:rPr>
        <w:t>CTDF</w:t>
      </w:r>
      <w:r w:rsidRPr="000C156A">
        <w:rPr>
          <w:rFonts w:hint="eastAsia"/>
          <w:lang w:eastAsia="zh-CN"/>
        </w:rPr>
        <w:t>周转基金中。</w:t>
      </w:r>
    </w:p>
    <w:p w14:paraId="49EB3B85" w14:textId="77777777" w:rsidR="00B56A7B" w:rsidRPr="000C156A" w:rsidRDefault="00B56A7B" w:rsidP="00B56A7B">
      <w:pPr>
        <w:pStyle w:val="Heading1"/>
        <w:rPr>
          <w:lang w:val="en-US" w:eastAsia="zh-CN"/>
        </w:rPr>
      </w:pPr>
      <w:bookmarkStart w:id="1360" w:name="_Toc482894268"/>
      <w:bookmarkStart w:id="1361" w:name="_Toc511116021"/>
      <w:bookmarkStart w:id="1362" w:name="_Toc41905911"/>
      <w:bookmarkStart w:id="1363" w:name="_Toc41908081"/>
      <w:bookmarkStart w:id="1364" w:name="_Toc73636336"/>
      <w:bookmarkStart w:id="1365" w:name="_Toc110265757"/>
      <w:bookmarkStart w:id="1366" w:name="_Toc110330292"/>
      <w:r w:rsidRPr="000C156A">
        <w:rPr>
          <w:rFonts w:hint="eastAsia"/>
          <w:lang w:val="en-US" w:eastAsia="zh-CN"/>
        </w:rPr>
        <w:t>八</w:t>
      </w:r>
      <w:r w:rsidRPr="000C156A">
        <w:rPr>
          <w:lang w:val="en-US" w:eastAsia="zh-CN"/>
        </w:rPr>
        <w:tab/>
      </w:r>
      <w:r w:rsidRPr="000C156A">
        <w:rPr>
          <w:rFonts w:hint="eastAsia"/>
          <w:lang w:val="en-US" w:eastAsia="zh-CN"/>
        </w:rPr>
        <w:t>国际电联</w:t>
      </w:r>
      <w:r w:rsidRPr="000C156A">
        <w:rPr>
          <w:rFonts w:hint="eastAsia"/>
          <w:lang w:val="en-US" w:eastAsia="zh-CN"/>
        </w:rPr>
        <w:t>2019</w:t>
      </w:r>
      <w:r w:rsidRPr="000C156A">
        <w:rPr>
          <w:rFonts w:hint="eastAsia"/>
          <w:lang w:val="en-US" w:eastAsia="zh-CN"/>
        </w:rPr>
        <w:t>年世界电信展（附件</w:t>
      </w:r>
      <w:r w:rsidRPr="000C156A">
        <w:rPr>
          <w:lang w:eastAsia="zh-CN"/>
        </w:rPr>
        <w:t>B</w:t>
      </w:r>
      <w:r w:rsidRPr="000C156A">
        <w:rPr>
          <w:rFonts w:hint="eastAsia"/>
          <w:lang w:eastAsia="zh-CN"/>
        </w:rPr>
        <w:t>7</w:t>
      </w:r>
      <w:r w:rsidRPr="000C156A">
        <w:rPr>
          <w:rFonts w:hint="eastAsia"/>
          <w:lang w:val="en-US" w:eastAsia="zh-CN"/>
        </w:rPr>
        <w:t>）</w:t>
      </w:r>
      <w:bookmarkEnd w:id="1360"/>
      <w:bookmarkEnd w:id="1361"/>
      <w:bookmarkEnd w:id="1362"/>
      <w:bookmarkEnd w:id="1363"/>
      <w:bookmarkEnd w:id="1364"/>
      <w:bookmarkEnd w:id="1365"/>
      <w:bookmarkEnd w:id="1366"/>
    </w:p>
    <w:p w14:paraId="60573E59" w14:textId="77777777" w:rsidR="00B56A7B" w:rsidRPr="000C156A" w:rsidRDefault="00B56A7B" w:rsidP="00B56A7B">
      <w:pPr>
        <w:rPr>
          <w:rFonts w:asciiTheme="minorHAnsi" w:hAnsiTheme="minorHAnsi"/>
          <w:lang w:eastAsia="zh-CN"/>
        </w:rPr>
      </w:pPr>
      <w:r>
        <w:rPr>
          <w:rFonts w:hint="eastAsia"/>
          <w:lang w:eastAsia="zh-CN"/>
        </w:rPr>
        <w:t>86</w:t>
      </w:r>
      <w:r w:rsidRPr="000C156A">
        <w:rPr>
          <w:lang w:eastAsia="zh-CN"/>
        </w:rPr>
        <w:tab/>
      </w:r>
      <w:r w:rsidRPr="00C80BB7">
        <w:rPr>
          <w:rFonts w:hint="eastAsia"/>
          <w:lang w:eastAsia="zh-CN"/>
        </w:rPr>
        <w:t>由于疫情</w:t>
      </w:r>
      <w:r>
        <w:rPr>
          <w:rFonts w:hint="eastAsia"/>
          <w:lang w:eastAsia="zh-CN"/>
        </w:rPr>
        <w:t>持续不断</w:t>
      </w:r>
      <w:r w:rsidRPr="00C80BB7">
        <w:rPr>
          <w:rFonts w:hint="eastAsia"/>
          <w:lang w:eastAsia="zh-CN"/>
        </w:rPr>
        <w:t>，国际电联</w:t>
      </w:r>
      <w:r w:rsidRPr="00C80BB7">
        <w:rPr>
          <w:rFonts w:hint="eastAsia"/>
          <w:lang w:eastAsia="zh-CN"/>
        </w:rPr>
        <w:t>2021</w:t>
      </w:r>
      <w:r w:rsidRPr="00C80BB7">
        <w:rPr>
          <w:rFonts w:hint="eastAsia"/>
          <w:lang w:eastAsia="zh-CN"/>
        </w:rPr>
        <w:t>年数字世界展活动以虚拟形式举行，通过</w:t>
      </w:r>
      <w:r w:rsidRPr="00C80BB7">
        <w:rPr>
          <w:rFonts w:hint="eastAsia"/>
          <w:lang w:eastAsia="zh-CN"/>
        </w:rPr>
        <w:t>10</w:t>
      </w:r>
      <w:r w:rsidRPr="00C80BB7">
        <w:rPr>
          <w:rFonts w:hint="eastAsia"/>
          <w:lang w:eastAsia="zh-CN"/>
        </w:rPr>
        <w:t>项赞助</w:t>
      </w:r>
      <w:r>
        <w:rPr>
          <w:rFonts w:hint="eastAsia"/>
          <w:lang w:eastAsia="zh-CN"/>
        </w:rPr>
        <w:t>活动生成了总额</w:t>
      </w:r>
      <w:r w:rsidRPr="00C80BB7">
        <w:rPr>
          <w:rFonts w:hint="eastAsia"/>
          <w:lang w:eastAsia="zh-CN"/>
        </w:rPr>
        <w:t>241</w:t>
      </w:r>
      <w:r>
        <w:rPr>
          <w:rFonts w:hint="eastAsia"/>
          <w:lang w:eastAsia="zh-CN"/>
        </w:rPr>
        <w:t>,</w:t>
      </w:r>
      <w:r w:rsidRPr="00C80BB7">
        <w:rPr>
          <w:rFonts w:hint="eastAsia"/>
          <w:lang w:eastAsia="zh-CN"/>
        </w:rPr>
        <w:t>000</w:t>
      </w:r>
      <w:r w:rsidRPr="00C80BB7">
        <w:rPr>
          <w:rFonts w:hint="eastAsia"/>
          <w:lang w:eastAsia="zh-CN"/>
        </w:rPr>
        <w:t>瑞郎的收入，占预算总收入的</w:t>
      </w:r>
      <w:r w:rsidRPr="00C80BB7">
        <w:rPr>
          <w:rFonts w:hint="eastAsia"/>
          <w:lang w:eastAsia="zh-CN"/>
        </w:rPr>
        <w:t>4%</w:t>
      </w:r>
      <w:r w:rsidRPr="00C80BB7">
        <w:rPr>
          <w:rFonts w:hint="eastAsia"/>
          <w:lang w:eastAsia="zh-CN"/>
        </w:rPr>
        <w:t>。</w:t>
      </w:r>
    </w:p>
    <w:p w14:paraId="0DFFBECB" w14:textId="77777777" w:rsidR="00B56A7B" w:rsidRPr="000C156A" w:rsidRDefault="00B56A7B" w:rsidP="00B56A7B">
      <w:pPr>
        <w:tabs>
          <w:tab w:val="left" w:pos="709"/>
        </w:tabs>
        <w:snapToGrid w:val="0"/>
        <w:rPr>
          <w:rFonts w:eastAsia="Times New Roman" w:cs="Calibri"/>
          <w:lang w:eastAsia="zh-CN"/>
        </w:rPr>
      </w:pPr>
      <w:r>
        <w:rPr>
          <w:rFonts w:hint="eastAsia"/>
          <w:bCs/>
          <w:szCs w:val="24"/>
          <w:lang w:val="en-US" w:eastAsia="zh-CN"/>
        </w:rPr>
        <w:t>87</w:t>
      </w:r>
      <w:r w:rsidRPr="000C156A">
        <w:rPr>
          <w:bCs/>
          <w:szCs w:val="24"/>
          <w:lang w:val="en-US" w:eastAsia="zh-CN"/>
        </w:rPr>
        <w:tab/>
      </w:r>
      <w:r w:rsidRPr="000B231C">
        <w:rPr>
          <w:rFonts w:hint="eastAsia"/>
          <w:bCs/>
          <w:szCs w:val="24"/>
          <w:lang w:val="en-US" w:eastAsia="zh-CN"/>
        </w:rPr>
        <w:t>截至</w:t>
      </w:r>
      <w:r w:rsidRPr="000B231C">
        <w:rPr>
          <w:rFonts w:hint="eastAsia"/>
          <w:bCs/>
          <w:szCs w:val="24"/>
          <w:lang w:val="en-US" w:eastAsia="zh-CN"/>
        </w:rPr>
        <w:t>2021</w:t>
      </w:r>
      <w:r w:rsidRPr="000B231C">
        <w:rPr>
          <w:rFonts w:hint="eastAsia"/>
          <w:bCs/>
          <w:szCs w:val="24"/>
          <w:lang w:val="en-US" w:eastAsia="zh-CN"/>
        </w:rPr>
        <w:t>年</w:t>
      </w:r>
      <w:r w:rsidRPr="000B231C">
        <w:rPr>
          <w:rFonts w:hint="eastAsia"/>
          <w:bCs/>
          <w:szCs w:val="24"/>
          <w:lang w:val="en-US" w:eastAsia="zh-CN"/>
        </w:rPr>
        <w:t>12</w:t>
      </w:r>
      <w:r w:rsidRPr="000B231C">
        <w:rPr>
          <w:rFonts w:hint="eastAsia"/>
          <w:bCs/>
          <w:szCs w:val="24"/>
          <w:lang w:val="en-US" w:eastAsia="zh-CN"/>
        </w:rPr>
        <w:t>月</w:t>
      </w:r>
      <w:r w:rsidRPr="000B231C">
        <w:rPr>
          <w:rFonts w:hint="eastAsia"/>
          <w:bCs/>
          <w:szCs w:val="24"/>
          <w:lang w:val="en-US" w:eastAsia="zh-CN"/>
        </w:rPr>
        <w:t>31</w:t>
      </w:r>
      <w:r w:rsidRPr="000B231C">
        <w:rPr>
          <w:rFonts w:hint="eastAsia"/>
          <w:bCs/>
          <w:szCs w:val="24"/>
          <w:lang w:val="en-US" w:eastAsia="zh-CN"/>
        </w:rPr>
        <w:t>日，实际支出总额占预算的</w:t>
      </w:r>
      <w:r w:rsidRPr="000B231C">
        <w:rPr>
          <w:rFonts w:hint="eastAsia"/>
          <w:bCs/>
          <w:szCs w:val="24"/>
          <w:lang w:val="en-US" w:eastAsia="zh-CN"/>
        </w:rPr>
        <w:t>36%</w:t>
      </w:r>
      <w:r w:rsidRPr="000B231C">
        <w:rPr>
          <w:rFonts w:hint="eastAsia"/>
          <w:bCs/>
          <w:szCs w:val="24"/>
          <w:lang w:val="en-US" w:eastAsia="zh-CN"/>
        </w:rPr>
        <w:t>，包括直接支出总额</w:t>
      </w:r>
      <w:r>
        <w:rPr>
          <w:rFonts w:hint="eastAsia"/>
          <w:bCs/>
          <w:szCs w:val="24"/>
          <w:lang w:val="en-US" w:eastAsia="zh-CN"/>
        </w:rPr>
        <w:t>（</w:t>
      </w:r>
      <w:r w:rsidRPr="000B231C">
        <w:rPr>
          <w:rFonts w:hint="eastAsia"/>
          <w:bCs/>
          <w:szCs w:val="24"/>
          <w:lang w:val="en-US" w:eastAsia="zh-CN"/>
        </w:rPr>
        <w:t>预算的</w:t>
      </w:r>
      <w:r w:rsidRPr="000B231C">
        <w:rPr>
          <w:rFonts w:hint="eastAsia"/>
          <w:bCs/>
          <w:szCs w:val="24"/>
          <w:lang w:val="en-US" w:eastAsia="zh-CN"/>
        </w:rPr>
        <w:t>9%</w:t>
      </w:r>
      <w:r>
        <w:rPr>
          <w:rFonts w:hint="eastAsia"/>
          <w:bCs/>
          <w:szCs w:val="24"/>
          <w:lang w:val="en-US" w:eastAsia="zh-CN"/>
        </w:rPr>
        <w:t>）</w:t>
      </w:r>
      <w:r w:rsidRPr="000B231C">
        <w:rPr>
          <w:rFonts w:hint="eastAsia"/>
          <w:bCs/>
          <w:szCs w:val="24"/>
          <w:lang w:val="en-US" w:eastAsia="zh-CN"/>
        </w:rPr>
        <w:t>、核心支出总额</w:t>
      </w:r>
      <w:r>
        <w:rPr>
          <w:rFonts w:hint="eastAsia"/>
          <w:bCs/>
          <w:szCs w:val="24"/>
          <w:lang w:val="en-US" w:eastAsia="zh-CN"/>
        </w:rPr>
        <w:t>（</w:t>
      </w:r>
      <w:r w:rsidRPr="000B231C">
        <w:rPr>
          <w:rFonts w:hint="eastAsia"/>
          <w:bCs/>
          <w:szCs w:val="24"/>
          <w:lang w:val="en-US" w:eastAsia="zh-CN"/>
        </w:rPr>
        <w:t>预算的</w:t>
      </w:r>
      <w:r w:rsidRPr="000B231C">
        <w:rPr>
          <w:rFonts w:hint="eastAsia"/>
          <w:bCs/>
          <w:szCs w:val="24"/>
          <w:lang w:val="en-US" w:eastAsia="zh-CN"/>
        </w:rPr>
        <w:t>48%</w:t>
      </w:r>
      <w:r>
        <w:rPr>
          <w:rFonts w:hint="eastAsia"/>
          <w:bCs/>
          <w:szCs w:val="24"/>
          <w:lang w:val="en-US" w:eastAsia="zh-CN"/>
        </w:rPr>
        <w:t>）</w:t>
      </w:r>
      <w:r w:rsidRPr="000B231C">
        <w:rPr>
          <w:rFonts w:hint="eastAsia"/>
          <w:bCs/>
          <w:szCs w:val="24"/>
          <w:lang w:val="en-US" w:eastAsia="zh-CN"/>
        </w:rPr>
        <w:t>和</w:t>
      </w:r>
      <w:r w:rsidRPr="0041519D">
        <w:rPr>
          <w:rFonts w:hint="eastAsia"/>
          <w:bCs/>
          <w:szCs w:val="24"/>
          <w:lang w:val="en-US" w:eastAsia="zh-CN"/>
        </w:rPr>
        <w:t>未付发票款</w:t>
      </w:r>
      <w:r w:rsidRPr="000B231C">
        <w:rPr>
          <w:rFonts w:hint="eastAsia"/>
          <w:bCs/>
          <w:szCs w:val="24"/>
          <w:lang w:val="en-US" w:eastAsia="zh-CN"/>
        </w:rPr>
        <w:t>。在</w:t>
      </w:r>
      <w:r w:rsidRPr="006C7DAD">
        <w:rPr>
          <w:bCs/>
          <w:szCs w:val="24"/>
          <w:lang w:val="en-US" w:eastAsia="zh-CN"/>
        </w:rPr>
        <w:t>2,087,000</w:t>
      </w:r>
      <w:r w:rsidRPr="000B231C">
        <w:rPr>
          <w:rFonts w:hint="eastAsia"/>
          <w:bCs/>
          <w:szCs w:val="24"/>
          <w:lang w:val="en-US" w:eastAsia="zh-CN"/>
        </w:rPr>
        <w:t>瑞郎的直接</w:t>
      </w:r>
      <w:r>
        <w:rPr>
          <w:rFonts w:hint="eastAsia"/>
          <w:bCs/>
          <w:szCs w:val="24"/>
          <w:lang w:val="en-US" w:eastAsia="zh-CN"/>
        </w:rPr>
        <w:t>支出</w:t>
      </w:r>
      <w:r w:rsidRPr="000B231C">
        <w:rPr>
          <w:rFonts w:hint="eastAsia"/>
          <w:bCs/>
          <w:szCs w:val="24"/>
          <w:lang w:val="en-US" w:eastAsia="zh-CN"/>
        </w:rPr>
        <w:t>预算中，由于</w:t>
      </w:r>
      <w:bookmarkStart w:id="1367" w:name="_Hlk109668197"/>
      <w:r w:rsidRPr="000B231C">
        <w:rPr>
          <w:rFonts w:hint="eastAsia"/>
          <w:bCs/>
          <w:szCs w:val="24"/>
          <w:lang w:val="en-US" w:eastAsia="zh-CN"/>
        </w:rPr>
        <w:t>活动采用虚拟形式，</w:t>
      </w:r>
      <w:bookmarkEnd w:id="1367"/>
      <w:r w:rsidRPr="000B231C">
        <w:rPr>
          <w:rFonts w:hint="eastAsia"/>
          <w:bCs/>
          <w:szCs w:val="24"/>
          <w:lang w:val="en-US" w:eastAsia="zh-CN"/>
        </w:rPr>
        <w:t>仅</w:t>
      </w:r>
      <w:r>
        <w:rPr>
          <w:rFonts w:hint="eastAsia"/>
          <w:bCs/>
          <w:szCs w:val="24"/>
          <w:lang w:val="en-US" w:eastAsia="zh-CN"/>
        </w:rPr>
        <w:t>支出</w:t>
      </w:r>
      <w:r w:rsidRPr="000B231C">
        <w:rPr>
          <w:rFonts w:hint="eastAsia"/>
          <w:bCs/>
          <w:szCs w:val="24"/>
          <w:lang w:val="en-US" w:eastAsia="zh-CN"/>
        </w:rPr>
        <w:t>了</w:t>
      </w:r>
      <w:r w:rsidRPr="006C7DAD">
        <w:rPr>
          <w:bCs/>
          <w:szCs w:val="24"/>
          <w:lang w:val="en-US" w:eastAsia="zh-CN"/>
        </w:rPr>
        <w:t>186,541</w:t>
      </w:r>
      <w:r w:rsidRPr="000B231C">
        <w:rPr>
          <w:rFonts w:hint="eastAsia"/>
          <w:bCs/>
          <w:szCs w:val="24"/>
          <w:lang w:val="en-US" w:eastAsia="zh-CN"/>
        </w:rPr>
        <w:t>瑞郎。</w:t>
      </w:r>
    </w:p>
    <w:p w14:paraId="274718C9" w14:textId="77777777" w:rsidR="00B56A7B" w:rsidRPr="000C156A" w:rsidRDefault="00B56A7B" w:rsidP="00B56A7B">
      <w:pPr>
        <w:tabs>
          <w:tab w:val="left" w:pos="709"/>
        </w:tabs>
        <w:snapToGrid w:val="0"/>
        <w:rPr>
          <w:bCs/>
          <w:szCs w:val="24"/>
          <w:lang w:eastAsia="zh-CN"/>
        </w:rPr>
      </w:pPr>
      <w:r>
        <w:rPr>
          <w:rFonts w:hint="eastAsia"/>
          <w:lang w:val="en-US" w:eastAsia="zh-CN"/>
        </w:rPr>
        <w:t>88</w:t>
      </w:r>
      <w:r w:rsidRPr="000C156A">
        <w:rPr>
          <w:lang w:val="en-US" w:eastAsia="zh-CN"/>
        </w:rPr>
        <w:tab/>
      </w:r>
      <w:bookmarkStart w:id="1368" w:name="_Hlk109667288"/>
      <w:r w:rsidRPr="00693480">
        <w:rPr>
          <w:rFonts w:hint="eastAsia"/>
          <w:lang w:val="en-US" w:eastAsia="zh-CN"/>
        </w:rPr>
        <w:t>国际电联电信展览部</w:t>
      </w:r>
      <w:r>
        <w:rPr>
          <w:rFonts w:hint="eastAsia"/>
          <w:lang w:val="en-US" w:eastAsia="zh-CN"/>
        </w:rPr>
        <w:t>秘书处</w:t>
      </w:r>
      <w:bookmarkEnd w:id="1368"/>
      <w:r w:rsidRPr="00693480">
        <w:rPr>
          <w:rFonts w:hint="eastAsia"/>
          <w:lang w:val="en-US" w:eastAsia="zh-CN"/>
        </w:rPr>
        <w:t>和财务资源管理部</w:t>
      </w:r>
      <w:r>
        <w:rPr>
          <w:rFonts w:hint="eastAsia"/>
          <w:lang w:val="en-US" w:eastAsia="zh-CN"/>
        </w:rPr>
        <w:t>继续</w:t>
      </w:r>
      <w:r w:rsidRPr="00693480">
        <w:rPr>
          <w:rFonts w:hint="eastAsia"/>
          <w:lang w:val="en-US" w:eastAsia="zh-CN"/>
        </w:rPr>
        <w:t>共同努力，认真监督</w:t>
      </w:r>
      <w:r>
        <w:rPr>
          <w:rFonts w:hint="eastAsia"/>
          <w:lang w:val="en-US" w:eastAsia="zh-CN"/>
        </w:rPr>
        <w:t>和削减</w:t>
      </w:r>
      <w:r w:rsidRPr="00693480">
        <w:rPr>
          <w:rFonts w:hint="eastAsia"/>
          <w:lang w:val="en-US" w:eastAsia="zh-CN"/>
        </w:rPr>
        <w:t>支出。</w:t>
      </w:r>
      <w:r w:rsidRPr="00EB0C9E">
        <w:rPr>
          <w:rFonts w:cs="Calibri" w:hint="eastAsia"/>
          <w:lang w:val="en-US" w:eastAsia="zh-CN"/>
        </w:rPr>
        <w:t>核心</w:t>
      </w:r>
      <w:r>
        <w:rPr>
          <w:rFonts w:cs="Calibri" w:hint="eastAsia"/>
          <w:lang w:val="en-US" w:eastAsia="zh-CN"/>
        </w:rPr>
        <w:t>支出</w:t>
      </w:r>
      <w:r w:rsidRPr="00EB0C9E">
        <w:rPr>
          <w:rFonts w:cs="Calibri" w:hint="eastAsia"/>
          <w:lang w:val="en-US" w:eastAsia="zh-CN"/>
        </w:rPr>
        <w:t>包含国际电联的成本回收</w:t>
      </w:r>
      <w:r>
        <w:rPr>
          <w:rFonts w:cs="Calibri" w:hint="eastAsia"/>
          <w:lang w:val="en-US" w:eastAsia="zh-CN"/>
        </w:rPr>
        <w:t>，</w:t>
      </w:r>
      <w:r w:rsidRPr="00EB0C9E">
        <w:rPr>
          <w:rFonts w:cs="Calibri" w:hint="eastAsia"/>
          <w:lang w:val="en-US" w:eastAsia="zh-CN"/>
        </w:rPr>
        <w:t>以及工作人员提供展会服务</w:t>
      </w:r>
      <w:r>
        <w:rPr>
          <w:rFonts w:cs="Calibri" w:hint="eastAsia"/>
          <w:lang w:val="en-US" w:eastAsia="zh-CN"/>
        </w:rPr>
        <w:t>期间，</w:t>
      </w:r>
      <w:r w:rsidRPr="00EB0C9E">
        <w:rPr>
          <w:rFonts w:cs="Calibri" w:hint="eastAsia"/>
          <w:lang w:val="en-US" w:eastAsia="zh-CN"/>
        </w:rPr>
        <w:t>国际电联电信展览部秘书处的成本。</w:t>
      </w:r>
      <w:r w:rsidRPr="007605EB">
        <w:rPr>
          <w:rFonts w:cs="Calibri" w:hint="eastAsia"/>
          <w:lang w:val="en-US" w:eastAsia="zh-CN"/>
        </w:rPr>
        <w:t>由于</w:t>
      </w:r>
      <w:r w:rsidRPr="007605EB">
        <w:rPr>
          <w:rFonts w:cs="Calibri" w:hint="eastAsia"/>
          <w:lang w:val="en-US" w:eastAsia="zh-CN"/>
        </w:rPr>
        <w:t>2021</w:t>
      </w:r>
      <w:r w:rsidRPr="007605EB">
        <w:rPr>
          <w:rFonts w:cs="Calibri" w:hint="eastAsia"/>
          <w:lang w:val="en-US" w:eastAsia="zh-CN"/>
        </w:rPr>
        <w:t>年没有像</w:t>
      </w:r>
      <w:r w:rsidRPr="007605EB">
        <w:rPr>
          <w:rFonts w:cs="Calibri" w:hint="eastAsia"/>
          <w:lang w:val="en-US" w:eastAsia="zh-CN"/>
        </w:rPr>
        <w:t>2020</w:t>
      </w:r>
      <w:r w:rsidRPr="007605EB">
        <w:rPr>
          <w:rFonts w:cs="Calibri" w:hint="eastAsia"/>
          <w:lang w:val="en-US" w:eastAsia="zh-CN"/>
        </w:rPr>
        <w:t>年那样举办实体</w:t>
      </w:r>
      <w:r>
        <w:rPr>
          <w:rFonts w:cs="Calibri" w:hint="eastAsia"/>
          <w:lang w:val="en-US" w:eastAsia="zh-CN"/>
        </w:rPr>
        <w:t>会议</w:t>
      </w:r>
      <w:r w:rsidRPr="007605EB">
        <w:rPr>
          <w:rFonts w:cs="Calibri" w:hint="eastAsia"/>
          <w:lang w:val="en-US" w:eastAsia="zh-CN"/>
        </w:rPr>
        <w:t>活动，秘书长决定不向国际电联</w:t>
      </w:r>
      <w:r w:rsidRPr="007605EB">
        <w:rPr>
          <w:rFonts w:cs="Calibri" w:hint="eastAsia"/>
          <w:lang w:val="en-US" w:eastAsia="zh-CN"/>
        </w:rPr>
        <w:t>2021</w:t>
      </w:r>
      <w:r w:rsidRPr="007605EB">
        <w:rPr>
          <w:rFonts w:cs="Calibri" w:hint="eastAsia"/>
          <w:lang w:val="en-US" w:eastAsia="zh-CN"/>
        </w:rPr>
        <w:t>年数字世界展活动收取</w:t>
      </w:r>
      <w:r w:rsidRPr="007605EB">
        <w:rPr>
          <w:rFonts w:cs="Calibri" w:hint="eastAsia"/>
          <w:lang w:val="en-US" w:eastAsia="zh-CN"/>
        </w:rPr>
        <w:t>150</w:t>
      </w:r>
      <w:r w:rsidRPr="007605EB">
        <w:rPr>
          <w:rFonts w:cs="Calibri" w:hint="eastAsia"/>
          <w:lang w:val="en-US" w:eastAsia="zh-CN"/>
        </w:rPr>
        <w:t>万瑞郎的成本回收</w:t>
      </w:r>
      <w:r>
        <w:rPr>
          <w:rFonts w:cs="Calibri" w:hint="eastAsia"/>
          <w:lang w:val="en-US" w:eastAsia="zh-CN"/>
        </w:rPr>
        <w:t>费</w:t>
      </w:r>
      <w:r w:rsidRPr="007605EB">
        <w:rPr>
          <w:rFonts w:cs="Calibri" w:hint="eastAsia"/>
          <w:lang w:val="en-US" w:eastAsia="zh-CN"/>
        </w:rPr>
        <w:t>。</w:t>
      </w:r>
      <w:r w:rsidRPr="004128E7">
        <w:rPr>
          <w:rFonts w:cs="Calibri" w:hint="eastAsia"/>
          <w:lang w:val="en-US" w:eastAsia="zh-CN"/>
        </w:rPr>
        <w:t>国际电联电信展览部秘书处</w:t>
      </w:r>
      <w:r w:rsidRPr="007605EB">
        <w:rPr>
          <w:rFonts w:cs="Calibri" w:hint="eastAsia"/>
          <w:lang w:val="en-US" w:eastAsia="zh-CN"/>
        </w:rPr>
        <w:t>的实际费用</w:t>
      </w:r>
      <w:r>
        <w:rPr>
          <w:rFonts w:cs="Calibri" w:hint="eastAsia"/>
          <w:lang w:val="en-US" w:eastAsia="zh-CN"/>
        </w:rPr>
        <w:t>仅为</w:t>
      </w:r>
      <w:r w:rsidRPr="007605EB">
        <w:rPr>
          <w:rFonts w:cs="Calibri" w:hint="eastAsia"/>
          <w:lang w:val="en-US" w:eastAsia="zh-CN"/>
        </w:rPr>
        <w:t>预算的</w:t>
      </w:r>
      <w:r w:rsidRPr="007605EB">
        <w:rPr>
          <w:rFonts w:cs="Calibri" w:hint="eastAsia"/>
          <w:lang w:val="en-US" w:eastAsia="zh-CN"/>
        </w:rPr>
        <w:t>75%</w:t>
      </w:r>
      <w:r>
        <w:rPr>
          <w:rFonts w:cs="Calibri" w:hint="eastAsia"/>
          <w:lang w:val="en-US" w:eastAsia="zh-CN"/>
        </w:rPr>
        <w:t>，</w:t>
      </w:r>
      <w:r w:rsidRPr="007605EB">
        <w:rPr>
          <w:rFonts w:cs="Calibri" w:hint="eastAsia"/>
          <w:lang w:val="en-US" w:eastAsia="zh-CN"/>
        </w:rPr>
        <w:t>因为</w:t>
      </w:r>
      <w:r>
        <w:rPr>
          <w:rFonts w:cs="Calibri" w:hint="eastAsia"/>
          <w:lang w:val="en-US" w:eastAsia="zh-CN"/>
        </w:rPr>
        <w:t>部分</w:t>
      </w:r>
      <w:r w:rsidRPr="007605EB">
        <w:rPr>
          <w:rFonts w:cs="Calibri" w:hint="eastAsia"/>
          <w:lang w:val="en-US" w:eastAsia="zh-CN"/>
        </w:rPr>
        <w:t>员额</w:t>
      </w:r>
      <w:r>
        <w:rPr>
          <w:rFonts w:cs="Calibri" w:hint="eastAsia"/>
          <w:lang w:val="en-US" w:eastAsia="zh-CN"/>
        </w:rPr>
        <w:t>保持</w:t>
      </w:r>
      <w:r w:rsidRPr="007605EB">
        <w:rPr>
          <w:rFonts w:cs="Calibri" w:hint="eastAsia"/>
          <w:lang w:val="en-US" w:eastAsia="zh-CN"/>
        </w:rPr>
        <w:t>空缺，而</w:t>
      </w:r>
      <w:r w:rsidRPr="004128E7">
        <w:rPr>
          <w:rFonts w:cs="Calibri" w:hint="eastAsia"/>
          <w:lang w:val="en-US" w:eastAsia="zh-CN"/>
        </w:rPr>
        <w:t>国际电联电信展览部</w:t>
      </w:r>
      <w:r w:rsidRPr="007605EB">
        <w:rPr>
          <w:rFonts w:cs="Calibri" w:hint="eastAsia"/>
          <w:lang w:val="en-US" w:eastAsia="zh-CN"/>
        </w:rPr>
        <w:t>其他</w:t>
      </w:r>
      <w:r>
        <w:rPr>
          <w:rFonts w:cs="Calibri" w:hint="eastAsia"/>
          <w:lang w:val="en-US" w:eastAsia="zh-CN"/>
        </w:rPr>
        <w:t>职</w:t>
      </w:r>
      <w:r w:rsidRPr="007605EB">
        <w:rPr>
          <w:rFonts w:cs="Calibri" w:hint="eastAsia"/>
          <w:lang w:val="en-US" w:eastAsia="zh-CN"/>
        </w:rPr>
        <w:t>员则被</w:t>
      </w:r>
      <w:r>
        <w:rPr>
          <w:rFonts w:cs="Calibri" w:hint="eastAsia"/>
          <w:lang w:val="en-US" w:eastAsia="zh-CN"/>
        </w:rPr>
        <w:t>派往</w:t>
      </w:r>
      <w:r w:rsidRPr="007605EB">
        <w:rPr>
          <w:rFonts w:cs="Calibri" w:hint="eastAsia"/>
          <w:lang w:val="en-US" w:eastAsia="zh-CN"/>
        </w:rPr>
        <w:t>或调到国际电联的其他部门。</w:t>
      </w:r>
    </w:p>
    <w:p w14:paraId="6D8EA2D8" w14:textId="77777777" w:rsidR="00B56A7B" w:rsidRPr="000C156A" w:rsidRDefault="00B56A7B" w:rsidP="00B56A7B">
      <w:pPr>
        <w:tabs>
          <w:tab w:val="left" w:pos="709"/>
        </w:tabs>
        <w:snapToGrid w:val="0"/>
        <w:rPr>
          <w:bCs/>
          <w:szCs w:val="24"/>
          <w:lang w:eastAsia="zh-CN"/>
        </w:rPr>
      </w:pPr>
      <w:r>
        <w:rPr>
          <w:rFonts w:hint="eastAsia"/>
          <w:lang w:val="en-US" w:eastAsia="zh-CN"/>
        </w:rPr>
        <w:t>89</w:t>
      </w:r>
      <w:r w:rsidRPr="000C156A">
        <w:rPr>
          <w:lang w:val="en-US" w:eastAsia="zh-CN"/>
        </w:rPr>
        <w:tab/>
      </w:r>
      <w:r>
        <w:rPr>
          <w:rFonts w:hint="eastAsia"/>
          <w:lang w:eastAsia="zh-CN"/>
        </w:rPr>
        <w:t>鉴于</w:t>
      </w:r>
      <w:r w:rsidRPr="000C156A">
        <w:rPr>
          <w:rFonts w:hint="eastAsia"/>
          <w:bCs/>
          <w:szCs w:val="24"/>
          <w:lang w:eastAsia="zh-CN"/>
        </w:rPr>
        <w:t>国际电联电信展览部工作人员</w:t>
      </w:r>
      <w:r>
        <w:rPr>
          <w:rFonts w:hint="eastAsia"/>
          <w:bCs/>
          <w:szCs w:val="24"/>
          <w:lang w:eastAsia="zh-CN"/>
        </w:rPr>
        <w:t>薪金形成</w:t>
      </w:r>
      <w:r w:rsidRPr="000C156A">
        <w:rPr>
          <w:rFonts w:hint="eastAsia"/>
          <w:bCs/>
          <w:szCs w:val="24"/>
          <w:lang w:eastAsia="zh-CN"/>
        </w:rPr>
        <w:t>的</w:t>
      </w:r>
      <w:r>
        <w:rPr>
          <w:rFonts w:hint="eastAsia"/>
          <w:bCs/>
          <w:szCs w:val="24"/>
          <w:lang w:eastAsia="zh-CN"/>
        </w:rPr>
        <w:t>部分</w:t>
      </w:r>
      <w:r w:rsidRPr="000C156A">
        <w:rPr>
          <w:rFonts w:hint="eastAsia"/>
          <w:bCs/>
          <w:szCs w:val="24"/>
          <w:lang w:eastAsia="zh-CN"/>
        </w:rPr>
        <w:t>直接和间接</w:t>
      </w:r>
      <w:r>
        <w:rPr>
          <w:rFonts w:hint="eastAsia"/>
          <w:bCs/>
          <w:szCs w:val="24"/>
          <w:lang w:eastAsia="zh-CN"/>
        </w:rPr>
        <w:t>支出，</w:t>
      </w:r>
      <w:r>
        <w:rPr>
          <w:rFonts w:hint="eastAsia"/>
          <w:lang w:eastAsia="zh-CN"/>
        </w:rPr>
        <w:t>尽管</w:t>
      </w:r>
      <w:r w:rsidRPr="00691CF7">
        <w:rPr>
          <w:rFonts w:hint="eastAsia"/>
          <w:lang w:eastAsia="zh-CN"/>
        </w:rPr>
        <w:t>活动采用虚拟形式，</w:t>
      </w:r>
      <w:r w:rsidRPr="000C156A">
        <w:rPr>
          <w:rFonts w:hint="eastAsia"/>
          <w:bCs/>
          <w:szCs w:val="24"/>
          <w:lang w:eastAsia="zh-CN"/>
        </w:rPr>
        <w:t>国际电联</w:t>
      </w:r>
      <w:r>
        <w:rPr>
          <w:rFonts w:hint="eastAsia"/>
          <w:bCs/>
          <w:szCs w:val="24"/>
          <w:lang w:eastAsia="zh-CN"/>
        </w:rPr>
        <w:t>仍</w:t>
      </w:r>
      <w:r w:rsidRPr="000C156A">
        <w:rPr>
          <w:rFonts w:hint="eastAsia"/>
          <w:bCs/>
          <w:szCs w:val="24"/>
          <w:lang w:eastAsia="zh-CN"/>
        </w:rPr>
        <w:t>无法大量</w:t>
      </w:r>
      <w:r>
        <w:rPr>
          <w:rFonts w:hint="eastAsia"/>
          <w:bCs/>
          <w:szCs w:val="24"/>
          <w:lang w:eastAsia="zh-CN"/>
        </w:rPr>
        <w:t>创收。</w:t>
      </w:r>
      <w:r w:rsidRPr="000C156A">
        <w:rPr>
          <w:rFonts w:hint="eastAsia"/>
          <w:bCs/>
          <w:szCs w:val="24"/>
          <w:lang w:eastAsia="zh-CN"/>
        </w:rPr>
        <w:t>截至</w:t>
      </w:r>
      <w:r w:rsidRPr="000C156A">
        <w:rPr>
          <w:rFonts w:hint="eastAsia"/>
          <w:bCs/>
          <w:szCs w:val="24"/>
          <w:lang w:eastAsia="zh-CN"/>
        </w:rPr>
        <w:t>202</w:t>
      </w:r>
      <w:r>
        <w:rPr>
          <w:bCs/>
          <w:szCs w:val="24"/>
          <w:lang w:eastAsia="zh-CN"/>
        </w:rPr>
        <w:t>1</w:t>
      </w:r>
      <w:r w:rsidRPr="000C156A">
        <w:rPr>
          <w:rFonts w:hint="eastAsia"/>
          <w:bCs/>
          <w:szCs w:val="24"/>
          <w:lang w:eastAsia="zh-CN"/>
        </w:rPr>
        <w:t>年</w:t>
      </w:r>
      <w:r w:rsidRPr="000C156A">
        <w:rPr>
          <w:rFonts w:hint="eastAsia"/>
          <w:bCs/>
          <w:szCs w:val="24"/>
          <w:lang w:eastAsia="zh-CN"/>
        </w:rPr>
        <w:t>12</w:t>
      </w:r>
      <w:r w:rsidRPr="000C156A">
        <w:rPr>
          <w:rFonts w:hint="eastAsia"/>
          <w:bCs/>
          <w:szCs w:val="24"/>
          <w:lang w:eastAsia="zh-CN"/>
        </w:rPr>
        <w:t>月</w:t>
      </w:r>
      <w:r w:rsidRPr="000C156A">
        <w:rPr>
          <w:rFonts w:hint="eastAsia"/>
          <w:bCs/>
          <w:szCs w:val="24"/>
          <w:lang w:eastAsia="zh-CN"/>
        </w:rPr>
        <w:t>31</w:t>
      </w:r>
      <w:r w:rsidRPr="000C156A">
        <w:rPr>
          <w:rFonts w:hint="eastAsia"/>
          <w:bCs/>
          <w:szCs w:val="24"/>
          <w:lang w:eastAsia="zh-CN"/>
        </w:rPr>
        <w:t>日，</w:t>
      </w:r>
      <w:r w:rsidRPr="005E4DB8">
        <w:rPr>
          <w:rFonts w:hint="eastAsia"/>
          <w:bCs/>
          <w:szCs w:val="24"/>
          <w:lang w:eastAsia="zh-CN"/>
        </w:rPr>
        <w:t>国际电联</w:t>
      </w:r>
      <w:r w:rsidRPr="005E4DB8">
        <w:rPr>
          <w:rFonts w:hint="eastAsia"/>
          <w:bCs/>
          <w:szCs w:val="24"/>
          <w:lang w:eastAsia="zh-CN"/>
        </w:rPr>
        <w:t>2021</w:t>
      </w:r>
      <w:r w:rsidRPr="005E4DB8">
        <w:rPr>
          <w:rFonts w:hint="eastAsia"/>
          <w:bCs/>
          <w:szCs w:val="24"/>
          <w:lang w:eastAsia="zh-CN"/>
        </w:rPr>
        <w:t>年数字世界展活动</w:t>
      </w:r>
      <w:r w:rsidRPr="000C156A">
        <w:rPr>
          <w:rFonts w:hint="eastAsia"/>
          <w:bCs/>
          <w:szCs w:val="24"/>
          <w:lang w:eastAsia="zh-CN"/>
        </w:rPr>
        <w:t>的净</w:t>
      </w:r>
      <w:r>
        <w:rPr>
          <w:rFonts w:hint="eastAsia"/>
          <w:bCs/>
          <w:szCs w:val="24"/>
          <w:lang w:eastAsia="zh-CN"/>
        </w:rPr>
        <w:t>收益</w:t>
      </w:r>
      <w:r w:rsidRPr="000C156A">
        <w:rPr>
          <w:rFonts w:hint="eastAsia"/>
          <w:bCs/>
          <w:szCs w:val="24"/>
          <w:lang w:eastAsia="zh-CN"/>
        </w:rPr>
        <w:t>为</w:t>
      </w:r>
      <w:r w:rsidRPr="006B56CE">
        <w:rPr>
          <w:bCs/>
          <w:szCs w:val="24"/>
          <w:lang w:eastAsia="zh-CN"/>
        </w:rPr>
        <w:t>2,004,605.36</w:t>
      </w:r>
      <w:r w:rsidRPr="000C156A">
        <w:rPr>
          <w:rFonts w:hint="eastAsia"/>
          <w:bCs/>
          <w:szCs w:val="24"/>
          <w:lang w:eastAsia="zh-CN"/>
        </w:rPr>
        <w:t>瑞郎。</w:t>
      </w:r>
    </w:p>
    <w:p w14:paraId="140A31C8" w14:textId="77777777" w:rsidR="00B56A7B" w:rsidRPr="000C156A" w:rsidRDefault="00B56A7B" w:rsidP="00B56A7B">
      <w:pPr>
        <w:pStyle w:val="Heading1"/>
        <w:rPr>
          <w:bCs/>
          <w:lang w:eastAsia="zh-CN"/>
        </w:rPr>
      </w:pPr>
      <w:bookmarkStart w:id="1369" w:name="_Toc41905912"/>
      <w:bookmarkStart w:id="1370" w:name="_Toc41908082"/>
      <w:bookmarkStart w:id="1371" w:name="_Toc73636337"/>
      <w:bookmarkStart w:id="1372" w:name="_Toc110265758"/>
      <w:bookmarkStart w:id="1373" w:name="_Toc110330293"/>
      <w:bookmarkStart w:id="1374" w:name="_Toc482894269"/>
      <w:bookmarkStart w:id="1375" w:name="_Toc358364835"/>
      <w:bookmarkStart w:id="1376" w:name="_Toc511116022"/>
      <w:r w:rsidRPr="000C156A">
        <w:rPr>
          <w:rFonts w:hint="eastAsia"/>
          <w:lang w:eastAsia="zh-CN"/>
        </w:rPr>
        <w:t>九</w:t>
      </w:r>
      <w:r w:rsidRPr="000C156A">
        <w:rPr>
          <w:lang w:eastAsia="zh-CN"/>
        </w:rPr>
        <w:tab/>
      </w:r>
      <w:r w:rsidRPr="000C156A">
        <w:rPr>
          <w:rFonts w:hint="eastAsia"/>
          <w:lang w:eastAsia="zh-CN"/>
        </w:rPr>
        <w:t>财务披露</w:t>
      </w:r>
      <w:bookmarkEnd w:id="1369"/>
      <w:bookmarkEnd w:id="1370"/>
      <w:bookmarkEnd w:id="1371"/>
      <w:bookmarkEnd w:id="1372"/>
      <w:bookmarkEnd w:id="1373"/>
    </w:p>
    <w:p w14:paraId="66247C21" w14:textId="77777777" w:rsidR="00B56A7B" w:rsidRPr="00C56498" w:rsidRDefault="00B56A7B" w:rsidP="00B56A7B">
      <w:pPr>
        <w:tabs>
          <w:tab w:val="left" w:pos="709"/>
        </w:tabs>
        <w:snapToGrid w:val="0"/>
        <w:jc w:val="both"/>
        <w:rPr>
          <w:rFonts w:eastAsia="Times New Roman"/>
          <w:lang w:eastAsia="zh-CN"/>
        </w:rPr>
      </w:pPr>
      <w:r w:rsidRPr="00C56498">
        <w:rPr>
          <w:rFonts w:hint="eastAsia"/>
          <w:lang w:val="en-US" w:eastAsia="zh-CN"/>
        </w:rPr>
        <w:t>90</w:t>
      </w:r>
      <w:r w:rsidRPr="00C56498">
        <w:rPr>
          <w:lang w:val="en-US" w:eastAsia="zh-CN"/>
        </w:rPr>
        <w:tab/>
      </w:r>
      <w:r w:rsidRPr="00A50F12">
        <w:rPr>
          <w:rFonts w:hint="eastAsia"/>
          <w:lang w:val="en-US" w:eastAsia="zh-CN"/>
        </w:rPr>
        <w:t>2021</w:t>
      </w:r>
      <w:r w:rsidRPr="00A50F12">
        <w:rPr>
          <w:rFonts w:hint="eastAsia"/>
          <w:lang w:val="en-US" w:eastAsia="zh-CN"/>
        </w:rPr>
        <w:t>年</w:t>
      </w:r>
      <w:r>
        <w:rPr>
          <w:rFonts w:hint="eastAsia"/>
          <w:lang w:val="en-US" w:eastAsia="zh-CN"/>
        </w:rPr>
        <w:t>全年至</w:t>
      </w:r>
      <w:r w:rsidRPr="00A50F12">
        <w:rPr>
          <w:rFonts w:hint="eastAsia"/>
          <w:lang w:val="en-US" w:eastAsia="zh-CN"/>
        </w:rPr>
        <w:t>2022</w:t>
      </w:r>
      <w:r w:rsidRPr="00A50F12">
        <w:rPr>
          <w:rFonts w:hint="eastAsia"/>
          <w:lang w:val="en-US" w:eastAsia="zh-CN"/>
        </w:rPr>
        <w:t>年初，国际电联开展了一项量化</w:t>
      </w:r>
      <w:r>
        <w:rPr>
          <w:rFonts w:hint="eastAsia"/>
          <w:lang w:val="en-US" w:eastAsia="zh-CN"/>
        </w:rPr>
        <w:t>工作</w:t>
      </w:r>
      <w:r w:rsidRPr="00A50F12">
        <w:rPr>
          <w:rFonts w:hint="eastAsia"/>
          <w:lang w:val="en-US" w:eastAsia="zh-CN"/>
        </w:rPr>
        <w:t>，以更好地量化</w:t>
      </w:r>
      <w:r>
        <w:rPr>
          <w:rFonts w:hint="eastAsia"/>
          <w:lang w:val="en-US" w:eastAsia="zh-CN"/>
        </w:rPr>
        <w:t>发生在</w:t>
      </w:r>
      <w:r w:rsidRPr="00A50F12">
        <w:rPr>
          <w:rFonts w:hint="eastAsia"/>
          <w:lang w:val="en-US" w:eastAsia="zh-CN"/>
        </w:rPr>
        <w:t>国际电联亚太区域</w:t>
      </w:r>
      <w:r>
        <w:rPr>
          <w:rFonts w:hint="eastAsia"/>
          <w:lang w:val="en-US" w:eastAsia="zh-CN"/>
        </w:rPr>
        <w:t>代表</w:t>
      </w:r>
      <w:r w:rsidRPr="00A50F12">
        <w:rPr>
          <w:rFonts w:hint="eastAsia"/>
          <w:lang w:val="en-US" w:eastAsia="zh-CN"/>
        </w:rPr>
        <w:t>处的欺诈</w:t>
      </w:r>
      <w:r>
        <w:rPr>
          <w:rFonts w:hint="eastAsia"/>
          <w:lang w:val="en-US" w:eastAsia="zh-CN"/>
        </w:rPr>
        <w:t>案件</w:t>
      </w:r>
      <w:r w:rsidRPr="00A50F12">
        <w:rPr>
          <w:rFonts w:hint="eastAsia"/>
          <w:lang w:val="en-US" w:eastAsia="zh-CN"/>
        </w:rPr>
        <w:t>。</w:t>
      </w:r>
    </w:p>
    <w:p w14:paraId="20BAD9DA" w14:textId="77777777" w:rsidR="00B56A7B" w:rsidRPr="00C56498" w:rsidRDefault="00B56A7B" w:rsidP="00B56A7B">
      <w:pPr>
        <w:tabs>
          <w:tab w:val="left" w:pos="709"/>
        </w:tabs>
        <w:snapToGrid w:val="0"/>
        <w:jc w:val="both"/>
        <w:rPr>
          <w:rFonts w:eastAsia="Times New Roman"/>
          <w:lang w:eastAsia="zh-CN"/>
        </w:rPr>
      </w:pPr>
      <w:r w:rsidRPr="00C56498">
        <w:rPr>
          <w:rFonts w:hint="eastAsia"/>
          <w:lang w:val="en-US" w:eastAsia="zh-CN"/>
        </w:rPr>
        <w:t>9</w:t>
      </w:r>
      <w:r>
        <w:rPr>
          <w:rFonts w:hint="eastAsia"/>
          <w:lang w:val="en-US" w:eastAsia="zh-CN"/>
        </w:rPr>
        <w:t>1</w:t>
      </w:r>
      <w:r w:rsidRPr="00C56498">
        <w:rPr>
          <w:lang w:val="en-US" w:eastAsia="zh-CN"/>
        </w:rPr>
        <w:tab/>
      </w:r>
      <w:r w:rsidRPr="00A50F12">
        <w:rPr>
          <w:rFonts w:hint="eastAsia"/>
          <w:lang w:val="en-US" w:eastAsia="zh-CN"/>
        </w:rPr>
        <w:t>与欺诈</w:t>
      </w:r>
      <w:r>
        <w:rPr>
          <w:rFonts w:hint="eastAsia"/>
          <w:lang w:val="en-US" w:eastAsia="zh-CN"/>
        </w:rPr>
        <w:t>相</w:t>
      </w:r>
      <w:r w:rsidRPr="00A50F12">
        <w:rPr>
          <w:rFonts w:hint="eastAsia"/>
          <w:lang w:val="en-US" w:eastAsia="zh-CN"/>
        </w:rPr>
        <w:t>关的潜在损失被谨慎地量化为</w:t>
      </w:r>
      <w:r w:rsidRPr="00A50F12">
        <w:rPr>
          <w:rFonts w:hint="eastAsia"/>
          <w:lang w:val="en-US" w:eastAsia="zh-CN"/>
        </w:rPr>
        <w:t>420</w:t>
      </w:r>
      <w:r w:rsidRPr="00A50F12">
        <w:rPr>
          <w:rFonts w:hint="eastAsia"/>
          <w:lang w:val="en-US" w:eastAsia="zh-CN"/>
        </w:rPr>
        <w:t>万瑞郎</w:t>
      </w:r>
      <w:r>
        <w:rPr>
          <w:rFonts w:hint="eastAsia"/>
          <w:lang w:val="en-US" w:eastAsia="zh-CN"/>
        </w:rPr>
        <w:t>（全域估算总额达</w:t>
      </w:r>
      <w:r w:rsidRPr="00A50F12">
        <w:rPr>
          <w:rFonts w:hint="eastAsia"/>
          <w:lang w:val="en-US" w:eastAsia="zh-CN"/>
        </w:rPr>
        <w:t>570</w:t>
      </w:r>
      <w:r w:rsidRPr="00A50F12">
        <w:rPr>
          <w:rFonts w:hint="eastAsia"/>
          <w:lang w:val="en-US" w:eastAsia="zh-CN"/>
        </w:rPr>
        <w:t>万瑞郎</w:t>
      </w:r>
      <w:r>
        <w:rPr>
          <w:rFonts w:hint="eastAsia"/>
          <w:lang w:val="en-US" w:eastAsia="zh-CN"/>
        </w:rPr>
        <w:t>）</w:t>
      </w:r>
      <w:r w:rsidRPr="00A50F12">
        <w:rPr>
          <w:rFonts w:hint="eastAsia"/>
          <w:lang w:val="en-US" w:eastAsia="zh-CN"/>
        </w:rPr>
        <w:t>，由于国际电联调查</w:t>
      </w:r>
      <w:r w:rsidRPr="00A50F12">
        <w:rPr>
          <w:rFonts w:hint="eastAsia"/>
          <w:lang w:val="en-US" w:eastAsia="zh-CN"/>
        </w:rPr>
        <w:t>/</w:t>
      </w:r>
      <w:r w:rsidRPr="00A50F12">
        <w:rPr>
          <w:rFonts w:hint="eastAsia"/>
          <w:lang w:val="en-US" w:eastAsia="zh-CN"/>
        </w:rPr>
        <w:t>量化范围的限制，这是国际电联</w:t>
      </w:r>
      <w:r>
        <w:rPr>
          <w:rFonts w:hint="eastAsia"/>
          <w:lang w:val="en-US" w:eastAsia="zh-CN"/>
        </w:rPr>
        <w:t>所能估算</w:t>
      </w:r>
      <w:r w:rsidRPr="00A50F12">
        <w:rPr>
          <w:rFonts w:hint="eastAsia"/>
          <w:lang w:val="en-US" w:eastAsia="zh-CN"/>
        </w:rPr>
        <w:t>的数额。只有在所有可能的法律行动结束后，才</w:t>
      </w:r>
      <w:r>
        <w:rPr>
          <w:rFonts w:hint="eastAsia"/>
          <w:lang w:val="en-US" w:eastAsia="zh-CN"/>
        </w:rPr>
        <w:t>可</w:t>
      </w:r>
      <w:r w:rsidRPr="00A50F12">
        <w:rPr>
          <w:rFonts w:hint="eastAsia"/>
          <w:lang w:val="en-US" w:eastAsia="zh-CN"/>
        </w:rPr>
        <w:t>能</w:t>
      </w:r>
      <w:r>
        <w:rPr>
          <w:rFonts w:hint="eastAsia"/>
          <w:lang w:val="en-US" w:eastAsia="zh-CN"/>
        </w:rPr>
        <w:t>通过</w:t>
      </w:r>
      <w:r w:rsidRPr="00A50F12">
        <w:rPr>
          <w:rFonts w:hint="eastAsia"/>
          <w:lang w:val="en-US" w:eastAsia="zh-CN"/>
        </w:rPr>
        <w:t>更可靠的估</w:t>
      </w:r>
      <w:r>
        <w:rPr>
          <w:rFonts w:hint="eastAsia"/>
          <w:lang w:val="en-US" w:eastAsia="zh-CN"/>
        </w:rPr>
        <w:t>算</w:t>
      </w:r>
      <w:r w:rsidRPr="00A50F12">
        <w:rPr>
          <w:rFonts w:hint="eastAsia"/>
          <w:lang w:val="en-US" w:eastAsia="zh-CN"/>
        </w:rPr>
        <w:t>确定这</w:t>
      </w:r>
      <w:r>
        <w:rPr>
          <w:rFonts w:hint="eastAsia"/>
          <w:lang w:val="en-US" w:eastAsia="zh-CN"/>
        </w:rPr>
        <w:t>一</w:t>
      </w:r>
      <w:r w:rsidRPr="00A50F12">
        <w:rPr>
          <w:rFonts w:hint="eastAsia"/>
          <w:lang w:val="en-US" w:eastAsia="zh-CN"/>
        </w:rPr>
        <w:t>数额。</w:t>
      </w:r>
    </w:p>
    <w:p w14:paraId="3B444E32" w14:textId="77777777" w:rsidR="00B56A7B" w:rsidRPr="00C56498" w:rsidRDefault="00B56A7B" w:rsidP="00B56A7B">
      <w:pPr>
        <w:tabs>
          <w:tab w:val="left" w:pos="709"/>
        </w:tabs>
        <w:snapToGrid w:val="0"/>
        <w:jc w:val="both"/>
        <w:rPr>
          <w:rFonts w:eastAsia="Times New Roman"/>
          <w:lang w:eastAsia="zh-CN"/>
        </w:rPr>
      </w:pPr>
      <w:r w:rsidRPr="00C56498">
        <w:rPr>
          <w:rFonts w:hint="eastAsia"/>
          <w:lang w:val="en-US" w:eastAsia="zh-CN"/>
        </w:rPr>
        <w:t>9</w:t>
      </w:r>
      <w:r>
        <w:rPr>
          <w:rFonts w:hint="eastAsia"/>
          <w:lang w:val="en-US" w:eastAsia="zh-CN"/>
        </w:rPr>
        <w:t>2</w:t>
      </w:r>
      <w:r w:rsidRPr="00C56498">
        <w:rPr>
          <w:lang w:val="en-US" w:eastAsia="zh-CN"/>
        </w:rPr>
        <w:tab/>
      </w:r>
      <w:r>
        <w:rPr>
          <w:rFonts w:hint="eastAsia"/>
          <w:lang w:val="en-US" w:eastAsia="zh-CN"/>
        </w:rPr>
        <w:t>因为这一</w:t>
      </w:r>
      <w:r w:rsidRPr="00D159D7">
        <w:rPr>
          <w:rFonts w:hint="eastAsia"/>
          <w:lang w:val="en-US" w:eastAsia="zh-CN"/>
        </w:rPr>
        <w:t>量化</w:t>
      </w:r>
      <w:r>
        <w:rPr>
          <w:rFonts w:hint="eastAsia"/>
          <w:lang w:val="en-US" w:eastAsia="zh-CN"/>
        </w:rPr>
        <w:t>结果</w:t>
      </w:r>
      <w:r w:rsidRPr="00D159D7">
        <w:rPr>
          <w:rFonts w:hint="eastAsia"/>
          <w:lang w:val="en-US" w:eastAsia="zh-CN"/>
        </w:rPr>
        <w:t>，取消</w:t>
      </w:r>
      <w:r>
        <w:rPr>
          <w:rFonts w:hint="eastAsia"/>
          <w:lang w:val="en-US" w:eastAsia="zh-CN"/>
        </w:rPr>
        <w:t>了</w:t>
      </w:r>
      <w:r w:rsidRPr="00D159D7">
        <w:rPr>
          <w:rFonts w:hint="eastAsia"/>
          <w:lang w:val="en-US" w:eastAsia="zh-CN"/>
        </w:rPr>
        <w:t>自</w:t>
      </w:r>
      <w:r w:rsidRPr="00D159D7">
        <w:rPr>
          <w:rFonts w:hint="eastAsia"/>
          <w:lang w:val="en-US" w:eastAsia="zh-CN"/>
        </w:rPr>
        <w:t>2018</w:t>
      </w:r>
      <w:r w:rsidRPr="00D159D7">
        <w:rPr>
          <w:rFonts w:hint="eastAsia"/>
          <w:lang w:val="en-US" w:eastAsia="zh-CN"/>
        </w:rPr>
        <w:t>年以来记录的准备金</w:t>
      </w:r>
      <w:r>
        <w:rPr>
          <w:rFonts w:hint="eastAsia"/>
          <w:lang w:val="en-US" w:eastAsia="zh-CN"/>
        </w:rPr>
        <w:t>，并根据</w:t>
      </w:r>
      <w:r w:rsidRPr="00360440">
        <w:rPr>
          <w:rFonts w:hint="eastAsia"/>
          <w:lang w:val="en-US" w:eastAsia="zh-CN"/>
        </w:rPr>
        <w:t>国际公共部门会计准则（</w:t>
      </w:r>
      <w:r w:rsidRPr="00360440">
        <w:rPr>
          <w:rFonts w:hint="eastAsia"/>
          <w:lang w:val="en-US" w:eastAsia="zh-CN"/>
        </w:rPr>
        <w:t>IPSAS</w:t>
      </w:r>
      <w:r w:rsidRPr="00360440">
        <w:rPr>
          <w:rFonts w:hint="eastAsia"/>
          <w:lang w:val="en-US" w:eastAsia="zh-CN"/>
        </w:rPr>
        <w:t>）</w:t>
      </w:r>
      <w:r>
        <w:rPr>
          <w:rFonts w:hint="eastAsia"/>
          <w:lang w:val="en-US" w:eastAsia="zh-CN"/>
        </w:rPr>
        <w:t>1</w:t>
      </w:r>
      <w:r>
        <w:rPr>
          <w:lang w:val="en-US" w:eastAsia="zh-CN"/>
        </w:rPr>
        <w:t>9</w:t>
      </w:r>
      <w:r>
        <w:rPr>
          <w:rFonts w:hint="eastAsia"/>
          <w:lang w:val="en-US" w:eastAsia="zh-CN"/>
        </w:rPr>
        <w:t>做出了此项</w:t>
      </w:r>
      <w:r w:rsidRPr="00D159D7">
        <w:rPr>
          <w:rFonts w:hint="eastAsia"/>
          <w:lang w:val="en-US" w:eastAsia="zh-CN"/>
        </w:rPr>
        <w:t>财务披露</w:t>
      </w:r>
      <w:r>
        <w:rPr>
          <w:rFonts w:hint="eastAsia"/>
          <w:lang w:val="en-US" w:eastAsia="zh-CN"/>
        </w:rPr>
        <w:t>。</w:t>
      </w:r>
    </w:p>
    <w:p w14:paraId="4678B160" w14:textId="77777777" w:rsidR="00B56A7B" w:rsidRPr="000C156A" w:rsidRDefault="00B56A7B" w:rsidP="00B56A7B">
      <w:pPr>
        <w:pStyle w:val="Heading1"/>
        <w:rPr>
          <w:lang w:eastAsia="zh-CN"/>
        </w:rPr>
      </w:pPr>
      <w:bookmarkStart w:id="1377" w:name="_Toc41905913"/>
      <w:bookmarkStart w:id="1378" w:name="_Toc41908083"/>
      <w:bookmarkStart w:id="1379" w:name="_Toc73636338"/>
      <w:bookmarkStart w:id="1380" w:name="_Toc110265759"/>
      <w:bookmarkStart w:id="1381" w:name="_Toc110330294"/>
      <w:r w:rsidRPr="000C156A">
        <w:rPr>
          <w:rFonts w:hint="eastAsia"/>
          <w:lang w:eastAsia="zh-CN"/>
        </w:rPr>
        <w:lastRenderedPageBreak/>
        <w:t>十</w:t>
      </w:r>
      <w:r w:rsidRPr="000C156A">
        <w:rPr>
          <w:lang w:eastAsia="zh-CN"/>
        </w:rPr>
        <w:tab/>
      </w:r>
      <w:r w:rsidRPr="000C156A">
        <w:rPr>
          <w:rFonts w:hint="eastAsia"/>
          <w:lang w:eastAsia="zh-CN"/>
        </w:rPr>
        <w:t>国际电联账目的外部审计</w:t>
      </w:r>
      <w:bookmarkEnd w:id="1374"/>
      <w:bookmarkEnd w:id="1375"/>
      <w:bookmarkEnd w:id="1376"/>
      <w:bookmarkEnd w:id="1377"/>
      <w:bookmarkEnd w:id="1378"/>
      <w:bookmarkEnd w:id="1379"/>
      <w:bookmarkEnd w:id="1380"/>
      <w:bookmarkEnd w:id="1381"/>
    </w:p>
    <w:p w14:paraId="1F398838" w14:textId="77777777" w:rsidR="00B56A7B" w:rsidRPr="000C156A" w:rsidRDefault="00B56A7B" w:rsidP="00B56A7B">
      <w:pPr>
        <w:rPr>
          <w:lang w:eastAsia="zh-CN"/>
        </w:rPr>
      </w:pPr>
      <w:r>
        <w:rPr>
          <w:rFonts w:hint="eastAsia"/>
          <w:lang w:eastAsia="zh-CN"/>
        </w:rPr>
        <w:t>93</w:t>
      </w:r>
      <w:r w:rsidRPr="000C156A">
        <w:rPr>
          <w:lang w:eastAsia="zh-CN"/>
        </w:rPr>
        <w:tab/>
      </w:r>
      <w:r w:rsidRPr="000C156A">
        <w:rPr>
          <w:rFonts w:hint="eastAsia"/>
          <w:lang w:eastAsia="zh-CN"/>
        </w:rPr>
        <w:t>根据《财务规则》第</w:t>
      </w:r>
      <w:r w:rsidRPr="000C156A">
        <w:rPr>
          <w:lang w:eastAsia="zh-CN"/>
        </w:rPr>
        <w:t>28</w:t>
      </w:r>
      <w:r w:rsidRPr="000C156A">
        <w:rPr>
          <w:rFonts w:hint="eastAsia"/>
          <w:lang w:eastAsia="zh-CN"/>
        </w:rPr>
        <w:t>条，理事会</w:t>
      </w:r>
      <w:r w:rsidRPr="000C156A">
        <w:rPr>
          <w:lang w:eastAsia="zh-CN"/>
        </w:rPr>
        <w:t>2011</w:t>
      </w:r>
      <w:r w:rsidRPr="000C156A">
        <w:rPr>
          <w:rFonts w:hint="eastAsia"/>
          <w:lang w:eastAsia="zh-CN"/>
        </w:rPr>
        <w:t>年会议指定意大利高级审计院按照全权代表大会决定的方式担任国际电联账目的外部审计员，任期四年。审计采用普遍接受的通用审计标准</w:t>
      </w:r>
      <w:r>
        <w:rPr>
          <w:rFonts w:hint="eastAsia"/>
          <w:lang w:eastAsia="zh-CN"/>
        </w:rPr>
        <w:t>，</w:t>
      </w:r>
      <w:r w:rsidRPr="000C156A">
        <w:rPr>
          <w:rFonts w:hint="eastAsia"/>
          <w:lang w:eastAsia="zh-CN"/>
        </w:rPr>
        <w:t>并遵循理事会</w:t>
      </w:r>
      <w:r>
        <w:rPr>
          <w:rFonts w:hint="eastAsia"/>
          <w:lang w:eastAsia="zh-CN"/>
        </w:rPr>
        <w:t>做出</w:t>
      </w:r>
      <w:r w:rsidRPr="000C156A">
        <w:rPr>
          <w:rFonts w:hint="eastAsia"/>
          <w:lang w:eastAsia="zh-CN"/>
        </w:rPr>
        <w:t>的特别指示</w:t>
      </w:r>
      <w:r>
        <w:rPr>
          <w:rFonts w:hint="eastAsia"/>
          <w:lang w:eastAsia="zh-CN"/>
        </w:rPr>
        <w:t>，</w:t>
      </w:r>
      <w:r w:rsidRPr="000C156A">
        <w:rPr>
          <w:rFonts w:hint="eastAsia"/>
          <w:lang w:eastAsia="zh-CN"/>
        </w:rPr>
        <w:t>按照《财务规则》附件</w:t>
      </w:r>
      <w:r w:rsidRPr="000C156A">
        <w:rPr>
          <w:lang w:eastAsia="zh-CN"/>
        </w:rPr>
        <w:t>1</w:t>
      </w:r>
      <w:r w:rsidRPr="000C156A">
        <w:rPr>
          <w:rFonts w:hint="eastAsia"/>
          <w:lang w:eastAsia="zh-CN"/>
        </w:rPr>
        <w:t>有关外部审计的附加职责范围的规定</w:t>
      </w:r>
      <w:r>
        <w:rPr>
          <w:rFonts w:hint="eastAsia"/>
          <w:lang w:eastAsia="zh-CN"/>
        </w:rPr>
        <w:t>执行</w:t>
      </w:r>
      <w:r w:rsidRPr="000C156A">
        <w:rPr>
          <w:rFonts w:hint="eastAsia"/>
          <w:lang w:eastAsia="zh-CN"/>
        </w:rPr>
        <w:t>。</w:t>
      </w:r>
    </w:p>
    <w:p w14:paraId="7D2B85BC" w14:textId="77777777" w:rsidR="00B56A7B" w:rsidRPr="000C156A" w:rsidRDefault="00B56A7B" w:rsidP="00B56A7B">
      <w:pPr>
        <w:rPr>
          <w:lang w:eastAsia="zh-CN"/>
        </w:rPr>
      </w:pPr>
      <w:r>
        <w:rPr>
          <w:rFonts w:hint="eastAsia"/>
          <w:lang w:eastAsia="zh-CN"/>
        </w:rPr>
        <w:t>94</w:t>
      </w:r>
      <w:r w:rsidRPr="000C156A">
        <w:rPr>
          <w:lang w:eastAsia="zh-CN"/>
        </w:rPr>
        <w:tab/>
      </w:r>
      <w:r w:rsidRPr="000C156A">
        <w:rPr>
          <w:rFonts w:hint="eastAsia"/>
          <w:lang w:eastAsia="zh-CN"/>
        </w:rPr>
        <w:t>根据联合国会计准则，应以报表或表格的形式提交用以审计的信息。</w:t>
      </w:r>
    </w:p>
    <w:p w14:paraId="09B682BF" w14:textId="77777777" w:rsidR="00B56A7B" w:rsidRPr="00175F39" w:rsidRDefault="00B56A7B" w:rsidP="00B56A7B">
      <w:pPr>
        <w:rPr>
          <w:b/>
          <w:bCs/>
          <w:szCs w:val="24"/>
          <w:lang w:eastAsia="zh-CN"/>
        </w:rPr>
      </w:pPr>
      <w:r>
        <w:rPr>
          <w:rFonts w:hint="eastAsia"/>
          <w:lang w:eastAsia="zh-CN"/>
        </w:rPr>
        <w:t>95</w:t>
      </w:r>
      <w:r w:rsidRPr="000C156A">
        <w:rPr>
          <w:lang w:eastAsia="zh-CN"/>
        </w:rPr>
        <w:tab/>
      </w:r>
      <w:r w:rsidRPr="000C156A">
        <w:rPr>
          <w:rFonts w:hint="eastAsia"/>
          <w:lang w:eastAsia="zh-CN"/>
        </w:rPr>
        <w:t>审定账目提交理事会批准，同时伴有外部审计员的报告。外部审计员将应邀在理事会相关会议上介绍其报告。</w:t>
      </w:r>
    </w:p>
    <w:p w14:paraId="39C2A032" w14:textId="77777777" w:rsidR="00B56A7B" w:rsidRPr="000C156A" w:rsidRDefault="00B56A7B" w:rsidP="00B56A7B">
      <w:pPr>
        <w:rPr>
          <w:lang w:eastAsia="zh-CN"/>
        </w:rPr>
      </w:pPr>
      <w:r w:rsidRPr="000C156A">
        <w:rPr>
          <w:lang w:eastAsia="zh-CN"/>
        </w:rPr>
        <w:br w:type="page"/>
      </w:r>
    </w:p>
    <w:p w14:paraId="7A886A96" w14:textId="77777777" w:rsidR="00B56A7B" w:rsidRPr="000C156A" w:rsidRDefault="00B56A7B" w:rsidP="00B56A7B">
      <w:pPr>
        <w:pStyle w:val="AnnexNo"/>
        <w:outlineLvl w:val="0"/>
        <w:rPr>
          <w:lang w:eastAsia="zh-CN"/>
        </w:rPr>
      </w:pPr>
      <w:bookmarkStart w:id="1382" w:name="_Toc41908084"/>
      <w:bookmarkStart w:id="1383" w:name="_Toc73636339"/>
      <w:bookmarkStart w:id="1384" w:name="_Toc110265760"/>
      <w:bookmarkStart w:id="1385" w:name="_Toc110330295"/>
      <w:bookmarkStart w:id="1386" w:name="_Toc41905914"/>
      <w:bookmarkStart w:id="1387" w:name="_Toc482894270"/>
      <w:bookmarkStart w:id="1388" w:name="_Toc511116023"/>
      <w:bookmarkStart w:id="1389" w:name="_Toc364154312"/>
      <w:r w:rsidRPr="000C156A">
        <w:rPr>
          <w:rFonts w:hint="eastAsia"/>
          <w:lang w:eastAsia="zh-CN"/>
        </w:rPr>
        <w:lastRenderedPageBreak/>
        <w:t>附件</w:t>
      </w:r>
      <w:r w:rsidRPr="000C156A">
        <w:rPr>
          <w:lang w:eastAsia="zh-CN"/>
        </w:rPr>
        <w:t>A</w:t>
      </w:r>
      <w:bookmarkEnd w:id="1382"/>
      <w:bookmarkEnd w:id="1383"/>
      <w:bookmarkEnd w:id="1384"/>
      <w:bookmarkEnd w:id="1385"/>
    </w:p>
    <w:p w14:paraId="5E6E072F" w14:textId="77777777" w:rsidR="00B56A7B" w:rsidRPr="000C156A" w:rsidRDefault="00B56A7B" w:rsidP="00B56A7B">
      <w:pPr>
        <w:pStyle w:val="AnnexNo"/>
        <w:outlineLvl w:val="0"/>
        <w:rPr>
          <w:lang w:val="en-US" w:eastAsia="zh-CN"/>
        </w:rPr>
      </w:pPr>
      <w:bookmarkStart w:id="1390" w:name="_Toc41908085"/>
      <w:bookmarkStart w:id="1391" w:name="_Toc73518901"/>
      <w:bookmarkStart w:id="1392" w:name="_Toc73519301"/>
      <w:bookmarkStart w:id="1393" w:name="_Toc73636340"/>
      <w:bookmarkStart w:id="1394" w:name="_Toc110265761"/>
      <w:bookmarkStart w:id="1395" w:name="_Toc110330296"/>
      <w:r w:rsidRPr="000C156A">
        <w:rPr>
          <w:rFonts w:hint="eastAsia"/>
          <w:lang w:eastAsia="zh-CN"/>
        </w:rPr>
        <w:t>决议草案</w:t>
      </w:r>
      <w:bookmarkEnd w:id="1386"/>
      <w:bookmarkEnd w:id="1390"/>
      <w:bookmarkEnd w:id="1391"/>
      <w:bookmarkEnd w:id="1392"/>
      <w:bookmarkEnd w:id="1393"/>
      <w:bookmarkEnd w:id="1394"/>
      <w:bookmarkEnd w:id="1395"/>
    </w:p>
    <w:p w14:paraId="3E16784E" w14:textId="77777777" w:rsidR="00B56A7B" w:rsidRPr="000C156A" w:rsidRDefault="00B56A7B" w:rsidP="00B56A7B">
      <w:pPr>
        <w:pStyle w:val="Annextitle"/>
        <w:rPr>
          <w:lang w:eastAsia="zh-CN"/>
        </w:rPr>
      </w:pPr>
      <w:r>
        <w:rPr>
          <w:rFonts w:hint="eastAsia"/>
          <w:lang w:eastAsia="zh-CN"/>
        </w:rPr>
        <w:t>2021</w:t>
      </w:r>
      <w:r w:rsidRPr="000C156A">
        <w:rPr>
          <w:rFonts w:hint="eastAsia"/>
          <w:lang w:eastAsia="zh-CN"/>
        </w:rPr>
        <w:t>财务年度的财务工作报告</w:t>
      </w:r>
    </w:p>
    <w:p w14:paraId="7F122731" w14:textId="77777777" w:rsidR="00B56A7B" w:rsidRPr="000C156A" w:rsidRDefault="00B56A7B" w:rsidP="00B56A7B">
      <w:pPr>
        <w:pStyle w:val="Normalaftertitle"/>
        <w:rPr>
          <w:bCs/>
          <w:sz w:val="22"/>
          <w:szCs w:val="22"/>
          <w:lang w:eastAsia="zh-CN"/>
        </w:rPr>
      </w:pPr>
      <w:r w:rsidRPr="000C156A">
        <w:rPr>
          <w:rFonts w:hint="eastAsia"/>
          <w:lang w:eastAsia="zh-CN"/>
        </w:rPr>
        <w:t>国际电联理事会，</w:t>
      </w:r>
    </w:p>
    <w:p w14:paraId="7676815A" w14:textId="77777777" w:rsidR="00B56A7B" w:rsidRPr="000C156A" w:rsidRDefault="00B56A7B" w:rsidP="00B56A7B">
      <w:pPr>
        <w:pStyle w:val="call0"/>
        <w:textAlignment w:val="baseline"/>
        <w:rPr>
          <w:lang w:val="en-GB" w:eastAsia="zh-CN"/>
        </w:rPr>
      </w:pPr>
      <w:r w:rsidRPr="000C156A">
        <w:rPr>
          <w:rFonts w:hint="eastAsia"/>
          <w:lang w:eastAsia="zh-CN"/>
        </w:rPr>
        <w:t>鉴于</w:t>
      </w:r>
    </w:p>
    <w:p w14:paraId="3B4D51F5" w14:textId="77777777" w:rsidR="00B56A7B" w:rsidRPr="000C156A" w:rsidRDefault="00B56A7B" w:rsidP="00B56A7B">
      <w:pPr>
        <w:ind w:firstLineChars="200" w:firstLine="480"/>
        <w:rPr>
          <w:lang w:eastAsia="zh-CN"/>
        </w:rPr>
      </w:pPr>
      <w:r w:rsidRPr="000C156A">
        <w:rPr>
          <w:rFonts w:hint="eastAsia"/>
          <w:lang w:eastAsia="zh-CN"/>
        </w:rPr>
        <w:t>国际电信联盟《公约》第</w:t>
      </w:r>
      <w:hyperlink r:id="rId48" w:history="1">
        <w:r w:rsidRPr="000C156A">
          <w:rPr>
            <w:color w:val="0000FF"/>
            <w:u w:val="single"/>
            <w:lang w:val="en-US" w:eastAsia="zh-CN"/>
          </w:rPr>
          <w:t>101</w:t>
        </w:r>
      </w:hyperlink>
      <w:r w:rsidRPr="000C156A">
        <w:rPr>
          <w:rFonts w:hint="eastAsia"/>
          <w:lang w:eastAsia="zh-CN"/>
        </w:rPr>
        <w:t>款和国际电联《财务规则》第</w:t>
      </w:r>
      <w:hyperlink r:id="rId49" w:history="1">
        <w:r w:rsidRPr="000C156A">
          <w:rPr>
            <w:color w:val="0000FF"/>
            <w:u w:val="single"/>
            <w:lang w:val="en-US" w:eastAsia="zh-CN"/>
          </w:rPr>
          <w:t>30</w:t>
        </w:r>
        <w:r w:rsidRPr="000C156A">
          <w:rPr>
            <w:color w:val="0000FF"/>
            <w:u w:val="single"/>
            <w:lang w:val="en-US" w:eastAsia="zh-CN"/>
          </w:rPr>
          <w:t>条</w:t>
        </w:r>
      </w:hyperlink>
      <w:r w:rsidRPr="000C156A">
        <w:rPr>
          <w:rFonts w:hint="eastAsia"/>
          <w:lang w:eastAsia="zh-CN"/>
        </w:rPr>
        <w:t>的规定，</w:t>
      </w:r>
    </w:p>
    <w:p w14:paraId="204DEC03" w14:textId="77777777" w:rsidR="00B56A7B" w:rsidRPr="000C156A" w:rsidRDefault="00B56A7B" w:rsidP="00B56A7B">
      <w:pPr>
        <w:pStyle w:val="call0"/>
        <w:textAlignment w:val="baseline"/>
        <w:rPr>
          <w:i/>
          <w:lang w:val="en-GB" w:eastAsia="zh-CN"/>
        </w:rPr>
      </w:pPr>
      <w:r w:rsidRPr="000C156A">
        <w:rPr>
          <w:rFonts w:hint="eastAsia"/>
          <w:lang w:eastAsia="zh-CN"/>
        </w:rPr>
        <w:t>经审查</w:t>
      </w:r>
    </w:p>
    <w:p w14:paraId="6863F7EB" w14:textId="77777777" w:rsidR="00B56A7B" w:rsidRPr="000C156A" w:rsidRDefault="00B56A7B" w:rsidP="00B56A7B">
      <w:pPr>
        <w:ind w:firstLineChars="200" w:firstLine="480"/>
        <w:rPr>
          <w:lang w:eastAsia="zh-CN"/>
        </w:rPr>
      </w:pPr>
      <w:r w:rsidRPr="000C156A">
        <w:rPr>
          <w:lang w:eastAsia="zh-CN"/>
        </w:rPr>
        <w:t>20</w:t>
      </w:r>
      <w:r w:rsidRPr="000C156A">
        <w:rPr>
          <w:rFonts w:hint="eastAsia"/>
          <w:lang w:eastAsia="zh-CN"/>
        </w:rPr>
        <w:t>2</w:t>
      </w:r>
      <w:r>
        <w:rPr>
          <w:rFonts w:hint="eastAsia"/>
          <w:lang w:eastAsia="zh-CN"/>
        </w:rPr>
        <w:t>1</w:t>
      </w:r>
      <w:r w:rsidRPr="000C156A">
        <w:rPr>
          <w:rFonts w:hint="eastAsia"/>
          <w:lang w:eastAsia="zh-CN"/>
        </w:rPr>
        <w:t>财年的财务工作报告及其包含的经审计的国际电联</w:t>
      </w:r>
      <w:r w:rsidRPr="000C156A">
        <w:rPr>
          <w:lang w:eastAsia="zh-CN"/>
        </w:rPr>
        <w:t>20</w:t>
      </w:r>
      <w:r>
        <w:rPr>
          <w:rFonts w:hint="eastAsia"/>
          <w:lang w:eastAsia="zh-CN"/>
        </w:rPr>
        <w:t>21</w:t>
      </w:r>
      <w:r w:rsidRPr="000C156A">
        <w:rPr>
          <w:rFonts w:hint="eastAsia"/>
          <w:lang w:eastAsia="zh-CN"/>
        </w:rPr>
        <w:t>财年预算账目、</w:t>
      </w:r>
      <w:bookmarkStart w:id="1396" w:name="_Hlk109675896"/>
      <w:r w:rsidRPr="00B00A7A">
        <w:rPr>
          <w:rFonts w:hint="eastAsia"/>
          <w:lang w:eastAsia="zh-CN"/>
        </w:rPr>
        <w:t>国际电联</w:t>
      </w:r>
      <w:r w:rsidRPr="00B00A7A">
        <w:rPr>
          <w:rFonts w:hint="eastAsia"/>
          <w:lang w:eastAsia="zh-CN"/>
        </w:rPr>
        <w:t>2021</w:t>
      </w:r>
      <w:r w:rsidRPr="00B00A7A">
        <w:rPr>
          <w:rFonts w:hint="eastAsia"/>
          <w:lang w:eastAsia="zh-CN"/>
        </w:rPr>
        <w:t>年数字世界展活动</w:t>
      </w:r>
      <w:r w:rsidRPr="000C156A">
        <w:rPr>
          <w:rFonts w:hint="eastAsia"/>
          <w:lang w:eastAsia="zh-CN"/>
        </w:rPr>
        <w:t>账目状况和经审计的</w:t>
      </w:r>
      <w:r w:rsidRPr="000C156A">
        <w:rPr>
          <w:lang w:eastAsia="zh-CN"/>
        </w:rPr>
        <w:t>20</w:t>
      </w:r>
      <w:r>
        <w:rPr>
          <w:rFonts w:hint="eastAsia"/>
          <w:lang w:eastAsia="zh-CN"/>
        </w:rPr>
        <w:t>21</w:t>
      </w:r>
      <w:r w:rsidRPr="000C156A">
        <w:rPr>
          <w:rFonts w:hint="eastAsia"/>
          <w:lang w:eastAsia="zh-CN"/>
        </w:rPr>
        <w:t>年技术合作项目、自愿捐款和国际电联职员退休和福利基金等账目</w:t>
      </w:r>
      <w:bookmarkEnd w:id="1396"/>
      <w:r w:rsidRPr="000C156A">
        <w:rPr>
          <w:rFonts w:hint="eastAsia"/>
          <w:lang w:eastAsia="zh-CN"/>
        </w:rPr>
        <w:t>，</w:t>
      </w:r>
    </w:p>
    <w:p w14:paraId="5E2AE17D" w14:textId="77777777" w:rsidR="00B56A7B" w:rsidRPr="000C156A" w:rsidRDefault="00B56A7B" w:rsidP="00B56A7B">
      <w:pPr>
        <w:pStyle w:val="call0"/>
        <w:textAlignment w:val="baseline"/>
        <w:rPr>
          <w:lang w:val="en-GB" w:eastAsia="zh-CN"/>
        </w:rPr>
      </w:pPr>
      <w:r w:rsidRPr="000C156A">
        <w:rPr>
          <w:rFonts w:hint="eastAsia"/>
          <w:lang w:eastAsia="zh-CN"/>
        </w:rPr>
        <w:t>已注意到</w:t>
      </w:r>
    </w:p>
    <w:p w14:paraId="2E196090" w14:textId="77777777" w:rsidR="00B56A7B" w:rsidRPr="000C156A" w:rsidRDefault="00A97A32" w:rsidP="00B56A7B">
      <w:pPr>
        <w:ind w:firstLineChars="200" w:firstLine="480"/>
        <w:rPr>
          <w:lang w:eastAsia="zh-CN"/>
        </w:rPr>
      </w:pPr>
      <w:hyperlink r:id="rId50" w:history="1">
        <w:r w:rsidR="00B56A7B" w:rsidRPr="008161D5">
          <w:rPr>
            <w:rStyle w:val="Hyperlink"/>
            <w:lang w:eastAsia="zh-CN"/>
          </w:rPr>
          <w:t>C2</w:t>
        </w:r>
        <w:r w:rsidR="00B56A7B" w:rsidRPr="008161D5">
          <w:rPr>
            <w:rStyle w:val="Hyperlink"/>
            <w:rFonts w:hint="eastAsia"/>
            <w:lang w:eastAsia="zh-CN"/>
          </w:rPr>
          <w:t>2</w:t>
        </w:r>
        <w:r w:rsidR="00B56A7B" w:rsidRPr="008161D5">
          <w:rPr>
            <w:rStyle w:val="Hyperlink"/>
            <w:lang w:eastAsia="zh-CN"/>
          </w:rPr>
          <w:t>/4101</w:t>
        </w:r>
      </w:hyperlink>
      <w:r w:rsidR="00B56A7B" w:rsidRPr="000C156A">
        <w:rPr>
          <w:rFonts w:hint="eastAsia"/>
          <w:lang w:eastAsia="zh-CN"/>
        </w:rPr>
        <w:t>号</w:t>
      </w:r>
      <w:r w:rsidR="00B56A7B" w:rsidRPr="000C156A">
        <w:rPr>
          <w:lang w:eastAsia="zh-CN"/>
        </w:rPr>
        <w:t>文件</w:t>
      </w:r>
      <w:r w:rsidR="00B56A7B" w:rsidRPr="000C156A">
        <w:rPr>
          <w:rFonts w:hint="eastAsia"/>
          <w:lang w:eastAsia="zh-CN"/>
        </w:rPr>
        <w:t>提供的外部审计员的报告，</w:t>
      </w:r>
    </w:p>
    <w:p w14:paraId="1E9A3A39" w14:textId="77777777" w:rsidR="00B56A7B" w:rsidRPr="000C156A" w:rsidRDefault="00B56A7B" w:rsidP="00B56A7B">
      <w:pPr>
        <w:pStyle w:val="call0"/>
        <w:textAlignment w:val="baseline"/>
        <w:rPr>
          <w:lang w:val="en-GB" w:eastAsia="zh-CN"/>
        </w:rPr>
      </w:pPr>
      <w:r w:rsidRPr="000C156A">
        <w:rPr>
          <w:rFonts w:hint="eastAsia"/>
          <w:lang w:eastAsia="zh-CN"/>
        </w:rPr>
        <w:t>做出决议</w:t>
      </w:r>
    </w:p>
    <w:p w14:paraId="1DB8623E" w14:textId="77777777" w:rsidR="00B56A7B" w:rsidRPr="000C156A" w:rsidRDefault="00B56A7B" w:rsidP="00B56A7B">
      <w:pPr>
        <w:ind w:firstLineChars="200" w:firstLine="480"/>
        <w:rPr>
          <w:lang w:eastAsia="zh-CN"/>
        </w:rPr>
      </w:pPr>
      <w:r w:rsidRPr="000C156A">
        <w:rPr>
          <w:rFonts w:hint="eastAsia"/>
          <w:lang w:eastAsia="zh-CN"/>
        </w:rPr>
        <w:t>批准</w:t>
      </w:r>
      <w:r w:rsidRPr="000C156A">
        <w:rPr>
          <w:lang w:eastAsia="zh-CN"/>
        </w:rPr>
        <w:t>20</w:t>
      </w:r>
      <w:r w:rsidRPr="000C156A">
        <w:rPr>
          <w:rFonts w:hint="eastAsia"/>
          <w:lang w:eastAsia="zh-CN"/>
        </w:rPr>
        <w:t>2</w:t>
      </w:r>
      <w:r>
        <w:rPr>
          <w:lang w:eastAsia="zh-CN"/>
        </w:rPr>
        <w:t>1</w:t>
      </w:r>
      <w:r w:rsidRPr="000C156A">
        <w:rPr>
          <w:rFonts w:hint="eastAsia"/>
          <w:lang w:eastAsia="zh-CN"/>
        </w:rPr>
        <w:t>财年的财务工作报告（</w:t>
      </w:r>
      <w:hyperlink r:id="rId51" w:history="1">
        <w:r w:rsidRPr="000C156A">
          <w:rPr>
            <w:rStyle w:val="Hyperlink"/>
            <w:lang w:val="en-US" w:eastAsia="zh-CN"/>
          </w:rPr>
          <w:t>C2</w:t>
        </w:r>
        <w:r>
          <w:rPr>
            <w:rStyle w:val="Hyperlink"/>
            <w:rFonts w:hint="eastAsia"/>
            <w:lang w:val="en-US" w:eastAsia="zh-CN"/>
          </w:rPr>
          <w:t>2</w:t>
        </w:r>
        <w:r>
          <w:rPr>
            <w:rStyle w:val="Hyperlink"/>
            <w:lang w:val="en-US" w:eastAsia="zh-CN"/>
          </w:rPr>
          <w:t>/4</w:t>
        </w:r>
        <w:r>
          <w:rPr>
            <w:rStyle w:val="Hyperlink"/>
            <w:rFonts w:hint="eastAsia"/>
            <w:lang w:val="en-US" w:eastAsia="zh-CN"/>
          </w:rPr>
          <w:t>3</w:t>
        </w:r>
        <w:r w:rsidRPr="000C156A">
          <w:rPr>
            <w:rStyle w:val="Hyperlink"/>
            <w:lang w:val="en-US" w:eastAsia="zh-CN"/>
          </w:rPr>
          <w:t>号文件</w:t>
        </w:r>
      </w:hyperlink>
      <w:r w:rsidRPr="000C156A">
        <w:rPr>
          <w:rFonts w:hint="eastAsia"/>
          <w:lang w:eastAsia="zh-CN"/>
        </w:rPr>
        <w:t>）</w:t>
      </w:r>
      <w:r>
        <w:rPr>
          <w:rFonts w:hint="eastAsia"/>
          <w:lang w:eastAsia="zh-CN"/>
        </w:rPr>
        <w:t>，其中包括</w:t>
      </w:r>
      <w:r w:rsidRPr="000C156A">
        <w:rPr>
          <w:rFonts w:hint="eastAsia"/>
          <w:lang w:eastAsia="zh-CN"/>
        </w:rPr>
        <w:t>经审计的国际电联账目、</w:t>
      </w:r>
      <w:r w:rsidRPr="005768DA">
        <w:rPr>
          <w:rFonts w:hint="eastAsia"/>
          <w:lang w:eastAsia="zh-CN"/>
        </w:rPr>
        <w:t>国际电联</w:t>
      </w:r>
      <w:r w:rsidRPr="005768DA">
        <w:rPr>
          <w:rFonts w:hint="eastAsia"/>
          <w:lang w:eastAsia="zh-CN"/>
        </w:rPr>
        <w:t>2021</w:t>
      </w:r>
      <w:r w:rsidRPr="005768DA">
        <w:rPr>
          <w:rFonts w:hint="eastAsia"/>
          <w:lang w:eastAsia="zh-CN"/>
        </w:rPr>
        <w:t>年数字世界展活动账目状况和经审计的</w:t>
      </w:r>
      <w:r w:rsidRPr="005768DA">
        <w:rPr>
          <w:rFonts w:hint="eastAsia"/>
          <w:lang w:eastAsia="zh-CN"/>
        </w:rPr>
        <w:t>2021</w:t>
      </w:r>
      <w:r w:rsidRPr="005768DA">
        <w:rPr>
          <w:rFonts w:hint="eastAsia"/>
          <w:lang w:eastAsia="zh-CN"/>
        </w:rPr>
        <w:t>年技术合作项目、自愿捐款和国际电联职员退休和福利基金等账目</w:t>
      </w:r>
      <w:r w:rsidRPr="000C156A">
        <w:rPr>
          <w:rFonts w:hint="eastAsia"/>
          <w:lang w:eastAsia="zh-CN"/>
        </w:rPr>
        <w:t>。</w:t>
      </w:r>
    </w:p>
    <w:p w14:paraId="459DAD94" w14:textId="77777777" w:rsidR="00B56A7B" w:rsidRPr="000C156A" w:rsidRDefault="00B56A7B" w:rsidP="00B56A7B">
      <w:pPr>
        <w:overflowPunct/>
        <w:autoSpaceDE/>
        <w:autoSpaceDN/>
        <w:adjustRightInd/>
        <w:spacing w:before="0"/>
        <w:textAlignment w:val="auto"/>
        <w:rPr>
          <w:lang w:eastAsia="zh-CN"/>
        </w:rPr>
        <w:sectPr w:rsidR="00B56A7B" w:rsidRPr="000C156A" w:rsidSect="003A64C9">
          <w:headerReference w:type="default" r:id="rId52"/>
          <w:footerReference w:type="default" r:id="rId53"/>
          <w:headerReference w:type="first" r:id="rId54"/>
          <w:footerReference w:type="first" r:id="rId55"/>
          <w:pgSz w:w="11907" w:h="16834"/>
          <w:pgMar w:top="1418" w:right="1134" w:bottom="1418" w:left="1134" w:header="720" w:footer="720" w:gutter="0"/>
          <w:paperSrc w:first="15" w:other="15"/>
          <w:cols w:space="720"/>
          <w:titlePg/>
          <w:docGrid w:linePitch="326"/>
        </w:sectPr>
      </w:pPr>
    </w:p>
    <w:p w14:paraId="4D18E46D" w14:textId="77777777" w:rsidR="00B56A7B" w:rsidRPr="000C156A" w:rsidRDefault="00B56A7B" w:rsidP="00B56A7B">
      <w:pPr>
        <w:pStyle w:val="AnnexNo"/>
        <w:spacing w:before="0"/>
        <w:outlineLvl w:val="0"/>
        <w:rPr>
          <w:lang w:eastAsia="zh-CN"/>
        </w:rPr>
      </w:pPr>
      <w:bookmarkStart w:id="1397" w:name="_Toc41905915"/>
      <w:bookmarkStart w:id="1398" w:name="_Toc41908086"/>
      <w:bookmarkStart w:id="1399" w:name="_Toc73636341"/>
      <w:bookmarkStart w:id="1400" w:name="_Toc110265762"/>
      <w:bookmarkStart w:id="1401" w:name="_Toc110330297"/>
      <w:r w:rsidRPr="000C156A">
        <w:rPr>
          <w:rFonts w:hint="eastAsia"/>
          <w:lang w:eastAsia="zh-CN"/>
        </w:rPr>
        <w:lastRenderedPageBreak/>
        <w:t>附件</w:t>
      </w:r>
      <w:bookmarkEnd w:id="1387"/>
      <w:r w:rsidRPr="000C156A">
        <w:rPr>
          <w:lang w:eastAsia="zh-CN"/>
        </w:rPr>
        <w:t>B1</w:t>
      </w:r>
      <w:bookmarkEnd w:id="1388"/>
      <w:bookmarkEnd w:id="1397"/>
      <w:bookmarkEnd w:id="1398"/>
      <w:bookmarkEnd w:id="1399"/>
      <w:bookmarkEnd w:id="1400"/>
      <w:bookmarkEnd w:id="1401"/>
    </w:p>
    <w:bookmarkEnd w:id="1389"/>
    <w:p w14:paraId="4F000562" w14:textId="77777777" w:rsidR="00B56A7B" w:rsidRPr="000C156A" w:rsidRDefault="00B56A7B" w:rsidP="00B56A7B">
      <w:pPr>
        <w:pStyle w:val="Annextitle"/>
        <w:rPr>
          <w:rFonts w:ascii="Times New Roman" w:hAnsi="Times New Roman"/>
          <w:lang w:val="fr-FR"/>
        </w:rPr>
      </w:pPr>
      <w:r w:rsidRPr="000C156A">
        <w:rPr>
          <w:rFonts w:ascii="Times New Roman" w:hAnsi="Times New Roman" w:hint="eastAsia"/>
          <w:lang w:val="fr-FR"/>
        </w:rPr>
        <w:t>正常预算</w:t>
      </w:r>
    </w:p>
    <w:tbl>
      <w:tblPr>
        <w:tblW w:w="5223" w:type="pct"/>
        <w:tblLayout w:type="fixed"/>
        <w:tblLook w:val="04A0" w:firstRow="1" w:lastRow="0" w:firstColumn="1" w:lastColumn="0" w:noHBand="0" w:noVBand="1"/>
      </w:tblPr>
      <w:tblGrid>
        <w:gridCol w:w="2410"/>
        <w:gridCol w:w="1416"/>
        <w:gridCol w:w="1215"/>
        <w:gridCol w:w="1295"/>
        <w:gridCol w:w="105"/>
        <w:gridCol w:w="1211"/>
        <w:gridCol w:w="1159"/>
        <w:gridCol w:w="6"/>
        <w:gridCol w:w="1241"/>
      </w:tblGrid>
      <w:tr w:rsidR="00B56A7B" w:rsidRPr="00111876" w14:paraId="23682F43" w14:textId="77777777" w:rsidTr="00CC47BD">
        <w:trPr>
          <w:trHeight w:val="300"/>
        </w:trPr>
        <w:tc>
          <w:tcPr>
            <w:tcW w:w="1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DB6DFF" w14:textId="77777777" w:rsidR="00B56A7B" w:rsidRPr="00111876" w:rsidRDefault="00B56A7B" w:rsidP="00CC47BD">
            <w:pPr>
              <w:overflowPunct/>
              <w:autoSpaceDE/>
              <w:autoSpaceDN/>
              <w:adjustRightInd/>
              <w:spacing w:before="0"/>
              <w:jc w:val="center"/>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收入</w:t>
            </w:r>
          </w:p>
        </w:tc>
        <w:tc>
          <w:tcPr>
            <w:tcW w:w="2606"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5317B0F8" w14:textId="77777777" w:rsidR="00B56A7B" w:rsidRPr="00111876" w:rsidRDefault="00B56A7B" w:rsidP="00CC47BD">
            <w:pPr>
              <w:overflowPunct/>
              <w:autoSpaceDE/>
              <w:autoSpaceDN/>
              <w:adjustRightInd/>
              <w:spacing w:before="0"/>
              <w:jc w:val="center"/>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预算金额</w:t>
            </w:r>
          </w:p>
        </w:tc>
        <w:tc>
          <w:tcPr>
            <w:tcW w:w="57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ECF20F" w14:textId="77777777" w:rsidR="00B56A7B" w:rsidRPr="00111876" w:rsidRDefault="00B56A7B" w:rsidP="00CC47BD">
            <w:pPr>
              <w:overflowPunct/>
              <w:autoSpaceDE/>
              <w:autoSpaceDN/>
              <w:adjustRightInd/>
              <w:spacing w:before="0"/>
              <w:jc w:val="center"/>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实际金额</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0F0CBA" w14:textId="77777777" w:rsidR="00B56A7B" w:rsidRPr="00111876" w:rsidRDefault="00B56A7B" w:rsidP="00CC47BD">
            <w:pPr>
              <w:overflowPunct/>
              <w:autoSpaceDE/>
              <w:autoSpaceDN/>
              <w:adjustRightInd/>
              <w:spacing w:before="0"/>
              <w:jc w:val="center"/>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最终预算与</w:t>
            </w:r>
            <w:r w:rsidRPr="00111876">
              <w:rPr>
                <w:rFonts w:cs="Calibri"/>
                <w:b/>
                <w:bCs/>
                <w:color w:val="000000"/>
                <w:sz w:val="16"/>
                <w:szCs w:val="16"/>
                <w:lang w:val="en-US" w:eastAsia="zh-CN"/>
              </w:rPr>
              <w:t>实际金额</w:t>
            </w:r>
            <w:r w:rsidRPr="00111876">
              <w:rPr>
                <w:rFonts w:cs="Calibri" w:hint="eastAsia"/>
                <w:b/>
                <w:bCs/>
                <w:color w:val="000000"/>
                <w:sz w:val="16"/>
                <w:szCs w:val="16"/>
                <w:lang w:val="en-US" w:eastAsia="zh-CN"/>
              </w:rPr>
              <w:t>之间</w:t>
            </w:r>
            <w:r w:rsidRPr="00111876">
              <w:rPr>
                <w:rFonts w:cs="Calibri"/>
                <w:b/>
                <w:bCs/>
                <w:color w:val="000000"/>
                <w:sz w:val="16"/>
                <w:szCs w:val="16"/>
                <w:lang w:val="en-US" w:eastAsia="zh-CN"/>
              </w:rPr>
              <w:t>的差额</w:t>
            </w:r>
          </w:p>
        </w:tc>
      </w:tr>
      <w:tr w:rsidR="00B56A7B" w:rsidRPr="00111876" w14:paraId="13100987" w14:textId="77777777" w:rsidTr="00CC47BD">
        <w:trPr>
          <w:trHeight w:val="450"/>
        </w:trPr>
        <w:tc>
          <w:tcPr>
            <w:tcW w:w="1198" w:type="pct"/>
            <w:vMerge/>
            <w:tcBorders>
              <w:top w:val="single" w:sz="4" w:space="0" w:color="auto"/>
              <w:left w:val="single" w:sz="4" w:space="0" w:color="auto"/>
              <w:bottom w:val="single" w:sz="4" w:space="0" w:color="000000"/>
              <w:right w:val="single" w:sz="4" w:space="0" w:color="auto"/>
            </w:tcBorders>
            <w:vAlign w:val="center"/>
            <w:hideMark/>
          </w:tcPr>
          <w:p w14:paraId="6EE9E232" w14:textId="77777777" w:rsidR="00B56A7B" w:rsidRPr="00111876" w:rsidRDefault="00B56A7B" w:rsidP="00CC47BD">
            <w:pPr>
              <w:overflowPunct/>
              <w:autoSpaceDE/>
              <w:autoSpaceDN/>
              <w:adjustRightInd/>
              <w:spacing w:before="0"/>
              <w:textAlignment w:val="auto"/>
              <w:rPr>
                <w:rFonts w:cs="Calibri"/>
                <w:b/>
                <w:bCs/>
                <w:color w:val="000000"/>
                <w:sz w:val="16"/>
                <w:szCs w:val="16"/>
                <w:lang w:val="en-US" w:eastAsia="zh-CN"/>
              </w:rPr>
            </w:pPr>
            <w:bookmarkStart w:id="1402" w:name="_Hlk109676050"/>
          </w:p>
        </w:tc>
        <w:tc>
          <w:tcPr>
            <w:tcW w:w="704" w:type="pct"/>
            <w:tcBorders>
              <w:top w:val="nil"/>
              <w:left w:val="nil"/>
              <w:bottom w:val="single" w:sz="4" w:space="0" w:color="auto"/>
              <w:right w:val="single" w:sz="4" w:space="0" w:color="auto"/>
            </w:tcBorders>
            <w:shd w:val="clear" w:color="auto" w:fill="auto"/>
            <w:vAlign w:val="center"/>
            <w:hideMark/>
          </w:tcPr>
          <w:p w14:paraId="1D979599" w14:textId="77777777" w:rsidR="00B56A7B" w:rsidRPr="00111876" w:rsidRDefault="00B56A7B" w:rsidP="00CC47BD">
            <w:pPr>
              <w:overflowPunct/>
              <w:autoSpaceDE/>
              <w:autoSpaceDN/>
              <w:adjustRightInd/>
              <w:spacing w:before="0"/>
              <w:jc w:val="center"/>
              <w:textAlignment w:val="auto"/>
              <w:rPr>
                <w:rFonts w:cs="Calibri"/>
                <w:b/>
                <w:bCs/>
                <w:color w:val="000000"/>
                <w:sz w:val="16"/>
                <w:szCs w:val="16"/>
                <w:lang w:val="en-US" w:eastAsia="zh-CN"/>
              </w:rPr>
            </w:pPr>
            <w:r w:rsidRPr="00111876">
              <w:rPr>
                <w:rFonts w:cs="Calibri"/>
                <w:b/>
                <w:bCs/>
                <w:color w:val="000000"/>
                <w:sz w:val="16"/>
                <w:szCs w:val="16"/>
                <w:lang w:val="en-US" w:eastAsia="zh-CN"/>
              </w:rPr>
              <w:t>最初预算</w:t>
            </w:r>
          </w:p>
        </w:tc>
        <w:tc>
          <w:tcPr>
            <w:tcW w:w="604" w:type="pct"/>
            <w:tcBorders>
              <w:top w:val="nil"/>
              <w:left w:val="nil"/>
              <w:bottom w:val="single" w:sz="4" w:space="0" w:color="auto"/>
              <w:right w:val="nil"/>
            </w:tcBorders>
            <w:shd w:val="clear" w:color="auto" w:fill="auto"/>
            <w:vAlign w:val="center"/>
            <w:hideMark/>
          </w:tcPr>
          <w:p w14:paraId="5B52C4C1" w14:textId="77777777" w:rsidR="00B56A7B" w:rsidRPr="00111876" w:rsidRDefault="00B56A7B" w:rsidP="00CC47BD">
            <w:pPr>
              <w:overflowPunct/>
              <w:autoSpaceDE/>
              <w:autoSpaceDN/>
              <w:adjustRightInd/>
              <w:spacing w:before="0"/>
              <w:jc w:val="center"/>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递延活动</w:t>
            </w:r>
          </w:p>
        </w:tc>
        <w:tc>
          <w:tcPr>
            <w:tcW w:w="696" w:type="pct"/>
            <w:gridSpan w:val="2"/>
            <w:tcBorders>
              <w:top w:val="nil"/>
              <w:left w:val="nil"/>
              <w:bottom w:val="single" w:sz="4" w:space="0" w:color="auto"/>
              <w:right w:val="nil"/>
            </w:tcBorders>
            <w:shd w:val="clear" w:color="auto" w:fill="auto"/>
            <w:vAlign w:val="center"/>
            <w:hideMark/>
          </w:tcPr>
          <w:p w14:paraId="11530678" w14:textId="77777777" w:rsidR="00B56A7B" w:rsidRPr="00111876" w:rsidRDefault="00B56A7B" w:rsidP="00CC47BD">
            <w:pPr>
              <w:overflowPunct/>
              <w:autoSpaceDE/>
              <w:autoSpaceDN/>
              <w:adjustRightInd/>
              <w:spacing w:before="0"/>
              <w:jc w:val="center"/>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预算转账</w:t>
            </w:r>
          </w:p>
        </w:tc>
        <w:tc>
          <w:tcPr>
            <w:tcW w:w="602" w:type="pct"/>
            <w:tcBorders>
              <w:top w:val="nil"/>
              <w:left w:val="single" w:sz="4" w:space="0" w:color="auto"/>
              <w:bottom w:val="single" w:sz="4" w:space="0" w:color="auto"/>
              <w:right w:val="single" w:sz="4" w:space="0" w:color="auto"/>
            </w:tcBorders>
            <w:shd w:val="clear" w:color="auto" w:fill="auto"/>
            <w:vAlign w:val="center"/>
            <w:hideMark/>
          </w:tcPr>
          <w:p w14:paraId="392BE1B7" w14:textId="77777777" w:rsidR="00B56A7B" w:rsidRPr="00111876" w:rsidRDefault="00B56A7B" w:rsidP="00CC47BD">
            <w:pPr>
              <w:overflowPunct/>
              <w:autoSpaceDE/>
              <w:autoSpaceDN/>
              <w:adjustRightInd/>
              <w:spacing w:before="0"/>
              <w:jc w:val="center"/>
              <w:textAlignment w:val="auto"/>
              <w:rPr>
                <w:rFonts w:cs="Calibri"/>
                <w:b/>
                <w:bCs/>
                <w:color w:val="000000"/>
                <w:sz w:val="16"/>
                <w:szCs w:val="16"/>
                <w:lang w:val="en-US" w:eastAsia="zh-CN"/>
              </w:rPr>
            </w:pPr>
            <w:r w:rsidRPr="00111876">
              <w:rPr>
                <w:rFonts w:cs="Calibri"/>
                <w:b/>
                <w:bCs/>
                <w:color w:val="000000"/>
                <w:sz w:val="16"/>
                <w:szCs w:val="16"/>
                <w:lang w:val="en-US" w:eastAsia="zh-CN"/>
              </w:rPr>
              <w:t>最终预算</w:t>
            </w:r>
          </w:p>
        </w:tc>
        <w:tc>
          <w:tcPr>
            <w:tcW w:w="579" w:type="pct"/>
            <w:gridSpan w:val="2"/>
            <w:vMerge/>
            <w:tcBorders>
              <w:top w:val="single" w:sz="4" w:space="0" w:color="auto"/>
              <w:left w:val="single" w:sz="4" w:space="0" w:color="auto"/>
              <w:bottom w:val="single" w:sz="4" w:space="0" w:color="000000"/>
              <w:right w:val="single" w:sz="4" w:space="0" w:color="auto"/>
            </w:tcBorders>
            <w:vAlign w:val="center"/>
            <w:hideMark/>
          </w:tcPr>
          <w:p w14:paraId="637F0531" w14:textId="77777777" w:rsidR="00B56A7B" w:rsidRPr="00111876" w:rsidRDefault="00B56A7B" w:rsidP="00CC47BD">
            <w:pPr>
              <w:overflowPunct/>
              <w:autoSpaceDE/>
              <w:autoSpaceDN/>
              <w:adjustRightInd/>
              <w:spacing w:before="0"/>
              <w:textAlignment w:val="auto"/>
              <w:rPr>
                <w:rFonts w:cs="Calibri"/>
                <w:b/>
                <w:bCs/>
                <w:color w:val="000000"/>
                <w:sz w:val="16"/>
                <w:szCs w:val="16"/>
                <w:lang w:val="en-US" w:eastAsia="zh-CN"/>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14:paraId="1AF70F3B" w14:textId="77777777" w:rsidR="00B56A7B" w:rsidRPr="00111876" w:rsidRDefault="00B56A7B" w:rsidP="00CC47BD">
            <w:pPr>
              <w:overflowPunct/>
              <w:autoSpaceDE/>
              <w:autoSpaceDN/>
              <w:adjustRightInd/>
              <w:spacing w:before="0"/>
              <w:textAlignment w:val="auto"/>
              <w:rPr>
                <w:rFonts w:cs="Calibri"/>
                <w:b/>
                <w:bCs/>
                <w:color w:val="000000"/>
                <w:sz w:val="16"/>
                <w:szCs w:val="16"/>
                <w:lang w:val="en-US" w:eastAsia="zh-CN"/>
              </w:rPr>
            </w:pPr>
          </w:p>
        </w:tc>
      </w:tr>
      <w:bookmarkEnd w:id="1402"/>
      <w:tr w:rsidR="00B56A7B" w:rsidRPr="00111876" w14:paraId="26962EA0" w14:textId="77777777" w:rsidTr="00CC47BD">
        <w:trPr>
          <w:trHeight w:val="300"/>
        </w:trPr>
        <w:tc>
          <w:tcPr>
            <w:tcW w:w="1198" w:type="pct"/>
            <w:vMerge/>
            <w:tcBorders>
              <w:top w:val="single" w:sz="4" w:space="0" w:color="auto"/>
              <w:left w:val="single" w:sz="4" w:space="0" w:color="auto"/>
              <w:bottom w:val="single" w:sz="4" w:space="0" w:color="000000"/>
              <w:right w:val="single" w:sz="4" w:space="0" w:color="auto"/>
            </w:tcBorders>
            <w:vAlign w:val="center"/>
            <w:hideMark/>
          </w:tcPr>
          <w:p w14:paraId="694A3145" w14:textId="77777777" w:rsidR="00B56A7B" w:rsidRPr="00111876" w:rsidRDefault="00B56A7B" w:rsidP="00CC47BD">
            <w:pPr>
              <w:overflowPunct/>
              <w:autoSpaceDE/>
              <w:autoSpaceDN/>
              <w:adjustRightInd/>
              <w:spacing w:before="0"/>
              <w:textAlignment w:val="auto"/>
              <w:rPr>
                <w:rFonts w:cs="Calibri"/>
                <w:b/>
                <w:bCs/>
                <w:color w:val="000000"/>
                <w:sz w:val="16"/>
                <w:szCs w:val="16"/>
                <w:lang w:val="en-US" w:eastAsia="zh-CN"/>
              </w:rPr>
            </w:pPr>
          </w:p>
        </w:tc>
        <w:tc>
          <w:tcPr>
            <w:tcW w:w="704" w:type="pct"/>
            <w:tcBorders>
              <w:top w:val="nil"/>
              <w:left w:val="nil"/>
              <w:bottom w:val="single" w:sz="4" w:space="0" w:color="auto"/>
              <w:right w:val="single" w:sz="4" w:space="0" w:color="auto"/>
            </w:tcBorders>
            <w:shd w:val="clear" w:color="auto" w:fill="auto"/>
            <w:noWrap/>
            <w:vAlign w:val="center"/>
            <w:hideMark/>
          </w:tcPr>
          <w:p w14:paraId="5E510ADE" w14:textId="77777777" w:rsidR="00B56A7B" w:rsidRPr="00111876" w:rsidRDefault="00B56A7B" w:rsidP="00CC47BD">
            <w:pPr>
              <w:overflowPunct/>
              <w:autoSpaceDE/>
              <w:autoSpaceDN/>
              <w:adjustRightInd/>
              <w:spacing w:before="0"/>
              <w:jc w:val="center"/>
              <w:textAlignment w:val="auto"/>
              <w:rPr>
                <w:rFonts w:eastAsiaTheme="minorEastAsia" w:cs="Calibri"/>
                <w:b/>
                <w:bCs/>
                <w:color w:val="000000"/>
                <w:sz w:val="16"/>
                <w:szCs w:val="16"/>
                <w:lang w:val="en-US" w:eastAsia="zh-CN"/>
              </w:rPr>
            </w:pPr>
            <w:r w:rsidRPr="00111876">
              <w:rPr>
                <w:rFonts w:eastAsiaTheme="minorEastAsia" w:cs="Calibri"/>
                <w:b/>
                <w:bCs/>
                <w:color w:val="000000"/>
                <w:sz w:val="16"/>
                <w:szCs w:val="16"/>
                <w:lang w:val="en-US" w:eastAsia="zh-CN"/>
              </w:rPr>
              <w:t>202</w:t>
            </w:r>
            <w:r w:rsidRPr="00111876">
              <w:rPr>
                <w:rFonts w:eastAsiaTheme="minorEastAsia" w:cs="Calibri" w:hint="eastAsia"/>
                <w:b/>
                <w:bCs/>
                <w:color w:val="000000"/>
                <w:sz w:val="16"/>
                <w:szCs w:val="16"/>
                <w:lang w:val="en-US" w:eastAsia="zh-CN"/>
              </w:rPr>
              <w:t>1</w:t>
            </w:r>
            <w:r w:rsidRPr="00111876">
              <w:rPr>
                <w:rFonts w:eastAsiaTheme="minorEastAsia" w:cs="Calibri"/>
                <w:b/>
                <w:bCs/>
                <w:color w:val="000000"/>
                <w:sz w:val="16"/>
                <w:szCs w:val="16"/>
                <w:lang w:val="en-US" w:eastAsia="zh-CN"/>
              </w:rPr>
              <w:t>年</w:t>
            </w:r>
            <w:r w:rsidRPr="00111876">
              <w:rPr>
                <w:rFonts w:eastAsiaTheme="minorEastAsia" w:cs="Calibri"/>
                <w:b/>
                <w:bCs/>
                <w:color w:val="000000"/>
                <w:sz w:val="16"/>
                <w:szCs w:val="16"/>
                <w:lang w:val="en-US" w:eastAsia="zh-CN"/>
              </w:rPr>
              <w:br/>
              <w:t>12</w:t>
            </w:r>
            <w:r w:rsidRPr="00111876">
              <w:rPr>
                <w:rFonts w:eastAsiaTheme="minorEastAsia" w:cs="Calibri"/>
                <w:b/>
                <w:bCs/>
                <w:color w:val="000000"/>
                <w:sz w:val="16"/>
                <w:szCs w:val="16"/>
                <w:lang w:val="en-US" w:eastAsia="zh-CN"/>
              </w:rPr>
              <w:t>月</w:t>
            </w:r>
            <w:r w:rsidRPr="00111876">
              <w:rPr>
                <w:rFonts w:eastAsiaTheme="minorEastAsia" w:cs="Calibri"/>
                <w:b/>
                <w:bCs/>
                <w:color w:val="000000"/>
                <w:sz w:val="16"/>
                <w:szCs w:val="16"/>
                <w:lang w:val="en-US" w:eastAsia="zh-CN"/>
              </w:rPr>
              <w:t>31</w:t>
            </w:r>
            <w:r w:rsidRPr="00111876">
              <w:rPr>
                <w:rFonts w:eastAsiaTheme="minorEastAsia" w:cs="Calibri"/>
                <w:b/>
                <w:bCs/>
                <w:color w:val="000000"/>
                <w:sz w:val="16"/>
                <w:szCs w:val="16"/>
                <w:lang w:val="en-US" w:eastAsia="zh-CN"/>
              </w:rPr>
              <w:t>日</w:t>
            </w:r>
          </w:p>
        </w:tc>
        <w:tc>
          <w:tcPr>
            <w:tcW w:w="604" w:type="pct"/>
            <w:tcBorders>
              <w:top w:val="nil"/>
              <w:left w:val="nil"/>
              <w:bottom w:val="single" w:sz="4" w:space="0" w:color="auto"/>
              <w:right w:val="single" w:sz="4" w:space="0" w:color="auto"/>
            </w:tcBorders>
            <w:shd w:val="clear" w:color="auto" w:fill="auto"/>
            <w:noWrap/>
            <w:hideMark/>
          </w:tcPr>
          <w:p w14:paraId="661AC894" w14:textId="77777777" w:rsidR="00B56A7B" w:rsidRPr="00111876" w:rsidRDefault="00B56A7B" w:rsidP="00CC47BD">
            <w:pPr>
              <w:spacing w:before="0"/>
              <w:jc w:val="center"/>
              <w:rPr>
                <w:rFonts w:eastAsiaTheme="minorEastAsia" w:cs="Calibri"/>
                <w:sz w:val="16"/>
                <w:szCs w:val="16"/>
                <w:lang w:eastAsia="zh-CN"/>
              </w:rPr>
            </w:pPr>
            <w:r w:rsidRPr="00111876">
              <w:rPr>
                <w:rFonts w:eastAsiaTheme="minorEastAsia" w:cs="Calibri"/>
                <w:b/>
                <w:bCs/>
                <w:color w:val="000000"/>
                <w:sz w:val="16"/>
                <w:szCs w:val="16"/>
                <w:lang w:val="en-US" w:eastAsia="zh-CN"/>
              </w:rPr>
              <w:t>202</w:t>
            </w:r>
            <w:r w:rsidRPr="00111876">
              <w:rPr>
                <w:rFonts w:eastAsiaTheme="minorEastAsia" w:cs="Calibri" w:hint="eastAsia"/>
                <w:b/>
                <w:bCs/>
                <w:color w:val="000000"/>
                <w:sz w:val="16"/>
                <w:szCs w:val="16"/>
                <w:lang w:val="en-US" w:eastAsia="zh-CN"/>
              </w:rPr>
              <w:t>1</w:t>
            </w:r>
            <w:r w:rsidRPr="00111876">
              <w:rPr>
                <w:rFonts w:eastAsiaTheme="minorEastAsia" w:cs="Calibri"/>
                <w:b/>
                <w:bCs/>
                <w:color w:val="000000"/>
                <w:sz w:val="16"/>
                <w:szCs w:val="16"/>
                <w:lang w:val="en-US" w:eastAsia="zh-CN"/>
              </w:rPr>
              <w:t>年</w:t>
            </w:r>
            <w:r w:rsidRPr="00111876">
              <w:rPr>
                <w:rFonts w:eastAsiaTheme="minorEastAsia" w:cs="Calibri"/>
                <w:b/>
                <w:bCs/>
                <w:color w:val="000000"/>
                <w:sz w:val="16"/>
                <w:szCs w:val="16"/>
                <w:lang w:val="en-US" w:eastAsia="zh-CN"/>
              </w:rPr>
              <w:br/>
              <w:t>12</w:t>
            </w:r>
            <w:r w:rsidRPr="00111876">
              <w:rPr>
                <w:rFonts w:eastAsiaTheme="minorEastAsia" w:cs="Calibri"/>
                <w:b/>
                <w:bCs/>
                <w:color w:val="000000"/>
                <w:sz w:val="16"/>
                <w:szCs w:val="16"/>
                <w:lang w:val="en-US" w:eastAsia="zh-CN"/>
              </w:rPr>
              <w:t>月</w:t>
            </w:r>
            <w:r w:rsidRPr="00111876">
              <w:rPr>
                <w:rFonts w:eastAsiaTheme="minorEastAsia" w:cs="Calibri"/>
                <w:b/>
                <w:bCs/>
                <w:color w:val="000000"/>
                <w:sz w:val="16"/>
                <w:szCs w:val="16"/>
                <w:lang w:val="en-US" w:eastAsia="zh-CN"/>
              </w:rPr>
              <w:t>31</w:t>
            </w:r>
            <w:r w:rsidRPr="00111876">
              <w:rPr>
                <w:rFonts w:eastAsiaTheme="minorEastAsia" w:cs="Calibri"/>
                <w:b/>
                <w:bCs/>
                <w:color w:val="000000"/>
                <w:sz w:val="16"/>
                <w:szCs w:val="16"/>
                <w:lang w:val="en-US" w:eastAsia="zh-CN"/>
              </w:rPr>
              <w:t>日</w:t>
            </w:r>
          </w:p>
        </w:tc>
        <w:tc>
          <w:tcPr>
            <w:tcW w:w="696" w:type="pct"/>
            <w:gridSpan w:val="2"/>
            <w:tcBorders>
              <w:top w:val="nil"/>
              <w:left w:val="nil"/>
              <w:bottom w:val="single" w:sz="4" w:space="0" w:color="auto"/>
              <w:right w:val="single" w:sz="4" w:space="0" w:color="auto"/>
            </w:tcBorders>
            <w:shd w:val="clear" w:color="auto" w:fill="auto"/>
            <w:noWrap/>
            <w:hideMark/>
          </w:tcPr>
          <w:p w14:paraId="2C8DBF1E" w14:textId="77777777" w:rsidR="00B56A7B" w:rsidRPr="00111876" w:rsidRDefault="00B56A7B" w:rsidP="00CC47BD">
            <w:pPr>
              <w:spacing w:before="0"/>
              <w:jc w:val="center"/>
              <w:rPr>
                <w:rFonts w:eastAsiaTheme="minorEastAsia" w:cs="Calibri"/>
                <w:sz w:val="16"/>
                <w:szCs w:val="16"/>
                <w:lang w:eastAsia="zh-CN"/>
              </w:rPr>
            </w:pPr>
            <w:r w:rsidRPr="00111876">
              <w:rPr>
                <w:rFonts w:eastAsiaTheme="minorEastAsia" w:cs="Calibri"/>
                <w:b/>
                <w:bCs/>
                <w:color w:val="000000"/>
                <w:sz w:val="16"/>
                <w:szCs w:val="16"/>
                <w:lang w:val="en-US" w:eastAsia="zh-CN"/>
              </w:rPr>
              <w:t>202</w:t>
            </w:r>
            <w:r w:rsidRPr="00111876">
              <w:rPr>
                <w:rFonts w:eastAsiaTheme="minorEastAsia" w:cs="Calibri" w:hint="eastAsia"/>
                <w:b/>
                <w:bCs/>
                <w:color w:val="000000"/>
                <w:sz w:val="16"/>
                <w:szCs w:val="16"/>
                <w:lang w:val="en-US" w:eastAsia="zh-CN"/>
              </w:rPr>
              <w:t>1</w:t>
            </w:r>
            <w:r w:rsidRPr="00111876">
              <w:rPr>
                <w:rFonts w:eastAsiaTheme="minorEastAsia" w:cs="Calibri"/>
                <w:b/>
                <w:bCs/>
                <w:color w:val="000000"/>
                <w:sz w:val="16"/>
                <w:szCs w:val="16"/>
                <w:lang w:val="en-US" w:eastAsia="zh-CN"/>
              </w:rPr>
              <w:t>年</w:t>
            </w:r>
            <w:r w:rsidRPr="00111876">
              <w:rPr>
                <w:rFonts w:eastAsiaTheme="minorEastAsia" w:cs="Calibri"/>
                <w:b/>
                <w:bCs/>
                <w:color w:val="000000"/>
                <w:sz w:val="16"/>
                <w:szCs w:val="16"/>
                <w:lang w:val="en-US" w:eastAsia="zh-CN"/>
              </w:rPr>
              <w:br/>
              <w:t>12</w:t>
            </w:r>
            <w:r w:rsidRPr="00111876">
              <w:rPr>
                <w:rFonts w:eastAsiaTheme="minorEastAsia" w:cs="Calibri"/>
                <w:b/>
                <w:bCs/>
                <w:color w:val="000000"/>
                <w:sz w:val="16"/>
                <w:szCs w:val="16"/>
                <w:lang w:val="en-US" w:eastAsia="zh-CN"/>
              </w:rPr>
              <w:t>月</w:t>
            </w:r>
            <w:r w:rsidRPr="00111876">
              <w:rPr>
                <w:rFonts w:eastAsiaTheme="minorEastAsia" w:cs="Calibri"/>
                <w:b/>
                <w:bCs/>
                <w:color w:val="000000"/>
                <w:sz w:val="16"/>
                <w:szCs w:val="16"/>
                <w:lang w:val="en-US" w:eastAsia="zh-CN"/>
              </w:rPr>
              <w:t>31</w:t>
            </w:r>
            <w:r w:rsidRPr="00111876">
              <w:rPr>
                <w:rFonts w:eastAsiaTheme="minorEastAsia" w:cs="Calibri"/>
                <w:b/>
                <w:bCs/>
                <w:color w:val="000000"/>
                <w:sz w:val="16"/>
                <w:szCs w:val="16"/>
                <w:lang w:val="en-US" w:eastAsia="zh-CN"/>
              </w:rPr>
              <w:t>日</w:t>
            </w:r>
          </w:p>
        </w:tc>
        <w:tc>
          <w:tcPr>
            <w:tcW w:w="602" w:type="pct"/>
            <w:tcBorders>
              <w:top w:val="nil"/>
              <w:left w:val="nil"/>
              <w:bottom w:val="single" w:sz="4" w:space="0" w:color="auto"/>
              <w:right w:val="single" w:sz="4" w:space="0" w:color="auto"/>
            </w:tcBorders>
            <w:shd w:val="clear" w:color="auto" w:fill="auto"/>
            <w:noWrap/>
            <w:hideMark/>
          </w:tcPr>
          <w:p w14:paraId="54E9A436" w14:textId="77777777" w:rsidR="00B56A7B" w:rsidRPr="00111876" w:rsidRDefault="00B56A7B" w:rsidP="00CC47BD">
            <w:pPr>
              <w:spacing w:before="0"/>
              <w:jc w:val="center"/>
              <w:rPr>
                <w:rFonts w:eastAsiaTheme="minorEastAsia" w:cs="Calibri"/>
                <w:sz w:val="16"/>
                <w:szCs w:val="16"/>
                <w:lang w:eastAsia="zh-CN"/>
              </w:rPr>
            </w:pPr>
            <w:r w:rsidRPr="00111876">
              <w:rPr>
                <w:rFonts w:eastAsiaTheme="minorEastAsia" w:cs="Calibri"/>
                <w:b/>
                <w:bCs/>
                <w:color w:val="000000"/>
                <w:sz w:val="16"/>
                <w:szCs w:val="16"/>
                <w:lang w:val="en-US" w:eastAsia="zh-CN"/>
              </w:rPr>
              <w:t>202</w:t>
            </w:r>
            <w:r w:rsidRPr="00111876">
              <w:rPr>
                <w:rFonts w:eastAsiaTheme="minorEastAsia" w:cs="Calibri" w:hint="eastAsia"/>
                <w:b/>
                <w:bCs/>
                <w:color w:val="000000"/>
                <w:sz w:val="16"/>
                <w:szCs w:val="16"/>
                <w:lang w:val="en-US" w:eastAsia="zh-CN"/>
              </w:rPr>
              <w:t>1</w:t>
            </w:r>
            <w:r w:rsidRPr="00111876">
              <w:rPr>
                <w:rFonts w:eastAsiaTheme="minorEastAsia" w:cs="Calibri"/>
                <w:b/>
                <w:bCs/>
                <w:color w:val="000000"/>
                <w:sz w:val="16"/>
                <w:szCs w:val="16"/>
                <w:lang w:val="en-US" w:eastAsia="zh-CN"/>
              </w:rPr>
              <w:t>年</w:t>
            </w:r>
            <w:r w:rsidRPr="00111876">
              <w:rPr>
                <w:rFonts w:eastAsiaTheme="minorEastAsia" w:cs="Calibri"/>
                <w:b/>
                <w:bCs/>
                <w:color w:val="000000"/>
                <w:sz w:val="16"/>
                <w:szCs w:val="16"/>
                <w:lang w:val="en-US" w:eastAsia="zh-CN"/>
              </w:rPr>
              <w:br/>
              <w:t>12</w:t>
            </w:r>
            <w:r w:rsidRPr="00111876">
              <w:rPr>
                <w:rFonts w:eastAsiaTheme="minorEastAsia" w:cs="Calibri"/>
                <w:b/>
                <w:bCs/>
                <w:color w:val="000000"/>
                <w:sz w:val="16"/>
                <w:szCs w:val="16"/>
                <w:lang w:val="en-US" w:eastAsia="zh-CN"/>
              </w:rPr>
              <w:t>月</w:t>
            </w:r>
            <w:r w:rsidRPr="00111876">
              <w:rPr>
                <w:rFonts w:eastAsiaTheme="minorEastAsia" w:cs="Calibri"/>
                <w:b/>
                <w:bCs/>
                <w:color w:val="000000"/>
                <w:sz w:val="16"/>
                <w:szCs w:val="16"/>
                <w:lang w:val="en-US" w:eastAsia="zh-CN"/>
              </w:rPr>
              <w:t>31</w:t>
            </w:r>
            <w:r w:rsidRPr="00111876">
              <w:rPr>
                <w:rFonts w:eastAsiaTheme="minorEastAsia" w:cs="Calibri"/>
                <w:b/>
                <w:bCs/>
                <w:color w:val="000000"/>
                <w:sz w:val="16"/>
                <w:szCs w:val="16"/>
                <w:lang w:val="en-US" w:eastAsia="zh-CN"/>
              </w:rPr>
              <w:t>日</w:t>
            </w:r>
          </w:p>
        </w:tc>
        <w:tc>
          <w:tcPr>
            <w:tcW w:w="579" w:type="pct"/>
            <w:gridSpan w:val="2"/>
            <w:tcBorders>
              <w:top w:val="nil"/>
              <w:left w:val="nil"/>
              <w:bottom w:val="single" w:sz="4" w:space="0" w:color="auto"/>
              <w:right w:val="single" w:sz="4" w:space="0" w:color="auto"/>
            </w:tcBorders>
            <w:shd w:val="clear" w:color="auto" w:fill="auto"/>
            <w:noWrap/>
            <w:hideMark/>
          </w:tcPr>
          <w:p w14:paraId="224D7BF1" w14:textId="77777777" w:rsidR="00B56A7B" w:rsidRPr="00111876" w:rsidRDefault="00B56A7B" w:rsidP="00CC47BD">
            <w:pPr>
              <w:spacing w:before="0"/>
              <w:jc w:val="center"/>
              <w:rPr>
                <w:rFonts w:eastAsiaTheme="minorEastAsia" w:cs="Calibri"/>
                <w:sz w:val="16"/>
                <w:szCs w:val="16"/>
                <w:lang w:eastAsia="zh-CN"/>
              </w:rPr>
            </w:pPr>
            <w:r w:rsidRPr="00111876">
              <w:rPr>
                <w:rFonts w:eastAsiaTheme="minorEastAsia" w:cs="Calibri"/>
                <w:b/>
                <w:bCs/>
                <w:color w:val="000000"/>
                <w:sz w:val="16"/>
                <w:szCs w:val="16"/>
                <w:lang w:val="en-US" w:eastAsia="zh-CN"/>
              </w:rPr>
              <w:t>202</w:t>
            </w:r>
            <w:r w:rsidRPr="00111876">
              <w:rPr>
                <w:rFonts w:eastAsiaTheme="minorEastAsia" w:cs="Calibri" w:hint="eastAsia"/>
                <w:b/>
                <w:bCs/>
                <w:color w:val="000000"/>
                <w:sz w:val="16"/>
                <w:szCs w:val="16"/>
                <w:lang w:val="en-US" w:eastAsia="zh-CN"/>
              </w:rPr>
              <w:t>1</w:t>
            </w:r>
            <w:r w:rsidRPr="00111876">
              <w:rPr>
                <w:rFonts w:eastAsiaTheme="minorEastAsia" w:cs="Calibri"/>
                <w:b/>
                <w:bCs/>
                <w:color w:val="000000"/>
                <w:sz w:val="16"/>
                <w:szCs w:val="16"/>
                <w:lang w:val="en-US" w:eastAsia="zh-CN"/>
              </w:rPr>
              <w:t>年</w:t>
            </w:r>
            <w:r w:rsidRPr="00111876">
              <w:rPr>
                <w:rFonts w:eastAsiaTheme="minorEastAsia" w:cs="Calibri"/>
                <w:b/>
                <w:bCs/>
                <w:color w:val="000000"/>
                <w:sz w:val="16"/>
                <w:szCs w:val="16"/>
                <w:lang w:val="en-US" w:eastAsia="zh-CN"/>
              </w:rPr>
              <w:br/>
              <w:t>12</w:t>
            </w:r>
            <w:r w:rsidRPr="00111876">
              <w:rPr>
                <w:rFonts w:eastAsiaTheme="minorEastAsia" w:cs="Calibri"/>
                <w:b/>
                <w:bCs/>
                <w:color w:val="000000"/>
                <w:sz w:val="16"/>
                <w:szCs w:val="16"/>
                <w:lang w:val="en-US" w:eastAsia="zh-CN"/>
              </w:rPr>
              <w:t>月</w:t>
            </w:r>
            <w:r w:rsidRPr="00111876">
              <w:rPr>
                <w:rFonts w:eastAsiaTheme="minorEastAsia" w:cs="Calibri"/>
                <w:b/>
                <w:bCs/>
                <w:color w:val="000000"/>
                <w:sz w:val="16"/>
                <w:szCs w:val="16"/>
                <w:lang w:val="en-US" w:eastAsia="zh-CN"/>
              </w:rPr>
              <w:t>31</w:t>
            </w:r>
            <w:r w:rsidRPr="00111876">
              <w:rPr>
                <w:rFonts w:eastAsiaTheme="minorEastAsia" w:cs="Calibri"/>
                <w:b/>
                <w:bCs/>
                <w:color w:val="000000"/>
                <w:sz w:val="16"/>
                <w:szCs w:val="16"/>
                <w:lang w:val="en-US" w:eastAsia="zh-CN"/>
              </w:rPr>
              <w:t>日</w:t>
            </w:r>
          </w:p>
        </w:tc>
        <w:tc>
          <w:tcPr>
            <w:tcW w:w="617" w:type="pct"/>
            <w:tcBorders>
              <w:top w:val="nil"/>
              <w:left w:val="nil"/>
              <w:bottom w:val="single" w:sz="4" w:space="0" w:color="auto"/>
              <w:right w:val="single" w:sz="4" w:space="0" w:color="auto"/>
            </w:tcBorders>
            <w:shd w:val="clear" w:color="auto" w:fill="auto"/>
            <w:noWrap/>
            <w:hideMark/>
          </w:tcPr>
          <w:p w14:paraId="11989B9A" w14:textId="77777777" w:rsidR="00B56A7B" w:rsidRPr="00111876" w:rsidRDefault="00B56A7B" w:rsidP="00CC47BD">
            <w:pPr>
              <w:spacing w:before="0"/>
              <w:jc w:val="center"/>
              <w:rPr>
                <w:rFonts w:eastAsiaTheme="minorEastAsia" w:cs="Calibri"/>
                <w:sz w:val="16"/>
                <w:szCs w:val="16"/>
                <w:lang w:eastAsia="zh-CN"/>
              </w:rPr>
            </w:pPr>
            <w:r w:rsidRPr="00111876">
              <w:rPr>
                <w:rFonts w:eastAsiaTheme="minorEastAsia" w:cs="Calibri"/>
                <w:b/>
                <w:bCs/>
                <w:color w:val="000000"/>
                <w:sz w:val="16"/>
                <w:szCs w:val="16"/>
                <w:lang w:val="en-US" w:eastAsia="zh-CN"/>
              </w:rPr>
              <w:t>202</w:t>
            </w:r>
            <w:r w:rsidRPr="00111876">
              <w:rPr>
                <w:rFonts w:eastAsiaTheme="minorEastAsia" w:cs="Calibri" w:hint="eastAsia"/>
                <w:b/>
                <w:bCs/>
                <w:color w:val="000000"/>
                <w:sz w:val="16"/>
                <w:szCs w:val="16"/>
                <w:lang w:val="en-US" w:eastAsia="zh-CN"/>
              </w:rPr>
              <w:t>1</w:t>
            </w:r>
            <w:r w:rsidRPr="00111876">
              <w:rPr>
                <w:rFonts w:eastAsiaTheme="minorEastAsia" w:cs="Calibri"/>
                <w:b/>
                <w:bCs/>
                <w:color w:val="000000"/>
                <w:sz w:val="16"/>
                <w:szCs w:val="16"/>
                <w:lang w:val="en-US" w:eastAsia="zh-CN"/>
              </w:rPr>
              <w:t>年</w:t>
            </w:r>
            <w:r w:rsidRPr="00111876">
              <w:rPr>
                <w:rFonts w:eastAsiaTheme="minorEastAsia" w:cs="Calibri"/>
                <w:b/>
                <w:bCs/>
                <w:color w:val="000000"/>
                <w:sz w:val="16"/>
                <w:szCs w:val="16"/>
                <w:lang w:val="en-US" w:eastAsia="zh-CN"/>
              </w:rPr>
              <w:br/>
              <w:t>12</w:t>
            </w:r>
            <w:r w:rsidRPr="00111876">
              <w:rPr>
                <w:rFonts w:eastAsiaTheme="minorEastAsia" w:cs="Calibri"/>
                <w:b/>
                <w:bCs/>
                <w:color w:val="000000"/>
                <w:sz w:val="16"/>
                <w:szCs w:val="16"/>
                <w:lang w:val="en-US" w:eastAsia="zh-CN"/>
              </w:rPr>
              <w:t>月</w:t>
            </w:r>
            <w:r w:rsidRPr="00111876">
              <w:rPr>
                <w:rFonts w:eastAsiaTheme="minorEastAsia" w:cs="Calibri"/>
                <w:b/>
                <w:bCs/>
                <w:color w:val="000000"/>
                <w:sz w:val="16"/>
                <w:szCs w:val="16"/>
                <w:lang w:val="en-US" w:eastAsia="zh-CN"/>
              </w:rPr>
              <w:t>31</w:t>
            </w:r>
            <w:r w:rsidRPr="00111876">
              <w:rPr>
                <w:rFonts w:eastAsiaTheme="minorEastAsia" w:cs="Calibri"/>
                <w:b/>
                <w:bCs/>
                <w:color w:val="000000"/>
                <w:sz w:val="16"/>
                <w:szCs w:val="16"/>
                <w:lang w:val="en-US" w:eastAsia="zh-CN"/>
              </w:rPr>
              <w:t>日</w:t>
            </w:r>
          </w:p>
        </w:tc>
      </w:tr>
      <w:tr w:rsidR="00B56A7B" w:rsidRPr="00111876" w14:paraId="721BEF0B" w14:textId="77777777" w:rsidTr="00CC47BD">
        <w:trPr>
          <w:trHeight w:val="300"/>
        </w:trPr>
        <w:tc>
          <w:tcPr>
            <w:tcW w:w="1198" w:type="pct"/>
            <w:tcBorders>
              <w:top w:val="nil"/>
              <w:left w:val="single" w:sz="4" w:space="0" w:color="auto"/>
              <w:bottom w:val="nil"/>
              <w:right w:val="nil"/>
            </w:tcBorders>
            <w:shd w:val="clear" w:color="auto" w:fill="auto"/>
            <w:noWrap/>
            <w:vAlign w:val="center"/>
            <w:hideMark/>
          </w:tcPr>
          <w:p w14:paraId="6A877522" w14:textId="77777777" w:rsidR="00B56A7B" w:rsidRPr="00111876" w:rsidRDefault="00B56A7B" w:rsidP="00CC47BD">
            <w:pPr>
              <w:overflowPunct/>
              <w:autoSpaceDE/>
              <w:autoSpaceDN/>
              <w:adjustRightInd/>
              <w:spacing w:before="0"/>
              <w:textAlignment w:val="auto"/>
              <w:rPr>
                <w:rFonts w:cs="Calibri"/>
                <w:color w:val="000000"/>
                <w:sz w:val="16"/>
                <w:szCs w:val="16"/>
                <w:lang w:val="en-US" w:eastAsia="zh-CN"/>
              </w:rPr>
            </w:pPr>
            <w:r w:rsidRPr="00111876">
              <w:rPr>
                <w:rFonts w:cs="Calibri"/>
                <w:color w:val="000000"/>
                <w:sz w:val="16"/>
                <w:szCs w:val="16"/>
                <w:lang w:val="en-US" w:eastAsia="zh-CN"/>
              </w:rPr>
              <w:t> </w:t>
            </w:r>
          </w:p>
        </w:tc>
        <w:tc>
          <w:tcPr>
            <w:tcW w:w="704" w:type="pct"/>
            <w:tcBorders>
              <w:top w:val="nil"/>
              <w:left w:val="single" w:sz="4" w:space="0" w:color="auto"/>
              <w:bottom w:val="nil"/>
              <w:right w:val="single" w:sz="4" w:space="0" w:color="auto"/>
            </w:tcBorders>
            <w:shd w:val="clear" w:color="auto" w:fill="auto"/>
            <w:noWrap/>
            <w:vAlign w:val="center"/>
          </w:tcPr>
          <w:p w14:paraId="69A57E5A"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zh-CN"/>
              </w:rPr>
            </w:pPr>
          </w:p>
        </w:tc>
        <w:tc>
          <w:tcPr>
            <w:tcW w:w="604" w:type="pct"/>
            <w:tcBorders>
              <w:top w:val="nil"/>
              <w:left w:val="nil"/>
              <w:bottom w:val="nil"/>
              <w:right w:val="single" w:sz="4" w:space="0" w:color="auto"/>
            </w:tcBorders>
            <w:shd w:val="clear" w:color="auto" w:fill="auto"/>
            <w:noWrap/>
            <w:vAlign w:val="center"/>
          </w:tcPr>
          <w:p w14:paraId="0CED3D35"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zh-CN"/>
              </w:rPr>
            </w:pPr>
          </w:p>
        </w:tc>
        <w:tc>
          <w:tcPr>
            <w:tcW w:w="696" w:type="pct"/>
            <w:gridSpan w:val="2"/>
            <w:tcBorders>
              <w:top w:val="nil"/>
              <w:left w:val="nil"/>
              <w:bottom w:val="nil"/>
              <w:right w:val="single" w:sz="4" w:space="0" w:color="auto"/>
            </w:tcBorders>
            <w:shd w:val="clear" w:color="auto" w:fill="auto"/>
            <w:noWrap/>
            <w:vAlign w:val="center"/>
          </w:tcPr>
          <w:p w14:paraId="0451CD0F"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zh-CN"/>
              </w:rPr>
            </w:pPr>
          </w:p>
        </w:tc>
        <w:tc>
          <w:tcPr>
            <w:tcW w:w="602" w:type="pct"/>
            <w:tcBorders>
              <w:top w:val="nil"/>
              <w:left w:val="nil"/>
              <w:bottom w:val="nil"/>
              <w:right w:val="single" w:sz="4" w:space="0" w:color="auto"/>
            </w:tcBorders>
            <w:shd w:val="clear" w:color="auto" w:fill="auto"/>
            <w:noWrap/>
            <w:vAlign w:val="center"/>
          </w:tcPr>
          <w:p w14:paraId="513471C5"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zh-CN"/>
              </w:rPr>
            </w:pPr>
          </w:p>
        </w:tc>
        <w:tc>
          <w:tcPr>
            <w:tcW w:w="579" w:type="pct"/>
            <w:gridSpan w:val="2"/>
            <w:tcBorders>
              <w:top w:val="nil"/>
              <w:left w:val="nil"/>
              <w:bottom w:val="nil"/>
              <w:right w:val="single" w:sz="4" w:space="0" w:color="auto"/>
            </w:tcBorders>
            <w:shd w:val="clear" w:color="auto" w:fill="auto"/>
            <w:noWrap/>
            <w:vAlign w:val="center"/>
          </w:tcPr>
          <w:p w14:paraId="63FD6AAE"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zh-CN"/>
              </w:rPr>
            </w:pPr>
          </w:p>
        </w:tc>
        <w:tc>
          <w:tcPr>
            <w:tcW w:w="617" w:type="pct"/>
            <w:tcBorders>
              <w:top w:val="nil"/>
              <w:left w:val="nil"/>
              <w:bottom w:val="nil"/>
              <w:right w:val="single" w:sz="4" w:space="0" w:color="auto"/>
            </w:tcBorders>
            <w:shd w:val="clear" w:color="auto" w:fill="auto"/>
            <w:noWrap/>
            <w:vAlign w:val="center"/>
          </w:tcPr>
          <w:p w14:paraId="0BF2866E"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zh-CN"/>
              </w:rPr>
            </w:pPr>
          </w:p>
        </w:tc>
      </w:tr>
      <w:tr w:rsidR="00B56A7B" w:rsidRPr="00111876" w14:paraId="18B33A82"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34AE64F8"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hint="eastAsia"/>
                <w:color w:val="000000"/>
                <w:sz w:val="16"/>
                <w:szCs w:val="16"/>
                <w:lang w:val="en-US" w:eastAsia="zh-CN"/>
              </w:rPr>
              <w:t>成员国分摊会费</w:t>
            </w:r>
          </w:p>
        </w:tc>
        <w:tc>
          <w:tcPr>
            <w:tcW w:w="704" w:type="pct"/>
            <w:tcBorders>
              <w:top w:val="nil"/>
              <w:left w:val="single" w:sz="4" w:space="0" w:color="auto"/>
              <w:bottom w:val="nil"/>
              <w:right w:val="single" w:sz="4" w:space="0" w:color="auto"/>
            </w:tcBorders>
            <w:shd w:val="clear" w:color="auto" w:fill="auto"/>
            <w:noWrap/>
            <w:vAlign w:val="bottom"/>
          </w:tcPr>
          <w:p w14:paraId="21644E32" w14:textId="77CE3A8D"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109</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293</w:t>
            </w:r>
          </w:p>
        </w:tc>
        <w:tc>
          <w:tcPr>
            <w:tcW w:w="604" w:type="pct"/>
            <w:tcBorders>
              <w:top w:val="nil"/>
              <w:left w:val="nil"/>
              <w:bottom w:val="nil"/>
              <w:right w:val="single" w:sz="4" w:space="0" w:color="auto"/>
            </w:tcBorders>
            <w:shd w:val="clear" w:color="auto" w:fill="auto"/>
            <w:noWrap/>
            <w:vAlign w:val="bottom"/>
          </w:tcPr>
          <w:p w14:paraId="20188E50"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p>
        </w:tc>
        <w:tc>
          <w:tcPr>
            <w:tcW w:w="696" w:type="pct"/>
            <w:gridSpan w:val="2"/>
            <w:tcBorders>
              <w:top w:val="nil"/>
              <w:left w:val="nil"/>
              <w:bottom w:val="nil"/>
              <w:right w:val="single" w:sz="4" w:space="0" w:color="auto"/>
            </w:tcBorders>
            <w:shd w:val="clear" w:color="auto" w:fill="auto"/>
            <w:noWrap/>
            <w:vAlign w:val="bottom"/>
          </w:tcPr>
          <w:p w14:paraId="691844BD"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p>
        </w:tc>
        <w:tc>
          <w:tcPr>
            <w:tcW w:w="602" w:type="pct"/>
            <w:tcBorders>
              <w:top w:val="nil"/>
              <w:left w:val="nil"/>
              <w:bottom w:val="nil"/>
              <w:right w:val="single" w:sz="4" w:space="0" w:color="auto"/>
            </w:tcBorders>
            <w:shd w:val="clear" w:color="auto" w:fill="auto"/>
            <w:noWrap/>
            <w:vAlign w:val="bottom"/>
          </w:tcPr>
          <w:p w14:paraId="6311F0E8" w14:textId="1CD688FD"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109</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293</w:t>
            </w:r>
          </w:p>
        </w:tc>
        <w:tc>
          <w:tcPr>
            <w:tcW w:w="579" w:type="pct"/>
            <w:gridSpan w:val="2"/>
            <w:tcBorders>
              <w:top w:val="nil"/>
              <w:left w:val="nil"/>
              <w:bottom w:val="nil"/>
              <w:right w:val="single" w:sz="4" w:space="0" w:color="auto"/>
            </w:tcBorders>
            <w:shd w:val="clear" w:color="auto" w:fill="auto"/>
            <w:noWrap/>
            <w:vAlign w:val="bottom"/>
          </w:tcPr>
          <w:p w14:paraId="4253E3DA" w14:textId="005D44DB"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109</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293</w:t>
            </w:r>
          </w:p>
        </w:tc>
        <w:tc>
          <w:tcPr>
            <w:tcW w:w="617" w:type="pct"/>
            <w:tcBorders>
              <w:top w:val="nil"/>
              <w:left w:val="nil"/>
              <w:bottom w:val="nil"/>
              <w:right w:val="single" w:sz="4" w:space="0" w:color="auto"/>
            </w:tcBorders>
            <w:shd w:val="clear" w:color="auto" w:fill="auto"/>
            <w:noWrap/>
            <w:vAlign w:val="bottom"/>
          </w:tcPr>
          <w:p w14:paraId="2758E76E"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-0</w:t>
            </w:r>
          </w:p>
        </w:tc>
      </w:tr>
      <w:tr w:rsidR="00B56A7B" w:rsidRPr="00111876" w14:paraId="6DC9EA1C"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2ED85502"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hint="eastAsia"/>
                <w:color w:val="000000"/>
                <w:sz w:val="16"/>
                <w:szCs w:val="16"/>
                <w:lang w:val="en-US" w:eastAsia="zh-CN"/>
              </w:rPr>
              <w:t>部门</w:t>
            </w:r>
            <w:r w:rsidRPr="00111876">
              <w:rPr>
                <w:rFonts w:ascii="STKaiti" w:eastAsia="STKaiti" w:hAnsi="STKaiti" w:cs="Calibri"/>
                <w:color w:val="000000"/>
                <w:sz w:val="16"/>
                <w:szCs w:val="16"/>
                <w:lang w:val="en-US" w:eastAsia="zh-CN"/>
              </w:rPr>
              <w:t>成员</w:t>
            </w:r>
            <w:r w:rsidRPr="00111876">
              <w:rPr>
                <w:rFonts w:ascii="STKaiti" w:eastAsia="STKaiti" w:hAnsi="STKaiti" w:cs="Calibri" w:hint="eastAsia"/>
                <w:color w:val="000000"/>
                <w:sz w:val="16"/>
                <w:szCs w:val="16"/>
                <w:lang w:val="en-US" w:eastAsia="zh-CN"/>
              </w:rPr>
              <w:t>分摊会费</w:t>
            </w:r>
          </w:p>
        </w:tc>
        <w:tc>
          <w:tcPr>
            <w:tcW w:w="704" w:type="pct"/>
            <w:tcBorders>
              <w:top w:val="nil"/>
              <w:left w:val="single" w:sz="4" w:space="0" w:color="auto"/>
              <w:bottom w:val="nil"/>
              <w:right w:val="single" w:sz="4" w:space="0" w:color="auto"/>
            </w:tcBorders>
            <w:shd w:val="clear" w:color="auto" w:fill="auto"/>
            <w:noWrap/>
            <w:vAlign w:val="bottom"/>
          </w:tcPr>
          <w:p w14:paraId="3C420804" w14:textId="1A347D6F"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13</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964</w:t>
            </w:r>
          </w:p>
        </w:tc>
        <w:tc>
          <w:tcPr>
            <w:tcW w:w="604" w:type="pct"/>
            <w:tcBorders>
              <w:top w:val="nil"/>
              <w:left w:val="nil"/>
              <w:bottom w:val="nil"/>
              <w:right w:val="single" w:sz="4" w:space="0" w:color="auto"/>
            </w:tcBorders>
            <w:shd w:val="clear" w:color="auto" w:fill="auto"/>
            <w:noWrap/>
            <w:vAlign w:val="bottom"/>
          </w:tcPr>
          <w:p w14:paraId="4C3A5692"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p>
        </w:tc>
        <w:tc>
          <w:tcPr>
            <w:tcW w:w="696" w:type="pct"/>
            <w:gridSpan w:val="2"/>
            <w:tcBorders>
              <w:top w:val="nil"/>
              <w:left w:val="nil"/>
              <w:bottom w:val="nil"/>
              <w:right w:val="single" w:sz="4" w:space="0" w:color="auto"/>
            </w:tcBorders>
            <w:shd w:val="clear" w:color="auto" w:fill="auto"/>
            <w:noWrap/>
            <w:vAlign w:val="bottom"/>
          </w:tcPr>
          <w:p w14:paraId="75180610"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p>
        </w:tc>
        <w:tc>
          <w:tcPr>
            <w:tcW w:w="602" w:type="pct"/>
            <w:tcBorders>
              <w:top w:val="nil"/>
              <w:left w:val="nil"/>
              <w:bottom w:val="nil"/>
              <w:right w:val="single" w:sz="4" w:space="0" w:color="auto"/>
            </w:tcBorders>
            <w:shd w:val="clear" w:color="auto" w:fill="auto"/>
            <w:noWrap/>
            <w:vAlign w:val="bottom"/>
          </w:tcPr>
          <w:p w14:paraId="35AD8AA6" w14:textId="651B21BF"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13</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964</w:t>
            </w:r>
          </w:p>
        </w:tc>
        <w:tc>
          <w:tcPr>
            <w:tcW w:w="579" w:type="pct"/>
            <w:gridSpan w:val="2"/>
            <w:tcBorders>
              <w:top w:val="nil"/>
              <w:left w:val="nil"/>
              <w:bottom w:val="nil"/>
              <w:right w:val="single" w:sz="4" w:space="0" w:color="auto"/>
            </w:tcBorders>
            <w:shd w:val="clear" w:color="auto" w:fill="auto"/>
            <w:noWrap/>
            <w:vAlign w:val="bottom"/>
          </w:tcPr>
          <w:p w14:paraId="5DACDF70" w14:textId="2B029285"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13</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809</w:t>
            </w:r>
          </w:p>
        </w:tc>
        <w:tc>
          <w:tcPr>
            <w:tcW w:w="617" w:type="pct"/>
            <w:tcBorders>
              <w:top w:val="nil"/>
              <w:left w:val="nil"/>
              <w:bottom w:val="nil"/>
              <w:right w:val="single" w:sz="4" w:space="0" w:color="auto"/>
            </w:tcBorders>
            <w:shd w:val="clear" w:color="auto" w:fill="auto"/>
            <w:noWrap/>
            <w:vAlign w:val="bottom"/>
          </w:tcPr>
          <w:p w14:paraId="4C04C36C"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-155</w:t>
            </w:r>
          </w:p>
        </w:tc>
      </w:tr>
      <w:tr w:rsidR="00B56A7B" w:rsidRPr="00111876" w14:paraId="124AE499"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7627393E"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hint="eastAsia"/>
                <w:color w:val="000000"/>
                <w:sz w:val="16"/>
                <w:szCs w:val="16"/>
                <w:lang w:val="en-US" w:eastAsia="zh-CN"/>
              </w:rPr>
              <w:t>部门准成员</w:t>
            </w:r>
            <w:r w:rsidRPr="00111876">
              <w:rPr>
                <w:rFonts w:ascii="STKaiti" w:eastAsia="STKaiti" w:hAnsi="STKaiti" w:cs="Calibri"/>
                <w:color w:val="000000"/>
                <w:sz w:val="16"/>
                <w:szCs w:val="16"/>
                <w:lang w:val="en-US" w:eastAsia="zh-CN"/>
              </w:rPr>
              <w:t>分摊会费</w:t>
            </w:r>
          </w:p>
        </w:tc>
        <w:tc>
          <w:tcPr>
            <w:tcW w:w="704" w:type="pct"/>
            <w:tcBorders>
              <w:top w:val="nil"/>
              <w:left w:val="single" w:sz="4" w:space="0" w:color="auto"/>
              <w:bottom w:val="nil"/>
              <w:right w:val="single" w:sz="4" w:space="0" w:color="auto"/>
            </w:tcBorders>
            <w:shd w:val="clear" w:color="auto" w:fill="auto"/>
            <w:noWrap/>
            <w:vAlign w:val="bottom"/>
          </w:tcPr>
          <w:p w14:paraId="59CBF024" w14:textId="67B75109"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919</w:t>
            </w:r>
          </w:p>
        </w:tc>
        <w:tc>
          <w:tcPr>
            <w:tcW w:w="604" w:type="pct"/>
            <w:tcBorders>
              <w:top w:val="nil"/>
              <w:left w:val="nil"/>
              <w:bottom w:val="nil"/>
              <w:right w:val="single" w:sz="4" w:space="0" w:color="auto"/>
            </w:tcBorders>
            <w:shd w:val="clear" w:color="auto" w:fill="auto"/>
            <w:noWrap/>
            <w:vAlign w:val="bottom"/>
          </w:tcPr>
          <w:p w14:paraId="7FC86F37"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p>
        </w:tc>
        <w:tc>
          <w:tcPr>
            <w:tcW w:w="696" w:type="pct"/>
            <w:gridSpan w:val="2"/>
            <w:tcBorders>
              <w:top w:val="nil"/>
              <w:left w:val="nil"/>
              <w:bottom w:val="nil"/>
              <w:right w:val="single" w:sz="4" w:space="0" w:color="auto"/>
            </w:tcBorders>
            <w:shd w:val="clear" w:color="auto" w:fill="auto"/>
            <w:noWrap/>
            <w:vAlign w:val="bottom"/>
          </w:tcPr>
          <w:p w14:paraId="475F7E87"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p>
        </w:tc>
        <w:tc>
          <w:tcPr>
            <w:tcW w:w="602" w:type="pct"/>
            <w:tcBorders>
              <w:top w:val="nil"/>
              <w:left w:val="nil"/>
              <w:bottom w:val="nil"/>
              <w:right w:val="single" w:sz="4" w:space="0" w:color="auto"/>
            </w:tcBorders>
            <w:shd w:val="clear" w:color="auto" w:fill="auto"/>
            <w:noWrap/>
            <w:vAlign w:val="bottom"/>
          </w:tcPr>
          <w:p w14:paraId="3585CA19" w14:textId="429AC069"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919</w:t>
            </w:r>
          </w:p>
        </w:tc>
        <w:tc>
          <w:tcPr>
            <w:tcW w:w="579" w:type="pct"/>
            <w:gridSpan w:val="2"/>
            <w:tcBorders>
              <w:top w:val="nil"/>
              <w:left w:val="nil"/>
              <w:bottom w:val="nil"/>
              <w:right w:val="single" w:sz="4" w:space="0" w:color="auto"/>
            </w:tcBorders>
            <w:shd w:val="clear" w:color="auto" w:fill="auto"/>
            <w:noWrap/>
            <w:vAlign w:val="bottom"/>
          </w:tcPr>
          <w:p w14:paraId="68A6FEBE" w14:textId="7B6413B4"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2</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120</w:t>
            </w:r>
          </w:p>
        </w:tc>
        <w:tc>
          <w:tcPr>
            <w:tcW w:w="617" w:type="pct"/>
            <w:tcBorders>
              <w:top w:val="nil"/>
              <w:left w:val="nil"/>
              <w:bottom w:val="nil"/>
              <w:right w:val="single" w:sz="4" w:space="0" w:color="auto"/>
            </w:tcBorders>
            <w:shd w:val="clear" w:color="auto" w:fill="auto"/>
            <w:noWrap/>
            <w:vAlign w:val="bottom"/>
          </w:tcPr>
          <w:p w14:paraId="69879ACF"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zh-CN"/>
              </w:rPr>
            </w:pPr>
            <w:r w:rsidRPr="00111876">
              <w:rPr>
                <w:rFonts w:asciiTheme="minorHAnsi" w:hAnsiTheme="minorHAnsi" w:cstheme="minorHAnsi"/>
                <w:i/>
                <w:iCs/>
                <w:color w:val="000000"/>
                <w:sz w:val="16"/>
                <w:szCs w:val="16"/>
                <w:lang w:eastAsia="en-GB"/>
              </w:rPr>
              <w:t>201</w:t>
            </w:r>
          </w:p>
        </w:tc>
      </w:tr>
      <w:tr w:rsidR="00B56A7B" w:rsidRPr="00111876" w14:paraId="4C1B6D3E"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5E307C8D"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hint="eastAsia"/>
                <w:color w:val="000000"/>
                <w:sz w:val="16"/>
                <w:szCs w:val="16"/>
                <w:lang w:val="en-US" w:eastAsia="zh-CN"/>
              </w:rPr>
              <w:t>学术</w:t>
            </w:r>
            <w:r w:rsidRPr="00111876">
              <w:rPr>
                <w:rFonts w:ascii="STKaiti" w:eastAsia="STKaiti" w:hAnsi="STKaiti" w:cs="Calibri"/>
                <w:color w:val="000000"/>
                <w:sz w:val="16"/>
                <w:szCs w:val="16"/>
                <w:lang w:val="en-US" w:eastAsia="zh-CN"/>
              </w:rPr>
              <w:t>成员分摊会费</w:t>
            </w:r>
          </w:p>
        </w:tc>
        <w:tc>
          <w:tcPr>
            <w:tcW w:w="704" w:type="pct"/>
            <w:tcBorders>
              <w:top w:val="nil"/>
              <w:left w:val="single" w:sz="4" w:space="0" w:color="auto"/>
              <w:bottom w:val="nil"/>
              <w:right w:val="single" w:sz="4" w:space="0" w:color="auto"/>
            </w:tcBorders>
            <w:shd w:val="clear" w:color="auto" w:fill="auto"/>
            <w:noWrap/>
            <w:vAlign w:val="bottom"/>
          </w:tcPr>
          <w:p w14:paraId="05270531"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376</w:t>
            </w:r>
          </w:p>
        </w:tc>
        <w:tc>
          <w:tcPr>
            <w:tcW w:w="604" w:type="pct"/>
            <w:tcBorders>
              <w:top w:val="nil"/>
              <w:left w:val="nil"/>
              <w:bottom w:val="nil"/>
              <w:right w:val="single" w:sz="4" w:space="0" w:color="auto"/>
            </w:tcBorders>
            <w:shd w:val="clear" w:color="auto" w:fill="auto"/>
            <w:noWrap/>
            <w:vAlign w:val="bottom"/>
          </w:tcPr>
          <w:p w14:paraId="44FEE5B8"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01BF912D"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2D3109D8"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376</w:t>
            </w:r>
          </w:p>
        </w:tc>
        <w:tc>
          <w:tcPr>
            <w:tcW w:w="579" w:type="pct"/>
            <w:gridSpan w:val="2"/>
            <w:tcBorders>
              <w:top w:val="nil"/>
              <w:left w:val="nil"/>
              <w:bottom w:val="nil"/>
              <w:right w:val="single" w:sz="4" w:space="0" w:color="auto"/>
            </w:tcBorders>
            <w:shd w:val="clear" w:color="auto" w:fill="auto"/>
            <w:noWrap/>
            <w:vAlign w:val="bottom"/>
          </w:tcPr>
          <w:p w14:paraId="4D537A8A"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389</w:t>
            </w:r>
          </w:p>
        </w:tc>
        <w:tc>
          <w:tcPr>
            <w:tcW w:w="617" w:type="pct"/>
            <w:tcBorders>
              <w:top w:val="nil"/>
              <w:left w:val="nil"/>
              <w:bottom w:val="nil"/>
              <w:right w:val="single" w:sz="4" w:space="0" w:color="auto"/>
            </w:tcBorders>
            <w:shd w:val="clear" w:color="auto" w:fill="auto"/>
            <w:noWrap/>
            <w:vAlign w:val="bottom"/>
          </w:tcPr>
          <w:p w14:paraId="1690CD29"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13</w:t>
            </w:r>
          </w:p>
        </w:tc>
      </w:tr>
      <w:tr w:rsidR="00B56A7B" w:rsidRPr="00111876" w14:paraId="0D32562B" w14:textId="77777777" w:rsidTr="00CC47BD">
        <w:trPr>
          <w:trHeight w:val="300"/>
        </w:trPr>
        <w:tc>
          <w:tcPr>
            <w:tcW w:w="1198" w:type="pct"/>
            <w:tcBorders>
              <w:top w:val="nil"/>
              <w:left w:val="single" w:sz="4" w:space="0" w:color="auto"/>
              <w:bottom w:val="nil"/>
              <w:right w:val="nil"/>
            </w:tcBorders>
            <w:shd w:val="clear" w:color="auto" w:fill="auto"/>
            <w:vAlign w:val="center"/>
            <w:hideMark/>
          </w:tcPr>
          <w:p w14:paraId="533ACB13" w14:textId="77777777" w:rsidR="00B56A7B" w:rsidRPr="00111876" w:rsidRDefault="00B56A7B" w:rsidP="00CC47BD">
            <w:pPr>
              <w:overflowPunct/>
              <w:adjustRightInd/>
              <w:spacing w:before="0"/>
              <w:textAlignment w:val="auto"/>
              <w:rPr>
                <w:rFonts w:cs="Calibri"/>
                <w:i/>
                <w:iCs/>
                <w:color w:val="000000"/>
                <w:sz w:val="16"/>
                <w:szCs w:val="16"/>
                <w:lang w:val="en-US" w:eastAsia="zh-CN"/>
              </w:rPr>
            </w:pPr>
            <w:r w:rsidRPr="00111876">
              <w:rPr>
                <w:rFonts w:ascii="STKaiti" w:eastAsia="STKaiti" w:hAnsi="STKaiti" w:cs="Calibri" w:hint="eastAsia"/>
                <w:color w:val="000000"/>
                <w:sz w:val="16"/>
                <w:szCs w:val="16"/>
                <w:lang w:val="en-US" w:eastAsia="zh-CN"/>
              </w:rPr>
              <w:t>大会会费</w:t>
            </w:r>
          </w:p>
        </w:tc>
        <w:tc>
          <w:tcPr>
            <w:tcW w:w="704" w:type="pct"/>
            <w:tcBorders>
              <w:top w:val="nil"/>
              <w:left w:val="single" w:sz="4" w:space="0" w:color="auto"/>
              <w:bottom w:val="nil"/>
              <w:right w:val="single" w:sz="4" w:space="0" w:color="auto"/>
            </w:tcBorders>
            <w:shd w:val="clear" w:color="auto" w:fill="auto"/>
            <w:noWrap/>
            <w:vAlign w:val="bottom"/>
          </w:tcPr>
          <w:p w14:paraId="118D72CB"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04" w:type="pct"/>
            <w:tcBorders>
              <w:top w:val="nil"/>
              <w:left w:val="nil"/>
              <w:bottom w:val="nil"/>
              <w:right w:val="single" w:sz="4" w:space="0" w:color="auto"/>
            </w:tcBorders>
            <w:shd w:val="clear" w:color="auto" w:fill="auto"/>
            <w:noWrap/>
            <w:vAlign w:val="bottom"/>
          </w:tcPr>
          <w:p w14:paraId="7A7995E2"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2577EB86"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0493473B"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579" w:type="pct"/>
            <w:gridSpan w:val="2"/>
            <w:tcBorders>
              <w:top w:val="nil"/>
              <w:left w:val="nil"/>
              <w:bottom w:val="nil"/>
              <w:right w:val="single" w:sz="4" w:space="0" w:color="auto"/>
            </w:tcBorders>
            <w:shd w:val="clear" w:color="auto" w:fill="auto"/>
            <w:noWrap/>
            <w:vAlign w:val="bottom"/>
          </w:tcPr>
          <w:p w14:paraId="212043DB"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w:t>
            </w:r>
          </w:p>
        </w:tc>
        <w:tc>
          <w:tcPr>
            <w:tcW w:w="617" w:type="pct"/>
            <w:tcBorders>
              <w:top w:val="nil"/>
              <w:left w:val="nil"/>
              <w:bottom w:val="nil"/>
              <w:right w:val="single" w:sz="4" w:space="0" w:color="auto"/>
            </w:tcBorders>
            <w:shd w:val="clear" w:color="auto" w:fill="auto"/>
            <w:noWrap/>
            <w:vAlign w:val="bottom"/>
          </w:tcPr>
          <w:p w14:paraId="6DD7DC7B"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w:t>
            </w:r>
          </w:p>
        </w:tc>
      </w:tr>
      <w:tr w:rsidR="00B56A7B" w:rsidRPr="00111876" w14:paraId="5514BF4A" w14:textId="77777777" w:rsidTr="00CC47BD">
        <w:trPr>
          <w:trHeight w:val="300"/>
        </w:trPr>
        <w:tc>
          <w:tcPr>
            <w:tcW w:w="1198" w:type="pct"/>
            <w:tcBorders>
              <w:top w:val="single" w:sz="4" w:space="0" w:color="auto"/>
              <w:left w:val="single" w:sz="4" w:space="0" w:color="auto"/>
              <w:bottom w:val="single" w:sz="4" w:space="0" w:color="auto"/>
              <w:right w:val="nil"/>
            </w:tcBorders>
            <w:shd w:val="clear" w:color="auto" w:fill="auto"/>
            <w:vAlign w:val="center"/>
            <w:hideMark/>
          </w:tcPr>
          <w:p w14:paraId="5F207048" w14:textId="77777777" w:rsidR="00B56A7B" w:rsidRPr="00111876" w:rsidRDefault="00B56A7B" w:rsidP="00CC47BD">
            <w:pPr>
              <w:overflowPunct/>
              <w:autoSpaceDE/>
              <w:autoSpaceDN/>
              <w:adjustRightInd/>
              <w:spacing w:before="0"/>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分摊会费</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8070FD" w14:textId="553C5B5D"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125</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552</w:t>
            </w:r>
          </w:p>
        </w:tc>
        <w:tc>
          <w:tcPr>
            <w:tcW w:w="604" w:type="pct"/>
            <w:tcBorders>
              <w:top w:val="single" w:sz="4" w:space="0" w:color="auto"/>
              <w:left w:val="nil"/>
              <w:bottom w:val="single" w:sz="4" w:space="0" w:color="auto"/>
              <w:right w:val="single" w:sz="4" w:space="0" w:color="auto"/>
            </w:tcBorders>
            <w:shd w:val="clear" w:color="auto" w:fill="auto"/>
            <w:noWrap/>
            <w:vAlign w:val="bottom"/>
          </w:tcPr>
          <w:p w14:paraId="2C7B9D43"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96" w:type="pct"/>
            <w:gridSpan w:val="2"/>
            <w:tcBorders>
              <w:top w:val="single" w:sz="4" w:space="0" w:color="auto"/>
              <w:left w:val="nil"/>
              <w:bottom w:val="single" w:sz="4" w:space="0" w:color="auto"/>
              <w:right w:val="single" w:sz="4" w:space="0" w:color="auto"/>
            </w:tcBorders>
            <w:shd w:val="clear" w:color="auto" w:fill="auto"/>
            <w:noWrap/>
            <w:vAlign w:val="bottom"/>
          </w:tcPr>
          <w:p w14:paraId="1D4CD6DA"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02" w:type="pct"/>
            <w:tcBorders>
              <w:top w:val="single" w:sz="4" w:space="0" w:color="auto"/>
              <w:left w:val="nil"/>
              <w:bottom w:val="single" w:sz="4" w:space="0" w:color="auto"/>
              <w:right w:val="single" w:sz="4" w:space="0" w:color="auto"/>
            </w:tcBorders>
            <w:shd w:val="clear" w:color="auto" w:fill="auto"/>
            <w:noWrap/>
            <w:vAlign w:val="bottom"/>
          </w:tcPr>
          <w:p w14:paraId="27DB35EC" w14:textId="528F7286"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125</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552</w:t>
            </w:r>
          </w:p>
        </w:tc>
        <w:tc>
          <w:tcPr>
            <w:tcW w:w="579" w:type="pct"/>
            <w:gridSpan w:val="2"/>
            <w:tcBorders>
              <w:top w:val="single" w:sz="4" w:space="0" w:color="auto"/>
              <w:left w:val="nil"/>
              <w:bottom w:val="single" w:sz="4" w:space="0" w:color="auto"/>
              <w:right w:val="single" w:sz="4" w:space="0" w:color="auto"/>
            </w:tcBorders>
            <w:shd w:val="clear" w:color="auto" w:fill="auto"/>
            <w:noWrap/>
            <w:vAlign w:val="bottom"/>
          </w:tcPr>
          <w:p w14:paraId="1FB07893" w14:textId="218ED3FB"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125</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611</w:t>
            </w:r>
          </w:p>
        </w:tc>
        <w:tc>
          <w:tcPr>
            <w:tcW w:w="617" w:type="pct"/>
            <w:tcBorders>
              <w:top w:val="single" w:sz="4" w:space="0" w:color="auto"/>
              <w:left w:val="nil"/>
              <w:bottom w:val="single" w:sz="4" w:space="0" w:color="auto"/>
              <w:right w:val="single" w:sz="4" w:space="0" w:color="auto"/>
            </w:tcBorders>
            <w:shd w:val="clear" w:color="auto" w:fill="auto"/>
            <w:noWrap/>
            <w:vAlign w:val="bottom"/>
          </w:tcPr>
          <w:p w14:paraId="500E7113"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59</w:t>
            </w:r>
          </w:p>
        </w:tc>
      </w:tr>
      <w:tr w:rsidR="00B56A7B" w:rsidRPr="00111876" w14:paraId="0AC04848"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17FB6E79" w14:textId="77777777" w:rsidR="00B56A7B" w:rsidRPr="00111876" w:rsidRDefault="00B56A7B" w:rsidP="00CC47BD">
            <w:pPr>
              <w:overflowPunct/>
              <w:autoSpaceDE/>
              <w:autoSpaceDN/>
              <w:adjustRightInd/>
              <w:spacing w:before="0"/>
              <w:textAlignment w:val="auto"/>
              <w:rPr>
                <w:rFonts w:cs="Calibri"/>
                <w:color w:val="000000"/>
                <w:sz w:val="16"/>
                <w:szCs w:val="16"/>
                <w:lang w:val="en-US" w:eastAsia="zh-CN"/>
              </w:rPr>
            </w:pPr>
            <w:r w:rsidRPr="00111876">
              <w:rPr>
                <w:rFonts w:cs="Calibri"/>
                <w:color w:val="000000"/>
                <w:sz w:val="16"/>
                <w:szCs w:val="16"/>
                <w:lang w:val="en-US" w:eastAsia="zh-CN"/>
              </w:rPr>
              <w:t> </w:t>
            </w:r>
          </w:p>
        </w:tc>
        <w:tc>
          <w:tcPr>
            <w:tcW w:w="704" w:type="pct"/>
            <w:tcBorders>
              <w:top w:val="nil"/>
              <w:left w:val="single" w:sz="4" w:space="0" w:color="auto"/>
              <w:bottom w:val="nil"/>
              <w:right w:val="single" w:sz="4" w:space="0" w:color="auto"/>
            </w:tcBorders>
            <w:shd w:val="clear" w:color="auto" w:fill="auto"/>
            <w:noWrap/>
            <w:vAlign w:val="bottom"/>
          </w:tcPr>
          <w:p w14:paraId="23C9E3B6"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en-GB"/>
              </w:rPr>
            </w:pPr>
          </w:p>
        </w:tc>
        <w:tc>
          <w:tcPr>
            <w:tcW w:w="604" w:type="pct"/>
            <w:tcBorders>
              <w:top w:val="nil"/>
              <w:left w:val="nil"/>
              <w:bottom w:val="nil"/>
              <w:right w:val="single" w:sz="4" w:space="0" w:color="auto"/>
            </w:tcBorders>
            <w:shd w:val="clear" w:color="auto" w:fill="auto"/>
            <w:noWrap/>
            <w:vAlign w:val="bottom"/>
          </w:tcPr>
          <w:p w14:paraId="13318919"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6E653E99"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3D1F6E77"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en-GB"/>
              </w:rPr>
            </w:pPr>
          </w:p>
        </w:tc>
        <w:tc>
          <w:tcPr>
            <w:tcW w:w="579" w:type="pct"/>
            <w:gridSpan w:val="2"/>
            <w:tcBorders>
              <w:top w:val="nil"/>
              <w:left w:val="nil"/>
              <w:bottom w:val="nil"/>
              <w:right w:val="single" w:sz="4" w:space="0" w:color="auto"/>
            </w:tcBorders>
            <w:shd w:val="clear" w:color="auto" w:fill="auto"/>
            <w:noWrap/>
            <w:vAlign w:val="bottom"/>
          </w:tcPr>
          <w:p w14:paraId="79DDA0DF"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en-GB"/>
              </w:rPr>
            </w:pPr>
          </w:p>
        </w:tc>
        <w:tc>
          <w:tcPr>
            <w:tcW w:w="617" w:type="pct"/>
            <w:tcBorders>
              <w:top w:val="nil"/>
              <w:left w:val="nil"/>
              <w:bottom w:val="nil"/>
              <w:right w:val="single" w:sz="4" w:space="0" w:color="auto"/>
            </w:tcBorders>
            <w:shd w:val="clear" w:color="auto" w:fill="auto"/>
            <w:noWrap/>
            <w:vAlign w:val="bottom"/>
          </w:tcPr>
          <w:p w14:paraId="46717C74" w14:textId="77777777" w:rsidR="00B56A7B" w:rsidRPr="00111876" w:rsidRDefault="00B56A7B" w:rsidP="00CC47BD">
            <w:pPr>
              <w:overflowPunct/>
              <w:autoSpaceDE/>
              <w:autoSpaceDN/>
              <w:adjustRightInd/>
              <w:spacing w:before="0"/>
              <w:jc w:val="right"/>
              <w:textAlignment w:val="auto"/>
              <w:rPr>
                <w:rFonts w:cs="Calibri"/>
                <w:color w:val="000000"/>
                <w:sz w:val="16"/>
                <w:szCs w:val="16"/>
                <w:lang w:eastAsia="en-GB"/>
              </w:rPr>
            </w:pPr>
          </w:p>
        </w:tc>
      </w:tr>
      <w:tr w:rsidR="00B56A7B" w:rsidRPr="00111876" w14:paraId="3A6A6879"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0DA1B957"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color w:val="000000"/>
                <w:sz w:val="16"/>
                <w:szCs w:val="16"/>
                <w:lang w:val="en-US" w:eastAsia="zh-CN"/>
              </w:rPr>
              <w:t>支持成本</w:t>
            </w:r>
          </w:p>
        </w:tc>
        <w:tc>
          <w:tcPr>
            <w:tcW w:w="704" w:type="pct"/>
            <w:tcBorders>
              <w:top w:val="nil"/>
              <w:left w:val="single" w:sz="4" w:space="0" w:color="auto"/>
              <w:bottom w:val="nil"/>
              <w:right w:val="single" w:sz="4" w:space="0" w:color="auto"/>
            </w:tcBorders>
            <w:shd w:val="clear" w:color="auto" w:fill="auto"/>
            <w:noWrap/>
            <w:vAlign w:val="bottom"/>
          </w:tcPr>
          <w:p w14:paraId="10500784" w14:textId="3000947C"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375</w:t>
            </w:r>
          </w:p>
        </w:tc>
        <w:tc>
          <w:tcPr>
            <w:tcW w:w="604" w:type="pct"/>
            <w:tcBorders>
              <w:top w:val="nil"/>
              <w:left w:val="nil"/>
              <w:bottom w:val="nil"/>
              <w:right w:val="single" w:sz="4" w:space="0" w:color="auto"/>
            </w:tcBorders>
            <w:shd w:val="clear" w:color="auto" w:fill="auto"/>
            <w:noWrap/>
            <w:vAlign w:val="bottom"/>
          </w:tcPr>
          <w:p w14:paraId="693CFC50"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63A86D17"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4F6DF800" w14:textId="286F8E1B"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375</w:t>
            </w:r>
          </w:p>
        </w:tc>
        <w:tc>
          <w:tcPr>
            <w:tcW w:w="579" w:type="pct"/>
            <w:gridSpan w:val="2"/>
            <w:tcBorders>
              <w:top w:val="nil"/>
              <w:left w:val="nil"/>
              <w:bottom w:val="nil"/>
              <w:right w:val="single" w:sz="4" w:space="0" w:color="auto"/>
            </w:tcBorders>
            <w:shd w:val="clear" w:color="auto" w:fill="auto"/>
            <w:noWrap/>
            <w:vAlign w:val="bottom"/>
          </w:tcPr>
          <w:p w14:paraId="48D00060"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724</w:t>
            </w:r>
          </w:p>
        </w:tc>
        <w:tc>
          <w:tcPr>
            <w:tcW w:w="617" w:type="pct"/>
            <w:tcBorders>
              <w:top w:val="nil"/>
              <w:left w:val="nil"/>
              <w:bottom w:val="nil"/>
              <w:right w:val="single" w:sz="4" w:space="0" w:color="auto"/>
            </w:tcBorders>
            <w:shd w:val="clear" w:color="auto" w:fill="auto"/>
            <w:noWrap/>
            <w:vAlign w:val="bottom"/>
          </w:tcPr>
          <w:p w14:paraId="6EAB3DB0"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-651</w:t>
            </w:r>
          </w:p>
        </w:tc>
      </w:tr>
      <w:tr w:rsidR="00B56A7B" w:rsidRPr="00111876" w14:paraId="53641B06"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1F36B437"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color w:val="000000"/>
                <w:sz w:val="16"/>
                <w:szCs w:val="16"/>
                <w:lang w:val="en-US" w:eastAsia="zh-CN"/>
              </w:rPr>
              <w:t>出版物销售</w:t>
            </w:r>
          </w:p>
        </w:tc>
        <w:tc>
          <w:tcPr>
            <w:tcW w:w="704" w:type="pct"/>
            <w:tcBorders>
              <w:top w:val="nil"/>
              <w:left w:val="single" w:sz="4" w:space="0" w:color="auto"/>
              <w:bottom w:val="nil"/>
              <w:right w:val="single" w:sz="4" w:space="0" w:color="auto"/>
            </w:tcBorders>
            <w:shd w:val="clear" w:color="auto" w:fill="auto"/>
            <w:noWrap/>
            <w:vAlign w:val="bottom"/>
          </w:tcPr>
          <w:p w14:paraId="10AC55AF" w14:textId="7D57BC22"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19</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000</w:t>
            </w:r>
          </w:p>
        </w:tc>
        <w:tc>
          <w:tcPr>
            <w:tcW w:w="604" w:type="pct"/>
            <w:tcBorders>
              <w:top w:val="nil"/>
              <w:left w:val="nil"/>
              <w:bottom w:val="nil"/>
              <w:right w:val="single" w:sz="4" w:space="0" w:color="auto"/>
            </w:tcBorders>
            <w:shd w:val="clear" w:color="auto" w:fill="auto"/>
            <w:noWrap/>
            <w:vAlign w:val="bottom"/>
          </w:tcPr>
          <w:p w14:paraId="3E5FDACA"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7E594468"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41A23F7E" w14:textId="11588B5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19</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000</w:t>
            </w:r>
          </w:p>
        </w:tc>
        <w:tc>
          <w:tcPr>
            <w:tcW w:w="579" w:type="pct"/>
            <w:gridSpan w:val="2"/>
            <w:tcBorders>
              <w:top w:val="nil"/>
              <w:left w:val="nil"/>
              <w:bottom w:val="nil"/>
              <w:right w:val="single" w:sz="4" w:space="0" w:color="auto"/>
            </w:tcBorders>
            <w:shd w:val="clear" w:color="auto" w:fill="auto"/>
            <w:noWrap/>
            <w:vAlign w:val="bottom"/>
          </w:tcPr>
          <w:p w14:paraId="086AAC67" w14:textId="7822DD38"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19</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411</w:t>
            </w:r>
          </w:p>
        </w:tc>
        <w:tc>
          <w:tcPr>
            <w:tcW w:w="617" w:type="pct"/>
            <w:tcBorders>
              <w:top w:val="nil"/>
              <w:left w:val="nil"/>
              <w:bottom w:val="nil"/>
              <w:right w:val="single" w:sz="4" w:space="0" w:color="auto"/>
            </w:tcBorders>
            <w:shd w:val="clear" w:color="auto" w:fill="auto"/>
            <w:noWrap/>
            <w:vAlign w:val="bottom"/>
          </w:tcPr>
          <w:p w14:paraId="7F64A6E8"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411</w:t>
            </w:r>
          </w:p>
        </w:tc>
      </w:tr>
      <w:tr w:rsidR="00B56A7B" w:rsidRPr="00111876" w14:paraId="59A13488"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426DA20D"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color w:val="000000"/>
                <w:sz w:val="16"/>
                <w:szCs w:val="16"/>
                <w:lang w:val="en-US" w:eastAsia="zh-CN"/>
              </w:rPr>
              <w:t>国际通用免费电话号码（</w:t>
            </w:r>
            <w:r w:rsidRPr="00111876">
              <w:rPr>
                <w:rFonts w:asciiTheme="minorHAnsi" w:eastAsia="STKaiti" w:hAnsiTheme="minorHAnsi" w:cs="Calibri"/>
                <w:color w:val="000000"/>
                <w:sz w:val="16"/>
                <w:szCs w:val="16"/>
                <w:lang w:val="en-US" w:eastAsia="zh-CN"/>
              </w:rPr>
              <w:t>UIFN</w:t>
            </w:r>
            <w:r w:rsidRPr="00111876">
              <w:rPr>
                <w:rFonts w:ascii="STKaiti" w:eastAsia="STKaiti" w:hAnsi="STKaiti" w:cs="Calibri"/>
                <w:color w:val="000000"/>
                <w:sz w:val="16"/>
                <w:szCs w:val="16"/>
                <w:lang w:val="en-US" w:eastAsia="zh-CN"/>
              </w:rPr>
              <w:t>）</w:t>
            </w:r>
          </w:p>
        </w:tc>
        <w:tc>
          <w:tcPr>
            <w:tcW w:w="704" w:type="pct"/>
            <w:tcBorders>
              <w:top w:val="nil"/>
              <w:left w:val="single" w:sz="4" w:space="0" w:color="auto"/>
              <w:bottom w:val="nil"/>
              <w:right w:val="single" w:sz="4" w:space="0" w:color="auto"/>
            </w:tcBorders>
            <w:shd w:val="clear" w:color="auto" w:fill="auto"/>
            <w:noWrap/>
            <w:vAlign w:val="bottom"/>
          </w:tcPr>
          <w:p w14:paraId="02EEA3A5"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500</w:t>
            </w:r>
          </w:p>
        </w:tc>
        <w:tc>
          <w:tcPr>
            <w:tcW w:w="604" w:type="pct"/>
            <w:tcBorders>
              <w:top w:val="nil"/>
              <w:left w:val="nil"/>
              <w:bottom w:val="nil"/>
              <w:right w:val="single" w:sz="4" w:space="0" w:color="auto"/>
            </w:tcBorders>
            <w:shd w:val="clear" w:color="auto" w:fill="auto"/>
            <w:noWrap/>
            <w:vAlign w:val="bottom"/>
          </w:tcPr>
          <w:p w14:paraId="18089908"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1CE38235"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5F06DB82"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500</w:t>
            </w:r>
          </w:p>
        </w:tc>
        <w:tc>
          <w:tcPr>
            <w:tcW w:w="579" w:type="pct"/>
            <w:gridSpan w:val="2"/>
            <w:tcBorders>
              <w:top w:val="nil"/>
              <w:left w:val="nil"/>
              <w:bottom w:val="nil"/>
              <w:right w:val="single" w:sz="4" w:space="0" w:color="auto"/>
            </w:tcBorders>
            <w:shd w:val="clear" w:color="auto" w:fill="auto"/>
            <w:noWrap/>
            <w:vAlign w:val="bottom"/>
          </w:tcPr>
          <w:p w14:paraId="251FE32B"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313</w:t>
            </w:r>
          </w:p>
        </w:tc>
        <w:tc>
          <w:tcPr>
            <w:tcW w:w="617" w:type="pct"/>
            <w:tcBorders>
              <w:top w:val="nil"/>
              <w:left w:val="nil"/>
              <w:bottom w:val="nil"/>
              <w:right w:val="single" w:sz="4" w:space="0" w:color="auto"/>
            </w:tcBorders>
            <w:shd w:val="clear" w:color="auto" w:fill="auto"/>
            <w:noWrap/>
            <w:vAlign w:val="bottom"/>
          </w:tcPr>
          <w:p w14:paraId="535AB366"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-187</w:t>
            </w:r>
          </w:p>
        </w:tc>
      </w:tr>
      <w:tr w:rsidR="00B56A7B" w:rsidRPr="00111876" w14:paraId="16E6AC9C"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18693580"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color w:val="000000"/>
                <w:sz w:val="16"/>
                <w:szCs w:val="16"/>
                <w:lang w:val="en-US" w:eastAsia="zh-CN"/>
              </w:rPr>
              <w:t>电信展览部</w:t>
            </w:r>
          </w:p>
        </w:tc>
        <w:tc>
          <w:tcPr>
            <w:tcW w:w="704" w:type="pct"/>
            <w:tcBorders>
              <w:top w:val="nil"/>
              <w:left w:val="single" w:sz="4" w:space="0" w:color="auto"/>
              <w:bottom w:val="nil"/>
              <w:right w:val="single" w:sz="4" w:space="0" w:color="auto"/>
            </w:tcBorders>
            <w:shd w:val="clear" w:color="auto" w:fill="auto"/>
            <w:noWrap/>
            <w:vAlign w:val="bottom"/>
          </w:tcPr>
          <w:p w14:paraId="17363F27" w14:textId="11EE898B"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500</w:t>
            </w:r>
          </w:p>
        </w:tc>
        <w:tc>
          <w:tcPr>
            <w:tcW w:w="604" w:type="pct"/>
            <w:tcBorders>
              <w:top w:val="nil"/>
              <w:left w:val="nil"/>
              <w:bottom w:val="nil"/>
              <w:right w:val="single" w:sz="4" w:space="0" w:color="auto"/>
            </w:tcBorders>
            <w:shd w:val="clear" w:color="auto" w:fill="auto"/>
            <w:noWrap/>
            <w:vAlign w:val="bottom"/>
          </w:tcPr>
          <w:p w14:paraId="172171DE"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791A1C0D"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79B306B8" w14:textId="58B028EB"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500</w:t>
            </w:r>
          </w:p>
        </w:tc>
        <w:tc>
          <w:tcPr>
            <w:tcW w:w="579" w:type="pct"/>
            <w:gridSpan w:val="2"/>
            <w:tcBorders>
              <w:top w:val="nil"/>
              <w:left w:val="nil"/>
              <w:bottom w:val="nil"/>
              <w:right w:val="single" w:sz="4" w:space="0" w:color="auto"/>
            </w:tcBorders>
            <w:shd w:val="clear" w:color="auto" w:fill="auto"/>
            <w:noWrap/>
            <w:vAlign w:val="bottom"/>
          </w:tcPr>
          <w:p w14:paraId="6415C58A"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w:t>
            </w:r>
          </w:p>
        </w:tc>
        <w:tc>
          <w:tcPr>
            <w:tcW w:w="617" w:type="pct"/>
            <w:tcBorders>
              <w:top w:val="nil"/>
              <w:left w:val="nil"/>
              <w:bottom w:val="nil"/>
              <w:right w:val="single" w:sz="4" w:space="0" w:color="auto"/>
            </w:tcBorders>
            <w:shd w:val="clear" w:color="auto" w:fill="auto"/>
            <w:noWrap/>
            <w:vAlign w:val="bottom"/>
          </w:tcPr>
          <w:p w14:paraId="32483359" w14:textId="280AA5B8"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500</w:t>
            </w:r>
          </w:p>
        </w:tc>
      </w:tr>
      <w:tr w:rsidR="00B56A7B" w:rsidRPr="00111876" w14:paraId="1D735CF9"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2A7896E5"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color w:val="000000"/>
                <w:sz w:val="16"/>
                <w:szCs w:val="16"/>
                <w:lang w:val="en-US" w:eastAsia="zh-CN"/>
              </w:rPr>
              <w:t>卫星网络申报（</w:t>
            </w:r>
            <w:r w:rsidRPr="00111876">
              <w:rPr>
                <w:rFonts w:asciiTheme="minorHAnsi" w:eastAsia="STKaiti" w:hAnsiTheme="minorHAnsi" w:cs="Calibri"/>
                <w:color w:val="000000"/>
                <w:sz w:val="16"/>
                <w:szCs w:val="16"/>
                <w:lang w:val="en-US" w:eastAsia="zh-CN"/>
              </w:rPr>
              <w:t>SNF</w:t>
            </w:r>
            <w:r w:rsidRPr="00111876">
              <w:rPr>
                <w:rFonts w:ascii="STKaiti" w:eastAsia="STKaiti" w:hAnsi="STKaiti" w:cs="Calibri"/>
                <w:color w:val="000000"/>
                <w:sz w:val="16"/>
                <w:szCs w:val="16"/>
                <w:lang w:val="en-US" w:eastAsia="zh-CN"/>
              </w:rPr>
              <w:t>）成本回收</w:t>
            </w:r>
          </w:p>
        </w:tc>
        <w:tc>
          <w:tcPr>
            <w:tcW w:w="704" w:type="pct"/>
            <w:tcBorders>
              <w:top w:val="nil"/>
              <w:left w:val="single" w:sz="4" w:space="0" w:color="auto"/>
              <w:bottom w:val="nil"/>
              <w:right w:val="single" w:sz="4" w:space="0" w:color="auto"/>
            </w:tcBorders>
            <w:shd w:val="clear" w:color="auto" w:fill="auto"/>
            <w:noWrap/>
            <w:vAlign w:val="bottom"/>
          </w:tcPr>
          <w:p w14:paraId="6F4187D6" w14:textId="5D9DF02E"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15</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500</w:t>
            </w:r>
          </w:p>
        </w:tc>
        <w:tc>
          <w:tcPr>
            <w:tcW w:w="604" w:type="pct"/>
            <w:tcBorders>
              <w:top w:val="nil"/>
              <w:left w:val="nil"/>
              <w:bottom w:val="nil"/>
              <w:right w:val="single" w:sz="4" w:space="0" w:color="auto"/>
            </w:tcBorders>
            <w:shd w:val="clear" w:color="auto" w:fill="auto"/>
            <w:noWrap/>
            <w:vAlign w:val="bottom"/>
          </w:tcPr>
          <w:p w14:paraId="400502DF"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1B4BEEAB"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4B0FDECD" w14:textId="0BCD1C39"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15</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500</w:t>
            </w:r>
          </w:p>
        </w:tc>
        <w:tc>
          <w:tcPr>
            <w:tcW w:w="579" w:type="pct"/>
            <w:gridSpan w:val="2"/>
            <w:tcBorders>
              <w:top w:val="nil"/>
              <w:left w:val="nil"/>
              <w:bottom w:val="nil"/>
              <w:right w:val="single" w:sz="4" w:space="0" w:color="auto"/>
            </w:tcBorders>
            <w:shd w:val="clear" w:color="auto" w:fill="auto"/>
            <w:noWrap/>
            <w:vAlign w:val="bottom"/>
          </w:tcPr>
          <w:p w14:paraId="3AE33FA8" w14:textId="315CC03A"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11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240</w:t>
            </w:r>
          </w:p>
        </w:tc>
        <w:tc>
          <w:tcPr>
            <w:tcW w:w="617" w:type="pct"/>
            <w:tcBorders>
              <w:top w:val="nil"/>
              <w:left w:val="nil"/>
              <w:bottom w:val="nil"/>
              <w:right w:val="single" w:sz="4" w:space="0" w:color="auto"/>
            </w:tcBorders>
            <w:shd w:val="clear" w:color="auto" w:fill="auto"/>
            <w:noWrap/>
            <w:vAlign w:val="bottom"/>
          </w:tcPr>
          <w:p w14:paraId="3B0DDA10"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-4260</w:t>
            </w:r>
          </w:p>
        </w:tc>
      </w:tr>
      <w:tr w:rsidR="00B56A7B" w:rsidRPr="00111876" w14:paraId="1BDD68E7"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6DC28908"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color w:val="000000"/>
                <w:sz w:val="16"/>
                <w:szCs w:val="16"/>
                <w:lang w:val="en-US" w:eastAsia="zh-CN"/>
              </w:rPr>
              <w:t>其它成本回收</w:t>
            </w:r>
          </w:p>
        </w:tc>
        <w:tc>
          <w:tcPr>
            <w:tcW w:w="704" w:type="pct"/>
            <w:tcBorders>
              <w:top w:val="nil"/>
              <w:left w:val="single" w:sz="4" w:space="0" w:color="auto"/>
              <w:bottom w:val="nil"/>
              <w:right w:val="single" w:sz="4" w:space="0" w:color="auto"/>
            </w:tcBorders>
            <w:shd w:val="clear" w:color="auto" w:fill="auto"/>
            <w:noWrap/>
            <w:vAlign w:val="bottom"/>
          </w:tcPr>
          <w:p w14:paraId="5B0FEA2C"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04" w:type="pct"/>
            <w:tcBorders>
              <w:top w:val="nil"/>
              <w:left w:val="nil"/>
              <w:bottom w:val="nil"/>
              <w:right w:val="single" w:sz="4" w:space="0" w:color="auto"/>
            </w:tcBorders>
            <w:shd w:val="clear" w:color="auto" w:fill="auto"/>
            <w:noWrap/>
            <w:vAlign w:val="bottom"/>
          </w:tcPr>
          <w:p w14:paraId="0C9773FA"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2948F711"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6F3B1852"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w:t>
            </w:r>
          </w:p>
        </w:tc>
        <w:tc>
          <w:tcPr>
            <w:tcW w:w="579" w:type="pct"/>
            <w:gridSpan w:val="2"/>
            <w:tcBorders>
              <w:top w:val="nil"/>
              <w:left w:val="nil"/>
              <w:bottom w:val="nil"/>
              <w:right w:val="single" w:sz="4" w:space="0" w:color="auto"/>
            </w:tcBorders>
            <w:shd w:val="clear" w:color="auto" w:fill="auto"/>
            <w:noWrap/>
            <w:vAlign w:val="bottom"/>
          </w:tcPr>
          <w:p w14:paraId="4920F720"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7</w:t>
            </w:r>
          </w:p>
        </w:tc>
        <w:tc>
          <w:tcPr>
            <w:tcW w:w="617" w:type="pct"/>
            <w:tcBorders>
              <w:top w:val="nil"/>
              <w:left w:val="nil"/>
              <w:bottom w:val="nil"/>
              <w:right w:val="single" w:sz="4" w:space="0" w:color="auto"/>
            </w:tcBorders>
            <w:shd w:val="clear" w:color="auto" w:fill="auto"/>
            <w:noWrap/>
            <w:vAlign w:val="bottom"/>
          </w:tcPr>
          <w:p w14:paraId="10B571DA" w14:textId="77777777" w:rsidR="00B56A7B" w:rsidRPr="00111876" w:rsidRDefault="00B56A7B" w:rsidP="00CC47BD">
            <w:pPr>
              <w:overflowPunct/>
              <w:autoSpaceDE/>
              <w:autoSpaceDN/>
              <w:adjustRightInd/>
              <w:spacing w:before="0"/>
              <w:jc w:val="right"/>
              <w:textAlignment w:val="auto"/>
              <w:rPr>
                <w:rFonts w:cs="Calibri"/>
                <w:i/>
                <w:iCs/>
                <w:color w:val="000000"/>
                <w:sz w:val="16"/>
                <w:szCs w:val="16"/>
                <w:lang w:eastAsia="en-GB"/>
              </w:rPr>
            </w:pPr>
            <w:r w:rsidRPr="00111876">
              <w:rPr>
                <w:rFonts w:asciiTheme="minorHAnsi" w:hAnsiTheme="minorHAnsi" w:cstheme="minorHAnsi"/>
                <w:i/>
                <w:iCs/>
                <w:color w:val="000000"/>
                <w:sz w:val="16"/>
                <w:szCs w:val="16"/>
                <w:lang w:eastAsia="en-GB"/>
              </w:rPr>
              <w:t>7</w:t>
            </w:r>
          </w:p>
        </w:tc>
      </w:tr>
      <w:tr w:rsidR="00B56A7B" w:rsidRPr="00111876" w14:paraId="67B11060" w14:textId="77777777" w:rsidTr="00CC47BD">
        <w:trPr>
          <w:trHeight w:val="300"/>
        </w:trPr>
        <w:tc>
          <w:tcPr>
            <w:tcW w:w="1198" w:type="pct"/>
            <w:tcBorders>
              <w:top w:val="single" w:sz="4" w:space="0" w:color="auto"/>
              <w:left w:val="single" w:sz="4" w:space="0" w:color="auto"/>
              <w:bottom w:val="single" w:sz="4" w:space="0" w:color="auto"/>
              <w:right w:val="nil"/>
            </w:tcBorders>
            <w:shd w:val="clear" w:color="auto" w:fill="auto"/>
            <w:vAlign w:val="bottom"/>
            <w:hideMark/>
          </w:tcPr>
          <w:p w14:paraId="180E1BF2" w14:textId="77777777" w:rsidR="00B56A7B" w:rsidRPr="00111876" w:rsidRDefault="00B56A7B" w:rsidP="00CC47BD">
            <w:pPr>
              <w:overflowPunct/>
              <w:autoSpaceDE/>
              <w:autoSpaceDN/>
              <w:adjustRightInd/>
              <w:spacing w:before="0"/>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成本回收</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52C4F7" w14:textId="1DFAF660"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37</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875</w:t>
            </w:r>
          </w:p>
        </w:tc>
        <w:tc>
          <w:tcPr>
            <w:tcW w:w="604" w:type="pct"/>
            <w:tcBorders>
              <w:top w:val="single" w:sz="4" w:space="0" w:color="auto"/>
              <w:left w:val="nil"/>
              <w:bottom w:val="single" w:sz="4" w:space="0" w:color="auto"/>
              <w:right w:val="single" w:sz="4" w:space="0" w:color="auto"/>
            </w:tcBorders>
            <w:shd w:val="clear" w:color="auto" w:fill="auto"/>
            <w:noWrap/>
            <w:vAlign w:val="bottom"/>
          </w:tcPr>
          <w:p w14:paraId="325B1E75"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96" w:type="pct"/>
            <w:gridSpan w:val="2"/>
            <w:tcBorders>
              <w:top w:val="single" w:sz="4" w:space="0" w:color="auto"/>
              <w:left w:val="nil"/>
              <w:bottom w:val="single" w:sz="4" w:space="0" w:color="auto"/>
              <w:right w:val="single" w:sz="4" w:space="0" w:color="auto"/>
            </w:tcBorders>
            <w:shd w:val="clear" w:color="auto" w:fill="auto"/>
            <w:noWrap/>
            <w:vAlign w:val="bottom"/>
          </w:tcPr>
          <w:p w14:paraId="6CAC498A"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02" w:type="pct"/>
            <w:tcBorders>
              <w:top w:val="single" w:sz="4" w:space="0" w:color="auto"/>
              <w:left w:val="nil"/>
              <w:bottom w:val="single" w:sz="4" w:space="0" w:color="auto"/>
              <w:right w:val="single" w:sz="4" w:space="0" w:color="auto"/>
            </w:tcBorders>
            <w:shd w:val="clear" w:color="auto" w:fill="auto"/>
            <w:noWrap/>
            <w:vAlign w:val="bottom"/>
          </w:tcPr>
          <w:p w14:paraId="288E2793" w14:textId="54B0746F"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37</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875</w:t>
            </w:r>
          </w:p>
        </w:tc>
        <w:tc>
          <w:tcPr>
            <w:tcW w:w="579" w:type="pct"/>
            <w:gridSpan w:val="2"/>
            <w:tcBorders>
              <w:top w:val="single" w:sz="4" w:space="0" w:color="auto"/>
              <w:left w:val="nil"/>
              <w:bottom w:val="single" w:sz="4" w:space="0" w:color="auto"/>
              <w:right w:val="single" w:sz="4" w:space="0" w:color="auto"/>
            </w:tcBorders>
            <w:shd w:val="clear" w:color="auto" w:fill="auto"/>
            <w:noWrap/>
            <w:vAlign w:val="bottom"/>
          </w:tcPr>
          <w:p w14:paraId="7090F05E" w14:textId="2970CE1E"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31</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696</w:t>
            </w:r>
          </w:p>
        </w:tc>
        <w:tc>
          <w:tcPr>
            <w:tcW w:w="617" w:type="pct"/>
            <w:tcBorders>
              <w:top w:val="single" w:sz="4" w:space="0" w:color="auto"/>
              <w:left w:val="nil"/>
              <w:bottom w:val="single" w:sz="4" w:space="0" w:color="auto"/>
              <w:right w:val="single" w:sz="4" w:space="0" w:color="auto"/>
            </w:tcBorders>
            <w:shd w:val="clear" w:color="auto" w:fill="auto"/>
            <w:noWrap/>
            <w:vAlign w:val="bottom"/>
          </w:tcPr>
          <w:p w14:paraId="0362284F" w14:textId="020395D3"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-6</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179</w:t>
            </w:r>
          </w:p>
        </w:tc>
      </w:tr>
      <w:tr w:rsidR="00B56A7B" w:rsidRPr="00111876" w14:paraId="793F59D1" w14:textId="77777777" w:rsidTr="00CC47BD">
        <w:trPr>
          <w:trHeight w:val="135"/>
        </w:trPr>
        <w:tc>
          <w:tcPr>
            <w:tcW w:w="1198" w:type="pct"/>
            <w:tcBorders>
              <w:top w:val="nil"/>
              <w:left w:val="single" w:sz="4" w:space="0" w:color="auto"/>
              <w:bottom w:val="nil"/>
              <w:right w:val="nil"/>
            </w:tcBorders>
            <w:shd w:val="clear" w:color="auto" w:fill="auto"/>
            <w:vAlign w:val="bottom"/>
            <w:hideMark/>
          </w:tcPr>
          <w:p w14:paraId="0ECE1D20" w14:textId="77777777" w:rsidR="00B56A7B" w:rsidRPr="00111876" w:rsidRDefault="00B56A7B" w:rsidP="00CC47BD">
            <w:pPr>
              <w:overflowPunct/>
              <w:autoSpaceDE/>
              <w:autoSpaceDN/>
              <w:adjustRightInd/>
              <w:spacing w:before="0"/>
              <w:textAlignment w:val="auto"/>
              <w:rPr>
                <w:rFonts w:cs="Calibri"/>
                <w:b/>
                <w:color w:val="000000"/>
                <w:sz w:val="16"/>
                <w:szCs w:val="16"/>
                <w:lang w:val="en-US" w:eastAsia="zh-CN"/>
              </w:rPr>
            </w:pPr>
            <w:r w:rsidRPr="00111876">
              <w:rPr>
                <w:rFonts w:cs="Calibri"/>
                <w:b/>
                <w:color w:val="000000"/>
                <w:sz w:val="16"/>
                <w:szCs w:val="16"/>
                <w:lang w:val="en-US" w:eastAsia="zh-CN"/>
              </w:rPr>
              <w:t> </w:t>
            </w:r>
          </w:p>
        </w:tc>
        <w:tc>
          <w:tcPr>
            <w:tcW w:w="704" w:type="pct"/>
            <w:tcBorders>
              <w:top w:val="nil"/>
              <w:left w:val="single" w:sz="4" w:space="0" w:color="auto"/>
              <w:bottom w:val="nil"/>
              <w:right w:val="single" w:sz="4" w:space="0" w:color="auto"/>
            </w:tcBorders>
            <w:shd w:val="clear" w:color="auto" w:fill="auto"/>
            <w:noWrap/>
            <w:vAlign w:val="bottom"/>
          </w:tcPr>
          <w:p w14:paraId="14401DD5"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04" w:type="pct"/>
            <w:tcBorders>
              <w:top w:val="nil"/>
              <w:left w:val="nil"/>
              <w:bottom w:val="nil"/>
              <w:right w:val="single" w:sz="4" w:space="0" w:color="auto"/>
            </w:tcBorders>
            <w:shd w:val="clear" w:color="auto" w:fill="auto"/>
            <w:noWrap/>
            <w:vAlign w:val="bottom"/>
          </w:tcPr>
          <w:p w14:paraId="7AC5399C"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7B400F94"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63A28EFC"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579" w:type="pct"/>
            <w:gridSpan w:val="2"/>
            <w:tcBorders>
              <w:top w:val="nil"/>
              <w:left w:val="nil"/>
              <w:bottom w:val="nil"/>
              <w:right w:val="single" w:sz="4" w:space="0" w:color="auto"/>
            </w:tcBorders>
            <w:shd w:val="clear" w:color="auto" w:fill="auto"/>
            <w:noWrap/>
            <w:vAlign w:val="bottom"/>
          </w:tcPr>
          <w:p w14:paraId="6E543AE0"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17" w:type="pct"/>
            <w:tcBorders>
              <w:top w:val="nil"/>
              <w:left w:val="nil"/>
              <w:bottom w:val="nil"/>
              <w:right w:val="single" w:sz="4" w:space="0" w:color="auto"/>
            </w:tcBorders>
            <w:shd w:val="clear" w:color="auto" w:fill="auto"/>
            <w:noWrap/>
            <w:vAlign w:val="bottom"/>
          </w:tcPr>
          <w:p w14:paraId="3063A1B5"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r>
      <w:tr w:rsidR="00B56A7B" w:rsidRPr="00111876" w14:paraId="327BEA7B"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0E65A88E" w14:textId="77777777" w:rsidR="00B56A7B" w:rsidRPr="00111876" w:rsidRDefault="00B56A7B" w:rsidP="00CC47BD">
            <w:pPr>
              <w:overflowPunct/>
              <w:adjustRightInd/>
              <w:spacing w:before="0"/>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利息</w:t>
            </w:r>
          </w:p>
        </w:tc>
        <w:tc>
          <w:tcPr>
            <w:tcW w:w="704" w:type="pct"/>
            <w:tcBorders>
              <w:top w:val="nil"/>
              <w:left w:val="single" w:sz="4" w:space="0" w:color="auto"/>
              <w:bottom w:val="nil"/>
              <w:right w:val="single" w:sz="4" w:space="0" w:color="auto"/>
            </w:tcBorders>
            <w:shd w:val="clear" w:color="auto" w:fill="auto"/>
            <w:noWrap/>
            <w:vAlign w:val="bottom"/>
          </w:tcPr>
          <w:p w14:paraId="6D000C5A"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300</w:t>
            </w:r>
          </w:p>
        </w:tc>
        <w:tc>
          <w:tcPr>
            <w:tcW w:w="604" w:type="pct"/>
            <w:tcBorders>
              <w:top w:val="nil"/>
              <w:left w:val="nil"/>
              <w:bottom w:val="nil"/>
              <w:right w:val="single" w:sz="4" w:space="0" w:color="auto"/>
            </w:tcBorders>
            <w:shd w:val="clear" w:color="auto" w:fill="auto"/>
            <w:noWrap/>
            <w:vAlign w:val="bottom"/>
          </w:tcPr>
          <w:p w14:paraId="35E6BE73"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70250F07"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58BE63CC"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300</w:t>
            </w:r>
          </w:p>
        </w:tc>
        <w:tc>
          <w:tcPr>
            <w:tcW w:w="579" w:type="pct"/>
            <w:gridSpan w:val="2"/>
            <w:tcBorders>
              <w:top w:val="nil"/>
              <w:left w:val="nil"/>
              <w:bottom w:val="nil"/>
              <w:right w:val="single" w:sz="4" w:space="0" w:color="auto"/>
            </w:tcBorders>
            <w:shd w:val="clear" w:color="auto" w:fill="auto"/>
            <w:noWrap/>
            <w:vAlign w:val="bottom"/>
          </w:tcPr>
          <w:p w14:paraId="1B076473"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166</w:t>
            </w:r>
          </w:p>
        </w:tc>
        <w:tc>
          <w:tcPr>
            <w:tcW w:w="617" w:type="pct"/>
            <w:tcBorders>
              <w:top w:val="nil"/>
              <w:left w:val="nil"/>
              <w:bottom w:val="nil"/>
              <w:right w:val="single" w:sz="4" w:space="0" w:color="auto"/>
            </w:tcBorders>
            <w:shd w:val="clear" w:color="auto" w:fill="auto"/>
            <w:noWrap/>
            <w:vAlign w:val="bottom"/>
          </w:tcPr>
          <w:p w14:paraId="05A5535E"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-134</w:t>
            </w:r>
          </w:p>
        </w:tc>
      </w:tr>
      <w:tr w:rsidR="00B56A7B" w:rsidRPr="00111876" w14:paraId="6C7537B8"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56DF4667" w14:textId="77777777" w:rsidR="00B56A7B" w:rsidRPr="00111876" w:rsidRDefault="00B56A7B" w:rsidP="00CC47BD">
            <w:pPr>
              <w:overflowPunct/>
              <w:adjustRightInd/>
              <w:spacing w:before="0"/>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其它收入</w:t>
            </w:r>
          </w:p>
        </w:tc>
        <w:tc>
          <w:tcPr>
            <w:tcW w:w="704" w:type="pct"/>
            <w:tcBorders>
              <w:top w:val="nil"/>
              <w:left w:val="single" w:sz="4" w:space="0" w:color="auto"/>
              <w:bottom w:val="nil"/>
              <w:right w:val="single" w:sz="4" w:space="0" w:color="auto"/>
            </w:tcBorders>
            <w:shd w:val="clear" w:color="auto" w:fill="auto"/>
            <w:noWrap/>
            <w:vAlign w:val="bottom"/>
          </w:tcPr>
          <w:p w14:paraId="4E9CAF77"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sz w:val="16"/>
                <w:szCs w:val="16"/>
                <w:lang w:eastAsia="en-GB"/>
              </w:rPr>
              <w:t>100</w:t>
            </w:r>
          </w:p>
        </w:tc>
        <w:tc>
          <w:tcPr>
            <w:tcW w:w="604" w:type="pct"/>
            <w:tcBorders>
              <w:top w:val="nil"/>
              <w:left w:val="nil"/>
              <w:bottom w:val="nil"/>
              <w:right w:val="single" w:sz="4" w:space="0" w:color="auto"/>
            </w:tcBorders>
            <w:shd w:val="clear" w:color="auto" w:fill="auto"/>
            <w:noWrap/>
            <w:vAlign w:val="bottom"/>
          </w:tcPr>
          <w:p w14:paraId="6C043E19"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96" w:type="pct"/>
            <w:gridSpan w:val="2"/>
            <w:tcBorders>
              <w:top w:val="nil"/>
              <w:left w:val="nil"/>
              <w:bottom w:val="nil"/>
              <w:right w:val="single" w:sz="4" w:space="0" w:color="auto"/>
            </w:tcBorders>
            <w:shd w:val="clear" w:color="auto" w:fill="auto"/>
            <w:noWrap/>
            <w:vAlign w:val="bottom"/>
          </w:tcPr>
          <w:p w14:paraId="79CF2510"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1ACDCAE1"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100</w:t>
            </w:r>
          </w:p>
        </w:tc>
        <w:tc>
          <w:tcPr>
            <w:tcW w:w="579" w:type="pct"/>
            <w:gridSpan w:val="2"/>
            <w:tcBorders>
              <w:top w:val="nil"/>
              <w:left w:val="nil"/>
              <w:bottom w:val="nil"/>
              <w:right w:val="single" w:sz="4" w:space="0" w:color="auto"/>
            </w:tcBorders>
            <w:shd w:val="clear" w:color="auto" w:fill="auto"/>
            <w:noWrap/>
            <w:vAlign w:val="bottom"/>
          </w:tcPr>
          <w:p w14:paraId="63ECDB26" w14:textId="7578B005"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sz w:val="16"/>
                <w:szCs w:val="16"/>
                <w:lang w:eastAsia="en-GB"/>
              </w:rPr>
              <w:t>-2</w:t>
            </w:r>
            <w:r w:rsidR="002E25E5" w:rsidRPr="00111876">
              <w:rPr>
                <w:rFonts w:asciiTheme="minorHAnsi" w:hAnsiTheme="minorHAnsi" w:cstheme="minorHAnsi"/>
                <w:b/>
                <w:bCs/>
                <w:sz w:val="16"/>
                <w:szCs w:val="16"/>
                <w:lang w:eastAsia="en-GB"/>
              </w:rPr>
              <w:t> </w:t>
            </w:r>
            <w:r w:rsidRPr="00111876">
              <w:rPr>
                <w:rFonts w:asciiTheme="minorHAnsi" w:hAnsiTheme="minorHAnsi" w:cstheme="minorHAnsi"/>
                <w:b/>
                <w:bCs/>
                <w:sz w:val="16"/>
                <w:szCs w:val="16"/>
                <w:lang w:eastAsia="en-GB"/>
              </w:rPr>
              <w:t>704</w:t>
            </w:r>
          </w:p>
        </w:tc>
        <w:tc>
          <w:tcPr>
            <w:tcW w:w="617" w:type="pct"/>
            <w:tcBorders>
              <w:top w:val="nil"/>
              <w:left w:val="nil"/>
              <w:bottom w:val="nil"/>
              <w:right w:val="single" w:sz="4" w:space="0" w:color="auto"/>
            </w:tcBorders>
            <w:shd w:val="clear" w:color="auto" w:fill="auto"/>
            <w:noWrap/>
            <w:vAlign w:val="bottom"/>
          </w:tcPr>
          <w:p w14:paraId="10A0309A" w14:textId="1C2245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sz w:val="16"/>
                <w:szCs w:val="16"/>
                <w:lang w:eastAsia="en-GB"/>
              </w:rPr>
              <w:t>-2</w:t>
            </w:r>
            <w:r w:rsidR="002E25E5" w:rsidRPr="00111876">
              <w:rPr>
                <w:rFonts w:asciiTheme="minorHAnsi" w:hAnsiTheme="minorHAnsi" w:cstheme="minorHAnsi"/>
                <w:b/>
                <w:bCs/>
                <w:sz w:val="16"/>
                <w:szCs w:val="16"/>
                <w:lang w:eastAsia="en-GB"/>
              </w:rPr>
              <w:t> </w:t>
            </w:r>
            <w:r w:rsidRPr="00111876">
              <w:rPr>
                <w:rFonts w:asciiTheme="minorHAnsi" w:hAnsiTheme="minorHAnsi" w:cstheme="minorHAnsi"/>
                <w:b/>
                <w:bCs/>
                <w:sz w:val="16"/>
                <w:szCs w:val="16"/>
                <w:lang w:eastAsia="en-GB"/>
              </w:rPr>
              <w:t>804</w:t>
            </w:r>
          </w:p>
        </w:tc>
      </w:tr>
      <w:tr w:rsidR="00B56A7B" w:rsidRPr="00111876" w14:paraId="3AAED6D9" w14:textId="77777777" w:rsidTr="00CC47BD">
        <w:trPr>
          <w:trHeight w:val="300"/>
        </w:trPr>
        <w:tc>
          <w:tcPr>
            <w:tcW w:w="1198" w:type="pct"/>
            <w:tcBorders>
              <w:top w:val="nil"/>
              <w:left w:val="single" w:sz="4" w:space="0" w:color="auto"/>
              <w:bottom w:val="nil"/>
              <w:right w:val="nil"/>
            </w:tcBorders>
            <w:shd w:val="clear" w:color="auto" w:fill="auto"/>
            <w:vAlign w:val="bottom"/>
          </w:tcPr>
          <w:p w14:paraId="67E77B63" w14:textId="77777777" w:rsidR="00B56A7B" w:rsidRPr="00111876" w:rsidRDefault="00B56A7B" w:rsidP="00CC47BD">
            <w:pPr>
              <w:overflowPunct/>
              <w:adjustRightInd/>
              <w:spacing w:before="0"/>
              <w:textAlignment w:val="auto"/>
              <w:rPr>
                <w:rFonts w:cs="Calibri"/>
                <w:b/>
                <w:bCs/>
                <w:color w:val="000000"/>
                <w:sz w:val="16"/>
                <w:szCs w:val="16"/>
                <w:lang w:val="en-US" w:eastAsia="zh-CN"/>
              </w:rPr>
            </w:pPr>
            <w:r w:rsidRPr="00111876">
              <w:rPr>
                <w:rFonts w:cs="Calibri" w:hint="eastAsia"/>
                <w:b/>
                <w:bCs/>
                <w:color w:val="000000"/>
                <w:sz w:val="16"/>
                <w:szCs w:val="16"/>
                <w:lang w:eastAsia="zh-CN"/>
              </w:rPr>
              <w:t>递延活动</w:t>
            </w:r>
          </w:p>
        </w:tc>
        <w:tc>
          <w:tcPr>
            <w:tcW w:w="704" w:type="pct"/>
            <w:tcBorders>
              <w:top w:val="nil"/>
              <w:left w:val="single" w:sz="4" w:space="0" w:color="auto"/>
              <w:bottom w:val="nil"/>
              <w:right w:val="single" w:sz="4" w:space="0" w:color="auto"/>
            </w:tcBorders>
            <w:shd w:val="clear" w:color="auto" w:fill="auto"/>
            <w:noWrap/>
            <w:vAlign w:val="bottom"/>
          </w:tcPr>
          <w:p w14:paraId="36757462"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04" w:type="pct"/>
            <w:tcBorders>
              <w:top w:val="nil"/>
              <w:left w:val="nil"/>
              <w:bottom w:val="nil"/>
              <w:right w:val="single" w:sz="4" w:space="0" w:color="auto"/>
            </w:tcBorders>
            <w:shd w:val="clear" w:color="auto" w:fill="auto"/>
            <w:noWrap/>
            <w:vAlign w:val="bottom"/>
          </w:tcPr>
          <w:p w14:paraId="52FEB143" w14:textId="5CE69F50"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sz w:val="16"/>
                <w:szCs w:val="16"/>
                <w:lang w:eastAsia="en-GB"/>
              </w:rPr>
              <w:t>-1</w:t>
            </w:r>
            <w:r w:rsidR="002E25E5" w:rsidRPr="00111876">
              <w:rPr>
                <w:rFonts w:asciiTheme="minorHAnsi" w:hAnsiTheme="minorHAnsi" w:cstheme="minorHAnsi"/>
                <w:b/>
                <w:bCs/>
                <w:sz w:val="16"/>
                <w:szCs w:val="16"/>
                <w:lang w:eastAsia="en-GB"/>
              </w:rPr>
              <w:t> </w:t>
            </w:r>
            <w:r w:rsidRPr="00111876">
              <w:rPr>
                <w:rFonts w:asciiTheme="minorHAnsi" w:hAnsiTheme="minorHAnsi" w:cstheme="minorHAnsi"/>
                <w:b/>
                <w:bCs/>
                <w:sz w:val="16"/>
                <w:szCs w:val="16"/>
                <w:lang w:eastAsia="en-GB"/>
              </w:rPr>
              <w:t>640</w:t>
            </w:r>
          </w:p>
        </w:tc>
        <w:tc>
          <w:tcPr>
            <w:tcW w:w="696" w:type="pct"/>
            <w:gridSpan w:val="2"/>
            <w:tcBorders>
              <w:top w:val="nil"/>
              <w:left w:val="nil"/>
              <w:bottom w:val="nil"/>
              <w:right w:val="single" w:sz="4" w:space="0" w:color="auto"/>
            </w:tcBorders>
            <w:shd w:val="clear" w:color="auto" w:fill="auto"/>
            <w:noWrap/>
            <w:vAlign w:val="bottom"/>
          </w:tcPr>
          <w:p w14:paraId="0FE33321"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1A2D4006" w14:textId="78E4DF49"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-1</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867</w:t>
            </w:r>
          </w:p>
        </w:tc>
        <w:tc>
          <w:tcPr>
            <w:tcW w:w="579" w:type="pct"/>
            <w:gridSpan w:val="2"/>
            <w:tcBorders>
              <w:top w:val="nil"/>
              <w:left w:val="nil"/>
              <w:bottom w:val="nil"/>
              <w:right w:val="single" w:sz="4" w:space="0" w:color="auto"/>
            </w:tcBorders>
            <w:shd w:val="clear" w:color="auto" w:fill="auto"/>
            <w:noWrap/>
            <w:vAlign w:val="bottom"/>
          </w:tcPr>
          <w:p w14:paraId="54FDE126" w14:textId="436C8D93"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sz w:val="16"/>
                <w:szCs w:val="16"/>
                <w:lang w:eastAsia="en-GB"/>
              </w:rPr>
              <w:t>-1</w:t>
            </w:r>
            <w:r w:rsidR="002E25E5" w:rsidRPr="00111876">
              <w:rPr>
                <w:rFonts w:asciiTheme="minorHAnsi" w:hAnsiTheme="minorHAnsi" w:cstheme="minorHAnsi"/>
                <w:b/>
                <w:bCs/>
                <w:sz w:val="16"/>
                <w:szCs w:val="16"/>
                <w:lang w:eastAsia="en-GB"/>
              </w:rPr>
              <w:t> </w:t>
            </w:r>
            <w:r w:rsidRPr="00111876">
              <w:rPr>
                <w:rFonts w:asciiTheme="minorHAnsi" w:hAnsiTheme="minorHAnsi" w:cstheme="minorHAnsi"/>
                <w:b/>
                <w:bCs/>
                <w:sz w:val="16"/>
                <w:szCs w:val="16"/>
                <w:lang w:eastAsia="en-GB"/>
              </w:rPr>
              <w:t>581</w:t>
            </w:r>
          </w:p>
        </w:tc>
        <w:tc>
          <w:tcPr>
            <w:tcW w:w="617" w:type="pct"/>
            <w:tcBorders>
              <w:top w:val="nil"/>
              <w:left w:val="nil"/>
              <w:bottom w:val="nil"/>
              <w:right w:val="single" w:sz="4" w:space="0" w:color="auto"/>
            </w:tcBorders>
            <w:shd w:val="clear" w:color="auto" w:fill="auto"/>
            <w:noWrap/>
            <w:vAlign w:val="bottom"/>
          </w:tcPr>
          <w:p w14:paraId="2AB346C6"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r>
      <w:tr w:rsidR="00B56A7B" w:rsidRPr="00111876" w14:paraId="522ACD5B"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60751028" w14:textId="77777777" w:rsidR="00B56A7B" w:rsidRPr="00111876" w:rsidRDefault="00B56A7B" w:rsidP="00CC47BD">
            <w:pPr>
              <w:overflowPunct/>
              <w:adjustRightInd/>
              <w:spacing w:before="0"/>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储备金账目</w:t>
            </w:r>
            <w:r w:rsidRPr="00111876">
              <w:rPr>
                <w:rFonts w:cs="Calibri"/>
                <w:b/>
                <w:bCs/>
                <w:color w:val="000000"/>
                <w:sz w:val="16"/>
                <w:szCs w:val="16"/>
                <w:lang w:val="en-US" w:eastAsia="zh-CN"/>
              </w:rPr>
              <w:t>提款</w:t>
            </w:r>
          </w:p>
        </w:tc>
        <w:tc>
          <w:tcPr>
            <w:tcW w:w="704" w:type="pct"/>
            <w:tcBorders>
              <w:top w:val="nil"/>
              <w:left w:val="single" w:sz="4" w:space="0" w:color="auto"/>
              <w:bottom w:val="nil"/>
              <w:right w:val="single" w:sz="4" w:space="0" w:color="auto"/>
            </w:tcBorders>
            <w:shd w:val="clear" w:color="auto" w:fill="auto"/>
            <w:noWrap/>
            <w:vAlign w:val="bottom"/>
          </w:tcPr>
          <w:p w14:paraId="05F9B9C2"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w:t>
            </w:r>
          </w:p>
        </w:tc>
        <w:tc>
          <w:tcPr>
            <w:tcW w:w="604" w:type="pct"/>
            <w:tcBorders>
              <w:top w:val="nil"/>
              <w:left w:val="nil"/>
              <w:bottom w:val="nil"/>
              <w:right w:val="single" w:sz="4" w:space="0" w:color="auto"/>
            </w:tcBorders>
            <w:shd w:val="clear" w:color="auto" w:fill="auto"/>
            <w:noWrap/>
            <w:vAlign w:val="bottom"/>
          </w:tcPr>
          <w:p w14:paraId="5857F82E"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59</w:t>
            </w:r>
          </w:p>
        </w:tc>
        <w:tc>
          <w:tcPr>
            <w:tcW w:w="696" w:type="pct"/>
            <w:gridSpan w:val="2"/>
            <w:tcBorders>
              <w:top w:val="nil"/>
              <w:left w:val="nil"/>
              <w:bottom w:val="nil"/>
              <w:right w:val="single" w:sz="4" w:space="0" w:color="auto"/>
            </w:tcBorders>
            <w:shd w:val="clear" w:color="auto" w:fill="auto"/>
            <w:noWrap/>
            <w:vAlign w:val="bottom"/>
          </w:tcPr>
          <w:p w14:paraId="41D8D919"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02" w:type="pct"/>
            <w:tcBorders>
              <w:top w:val="nil"/>
              <w:left w:val="nil"/>
              <w:bottom w:val="nil"/>
              <w:right w:val="single" w:sz="4" w:space="0" w:color="auto"/>
            </w:tcBorders>
            <w:shd w:val="clear" w:color="auto" w:fill="auto"/>
            <w:noWrap/>
            <w:vAlign w:val="bottom"/>
          </w:tcPr>
          <w:p w14:paraId="370D6C80"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w:t>
            </w:r>
          </w:p>
        </w:tc>
        <w:tc>
          <w:tcPr>
            <w:tcW w:w="579" w:type="pct"/>
            <w:gridSpan w:val="2"/>
            <w:tcBorders>
              <w:top w:val="nil"/>
              <w:left w:val="nil"/>
              <w:bottom w:val="nil"/>
              <w:right w:val="single" w:sz="4" w:space="0" w:color="auto"/>
            </w:tcBorders>
            <w:shd w:val="clear" w:color="auto" w:fill="auto"/>
            <w:noWrap/>
            <w:vAlign w:val="bottom"/>
          </w:tcPr>
          <w:p w14:paraId="19082ADE"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w:t>
            </w:r>
          </w:p>
        </w:tc>
        <w:tc>
          <w:tcPr>
            <w:tcW w:w="617" w:type="pct"/>
            <w:tcBorders>
              <w:top w:val="nil"/>
              <w:left w:val="nil"/>
              <w:bottom w:val="nil"/>
              <w:right w:val="single" w:sz="4" w:space="0" w:color="auto"/>
            </w:tcBorders>
            <w:shd w:val="clear" w:color="auto" w:fill="auto"/>
            <w:noWrap/>
            <w:vAlign w:val="bottom"/>
          </w:tcPr>
          <w:p w14:paraId="69613B3F"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-59</w:t>
            </w:r>
          </w:p>
        </w:tc>
      </w:tr>
      <w:tr w:rsidR="00B56A7B" w:rsidRPr="00111876" w14:paraId="3EE9B073" w14:textId="77777777" w:rsidTr="00CC47BD">
        <w:trPr>
          <w:trHeight w:val="300"/>
        </w:trPr>
        <w:tc>
          <w:tcPr>
            <w:tcW w:w="1198" w:type="pct"/>
            <w:tcBorders>
              <w:top w:val="nil"/>
              <w:left w:val="single" w:sz="4" w:space="0" w:color="auto"/>
              <w:bottom w:val="single" w:sz="4" w:space="0" w:color="auto"/>
              <w:right w:val="nil"/>
            </w:tcBorders>
            <w:shd w:val="clear" w:color="auto" w:fill="auto"/>
            <w:hideMark/>
          </w:tcPr>
          <w:p w14:paraId="4F15045C" w14:textId="77777777" w:rsidR="00B56A7B" w:rsidRPr="00111876" w:rsidRDefault="00B56A7B" w:rsidP="00CC47BD">
            <w:pPr>
              <w:overflowPunct/>
              <w:autoSpaceDE/>
              <w:autoSpaceDN/>
              <w:adjustRightInd/>
              <w:spacing w:before="0"/>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此前年度结余</w:t>
            </w:r>
          </w:p>
        </w:tc>
        <w:tc>
          <w:tcPr>
            <w:tcW w:w="704" w:type="pct"/>
            <w:tcBorders>
              <w:top w:val="nil"/>
              <w:left w:val="single" w:sz="4" w:space="0" w:color="auto"/>
              <w:bottom w:val="single" w:sz="4" w:space="0" w:color="auto"/>
              <w:right w:val="single" w:sz="4" w:space="0" w:color="auto"/>
            </w:tcBorders>
            <w:shd w:val="clear" w:color="auto" w:fill="auto"/>
            <w:noWrap/>
            <w:vAlign w:val="bottom"/>
          </w:tcPr>
          <w:p w14:paraId="74551144"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708</w:t>
            </w:r>
          </w:p>
        </w:tc>
        <w:tc>
          <w:tcPr>
            <w:tcW w:w="604" w:type="pct"/>
            <w:tcBorders>
              <w:top w:val="nil"/>
              <w:left w:val="nil"/>
              <w:bottom w:val="single" w:sz="4" w:space="0" w:color="auto"/>
              <w:right w:val="single" w:sz="4" w:space="0" w:color="auto"/>
            </w:tcBorders>
            <w:shd w:val="clear" w:color="auto" w:fill="auto"/>
            <w:noWrap/>
            <w:vAlign w:val="bottom"/>
          </w:tcPr>
          <w:p w14:paraId="7E84415B"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96" w:type="pct"/>
            <w:gridSpan w:val="2"/>
            <w:tcBorders>
              <w:top w:val="nil"/>
              <w:left w:val="nil"/>
              <w:bottom w:val="single" w:sz="4" w:space="0" w:color="auto"/>
              <w:right w:val="single" w:sz="4" w:space="0" w:color="auto"/>
            </w:tcBorders>
            <w:shd w:val="clear" w:color="auto" w:fill="auto"/>
            <w:noWrap/>
            <w:vAlign w:val="bottom"/>
          </w:tcPr>
          <w:p w14:paraId="32CC3061"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p>
        </w:tc>
        <w:tc>
          <w:tcPr>
            <w:tcW w:w="602" w:type="pct"/>
            <w:tcBorders>
              <w:top w:val="nil"/>
              <w:left w:val="nil"/>
              <w:bottom w:val="single" w:sz="4" w:space="0" w:color="auto"/>
              <w:right w:val="single" w:sz="4" w:space="0" w:color="auto"/>
            </w:tcBorders>
            <w:shd w:val="clear" w:color="auto" w:fill="auto"/>
            <w:noWrap/>
            <w:vAlign w:val="bottom"/>
          </w:tcPr>
          <w:p w14:paraId="5E68B781"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708</w:t>
            </w:r>
          </w:p>
        </w:tc>
        <w:tc>
          <w:tcPr>
            <w:tcW w:w="579" w:type="pct"/>
            <w:gridSpan w:val="2"/>
            <w:tcBorders>
              <w:top w:val="nil"/>
              <w:left w:val="nil"/>
              <w:bottom w:val="single" w:sz="4" w:space="0" w:color="auto"/>
              <w:right w:val="single" w:sz="4" w:space="0" w:color="auto"/>
            </w:tcBorders>
            <w:shd w:val="clear" w:color="auto" w:fill="auto"/>
            <w:noWrap/>
            <w:vAlign w:val="bottom"/>
          </w:tcPr>
          <w:p w14:paraId="7254A787"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w:t>
            </w:r>
          </w:p>
        </w:tc>
        <w:tc>
          <w:tcPr>
            <w:tcW w:w="617" w:type="pct"/>
            <w:tcBorders>
              <w:top w:val="nil"/>
              <w:left w:val="nil"/>
              <w:bottom w:val="single" w:sz="4" w:space="0" w:color="auto"/>
              <w:right w:val="single" w:sz="4" w:space="0" w:color="auto"/>
            </w:tcBorders>
            <w:shd w:val="clear" w:color="auto" w:fill="auto"/>
            <w:noWrap/>
            <w:vAlign w:val="bottom"/>
          </w:tcPr>
          <w:p w14:paraId="34ABD3D0"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-708</w:t>
            </w:r>
          </w:p>
        </w:tc>
      </w:tr>
      <w:tr w:rsidR="00B56A7B" w:rsidRPr="00111876" w14:paraId="34DE9249" w14:textId="77777777" w:rsidTr="00CC47BD">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2622F61C" w14:textId="77777777" w:rsidR="00B56A7B" w:rsidRPr="00111876" w:rsidRDefault="00B56A7B" w:rsidP="00CC47BD">
            <w:pPr>
              <w:overflowPunct/>
              <w:autoSpaceDE/>
              <w:autoSpaceDN/>
              <w:adjustRightInd/>
              <w:spacing w:before="0"/>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总收入</w:t>
            </w:r>
          </w:p>
        </w:tc>
        <w:tc>
          <w:tcPr>
            <w:tcW w:w="704" w:type="pct"/>
            <w:tcBorders>
              <w:top w:val="single" w:sz="4" w:space="0" w:color="auto"/>
              <w:left w:val="nil"/>
              <w:bottom w:val="single" w:sz="4" w:space="0" w:color="auto"/>
              <w:right w:val="single" w:sz="4" w:space="0" w:color="auto"/>
            </w:tcBorders>
            <w:shd w:val="clear" w:color="auto" w:fill="DCE6F1"/>
            <w:noWrap/>
            <w:vAlign w:val="bottom"/>
          </w:tcPr>
          <w:p w14:paraId="26484AD8" w14:textId="6CD47EAC"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164</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535</w:t>
            </w:r>
          </w:p>
        </w:tc>
        <w:tc>
          <w:tcPr>
            <w:tcW w:w="604" w:type="pct"/>
            <w:tcBorders>
              <w:top w:val="single" w:sz="4" w:space="0" w:color="auto"/>
              <w:left w:val="nil"/>
              <w:bottom w:val="single" w:sz="4" w:space="0" w:color="auto"/>
              <w:right w:val="single" w:sz="4" w:space="0" w:color="auto"/>
            </w:tcBorders>
            <w:shd w:val="clear" w:color="auto" w:fill="DCE6F1"/>
            <w:noWrap/>
            <w:vAlign w:val="bottom"/>
          </w:tcPr>
          <w:p w14:paraId="3E6BFC90" w14:textId="100DC739"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-1</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581</w:t>
            </w:r>
          </w:p>
        </w:tc>
        <w:tc>
          <w:tcPr>
            <w:tcW w:w="696" w:type="pct"/>
            <w:gridSpan w:val="2"/>
            <w:tcBorders>
              <w:top w:val="single" w:sz="4" w:space="0" w:color="auto"/>
              <w:left w:val="nil"/>
              <w:bottom w:val="single" w:sz="4" w:space="0" w:color="auto"/>
              <w:right w:val="single" w:sz="4" w:space="0" w:color="auto"/>
            </w:tcBorders>
            <w:shd w:val="clear" w:color="auto" w:fill="DCE6F1"/>
            <w:noWrap/>
            <w:vAlign w:val="bottom"/>
          </w:tcPr>
          <w:p w14:paraId="4FC4EDB6" w14:textId="77777777"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w:t>
            </w:r>
          </w:p>
        </w:tc>
        <w:tc>
          <w:tcPr>
            <w:tcW w:w="602" w:type="pct"/>
            <w:tcBorders>
              <w:top w:val="single" w:sz="4" w:space="0" w:color="auto"/>
              <w:left w:val="nil"/>
              <w:bottom w:val="single" w:sz="4" w:space="0" w:color="auto"/>
              <w:right w:val="single" w:sz="4" w:space="0" w:color="auto"/>
            </w:tcBorders>
            <w:shd w:val="clear" w:color="auto" w:fill="DCE6F1"/>
            <w:noWrap/>
            <w:vAlign w:val="bottom"/>
          </w:tcPr>
          <w:p w14:paraId="50E0514F" w14:textId="57938F11"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162</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954</w:t>
            </w:r>
          </w:p>
        </w:tc>
        <w:tc>
          <w:tcPr>
            <w:tcW w:w="579" w:type="pct"/>
            <w:gridSpan w:val="2"/>
            <w:tcBorders>
              <w:top w:val="single" w:sz="4" w:space="0" w:color="auto"/>
              <w:left w:val="nil"/>
              <w:bottom w:val="single" w:sz="4" w:space="0" w:color="auto"/>
              <w:right w:val="single" w:sz="4" w:space="0" w:color="auto"/>
            </w:tcBorders>
            <w:shd w:val="clear" w:color="auto" w:fill="DCE6F1"/>
            <w:noWrap/>
            <w:vAlign w:val="bottom"/>
          </w:tcPr>
          <w:p w14:paraId="489C16A5" w14:textId="1D883C82"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153</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187</w:t>
            </w:r>
          </w:p>
        </w:tc>
        <w:tc>
          <w:tcPr>
            <w:tcW w:w="617" w:type="pct"/>
            <w:tcBorders>
              <w:top w:val="single" w:sz="4" w:space="0" w:color="auto"/>
              <w:left w:val="nil"/>
              <w:bottom w:val="single" w:sz="4" w:space="0" w:color="auto"/>
              <w:right w:val="single" w:sz="4" w:space="0" w:color="auto"/>
            </w:tcBorders>
            <w:shd w:val="clear" w:color="auto" w:fill="DCE6F1"/>
            <w:noWrap/>
            <w:vAlign w:val="bottom"/>
          </w:tcPr>
          <w:p w14:paraId="271D94B4" w14:textId="44D2DE5B" w:rsidR="00B56A7B" w:rsidRPr="00111876" w:rsidRDefault="00B56A7B" w:rsidP="00CC47BD">
            <w:pPr>
              <w:overflowPunct/>
              <w:autoSpaceDE/>
              <w:autoSpaceDN/>
              <w:adjustRightInd/>
              <w:spacing w:before="0"/>
              <w:jc w:val="right"/>
              <w:textAlignment w:val="auto"/>
              <w:rPr>
                <w:rFonts w:cs="Calibri"/>
                <w:b/>
                <w:iCs/>
                <w:color w:val="000000"/>
                <w:sz w:val="16"/>
                <w:szCs w:val="16"/>
                <w:lang w:eastAsia="en-GB"/>
              </w:rPr>
            </w:pPr>
            <w:r w:rsidRPr="00111876">
              <w:rPr>
                <w:rFonts w:asciiTheme="minorHAnsi" w:hAnsiTheme="minorHAnsi" w:cstheme="minorHAnsi"/>
                <w:b/>
                <w:bCs/>
                <w:color w:val="000000"/>
                <w:sz w:val="16"/>
                <w:szCs w:val="16"/>
                <w:lang w:eastAsia="en-GB"/>
              </w:rPr>
              <w:t>-9</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767</w:t>
            </w:r>
          </w:p>
        </w:tc>
      </w:tr>
      <w:tr w:rsidR="00B56A7B" w:rsidRPr="00111876" w14:paraId="613A0ACD" w14:textId="77777777" w:rsidTr="00CC47BD">
        <w:trPr>
          <w:trHeight w:val="300"/>
        </w:trPr>
        <w:tc>
          <w:tcPr>
            <w:tcW w:w="1198" w:type="pct"/>
            <w:vMerge w:val="restart"/>
            <w:tcBorders>
              <w:top w:val="nil"/>
              <w:left w:val="single" w:sz="4" w:space="0" w:color="auto"/>
              <w:bottom w:val="single" w:sz="4" w:space="0" w:color="000000"/>
              <w:right w:val="single" w:sz="4" w:space="0" w:color="auto"/>
            </w:tcBorders>
            <w:shd w:val="clear" w:color="auto" w:fill="auto"/>
            <w:vAlign w:val="center"/>
            <w:hideMark/>
          </w:tcPr>
          <w:p w14:paraId="599ECCA4" w14:textId="77777777" w:rsidR="00B56A7B" w:rsidRPr="00111876" w:rsidRDefault="00B56A7B" w:rsidP="00CC47BD">
            <w:pPr>
              <w:overflowPunct/>
              <w:autoSpaceDE/>
              <w:autoSpaceDN/>
              <w:adjustRightInd/>
              <w:spacing w:before="0"/>
              <w:jc w:val="center"/>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费用</w:t>
            </w:r>
          </w:p>
        </w:tc>
        <w:tc>
          <w:tcPr>
            <w:tcW w:w="2606"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3C1D8C6A" w14:textId="77777777" w:rsidR="00B56A7B" w:rsidRPr="00111876" w:rsidRDefault="00B56A7B" w:rsidP="00CC47BD">
            <w:pPr>
              <w:overflowPunct/>
              <w:autoSpaceDE/>
              <w:autoSpaceDN/>
              <w:adjustRightInd/>
              <w:spacing w:before="0"/>
              <w:jc w:val="right"/>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预算金额</w:t>
            </w:r>
          </w:p>
        </w:tc>
        <w:tc>
          <w:tcPr>
            <w:tcW w:w="57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A09A5E" w14:textId="77777777" w:rsidR="00B56A7B" w:rsidRPr="00111876" w:rsidRDefault="00B56A7B" w:rsidP="00CC47BD">
            <w:pPr>
              <w:overflowPunct/>
              <w:adjustRightInd/>
              <w:spacing w:before="0"/>
              <w:jc w:val="right"/>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实际金额</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04EFC83" w14:textId="77777777" w:rsidR="00B56A7B" w:rsidRPr="00111876" w:rsidRDefault="00B56A7B" w:rsidP="00CC47BD">
            <w:pPr>
              <w:overflowPunct/>
              <w:adjustRightInd/>
              <w:spacing w:before="0"/>
              <w:jc w:val="right"/>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最终预算与</w:t>
            </w:r>
            <w:r w:rsidRPr="00111876">
              <w:rPr>
                <w:rFonts w:cs="Calibri"/>
                <w:b/>
                <w:bCs/>
                <w:color w:val="000000"/>
                <w:sz w:val="16"/>
                <w:szCs w:val="16"/>
                <w:lang w:val="en-US" w:eastAsia="zh-CN"/>
              </w:rPr>
              <w:t>实际金额</w:t>
            </w:r>
            <w:r w:rsidRPr="00111876">
              <w:rPr>
                <w:rFonts w:cs="Calibri" w:hint="eastAsia"/>
                <w:b/>
                <w:bCs/>
                <w:color w:val="000000"/>
                <w:sz w:val="16"/>
                <w:szCs w:val="16"/>
                <w:lang w:val="en-US" w:eastAsia="zh-CN"/>
              </w:rPr>
              <w:t>之间</w:t>
            </w:r>
            <w:r w:rsidRPr="00111876">
              <w:rPr>
                <w:rFonts w:cs="Calibri"/>
                <w:b/>
                <w:bCs/>
                <w:color w:val="000000"/>
                <w:sz w:val="16"/>
                <w:szCs w:val="16"/>
                <w:lang w:val="en-US" w:eastAsia="zh-CN"/>
              </w:rPr>
              <w:t>的差额</w:t>
            </w:r>
          </w:p>
        </w:tc>
      </w:tr>
      <w:tr w:rsidR="00B56A7B" w:rsidRPr="00111876" w14:paraId="27A70F8C" w14:textId="77777777" w:rsidTr="00CC47BD">
        <w:trPr>
          <w:trHeight w:val="361"/>
        </w:trPr>
        <w:tc>
          <w:tcPr>
            <w:tcW w:w="1198" w:type="pct"/>
            <w:vMerge/>
            <w:tcBorders>
              <w:top w:val="nil"/>
              <w:left w:val="single" w:sz="4" w:space="0" w:color="auto"/>
              <w:bottom w:val="single" w:sz="4" w:space="0" w:color="000000"/>
              <w:right w:val="single" w:sz="4" w:space="0" w:color="auto"/>
            </w:tcBorders>
            <w:vAlign w:val="center"/>
            <w:hideMark/>
          </w:tcPr>
          <w:p w14:paraId="0ABD32D1" w14:textId="77777777" w:rsidR="00B56A7B" w:rsidRPr="00111876" w:rsidRDefault="00B56A7B" w:rsidP="00CC47BD">
            <w:pPr>
              <w:overflowPunct/>
              <w:autoSpaceDE/>
              <w:autoSpaceDN/>
              <w:adjustRightInd/>
              <w:spacing w:before="0"/>
              <w:textAlignment w:val="auto"/>
              <w:rPr>
                <w:rFonts w:cs="Calibri"/>
                <w:b/>
                <w:bCs/>
                <w:color w:val="000000"/>
                <w:sz w:val="16"/>
                <w:szCs w:val="16"/>
                <w:lang w:val="en-US" w:eastAsia="zh-CN"/>
              </w:rPr>
            </w:pPr>
          </w:p>
        </w:tc>
        <w:tc>
          <w:tcPr>
            <w:tcW w:w="704" w:type="pct"/>
            <w:tcBorders>
              <w:top w:val="nil"/>
              <w:left w:val="nil"/>
              <w:bottom w:val="single" w:sz="4" w:space="0" w:color="auto"/>
              <w:right w:val="single" w:sz="4" w:space="0" w:color="auto"/>
            </w:tcBorders>
            <w:shd w:val="clear" w:color="auto" w:fill="auto"/>
            <w:vAlign w:val="center"/>
            <w:hideMark/>
          </w:tcPr>
          <w:p w14:paraId="17533553" w14:textId="77777777" w:rsidR="00B56A7B" w:rsidRPr="00111876" w:rsidRDefault="00B56A7B" w:rsidP="00CC47BD">
            <w:pPr>
              <w:overflowPunct/>
              <w:adjustRightInd/>
              <w:spacing w:before="0"/>
              <w:jc w:val="right"/>
              <w:textAlignment w:val="auto"/>
              <w:rPr>
                <w:rFonts w:cs="Calibri"/>
                <w:b/>
                <w:bCs/>
                <w:color w:val="000000"/>
                <w:sz w:val="16"/>
                <w:szCs w:val="16"/>
                <w:lang w:val="en-US" w:eastAsia="zh-CN"/>
              </w:rPr>
            </w:pPr>
            <w:r w:rsidRPr="00111876">
              <w:rPr>
                <w:rFonts w:cs="Calibri"/>
                <w:b/>
                <w:bCs/>
                <w:color w:val="000000"/>
                <w:sz w:val="16"/>
                <w:szCs w:val="16"/>
                <w:lang w:val="en-US" w:eastAsia="zh-CN"/>
              </w:rPr>
              <w:t>最初预算</w:t>
            </w:r>
          </w:p>
        </w:tc>
        <w:tc>
          <w:tcPr>
            <w:tcW w:w="604" w:type="pct"/>
            <w:tcBorders>
              <w:top w:val="nil"/>
              <w:left w:val="nil"/>
              <w:bottom w:val="single" w:sz="4" w:space="0" w:color="auto"/>
              <w:right w:val="nil"/>
            </w:tcBorders>
            <w:shd w:val="clear" w:color="auto" w:fill="auto"/>
            <w:vAlign w:val="center"/>
            <w:hideMark/>
          </w:tcPr>
          <w:p w14:paraId="6E3169DF" w14:textId="77777777" w:rsidR="00B56A7B" w:rsidRPr="00111876" w:rsidRDefault="00B56A7B" w:rsidP="00CC47BD">
            <w:pPr>
              <w:overflowPunct/>
              <w:adjustRightInd/>
              <w:spacing w:before="0"/>
              <w:jc w:val="right"/>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递延活动</w:t>
            </w:r>
          </w:p>
        </w:tc>
        <w:tc>
          <w:tcPr>
            <w:tcW w:w="644" w:type="pct"/>
            <w:tcBorders>
              <w:top w:val="nil"/>
              <w:left w:val="nil"/>
              <w:bottom w:val="single" w:sz="4" w:space="0" w:color="auto"/>
              <w:right w:val="nil"/>
            </w:tcBorders>
            <w:shd w:val="clear" w:color="auto" w:fill="auto"/>
            <w:vAlign w:val="center"/>
            <w:hideMark/>
          </w:tcPr>
          <w:p w14:paraId="78B77D1B" w14:textId="77777777" w:rsidR="00B56A7B" w:rsidRPr="00111876" w:rsidRDefault="00B56A7B" w:rsidP="00CC47BD">
            <w:pPr>
              <w:overflowPunct/>
              <w:adjustRightInd/>
              <w:spacing w:before="0"/>
              <w:jc w:val="right"/>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预算转账</w:t>
            </w:r>
          </w:p>
        </w:tc>
        <w:tc>
          <w:tcPr>
            <w:tcW w:w="654" w:type="pct"/>
            <w:gridSpan w:val="2"/>
            <w:tcBorders>
              <w:top w:val="nil"/>
              <w:left w:val="single" w:sz="4" w:space="0" w:color="auto"/>
              <w:bottom w:val="single" w:sz="4" w:space="0" w:color="auto"/>
              <w:right w:val="single" w:sz="4" w:space="0" w:color="auto"/>
            </w:tcBorders>
            <w:shd w:val="clear" w:color="auto" w:fill="auto"/>
            <w:vAlign w:val="center"/>
            <w:hideMark/>
          </w:tcPr>
          <w:p w14:paraId="324760A2" w14:textId="77777777" w:rsidR="00B56A7B" w:rsidRPr="00111876" w:rsidRDefault="00B56A7B" w:rsidP="00CC47BD">
            <w:pPr>
              <w:overflowPunct/>
              <w:adjustRightInd/>
              <w:spacing w:before="0"/>
              <w:jc w:val="right"/>
              <w:textAlignment w:val="auto"/>
              <w:rPr>
                <w:rFonts w:cs="Calibri"/>
                <w:b/>
                <w:bCs/>
                <w:color w:val="000000"/>
                <w:sz w:val="16"/>
                <w:szCs w:val="16"/>
                <w:lang w:val="en-US" w:eastAsia="zh-CN"/>
              </w:rPr>
            </w:pPr>
            <w:r w:rsidRPr="00111876">
              <w:rPr>
                <w:rFonts w:cs="Calibri"/>
                <w:b/>
                <w:bCs/>
                <w:color w:val="000000"/>
                <w:sz w:val="16"/>
                <w:szCs w:val="16"/>
                <w:lang w:val="en-US" w:eastAsia="zh-CN"/>
              </w:rPr>
              <w:t>最终预算</w:t>
            </w:r>
          </w:p>
        </w:tc>
        <w:tc>
          <w:tcPr>
            <w:tcW w:w="579" w:type="pct"/>
            <w:gridSpan w:val="2"/>
            <w:vMerge/>
            <w:tcBorders>
              <w:left w:val="single" w:sz="4" w:space="0" w:color="auto"/>
              <w:bottom w:val="single" w:sz="4" w:space="0" w:color="000000"/>
              <w:right w:val="single" w:sz="4" w:space="0" w:color="auto"/>
            </w:tcBorders>
            <w:vAlign w:val="center"/>
            <w:hideMark/>
          </w:tcPr>
          <w:p w14:paraId="7752E903" w14:textId="77777777" w:rsidR="00B56A7B" w:rsidRPr="00111876" w:rsidRDefault="00B56A7B" w:rsidP="00CC47BD">
            <w:pPr>
              <w:overflowPunct/>
              <w:autoSpaceDE/>
              <w:autoSpaceDN/>
              <w:adjustRightInd/>
              <w:spacing w:before="0"/>
              <w:jc w:val="right"/>
              <w:textAlignment w:val="auto"/>
              <w:rPr>
                <w:rFonts w:cs="Calibri"/>
                <w:b/>
                <w:bCs/>
                <w:color w:val="000000"/>
                <w:sz w:val="16"/>
                <w:szCs w:val="16"/>
                <w:lang w:val="en-US" w:eastAsia="zh-CN"/>
              </w:rPr>
            </w:pPr>
          </w:p>
        </w:tc>
        <w:tc>
          <w:tcPr>
            <w:tcW w:w="617" w:type="pct"/>
            <w:vMerge/>
            <w:tcBorders>
              <w:left w:val="single" w:sz="4" w:space="0" w:color="auto"/>
              <w:bottom w:val="single" w:sz="4" w:space="0" w:color="000000"/>
              <w:right w:val="single" w:sz="4" w:space="0" w:color="auto"/>
            </w:tcBorders>
            <w:vAlign w:val="center"/>
          </w:tcPr>
          <w:p w14:paraId="42C200D7" w14:textId="77777777" w:rsidR="00B56A7B" w:rsidRPr="00111876" w:rsidRDefault="00B56A7B" w:rsidP="00CC47BD">
            <w:pPr>
              <w:overflowPunct/>
              <w:autoSpaceDE/>
              <w:autoSpaceDN/>
              <w:adjustRightInd/>
              <w:spacing w:before="0"/>
              <w:jc w:val="right"/>
              <w:textAlignment w:val="auto"/>
              <w:rPr>
                <w:rFonts w:cs="Calibri"/>
                <w:b/>
                <w:bCs/>
                <w:color w:val="000000"/>
                <w:sz w:val="16"/>
                <w:szCs w:val="16"/>
                <w:lang w:val="en-US" w:eastAsia="zh-CN"/>
              </w:rPr>
            </w:pPr>
          </w:p>
        </w:tc>
      </w:tr>
      <w:tr w:rsidR="00B56A7B" w:rsidRPr="00111876" w14:paraId="54C68417" w14:textId="77777777" w:rsidTr="00CC47BD">
        <w:trPr>
          <w:trHeight w:val="439"/>
        </w:trPr>
        <w:tc>
          <w:tcPr>
            <w:tcW w:w="1198" w:type="pct"/>
            <w:vMerge/>
            <w:tcBorders>
              <w:top w:val="nil"/>
              <w:left w:val="single" w:sz="4" w:space="0" w:color="auto"/>
              <w:bottom w:val="single" w:sz="4" w:space="0" w:color="000000"/>
              <w:right w:val="single" w:sz="4" w:space="0" w:color="auto"/>
            </w:tcBorders>
            <w:vAlign w:val="center"/>
            <w:hideMark/>
          </w:tcPr>
          <w:p w14:paraId="4F0C46B9" w14:textId="77777777" w:rsidR="00B56A7B" w:rsidRPr="00111876" w:rsidRDefault="00B56A7B" w:rsidP="00CC47BD">
            <w:pPr>
              <w:overflowPunct/>
              <w:autoSpaceDE/>
              <w:autoSpaceDN/>
              <w:adjustRightInd/>
              <w:spacing w:before="0"/>
              <w:textAlignment w:val="auto"/>
              <w:rPr>
                <w:rFonts w:cs="Calibri"/>
                <w:b/>
                <w:bCs/>
                <w:color w:val="000000"/>
                <w:sz w:val="16"/>
                <w:szCs w:val="16"/>
                <w:lang w:val="en-US" w:eastAsia="zh-CN"/>
              </w:rPr>
            </w:pPr>
          </w:p>
        </w:tc>
        <w:tc>
          <w:tcPr>
            <w:tcW w:w="704" w:type="pct"/>
            <w:tcBorders>
              <w:top w:val="nil"/>
              <w:left w:val="nil"/>
              <w:bottom w:val="single" w:sz="4" w:space="0" w:color="auto"/>
              <w:right w:val="single" w:sz="4" w:space="0" w:color="auto"/>
            </w:tcBorders>
            <w:shd w:val="clear" w:color="auto" w:fill="auto"/>
            <w:noWrap/>
            <w:vAlign w:val="center"/>
            <w:hideMark/>
          </w:tcPr>
          <w:p w14:paraId="25021162" w14:textId="77777777" w:rsidR="00B56A7B" w:rsidRPr="00111876" w:rsidRDefault="00B56A7B" w:rsidP="00CC47BD">
            <w:pPr>
              <w:jc w:val="right"/>
              <w:rPr>
                <w:rFonts w:eastAsiaTheme="minorEastAsia" w:cs="Calibri"/>
                <w:b/>
                <w:bCs/>
                <w:color w:val="000000"/>
                <w:sz w:val="16"/>
                <w:szCs w:val="16"/>
                <w:lang w:val="en-US" w:eastAsia="zh-CN"/>
              </w:rPr>
            </w:pPr>
            <w:r w:rsidRPr="00111876">
              <w:rPr>
                <w:rFonts w:eastAsiaTheme="minorEastAsia" w:cs="Calibri"/>
                <w:b/>
                <w:bCs/>
                <w:color w:val="000000"/>
                <w:sz w:val="16"/>
                <w:szCs w:val="16"/>
                <w:lang w:val="en-US" w:eastAsia="zh-CN"/>
              </w:rPr>
              <w:t>202</w:t>
            </w:r>
            <w:r w:rsidRPr="00111876">
              <w:rPr>
                <w:rFonts w:eastAsiaTheme="minorEastAsia" w:cs="Calibri" w:hint="eastAsia"/>
                <w:b/>
                <w:bCs/>
                <w:color w:val="000000"/>
                <w:sz w:val="16"/>
                <w:szCs w:val="16"/>
                <w:lang w:val="en-US" w:eastAsia="zh-CN"/>
              </w:rPr>
              <w:t>1</w:t>
            </w:r>
            <w:r w:rsidRPr="00111876">
              <w:rPr>
                <w:rFonts w:eastAsiaTheme="minorEastAsia" w:cs="Calibri"/>
                <w:b/>
                <w:bCs/>
                <w:color w:val="000000"/>
                <w:sz w:val="16"/>
                <w:szCs w:val="16"/>
                <w:lang w:val="en-US" w:eastAsia="zh-CN"/>
              </w:rPr>
              <w:t>年</w:t>
            </w:r>
            <w:r w:rsidRPr="00111876">
              <w:rPr>
                <w:rFonts w:eastAsiaTheme="minorEastAsia" w:cs="Calibri"/>
                <w:b/>
                <w:bCs/>
                <w:color w:val="000000"/>
                <w:sz w:val="16"/>
                <w:szCs w:val="16"/>
                <w:lang w:val="en-US" w:eastAsia="zh-CN"/>
              </w:rPr>
              <w:br/>
              <w:t>12</w:t>
            </w:r>
            <w:r w:rsidRPr="00111876">
              <w:rPr>
                <w:rFonts w:eastAsiaTheme="minorEastAsia" w:cs="Calibri"/>
                <w:b/>
                <w:bCs/>
                <w:color w:val="000000"/>
                <w:sz w:val="16"/>
                <w:szCs w:val="16"/>
                <w:lang w:val="en-US" w:eastAsia="zh-CN"/>
              </w:rPr>
              <w:t>月</w:t>
            </w:r>
            <w:r w:rsidRPr="00111876">
              <w:rPr>
                <w:rFonts w:eastAsiaTheme="minorEastAsia" w:cs="Calibri"/>
                <w:b/>
                <w:bCs/>
                <w:color w:val="000000"/>
                <w:sz w:val="16"/>
                <w:szCs w:val="16"/>
                <w:lang w:val="en-US" w:eastAsia="zh-CN"/>
              </w:rPr>
              <w:t>31</w:t>
            </w:r>
            <w:r w:rsidRPr="00111876">
              <w:rPr>
                <w:rFonts w:eastAsiaTheme="minorEastAsia" w:cs="Calibri"/>
                <w:b/>
                <w:bCs/>
                <w:color w:val="000000"/>
                <w:sz w:val="16"/>
                <w:szCs w:val="16"/>
                <w:lang w:val="en-US" w:eastAsia="zh-CN"/>
              </w:rPr>
              <w:t>日</w:t>
            </w:r>
          </w:p>
        </w:tc>
        <w:tc>
          <w:tcPr>
            <w:tcW w:w="604" w:type="pct"/>
            <w:tcBorders>
              <w:top w:val="nil"/>
              <w:left w:val="nil"/>
              <w:bottom w:val="single" w:sz="4" w:space="0" w:color="auto"/>
              <w:right w:val="single" w:sz="4" w:space="0" w:color="auto"/>
            </w:tcBorders>
            <w:shd w:val="clear" w:color="auto" w:fill="auto"/>
            <w:noWrap/>
          </w:tcPr>
          <w:p w14:paraId="5B619ED6" w14:textId="77777777" w:rsidR="00B56A7B" w:rsidRPr="00111876" w:rsidRDefault="00B56A7B" w:rsidP="00CC47BD">
            <w:pPr>
              <w:overflowPunct/>
              <w:autoSpaceDE/>
              <w:autoSpaceDN/>
              <w:adjustRightInd/>
              <w:spacing w:before="0"/>
              <w:jc w:val="right"/>
              <w:textAlignment w:val="auto"/>
              <w:rPr>
                <w:rFonts w:cs="Calibri"/>
                <w:b/>
                <w:bCs/>
                <w:color w:val="000000"/>
                <w:sz w:val="16"/>
                <w:szCs w:val="16"/>
                <w:lang w:val="en-US" w:eastAsia="zh-CN"/>
              </w:rPr>
            </w:pPr>
          </w:p>
        </w:tc>
        <w:tc>
          <w:tcPr>
            <w:tcW w:w="644" w:type="pct"/>
            <w:tcBorders>
              <w:top w:val="nil"/>
              <w:left w:val="nil"/>
              <w:bottom w:val="single" w:sz="4" w:space="0" w:color="auto"/>
              <w:right w:val="single" w:sz="4" w:space="0" w:color="auto"/>
            </w:tcBorders>
            <w:shd w:val="clear" w:color="auto" w:fill="auto"/>
            <w:noWrap/>
            <w:hideMark/>
          </w:tcPr>
          <w:p w14:paraId="4B176776" w14:textId="77777777" w:rsidR="00B56A7B" w:rsidRPr="00111876" w:rsidRDefault="00B56A7B" w:rsidP="00CC47BD">
            <w:pPr>
              <w:jc w:val="right"/>
              <w:rPr>
                <w:rFonts w:cs="Calibri"/>
                <w:sz w:val="16"/>
                <w:szCs w:val="16"/>
                <w:lang w:eastAsia="zh-CN"/>
              </w:rPr>
            </w:pPr>
            <w:r w:rsidRPr="00111876">
              <w:rPr>
                <w:rFonts w:eastAsiaTheme="minorEastAsia" w:cs="Calibri"/>
                <w:b/>
                <w:bCs/>
                <w:color w:val="000000"/>
                <w:sz w:val="16"/>
                <w:szCs w:val="16"/>
                <w:lang w:val="en-US" w:eastAsia="zh-CN"/>
              </w:rPr>
              <w:t>202</w:t>
            </w:r>
            <w:r w:rsidRPr="00111876">
              <w:rPr>
                <w:rFonts w:eastAsiaTheme="minorEastAsia" w:cs="Calibri" w:hint="eastAsia"/>
                <w:b/>
                <w:bCs/>
                <w:color w:val="000000"/>
                <w:sz w:val="16"/>
                <w:szCs w:val="16"/>
                <w:lang w:val="en-US" w:eastAsia="zh-CN"/>
              </w:rPr>
              <w:t>1</w:t>
            </w:r>
            <w:r w:rsidRPr="00111876">
              <w:rPr>
                <w:rFonts w:eastAsiaTheme="minorEastAsia" w:cs="Calibri"/>
                <w:b/>
                <w:bCs/>
                <w:color w:val="000000"/>
                <w:sz w:val="16"/>
                <w:szCs w:val="16"/>
                <w:lang w:val="en-US" w:eastAsia="zh-CN"/>
              </w:rPr>
              <w:t>年</w:t>
            </w:r>
            <w:r w:rsidRPr="00111876">
              <w:rPr>
                <w:rFonts w:eastAsiaTheme="minorEastAsia" w:cs="Calibri"/>
                <w:b/>
                <w:bCs/>
                <w:color w:val="000000"/>
                <w:sz w:val="16"/>
                <w:szCs w:val="16"/>
                <w:lang w:val="en-US" w:eastAsia="zh-CN"/>
              </w:rPr>
              <w:br/>
              <w:t>12</w:t>
            </w:r>
            <w:r w:rsidRPr="00111876">
              <w:rPr>
                <w:rFonts w:eastAsiaTheme="minorEastAsia" w:cs="Calibri"/>
                <w:b/>
                <w:bCs/>
                <w:color w:val="000000"/>
                <w:sz w:val="16"/>
                <w:szCs w:val="16"/>
                <w:lang w:val="en-US" w:eastAsia="zh-CN"/>
              </w:rPr>
              <w:t>月</w:t>
            </w:r>
            <w:r w:rsidRPr="00111876">
              <w:rPr>
                <w:rFonts w:eastAsiaTheme="minorEastAsia" w:cs="Calibri"/>
                <w:b/>
                <w:bCs/>
                <w:color w:val="000000"/>
                <w:sz w:val="16"/>
                <w:szCs w:val="16"/>
                <w:lang w:val="en-US" w:eastAsia="zh-CN"/>
              </w:rPr>
              <w:t>31</w:t>
            </w:r>
            <w:r w:rsidRPr="00111876">
              <w:rPr>
                <w:rFonts w:eastAsiaTheme="minorEastAsia" w:cs="Calibri"/>
                <w:b/>
                <w:bCs/>
                <w:color w:val="000000"/>
                <w:sz w:val="16"/>
                <w:szCs w:val="16"/>
                <w:lang w:val="en-US" w:eastAsia="zh-CN"/>
              </w:rPr>
              <w:t>日</w:t>
            </w:r>
          </w:p>
        </w:tc>
        <w:tc>
          <w:tcPr>
            <w:tcW w:w="654" w:type="pct"/>
            <w:gridSpan w:val="2"/>
            <w:tcBorders>
              <w:top w:val="nil"/>
              <w:left w:val="nil"/>
              <w:bottom w:val="single" w:sz="4" w:space="0" w:color="auto"/>
              <w:right w:val="single" w:sz="4" w:space="0" w:color="auto"/>
            </w:tcBorders>
            <w:shd w:val="clear" w:color="auto" w:fill="auto"/>
            <w:noWrap/>
            <w:hideMark/>
          </w:tcPr>
          <w:p w14:paraId="5BE8ED09" w14:textId="77777777" w:rsidR="00B56A7B" w:rsidRPr="00111876" w:rsidRDefault="00B56A7B" w:rsidP="00CC47BD">
            <w:pPr>
              <w:jc w:val="right"/>
              <w:rPr>
                <w:rFonts w:cs="Calibri"/>
                <w:sz w:val="16"/>
                <w:szCs w:val="16"/>
                <w:lang w:eastAsia="zh-CN"/>
              </w:rPr>
            </w:pPr>
            <w:r w:rsidRPr="00111876">
              <w:rPr>
                <w:rFonts w:eastAsiaTheme="minorEastAsia" w:cs="Calibri"/>
                <w:b/>
                <w:bCs/>
                <w:color w:val="000000"/>
                <w:sz w:val="16"/>
                <w:szCs w:val="16"/>
                <w:lang w:val="en-US" w:eastAsia="zh-CN"/>
              </w:rPr>
              <w:t>202</w:t>
            </w:r>
            <w:r w:rsidRPr="00111876">
              <w:rPr>
                <w:rFonts w:eastAsiaTheme="minorEastAsia" w:cs="Calibri" w:hint="eastAsia"/>
                <w:b/>
                <w:bCs/>
                <w:color w:val="000000"/>
                <w:sz w:val="16"/>
                <w:szCs w:val="16"/>
                <w:lang w:val="en-US" w:eastAsia="zh-CN"/>
              </w:rPr>
              <w:t>1</w:t>
            </w:r>
            <w:r w:rsidRPr="00111876">
              <w:rPr>
                <w:rFonts w:eastAsiaTheme="minorEastAsia" w:cs="Calibri"/>
                <w:b/>
                <w:bCs/>
                <w:color w:val="000000"/>
                <w:sz w:val="16"/>
                <w:szCs w:val="16"/>
                <w:lang w:val="en-US" w:eastAsia="zh-CN"/>
              </w:rPr>
              <w:t>年</w:t>
            </w:r>
            <w:r w:rsidRPr="00111876">
              <w:rPr>
                <w:rFonts w:eastAsiaTheme="minorEastAsia" w:cs="Calibri"/>
                <w:b/>
                <w:bCs/>
                <w:color w:val="000000"/>
                <w:sz w:val="16"/>
                <w:szCs w:val="16"/>
                <w:lang w:val="en-US" w:eastAsia="zh-CN"/>
              </w:rPr>
              <w:br/>
              <w:t>12</w:t>
            </w:r>
            <w:r w:rsidRPr="00111876">
              <w:rPr>
                <w:rFonts w:eastAsiaTheme="minorEastAsia" w:cs="Calibri"/>
                <w:b/>
                <w:bCs/>
                <w:color w:val="000000"/>
                <w:sz w:val="16"/>
                <w:szCs w:val="16"/>
                <w:lang w:val="en-US" w:eastAsia="zh-CN"/>
              </w:rPr>
              <w:t>月</w:t>
            </w:r>
            <w:r w:rsidRPr="00111876">
              <w:rPr>
                <w:rFonts w:eastAsiaTheme="minorEastAsia" w:cs="Calibri"/>
                <w:b/>
                <w:bCs/>
                <w:color w:val="000000"/>
                <w:sz w:val="16"/>
                <w:szCs w:val="16"/>
                <w:lang w:val="en-US" w:eastAsia="zh-CN"/>
              </w:rPr>
              <w:t>31</w:t>
            </w:r>
            <w:r w:rsidRPr="00111876">
              <w:rPr>
                <w:rFonts w:eastAsiaTheme="minorEastAsia" w:cs="Calibri"/>
                <w:b/>
                <w:bCs/>
                <w:color w:val="000000"/>
                <w:sz w:val="16"/>
                <w:szCs w:val="16"/>
                <w:lang w:val="en-US" w:eastAsia="zh-CN"/>
              </w:rPr>
              <w:t>日</w:t>
            </w:r>
          </w:p>
        </w:tc>
        <w:tc>
          <w:tcPr>
            <w:tcW w:w="576" w:type="pct"/>
            <w:tcBorders>
              <w:top w:val="nil"/>
              <w:left w:val="nil"/>
              <w:bottom w:val="single" w:sz="4" w:space="0" w:color="auto"/>
              <w:right w:val="single" w:sz="4" w:space="0" w:color="auto"/>
            </w:tcBorders>
            <w:shd w:val="clear" w:color="auto" w:fill="auto"/>
            <w:noWrap/>
            <w:hideMark/>
          </w:tcPr>
          <w:p w14:paraId="11DA63F0" w14:textId="77777777" w:rsidR="00B56A7B" w:rsidRPr="00111876" w:rsidRDefault="00B56A7B" w:rsidP="00CC47BD">
            <w:pPr>
              <w:jc w:val="right"/>
              <w:rPr>
                <w:rFonts w:cs="Calibri"/>
                <w:sz w:val="16"/>
                <w:szCs w:val="16"/>
                <w:lang w:eastAsia="zh-CN"/>
              </w:rPr>
            </w:pPr>
            <w:r w:rsidRPr="00111876">
              <w:rPr>
                <w:rFonts w:eastAsiaTheme="minorEastAsia" w:cs="Calibri"/>
                <w:b/>
                <w:bCs/>
                <w:color w:val="000000"/>
                <w:sz w:val="16"/>
                <w:szCs w:val="16"/>
                <w:lang w:val="en-US" w:eastAsia="zh-CN"/>
              </w:rPr>
              <w:t>202</w:t>
            </w:r>
            <w:r w:rsidRPr="00111876">
              <w:rPr>
                <w:rFonts w:eastAsiaTheme="minorEastAsia" w:cs="Calibri" w:hint="eastAsia"/>
                <w:b/>
                <w:bCs/>
                <w:color w:val="000000"/>
                <w:sz w:val="16"/>
                <w:szCs w:val="16"/>
                <w:lang w:val="en-US" w:eastAsia="zh-CN"/>
              </w:rPr>
              <w:t>1</w:t>
            </w:r>
            <w:r w:rsidRPr="00111876">
              <w:rPr>
                <w:rFonts w:eastAsiaTheme="minorEastAsia" w:cs="Calibri"/>
                <w:b/>
                <w:bCs/>
                <w:color w:val="000000"/>
                <w:sz w:val="16"/>
                <w:szCs w:val="16"/>
                <w:lang w:val="en-US" w:eastAsia="zh-CN"/>
              </w:rPr>
              <w:t>年</w:t>
            </w:r>
            <w:r w:rsidRPr="00111876">
              <w:rPr>
                <w:rFonts w:eastAsiaTheme="minorEastAsia" w:cs="Calibri"/>
                <w:b/>
                <w:bCs/>
                <w:color w:val="000000"/>
                <w:sz w:val="16"/>
                <w:szCs w:val="16"/>
                <w:lang w:val="en-US" w:eastAsia="zh-CN"/>
              </w:rPr>
              <w:br/>
              <w:t>12</w:t>
            </w:r>
            <w:r w:rsidRPr="00111876">
              <w:rPr>
                <w:rFonts w:eastAsiaTheme="minorEastAsia" w:cs="Calibri"/>
                <w:b/>
                <w:bCs/>
                <w:color w:val="000000"/>
                <w:sz w:val="16"/>
                <w:szCs w:val="16"/>
                <w:lang w:val="en-US" w:eastAsia="zh-CN"/>
              </w:rPr>
              <w:t>月</w:t>
            </w:r>
            <w:r w:rsidRPr="00111876">
              <w:rPr>
                <w:rFonts w:eastAsiaTheme="minorEastAsia" w:cs="Calibri"/>
                <w:b/>
                <w:bCs/>
                <w:color w:val="000000"/>
                <w:sz w:val="16"/>
                <w:szCs w:val="16"/>
                <w:lang w:val="en-US" w:eastAsia="zh-CN"/>
              </w:rPr>
              <w:t>31</w:t>
            </w:r>
            <w:r w:rsidRPr="00111876">
              <w:rPr>
                <w:rFonts w:eastAsiaTheme="minorEastAsia" w:cs="Calibri"/>
                <w:b/>
                <w:bCs/>
                <w:color w:val="000000"/>
                <w:sz w:val="16"/>
                <w:szCs w:val="16"/>
                <w:lang w:val="en-US" w:eastAsia="zh-CN"/>
              </w:rPr>
              <w:t>日</w:t>
            </w:r>
          </w:p>
        </w:tc>
        <w:tc>
          <w:tcPr>
            <w:tcW w:w="620" w:type="pct"/>
            <w:gridSpan w:val="2"/>
            <w:tcBorders>
              <w:top w:val="nil"/>
              <w:left w:val="nil"/>
              <w:bottom w:val="single" w:sz="4" w:space="0" w:color="auto"/>
              <w:right w:val="single" w:sz="4" w:space="0" w:color="auto"/>
            </w:tcBorders>
            <w:shd w:val="clear" w:color="auto" w:fill="auto"/>
            <w:noWrap/>
            <w:hideMark/>
          </w:tcPr>
          <w:p w14:paraId="0238B6B9" w14:textId="77777777" w:rsidR="00B56A7B" w:rsidRPr="00111876" w:rsidRDefault="00B56A7B" w:rsidP="00CC47BD">
            <w:pPr>
              <w:jc w:val="right"/>
              <w:rPr>
                <w:rFonts w:cs="Calibri"/>
                <w:sz w:val="16"/>
                <w:szCs w:val="16"/>
                <w:lang w:eastAsia="zh-CN"/>
              </w:rPr>
            </w:pPr>
            <w:r w:rsidRPr="00111876">
              <w:rPr>
                <w:rFonts w:eastAsiaTheme="minorEastAsia" w:cs="Calibri"/>
                <w:b/>
                <w:bCs/>
                <w:color w:val="000000"/>
                <w:sz w:val="16"/>
                <w:szCs w:val="16"/>
                <w:lang w:val="en-US" w:eastAsia="zh-CN"/>
              </w:rPr>
              <w:t>202</w:t>
            </w:r>
            <w:r w:rsidRPr="00111876">
              <w:rPr>
                <w:rFonts w:eastAsiaTheme="minorEastAsia" w:cs="Calibri" w:hint="eastAsia"/>
                <w:b/>
                <w:bCs/>
                <w:color w:val="000000"/>
                <w:sz w:val="16"/>
                <w:szCs w:val="16"/>
                <w:lang w:val="en-US" w:eastAsia="zh-CN"/>
              </w:rPr>
              <w:t>1</w:t>
            </w:r>
            <w:r w:rsidRPr="00111876">
              <w:rPr>
                <w:rFonts w:eastAsiaTheme="minorEastAsia" w:cs="Calibri"/>
                <w:b/>
                <w:bCs/>
                <w:color w:val="000000"/>
                <w:sz w:val="16"/>
                <w:szCs w:val="16"/>
                <w:lang w:val="en-US" w:eastAsia="zh-CN"/>
              </w:rPr>
              <w:t>年</w:t>
            </w:r>
            <w:r w:rsidRPr="00111876">
              <w:rPr>
                <w:rFonts w:eastAsiaTheme="minorEastAsia" w:cs="Calibri"/>
                <w:b/>
                <w:bCs/>
                <w:color w:val="000000"/>
                <w:sz w:val="16"/>
                <w:szCs w:val="16"/>
                <w:lang w:val="en-US" w:eastAsia="zh-CN"/>
              </w:rPr>
              <w:br/>
              <w:t>12</w:t>
            </w:r>
            <w:r w:rsidRPr="00111876">
              <w:rPr>
                <w:rFonts w:eastAsiaTheme="minorEastAsia" w:cs="Calibri"/>
                <w:b/>
                <w:bCs/>
                <w:color w:val="000000"/>
                <w:sz w:val="16"/>
                <w:szCs w:val="16"/>
                <w:lang w:val="en-US" w:eastAsia="zh-CN"/>
              </w:rPr>
              <w:t>月</w:t>
            </w:r>
            <w:r w:rsidRPr="00111876">
              <w:rPr>
                <w:rFonts w:eastAsiaTheme="minorEastAsia" w:cs="Calibri"/>
                <w:b/>
                <w:bCs/>
                <w:color w:val="000000"/>
                <w:sz w:val="16"/>
                <w:szCs w:val="16"/>
                <w:lang w:val="en-US" w:eastAsia="zh-CN"/>
              </w:rPr>
              <w:t>31</w:t>
            </w:r>
            <w:r w:rsidRPr="00111876">
              <w:rPr>
                <w:rFonts w:eastAsiaTheme="minorEastAsia" w:cs="Calibri"/>
                <w:b/>
                <w:bCs/>
                <w:color w:val="000000"/>
                <w:sz w:val="16"/>
                <w:szCs w:val="16"/>
                <w:lang w:val="en-US" w:eastAsia="zh-CN"/>
              </w:rPr>
              <w:t>日</w:t>
            </w:r>
          </w:p>
        </w:tc>
      </w:tr>
      <w:tr w:rsidR="00B56A7B" w:rsidRPr="00111876" w14:paraId="6FA33D43"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5EC638A1"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hint="eastAsia"/>
                <w:color w:val="000000"/>
                <w:sz w:val="16"/>
                <w:szCs w:val="16"/>
                <w:lang w:val="en-US" w:eastAsia="zh-CN"/>
              </w:rPr>
              <w:t>总秘书处</w:t>
            </w:r>
          </w:p>
        </w:tc>
        <w:tc>
          <w:tcPr>
            <w:tcW w:w="704" w:type="pct"/>
            <w:tcBorders>
              <w:top w:val="nil"/>
              <w:left w:val="single" w:sz="4" w:space="0" w:color="auto"/>
              <w:bottom w:val="nil"/>
              <w:right w:val="single" w:sz="4" w:space="0" w:color="auto"/>
            </w:tcBorders>
            <w:shd w:val="clear" w:color="auto" w:fill="auto"/>
            <w:noWrap/>
            <w:vAlign w:val="bottom"/>
            <w:hideMark/>
          </w:tcPr>
          <w:p w14:paraId="757753E6" w14:textId="3C089F1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91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924</w:t>
            </w:r>
          </w:p>
        </w:tc>
        <w:tc>
          <w:tcPr>
            <w:tcW w:w="604" w:type="pct"/>
            <w:tcBorders>
              <w:top w:val="nil"/>
              <w:left w:val="nil"/>
              <w:bottom w:val="nil"/>
              <w:right w:val="nil"/>
            </w:tcBorders>
            <w:shd w:val="clear" w:color="auto" w:fill="auto"/>
            <w:noWrap/>
            <w:vAlign w:val="bottom"/>
            <w:hideMark/>
          </w:tcPr>
          <w:p w14:paraId="7DDA8F78"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p>
        </w:tc>
        <w:tc>
          <w:tcPr>
            <w:tcW w:w="644" w:type="pct"/>
            <w:tcBorders>
              <w:top w:val="nil"/>
              <w:left w:val="single" w:sz="4" w:space="0" w:color="auto"/>
              <w:bottom w:val="nil"/>
              <w:right w:val="single" w:sz="4" w:space="0" w:color="auto"/>
            </w:tcBorders>
            <w:shd w:val="clear" w:color="auto" w:fill="auto"/>
            <w:noWrap/>
            <w:vAlign w:val="bottom"/>
            <w:hideMark/>
          </w:tcPr>
          <w:p w14:paraId="44BEE49B"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p>
        </w:tc>
        <w:tc>
          <w:tcPr>
            <w:tcW w:w="654" w:type="pct"/>
            <w:gridSpan w:val="2"/>
            <w:tcBorders>
              <w:top w:val="nil"/>
              <w:left w:val="nil"/>
              <w:bottom w:val="nil"/>
              <w:right w:val="single" w:sz="4" w:space="0" w:color="auto"/>
            </w:tcBorders>
            <w:shd w:val="clear" w:color="auto" w:fill="auto"/>
            <w:noWrap/>
            <w:vAlign w:val="bottom"/>
            <w:hideMark/>
          </w:tcPr>
          <w:p w14:paraId="6A54EB71" w14:textId="79DAA094"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91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924</w:t>
            </w:r>
          </w:p>
        </w:tc>
        <w:tc>
          <w:tcPr>
            <w:tcW w:w="576" w:type="pct"/>
            <w:tcBorders>
              <w:top w:val="nil"/>
              <w:left w:val="nil"/>
              <w:bottom w:val="nil"/>
              <w:right w:val="single" w:sz="4" w:space="0" w:color="auto"/>
            </w:tcBorders>
            <w:shd w:val="clear" w:color="auto" w:fill="auto"/>
            <w:noWrap/>
            <w:vAlign w:val="bottom"/>
            <w:hideMark/>
          </w:tcPr>
          <w:p w14:paraId="56D945C9" w14:textId="22AE8904"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82</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390</w:t>
            </w:r>
          </w:p>
        </w:tc>
        <w:tc>
          <w:tcPr>
            <w:tcW w:w="620" w:type="pct"/>
            <w:gridSpan w:val="2"/>
            <w:tcBorders>
              <w:top w:val="nil"/>
              <w:left w:val="nil"/>
              <w:bottom w:val="nil"/>
              <w:right w:val="single" w:sz="4" w:space="0" w:color="auto"/>
            </w:tcBorders>
            <w:shd w:val="clear" w:color="auto" w:fill="auto"/>
            <w:noWrap/>
            <w:vAlign w:val="bottom"/>
            <w:hideMark/>
          </w:tcPr>
          <w:p w14:paraId="685713E6" w14:textId="3AD10BB4"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9</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534</w:t>
            </w:r>
          </w:p>
        </w:tc>
      </w:tr>
      <w:tr w:rsidR="00B56A7B" w:rsidRPr="00111876" w14:paraId="5C116CD4"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647223F5"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hint="eastAsia"/>
                <w:color w:val="000000"/>
                <w:sz w:val="16"/>
                <w:szCs w:val="16"/>
                <w:lang w:val="en-US" w:eastAsia="zh-CN"/>
              </w:rPr>
              <w:t>无线电通信</w:t>
            </w:r>
            <w:r w:rsidRPr="00111876">
              <w:rPr>
                <w:rFonts w:ascii="STKaiti" w:eastAsia="STKaiti" w:hAnsi="STKaiti" w:cs="Calibri"/>
                <w:color w:val="000000"/>
                <w:sz w:val="16"/>
                <w:szCs w:val="16"/>
                <w:lang w:val="en-US" w:eastAsia="zh-CN"/>
              </w:rPr>
              <w:t>部门</w:t>
            </w:r>
          </w:p>
        </w:tc>
        <w:tc>
          <w:tcPr>
            <w:tcW w:w="704" w:type="pct"/>
            <w:tcBorders>
              <w:top w:val="nil"/>
              <w:left w:val="single" w:sz="4" w:space="0" w:color="auto"/>
              <w:bottom w:val="nil"/>
              <w:right w:val="single" w:sz="4" w:space="0" w:color="auto"/>
            </w:tcBorders>
            <w:shd w:val="clear" w:color="auto" w:fill="auto"/>
            <w:noWrap/>
            <w:vAlign w:val="bottom"/>
            <w:hideMark/>
          </w:tcPr>
          <w:p w14:paraId="09DA4825" w14:textId="19E95591"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29</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696</w:t>
            </w:r>
          </w:p>
        </w:tc>
        <w:tc>
          <w:tcPr>
            <w:tcW w:w="604" w:type="pct"/>
            <w:tcBorders>
              <w:top w:val="nil"/>
              <w:left w:val="nil"/>
              <w:bottom w:val="nil"/>
              <w:right w:val="single" w:sz="4" w:space="0" w:color="auto"/>
            </w:tcBorders>
            <w:shd w:val="clear" w:color="auto" w:fill="auto"/>
            <w:noWrap/>
            <w:vAlign w:val="bottom"/>
            <w:hideMark/>
          </w:tcPr>
          <w:p w14:paraId="160E7AA0"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p>
        </w:tc>
        <w:tc>
          <w:tcPr>
            <w:tcW w:w="644" w:type="pct"/>
            <w:tcBorders>
              <w:top w:val="nil"/>
              <w:left w:val="nil"/>
              <w:bottom w:val="nil"/>
              <w:right w:val="single" w:sz="4" w:space="0" w:color="auto"/>
            </w:tcBorders>
            <w:shd w:val="clear" w:color="auto" w:fill="auto"/>
            <w:noWrap/>
            <w:vAlign w:val="bottom"/>
            <w:hideMark/>
          </w:tcPr>
          <w:p w14:paraId="44831508"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p>
        </w:tc>
        <w:tc>
          <w:tcPr>
            <w:tcW w:w="654" w:type="pct"/>
            <w:gridSpan w:val="2"/>
            <w:tcBorders>
              <w:top w:val="nil"/>
              <w:left w:val="nil"/>
              <w:bottom w:val="nil"/>
              <w:right w:val="single" w:sz="4" w:space="0" w:color="auto"/>
            </w:tcBorders>
            <w:shd w:val="clear" w:color="auto" w:fill="auto"/>
            <w:noWrap/>
            <w:vAlign w:val="bottom"/>
            <w:hideMark/>
          </w:tcPr>
          <w:p w14:paraId="73CAA3A1" w14:textId="1A08866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29</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696</w:t>
            </w:r>
          </w:p>
        </w:tc>
        <w:tc>
          <w:tcPr>
            <w:tcW w:w="576" w:type="pct"/>
            <w:tcBorders>
              <w:top w:val="nil"/>
              <w:left w:val="nil"/>
              <w:bottom w:val="nil"/>
              <w:right w:val="single" w:sz="4" w:space="0" w:color="auto"/>
            </w:tcBorders>
            <w:shd w:val="clear" w:color="auto" w:fill="auto"/>
            <w:noWrap/>
            <w:vAlign w:val="bottom"/>
            <w:hideMark/>
          </w:tcPr>
          <w:p w14:paraId="3FF43B85" w14:textId="5B6F709E"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27</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479</w:t>
            </w:r>
          </w:p>
        </w:tc>
        <w:tc>
          <w:tcPr>
            <w:tcW w:w="620" w:type="pct"/>
            <w:gridSpan w:val="2"/>
            <w:tcBorders>
              <w:top w:val="nil"/>
              <w:left w:val="nil"/>
              <w:bottom w:val="nil"/>
              <w:right w:val="single" w:sz="4" w:space="0" w:color="auto"/>
            </w:tcBorders>
            <w:shd w:val="clear" w:color="auto" w:fill="auto"/>
            <w:noWrap/>
            <w:vAlign w:val="bottom"/>
            <w:hideMark/>
          </w:tcPr>
          <w:p w14:paraId="179C23AD" w14:textId="07EC5EC9"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2</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217</w:t>
            </w:r>
          </w:p>
        </w:tc>
      </w:tr>
      <w:tr w:rsidR="00B56A7B" w:rsidRPr="00111876" w14:paraId="2FA1579A"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2388D7B6"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hint="eastAsia"/>
                <w:color w:val="000000"/>
                <w:sz w:val="16"/>
                <w:szCs w:val="16"/>
                <w:lang w:val="en-US" w:eastAsia="zh-CN"/>
              </w:rPr>
              <w:t>电信标准化</w:t>
            </w:r>
            <w:r w:rsidRPr="00111876">
              <w:rPr>
                <w:rFonts w:ascii="STKaiti" w:eastAsia="STKaiti" w:hAnsi="STKaiti" w:cs="Calibri"/>
                <w:color w:val="000000"/>
                <w:sz w:val="16"/>
                <w:szCs w:val="16"/>
                <w:lang w:val="en-US" w:eastAsia="zh-CN"/>
              </w:rPr>
              <w:t>部门</w:t>
            </w:r>
          </w:p>
        </w:tc>
        <w:tc>
          <w:tcPr>
            <w:tcW w:w="704" w:type="pct"/>
            <w:tcBorders>
              <w:top w:val="nil"/>
              <w:left w:val="single" w:sz="4" w:space="0" w:color="auto"/>
              <w:bottom w:val="nil"/>
              <w:right w:val="single" w:sz="4" w:space="0" w:color="auto"/>
            </w:tcBorders>
            <w:shd w:val="clear" w:color="auto" w:fill="auto"/>
            <w:noWrap/>
            <w:vAlign w:val="bottom"/>
            <w:hideMark/>
          </w:tcPr>
          <w:p w14:paraId="53C81AA9" w14:textId="333A3643"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13</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354</w:t>
            </w:r>
          </w:p>
        </w:tc>
        <w:tc>
          <w:tcPr>
            <w:tcW w:w="604" w:type="pct"/>
            <w:tcBorders>
              <w:top w:val="nil"/>
              <w:left w:val="nil"/>
              <w:bottom w:val="nil"/>
              <w:right w:val="single" w:sz="4" w:space="0" w:color="auto"/>
            </w:tcBorders>
            <w:shd w:val="clear" w:color="auto" w:fill="auto"/>
            <w:noWrap/>
            <w:vAlign w:val="bottom"/>
            <w:hideMark/>
          </w:tcPr>
          <w:p w14:paraId="3EB3B26A"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p>
        </w:tc>
        <w:tc>
          <w:tcPr>
            <w:tcW w:w="644" w:type="pct"/>
            <w:tcBorders>
              <w:top w:val="nil"/>
              <w:left w:val="nil"/>
              <w:bottom w:val="nil"/>
              <w:right w:val="single" w:sz="4" w:space="0" w:color="auto"/>
            </w:tcBorders>
            <w:shd w:val="clear" w:color="auto" w:fill="auto"/>
            <w:noWrap/>
            <w:vAlign w:val="bottom"/>
            <w:hideMark/>
          </w:tcPr>
          <w:p w14:paraId="0ED0715D"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p>
        </w:tc>
        <w:tc>
          <w:tcPr>
            <w:tcW w:w="654" w:type="pct"/>
            <w:gridSpan w:val="2"/>
            <w:tcBorders>
              <w:top w:val="nil"/>
              <w:left w:val="nil"/>
              <w:bottom w:val="nil"/>
              <w:right w:val="single" w:sz="4" w:space="0" w:color="auto"/>
            </w:tcBorders>
            <w:shd w:val="clear" w:color="auto" w:fill="auto"/>
            <w:noWrap/>
            <w:vAlign w:val="bottom"/>
            <w:hideMark/>
          </w:tcPr>
          <w:p w14:paraId="6D99C2FE" w14:textId="556D0945"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13</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354</w:t>
            </w:r>
          </w:p>
        </w:tc>
        <w:tc>
          <w:tcPr>
            <w:tcW w:w="576" w:type="pct"/>
            <w:tcBorders>
              <w:top w:val="nil"/>
              <w:left w:val="nil"/>
              <w:bottom w:val="nil"/>
              <w:right w:val="single" w:sz="4" w:space="0" w:color="auto"/>
            </w:tcBorders>
            <w:shd w:val="clear" w:color="auto" w:fill="auto"/>
            <w:noWrap/>
            <w:vAlign w:val="bottom"/>
            <w:hideMark/>
          </w:tcPr>
          <w:p w14:paraId="3EDA6BAE" w14:textId="2D72F1A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12</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447</w:t>
            </w:r>
          </w:p>
        </w:tc>
        <w:tc>
          <w:tcPr>
            <w:tcW w:w="620" w:type="pct"/>
            <w:gridSpan w:val="2"/>
            <w:tcBorders>
              <w:top w:val="nil"/>
              <w:left w:val="nil"/>
              <w:bottom w:val="nil"/>
              <w:right w:val="single" w:sz="4" w:space="0" w:color="auto"/>
            </w:tcBorders>
            <w:shd w:val="clear" w:color="auto" w:fill="auto"/>
            <w:noWrap/>
            <w:vAlign w:val="bottom"/>
            <w:hideMark/>
          </w:tcPr>
          <w:p w14:paraId="5C61D125"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zh-CN"/>
              </w:rPr>
            </w:pPr>
            <w:r w:rsidRPr="00111876">
              <w:rPr>
                <w:rFonts w:asciiTheme="minorHAnsi" w:hAnsiTheme="minorHAnsi" w:cstheme="minorHAnsi"/>
                <w:i/>
                <w:iCs/>
                <w:color w:val="000000"/>
                <w:sz w:val="16"/>
                <w:szCs w:val="16"/>
                <w:lang w:eastAsia="en-GB"/>
              </w:rPr>
              <w:t>907</w:t>
            </w:r>
          </w:p>
        </w:tc>
      </w:tr>
      <w:tr w:rsidR="00B56A7B" w:rsidRPr="00111876" w14:paraId="02FE693F" w14:textId="77777777" w:rsidTr="00CC47BD">
        <w:trPr>
          <w:trHeight w:val="300"/>
        </w:trPr>
        <w:tc>
          <w:tcPr>
            <w:tcW w:w="1198" w:type="pct"/>
            <w:tcBorders>
              <w:top w:val="nil"/>
              <w:left w:val="single" w:sz="4" w:space="0" w:color="auto"/>
              <w:bottom w:val="nil"/>
              <w:right w:val="nil"/>
            </w:tcBorders>
            <w:shd w:val="clear" w:color="auto" w:fill="auto"/>
            <w:vAlign w:val="bottom"/>
            <w:hideMark/>
          </w:tcPr>
          <w:p w14:paraId="5BAA7CA5"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hint="eastAsia"/>
                <w:color w:val="000000"/>
                <w:sz w:val="16"/>
                <w:szCs w:val="16"/>
                <w:lang w:val="en-US" w:eastAsia="zh-CN"/>
              </w:rPr>
              <w:t>电信发展</w:t>
            </w:r>
            <w:r w:rsidRPr="00111876">
              <w:rPr>
                <w:rFonts w:ascii="STKaiti" w:eastAsia="STKaiti" w:hAnsi="STKaiti" w:cs="Calibri"/>
                <w:color w:val="000000"/>
                <w:sz w:val="16"/>
                <w:szCs w:val="16"/>
                <w:lang w:val="en-US" w:eastAsia="zh-CN"/>
              </w:rPr>
              <w:t>部门</w:t>
            </w:r>
          </w:p>
        </w:tc>
        <w:tc>
          <w:tcPr>
            <w:tcW w:w="704" w:type="pct"/>
            <w:tcBorders>
              <w:top w:val="nil"/>
              <w:left w:val="single" w:sz="4" w:space="0" w:color="auto"/>
              <w:bottom w:val="nil"/>
              <w:right w:val="single" w:sz="4" w:space="0" w:color="auto"/>
            </w:tcBorders>
            <w:shd w:val="clear" w:color="auto" w:fill="auto"/>
            <w:noWrap/>
            <w:vAlign w:val="bottom"/>
            <w:hideMark/>
          </w:tcPr>
          <w:p w14:paraId="367CADA5" w14:textId="6EEAA171"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111876">
              <w:rPr>
                <w:rFonts w:asciiTheme="minorHAnsi" w:hAnsiTheme="minorHAnsi" w:cstheme="minorHAnsi"/>
                <w:i/>
                <w:iCs/>
                <w:color w:val="000000"/>
                <w:sz w:val="16"/>
                <w:szCs w:val="16"/>
                <w:lang w:eastAsia="en-GB"/>
              </w:rPr>
              <w:t>29</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561</w:t>
            </w:r>
          </w:p>
        </w:tc>
        <w:tc>
          <w:tcPr>
            <w:tcW w:w="604" w:type="pct"/>
            <w:tcBorders>
              <w:top w:val="nil"/>
              <w:left w:val="nil"/>
              <w:bottom w:val="nil"/>
              <w:right w:val="single" w:sz="4" w:space="0" w:color="auto"/>
            </w:tcBorders>
            <w:shd w:val="clear" w:color="auto" w:fill="auto"/>
            <w:noWrap/>
            <w:vAlign w:val="bottom"/>
            <w:hideMark/>
          </w:tcPr>
          <w:p w14:paraId="681E5567"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111876">
              <w:rPr>
                <w:rFonts w:asciiTheme="minorHAnsi" w:hAnsiTheme="minorHAnsi" w:cstheme="minorHAnsi"/>
                <w:i/>
                <w:iCs/>
                <w:color w:val="000000"/>
                <w:sz w:val="16"/>
                <w:szCs w:val="16"/>
                <w:lang w:eastAsia="en-GB"/>
              </w:rPr>
              <w:t>59</w:t>
            </w:r>
          </w:p>
        </w:tc>
        <w:tc>
          <w:tcPr>
            <w:tcW w:w="644" w:type="pct"/>
            <w:tcBorders>
              <w:top w:val="nil"/>
              <w:left w:val="nil"/>
              <w:bottom w:val="nil"/>
              <w:right w:val="single" w:sz="4" w:space="0" w:color="auto"/>
            </w:tcBorders>
            <w:shd w:val="clear" w:color="auto" w:fill="auto"/>
            <w:noWrap/>
            <w:vAlign w:val="bottom"/>
            <w:hideMark/>
          </w:tcPr>
          <w:p w14:paraId="6EBF2EAD"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p>
        </w:tc>
        <w:tc>
          <w:tcPr>
            <w:tcW w:w="654" w:type="pct"/>
            <w:gridSpan w:val="2"/>
            <w:tcBorders>
              <w:top w:val="nil"/>
              <w:left w:val="nil"/>
              <w:bottom w:val="nil"/>
              <w:right w:val="single" w:sz="4" w:space="0" w:color="auto"/>
            </w:tcBorders>
            <w:shd w:val="clear" w:color="auto" w:fill="auto"/>
            <w:noWrap/>
            <w:vAlign w:val="bottom"/>
            <w:hideMark/>
          </w:tcPr>
          <w:p w14:paraId="376E9005" w14:textId="53C533F3"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111876">
              <w:rPr>
                <w:rFonts w:asciiTheme="minorHAnsi" w:hAnsiTheme="minorHAnsi" w:cstheme="minorHAnsi"/>
                <w:i/>
                <w:iCs/>
                <w:color w:val="000000"/>
                <w:sz w:val="16"/>
                <w:szCs w:val="16"/>
                <w:lang w:eastAsia="en-GB"/>
              </w:rPr>
              <w:t>29</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620</w:t>
            </w:r>
          </w:p>
        </w:tc>
        <w:tc>
          <w:tcPr>
            <w:tcW w:w="576" w:type="pct"/>
            <w:tcBorders>
              <w:top w:val="nil"/>
              <w:left w:val="nil"/>
              <w:bottom w:val="nil"/>
              <w:right w:val="single" w:sz="4" w:space="0" w:color="auto"/>
            </w:tcBorders>
            <w:shd w:val="clear" w:color="auto" w:fill="auto"/>
            <w:noWrap/>
            <w:vAlign w:val="bottom"/>
            <w:hideMark/>
          </w:tcPr>
          <w:p w14:paraId="2797DC52" w14:textId="369C2349"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111876">
              <w:rPr>
                <w:rFonts w:asciiTheme="minorHAnsi" w:hAnsiTheme="minorHAnsi" w:cstheme="minorHAnsi"/>
                <w:i/>
                <w:iCs/>
                <w:color w:val="000000"/>
                <w:sz w:val="16"/>
                <w:szCs w:val="16"/>
                <w:lang w:eastAsia="en-GB"/>
              </w:rPr>
              <w:t>27</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206</w:t>
            </w:r>
          </w:p>
        </w:tc>
        <w:tc>
          <w:tcPr>
            <w:tcW w:w="620" w:type="pct"/>
            <w:gridSpan w:val="2"/>
            <w:tcBorders>
              <w:top w:val="nil"/>
              <w:left w:val="nil"/>
              <w:bottom w:val="nil"/>
              <w:right w:val="single" w:sz="4" w:space="0" w:color="auto"/>
            </w:tcBorders>
            <w:shd w:val="clear" w:color="auto" w:fill="auto"/>
            <w:noWrap/>
            <w:vAlign w:val="bottom"/>
            <w:hideMark/>
          </w:tcPr>
          <w:p w14:paraId="07EBFABA" w14:textId="3CEA6673"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111876">
              <w:rPr>
                <w:rFonts w:asciiTheme="minorHAnsi" w:hAnsiTheme="minorHAnsi" w:cstheme="minorHAnsi"/>
                <w:i/>
                <w:iCs/>
                <w:color w:val="000000"/>
                <w:sz w:val="16"/>
                <w:szCs w:val="16"/>
                <w:lang w:eastAsia="en-GB"/>
              </w:rPr>
              <w:t>2</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414</w:t>
            </w:r>
          </w:p>
        </w:tc>
      </w:tr>
      <w:tr w:rsidR="00B56A7B" w:rsidRPr="00111876" w14:paraId="316AF1EE" w14:textId="77777777" w:rsidTr="00CC47BD">
        <w:trPr>
          <w:trHeight w:val="300"/>
        </w:trPr>
        <w:tc>
          <w:tcPr>
            <w:tcW w:w="1198" w:type="pct"/>
            <w:tcBorders>
              <w:top w:val="nil"/>
              <w:left w:val="single" w:sz="4" w:space="0" w:color="auto"/>
              <w:bottom w:val="nil"/>
              <w:right w:val="nil"/>
            </w:tcBorders>
            <w:shd w:val="clear" w:color="auto" w:fill="auto"/>
            <w:vAlign w:val="bottom"/>
          </w:tcPr>
          <w:p w14:paraId="751847C9" w14:textId="77777777" w:rsidR="00B56A7B" w:rsidRPr="00111876" w:rsidRDefault="00B56A7B" w:rsidP="00CC47BD">
            <w:pPr>
              <w:overflowPunct/>
              <w:adjustRightInd/>
              <w:spacing w:before="0"/>
              <w:textAlignment w:val="auto"/>
              <w:rPr>
                <w:rFonts w:ascii="STKaiti" w:eastAsia="STKaiti" w:hAnsi="STKaiti" w:cs="Calibri"/>
                <w:color w:val="000000"/>
                <w:sz w:val="16"/>
                <w:szCs w:val="16"/>
                <w:lang w:val="en-US" w:eastAsia="zh-CN"/>
              </w:rPr>
            </w:pPr>
            <w:r w:rsidRPr="00111876">
              <w:rPr>
                <w:rFonts w:ascii="STKaiti" w:eastAsia="STKaiti" w:hAnsi="STKaiti" w:cs="Calibri" w:hint="eastAsia"/>
                <w:color w:val="000000"/>
                <w:sz w:val="16"/>
                <w:szCs w:val="16"/>
                <w:lang w:val="en-US" w:eastAsia="zh-CN"/>
              </w:rPr>
              <w:t>递延活动</w:t>
            </w:r>
          </w:p>
        </w:tc>
        <w:tc>
          <w:tcPr>
            <w:tcW w:w="704" w:type="pct"/>
            <w:tcBorders>
              <w:top w:val="nil"/>
              <w:left w:val="single" w:sz="4" w:space="0" w:color="auto"/>
              <w:bottom w:val="nil"/>
              <w:right w:val="single" w:sz="4" w:space="0" w:color="auto"/>
            </w:tcBorders>
            <w:shd w:val="clear" w:color="auto" w:fill="auto"/>
            <w:noWrap/>
            <w:vAlign w:val="bottom"/>
          </w:tcPr>
          <w:p w14:paraId="3F86E92D"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p>
        </w:tc>
        <w:tc>
          <w:tcPr>
            <w:tcW w:w="604" w:type="pct"/>
            <w:tcBorders>
              <w:top w:val="nil"/>
              <w:left w:val="nil"/>
              <w:bottom w:val="nil"/>
              <w:right w:val="single" w:sz="4" w:space="0" w:color="auto"/>
            </w:tcBorders>
            <w:shd w:val="clear" w:color="auto" w:fill="auto"/>
            <w:noWrap/>
            <w:vAlign w:val="bottom"/>
          </w:tcPr>
          <w:p w14:paraId="35AC3732" w14:textId="6706DBE3"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111876">
              <w:rPr>
                <w:rFonts w:asciiTheme="minorHAnsi" w:hAnsiTheme="minorHAnsi" w:cstheme="minorHAnsi"/>
                <w:i/>
                <w:iCs/>
                <w:color w:val="000000"/>
                <w:sz w:val="16"/>
                <w:szCs w:val="16"/>
                <w:lang w:eastAsia="en-GB"/>
              </w:rPr>
              <w:t>-1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640</w:t>
            </w:r>
          </w:p>
        </w:tc>
        <w:tc>
          <w:tcPr>
            <w:tcW w:w="644" w:type="pct"/>
            <w:tcBorders>
              <w:top w:val="nil"/>
              <w:left w:val="nil"/>
              <w:bottom w:val="nil"/>
              <w:right w:val="single" w:sz="4" w:space="0" w:color="auto"/>
            </w:tcBorders>
            <w:shd w:val="clear" w:color="auto" w:fill="auto"/>
            <w:noWrap/>
            <w:vAlign w:val="bottom"/>
          </w:tcPr>
          <w:p w14:paraId="2ACE3675"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p>
        </w:tc>
        <w:tc>
          <w:tcPr>
            <w:tcW w:w="654" w:type="pct"/>
            <w:gridSpan w:val="2"/>
            <w:tcBorders>
              <w:top w:val="nil"/>
              <w:left w:val="nil"/>
              <w:bottom w:val="nil"/>
              <w:right w:val="single" w:sz="4" w:space="0" w:color="auto"/>
            </w:tcBorders>
            <w:shd w:val="clear" w:color="auto" w:fill="auto"/>
            <w:noWrap/>
            <w:vAlign w:val="bottom"/>
          </w:tcPr>
          <w:p w14:paraId="440BF04F" w14:textId="4DDE4490"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111876">
              <w:rPr>
                <w:rFonts w:asciiTheme="minorHAnsi" w:hAnsiTheme="minorHAnsi" w:cstheme="minorHAnsi"/>
                <w:i/>
                <w:iCs/>
                <w:color w:val="000000"/>
                <w:sz w:val="16"/>
                <w:szCs w:val="16"/>
                <w:lang w:eastAsia="en-GB"/>
              </w:rPr>
              <w:t>-1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640</w:t>
            </w:r>
          </w:p>
        </w:tc>
        <w:tc>
          <w:tcPr>
            <w:tcW w:w="576" w:type="pct"/>
            <w:tcBorders>
              <w:top w:val="nil"/>
              <w:left w:val="nil"/>
              <w:bottom w:val="nil"/>
              <w:right w:val="single" w:sz="4" w:space="0" w:color="auto"/>
            </w:tcBorders>
            <w:shd w:val="clear" w:color="auto" w:fill="auto"/>
            <w:noWrap/>
            <w:vAlign w:val="bottom"/>
          </w:tcPr>
          <w:p w14:paraId="190EDD52"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p>
        </w:tc>
        <w:tc>
          <w:tcPr>
            <w:tcW w:w="620" w:type="pct"/>
            <w:gridSpan w:val="2"/>
            <w:tcBorders>
              <w:top w:val="nil"/>
              <w:left w:val="nil"/>
              <w:bottom w:val="nil"/>
              <w:right w:val="single" w:sz="4" w:space="0" w:color="auto"/>
            </w:tcBorders>
            <w:shd w:val="clear" w:color="auto" w:fill="auto"/>
            <w:noWrap/>
            <w:vAlign w:val="bottom"/>
          </w:tcPr>
          <w:p w14:paraId="6A4D455D" w14:textId="0944337E" w:rsidR="00B56A7B" w:rsidRPr="00111876" w:rsidRDefault="00B56A7B" w:rsidP="00CC47BD">
            <w:pPr>
              <w:overflowPunct/>
              <w:autoSpaceDE/>
              <w:autoSpaceDN/>
              <w:adjustRightInd/>
              <w:spacing w:before="0"/>
              <w:jc w:val="right"/>
              <w:textAlignment w:val="auto"/>
              <w:rPr>
                <w:rFonts w:asciiTheme="minorHAnsi" w:hAnsiTheme="minorHAnsi" w:cstheme="minorHAnsi"/>
                <w:i/>
                <w:iCs/>
                <w:color w:val="000000"/>
                <w:sz w:val="16"/>
                <w:szCs w:val="16"/>
                <w:lang w:eastAsia="en-GB"/>
              </w:rPr>
            </w:pPr>
            <w:r w:rsidRPr="00111876">
              <w:rPr>
                <w:rFonts w:asciiTheme="minorHAnsi" w:hAnsiTheme="minorHAnsi" w:cstheme="minorHAnsi"/>
                <w:i/>
                <w:iCs/>
                <w:color w:val="000000"/>
                <w:sz w:val="16"/>
                <w:szCs w:val="16"/>
                <w:lang w:eastAsia="en-GB"/>
              </w:rPr>
              <w:t>-1</w:t>
            </w:r>
            <w:r w:rsidR="002E25E5" w:rsidRPr="00111876">
              <w:rPr>
                <w:rFonts w:asciiTheme="minorHAnsi" w:hAnsiTheme="minorHAnsi" w:cstheme="minorHAnsi"/>
                <w:i/>
                <w:iCs/>
                <w:color w:val="000000"/>
                <w:sz w:val="16"/>
                <w:szCs w:val="16"/>
                <w:lang w:eastAsia="en-GB"/>
              </w:rPr>
              <w:t> </w:t>
            </w:r>
            <w:r w:rsidRPr="00111876">
              <w:rPr>
                <w:rFonts w:asciiTheme="minorHAnsi" w:hAnsiTheme="minorHAnsi" w:cstheme="minorHAnsi"/>
                <w:i/>
                <w:iCs/>
                <w:color w:val="000000"/>
                <w:sz w:val="16"/>
                <w:szCs w:val="16"/>
                <w:lang w:eastAsia="en-GB"/>
              </w:rPr>
              <w:t>640</w:t>
            </w:r>
          </w:p>
        </w:tc>
      </w:tr>
      <w:tr w:rsidR="00B56A7B" w:rsidRPr="00111876" w14:paraId="2BC90EA8" w14:textId="77777777" w:rsidTr="00CC47BD">
        <w:trPr>
          <w:trHeight w:val="300"/>
        </w:trPr>
        <w:tc>
          <w:tcPr>
            <w:tcW w:w="1198" w:type="pct"/>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6ECFF593" w14:textId="77777777" w:rsidR="00B56A7B" w:rsidRPr="00111876" w:rsidRDefault="00B56A7B" w:rsidP="00CC47BD">
            <w:pPr>
              <w:overflowPunct/>
              <w:adjustRightInd/>
              <w:spacing w:before="0"/>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费用</w:t>
            </w:r>
            <w:r w:rsidRPr="00111876">
              <w:rPr>
                <w:rFonts w:cs="Calibri"/>
                <w:b/>
                <w:bCs/>
                <w:color w:val="000000"/>
                <w:sz w:val="16"/>
                <w:szCs w:val="16"/>
                <w:lang w:val="en-US" w:eastAsia="zh-CN"/>
              </w:rPr>
              <w:t>合计</w:t>
            </w:r>
          </w:p>
        </w:tc>
        <w:tc>
          <w:tcPr>
            <w:tcW w:w="70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3B0CF87F" w14:textId="52CC75D4"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111876">
              <w:rPr>
                <w:rFonts w:asciiTheme="minorHAnsi" w:hAnsiTheme="minorHAnsi" w:cstheme="minorHAnsi"/>
                <w:b/>
                <w:bCs/>
                <w:color w:val="000000"/>
                <w:sz w:val="16"/>
                <w:szCs w:val="16"/>
                <w:lang w:eastAsia="en-GB"/>
              </w:rPr>
              <w:t>164</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535</w:t>
            </w:r>
          </w:p>
        </w:tc>
        <w:tc>
          <w:tcPr>
            <w:tcW w:w="604"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7BA5EFC8" w14:textId="5841976E"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111876">
              <w:rPr>
                <w:rFonts w:asciiTheme="minorHAnsi" w:hAnsiTheme="minorHAnsi" w:cstheme="minorHAnsi"/>
                <w:b/>
                <w:bCs/>
                <w:color w:val="000000"/>
                <w:sz w:val="16"/>
                <w:szCs w:val="16"/>
                <w:lang w:eastAsia="en-GB"/>
              </w:rPr>
              <w:t>-1</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581</w:t>
            </w:r>
          </w:p>
        </w:tc>
        <w:tc>
          <w:tcPr>
            <w:tcW w:w="644"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27ECCF15"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111876">
              <w:rPr>
                <w:rFonts w:asciiTheme="minorHAnsi" w:hAnsiTheme="minorHAnsi" w:cstheme="minorHAnsi"/>
                <w:b/>
                <w:bCs/>
                <w:color w:val="000000"/>
                <w:sz w:val="16"/>
                <w:szCs w:val="16"/>
                <w:lang w:eastAsia="en-GB"/>
              </w:rPr>
              <w:t>-</w:t>
            </w:r>
          </w:p>
        </w:tc>
        <w:tc>
          <w:tcPr>
            <w:tcW w:w="654" w:type="pct"/>
            <w:gridSpan w:val="2"/>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42D1232F" w14:textId="320147E9"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111876">
              <w:rPr>
                <w:rFonts w:asciiTheme="minorHAnsi" w:hAnsiTheme="minorHAnsi" w:cstheme="minorHAnsi"/>
                <w:b/>
                <w:bCs/>
                <w:color w:val="000000"/>
                <w:sz w:val="16"/>
                <w:szCs w:val="16"/>
                <w:lang w:eastAsia="en-GB"/>
              </w:rPr>
              <w:t>162</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954</w:t>
            </w:r>
          </w:p>
        </w:tc>
        <w:tc>
          <w:tcPr>
            <w:tcW w:w="576"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6C3F91A5" w14:textId="3F148432"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111876">
              <w:rPr>
                <w:rFonts w:asciiTheme="minorHAnsi" w:hAnsiTheme="minorHAnsi" w:cstheme="minorHAnsi"/>
                <w:b/>
                <w:bCs/>
                <w:color w:val="000000"/>
                <w:sz w:val="16"/>
                <w:szCs w:val="16"/>
                <w:lang w:eastAsia="en-GB"/>
              </w:rPr>
              <w:t>149</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521</w:t>
            </w:r>
          </w:p>
        </w:tc>
        <w:tc>
          <w:tcPr>
            <w:tcW w:w="620" w:type="pct"/>
            <w:gridSpan w:val="2"/>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5DC36365" w14:textId="1D4A6879"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111876">
              <w:rPr>
                <w:rFonts w:asciiTheme="minorHAnsi" w:hAnsiTheme="minorHAnsi" w:cstheme="minorHAnsi"/>
                <w:b/>
                <w:bCs/>
                <w:color w:val="000000"/>
                <w:sz w:val="16"/>
                <w:szCs w:val="16"/>
                <w:lang w:eastAsia="en-GB"/>
              </w:rPr>
              <w:t>13</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433</w:t>
            </w:r>
          </w:p>
        </w:tc>
      </w:tr>
      <w:tr w:rsidR="00B56A7B" w:rsidRPr="00111876" w14:paraId="1DD7EFFA" w14:textId="77777777" w:rsidTr="00CC47BD">
        <w:trPr>
          <w:trHeight w:val="300"/>
        </w:trPr>
        <w:tc>
          <w:tcPr>
            <w:tcW w:w="1198" w:type="pct"/>
            <w:tcBorders>
              <w:top w:val="nil"/>
              <w:left w:val="single" w:sz="4" w:space="0" w:color="auto"/>
              <w:bottom w:val="single" w:sz="4" w:space="0" w:color="auto"/>
              <w:right w:val="nil"/>
            </w:tcBorders>
            <w:shd w:val="clear" w:color="auto" w:fill="auto"/>
            <w:vAlign w:val="center"/>
            <w:hideMark/>
          </w:tcPr>
          <w:p w14:paraId="5B440B43" w14:textId="77777777" w:rsidR="00B56A7B" w:rsidRPr="00111876" w:rsidRDefault="00B56A7B" w:rsidP="00CC47BD">
            <w:pPr>
              <w:overflowPunct/>
              <w:adjustRightInd/>
              <w:spacing w:before="0"/>
              <w:textAlignment w:val="auto"/>
              <w:rPr>
                <w:rFonts w:cs="Calibri"/>
                <w:b/>
                <w:bCs/>
                <w:color w:val="000000"/>
                <w:sz w:val="16"/>
                <w:szCs w:val="16"/>
                <w:lang w:val="en-US" w:eastAsia="zh-CN"/>
              </w:rPr>
            </w:pPr>
            <w:r w:rsidRPr="00111876">
              <w:rPr>
                <w:rFonts w:cs="Calibri" w:hint="eastAsia"/>
                <w:b/>
                <w:bCs/>
                <w:color w:val="000000"/>
                <w:sz w:val="16"/>
                <w:szCs w:val="16"/>
                <w:lang w:val="en-US" w:eastAsia="zh-CN"/>
              </w:rPr>
              <w:t>结果</w:t>
            </w:r>
          </w:p>
        </w:tc>
        <w:tc>
          <w:tcPr>
            <w:tcW w:w="704" w:type="pct"/>
            <w:tcBorders>
              <w:top w:val="nil"/>
              <w:left w:val="single" w:sz="4" w:space="0" w:color="auto"/>
              <w:bottom w:val="single" w:sz="4" w:space="0" w:color="auto"/>
              <w:right w:val="single" w:sz="4" w:space="0" w:color="auto"/>
            </w:tcBorders>
            <w:shd w:val="clear" w:color="auto" w:fill="auto"/>
            <w:noWrap/>
            <w:vAlign w:val="bottom"/>
            <w:hideMark/>
          </w:tcPr>
          <w:p w14:paraId="5C70E713"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p>
        </w:tc>
        <w:tc>
          <w:tcPr>
            <w:tcW w:w="604" w:type="pct"/>
            <w:tcBorders>
              <w:top w:val="nil"/>
              <w:left w:val="nil"/>
              <w:bottom w:val="single" w:sz="4" w:space="0" w:color="auto"/>
              <w:right w:val="single" w:sz="4" w:space="0" w:color="auto"/>
            </w:tcBorders>
            <w:shd w:val="clear" w:color="auto" w:fill="auto"/>
            <w:noWrap/>
            <w:vAlign w:val="bottom"/>
            <w:hideMark/>
          </w:tcPr>
          <w:p w14:paraId="725DA6A8"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p>
        </w:tc>
        <w:tc>
          <w:tcPr>
            <w:tcW w:w="644" w:type="pct"/>
            <w:tcBorders>
              <w:top w:val="nil"/>
              <w:left w:val="nil"/>
              <w:bottom w:val="single" w:sz="4" w:space="0" w:color="auto"/>
              <w:right w:val="single" w:sz="4" w:space="0" w:color="auto"/>
            </w:tcBorders>
            <w:shd w:val="clear" w:color="auto" w:fill="auto"/>
            <w:noWrap/>
            <w:vAlign w:val="bottom"/>
            <w:hideMark/>
          </w:tcPr>
          <w:p w14:paraId="0DCF644F"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p>
        </w:tc>
        <w:tc>
          <w:tcPr>
            <w:tcW w:w="654" w:type="pct"/>
            <w:gridSpan w:val="2"/>
            <w:tcBorders>
              <w:top w:val="nil"/>
              <w:left w:val="nil"/>
              <w:bottom w:val="single" w:sz="4" w:space="0" w:color="auto"/>
              <w:right w:val="single" w:sz="4" w:space="0" w:color="auto"/>
            </w:tcBorders>
            <w:shd w:val="clear" w:color="auto" w:fill="auto"/>
            <w:noWrap/>
            <w:vAlign w:val="bottom"/>
            <w:hideMark/>
          </w:tcPr>
          <w:p w14:paraId="6847E61D"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p>
        </w:tc>
        <w:tc>
          <w:tcPr>
            <w:tcW w:w="576" w:type="pct"/>
            <w:tcBorders>
              <w:top w:val="nil"/>
              <w:left w:val="nil"/>
              <w:bottom w:val="single" w:sz="4" w:space="0" w:color="auto"/>
              <w:right w:val="single" w:sz="4" w:space="0" w:color="auto"/>
            </w:tcBorders>
            <w:shd w:val="clear" w:color="auto" w:fill="auto"/>
            <w:noWrap/>
            <w:vAlign w:val="bottom"/>
            <w:hideMark/>
          </w:tcPr>
          <w:p w14:paraId="2953E850" w14:textId="0EE8FF96"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111876">
              <w:rPr>
                <w:rFonts w:asciiTheme="minorHAnsi" w:hAnsiTheme="minorHAnsi" w:cstheme="minorHAnsi"/>
                <w:b/>
                <w:bCs/>
                <w:color w:val="000000"/>
                <w:sz w:val="16"/>
                <w:szCs w:val="16"/>
                <w:lang w:eastAsia="en-GB"/>
              </w:rPr>
              <w:t>3</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666</w:t>
            </w:r>
          </w:p>
        </w:tc>
        <w:tc>
          <w:tcPr>
            <w:tcW w:w="620" w:type="pct"/>
            <w:gridSpan w:val="2"/>
            <w:tcBorders>
              <w:top w:val="nil"/>
              <w:left w:val="nil"/>
              <w:bottom w:val="single" w:sz="4" w:space="0" w:color="auto"/>
              <w:right w:val="single" w:sz="4" w:space="0" w:color="auto"/>
            </w:tcBorders>
            <w:shd w:val="clear" w:color="auto" w:fill="auto"/>
            <w:noWrap/>
            <w:vAlign w:val="bottom"/>
            <w:hideMark/>
          </w:tcPr>
          <w:p w14:paraId="13040F9F" w14:textId="2AA3C2B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16"/>
                <w:szCs w:val="16"/>
                <w:lang w:eastAsia="en-GB"/>
              </w:rPr>
            </w:pPr>
            <w:r w:rsidRPr="00111876">
              <w:rPr>
                <w:rFonts w:asciiTheme="minorHAnsi" w:hAnsiTheme="minorHAnsi" w:cstheme="minorHAnsi"/>
                <w:b/>
                <w:bCs/>
                <w:color w:val="000000"/>
                <w:sz w:val="16"/>
                <w:szCs w:val="16"/>
                <w:lang w:eastAsia="en-GB"/>
              </w:rPr>
              <w:t>3</w:t>
            </w:r>
            <w:r w:rsidR="002E25E5" w:rsidRPr="00111876">
              <w:rPr>
                <w:rFonts w:asciiTheme="minorHAnsi" w:hAnsiTheme="minorHAnsi" w:cstheme="minorHAnsi"/>
                <w:b/>
                <w:bCs/>
                <w:color w:val="000000"/>
                <w:sz w:val="16"/>
                <w:szCs w:val="16"/>
                <w:lang w:eastAsia="en-GB"/>
              </w:rPr>
              <w:t> </w:t>
            </w:r>
            <w:r w:rsidRPr="00111876">
              <w:rPr>
                <w:rFonts w:asciiTheme="minorHAnsi" w:hAnsiTheme="minorHAnsi" w:cstheme="minorHAnsi"/>
                <w:b/>
                <w:bCs/>
                <w:color w:val="000000"/>
                <w:sz w:val="16"/>
                <w:szCs w:val="16"/>
                <w:lang w:eastAsia="en-GB"/>
              </w:rPr>
              <w:t>666</w:t>
            </w:r>
          </w:p>
        </w:tc>
      </w:tr>
    </w:tbl>
    <w:p w14:paraId="001DF98E" w14:textId="77777777" w:rsidR="00B56A7B" w:rsidRPr="000C156A" w:rsidRDefault="00B56A7B" w:rsidP="00B56A7B">
      <w:pPr>
        <w:pStyle w:val="AnnexNo"/>
        <w:spacing w:before="120"/>
        <w:outlineLvl w:val="0"/>
        <w:rPr>
          <w:lang w:val="fr-CH"/>
        </w:rPr>
      </w:pPr>
      <w:r w:rsidRPr="000C156A">
        <w:rPr>
          <w:lang w:val="fr-CH"/>
        </w:rPr>
        <w:br w:type="page"/>
      </w:r>
      <w:bookmarkStart w:id="1403" w:name="_Toc511116024"/>
      <w:bookmarkStart w:id="1404" w:name="_Toc41908087"/>
      <w:bookmarkStart w:id="1405" w:name="_Toc73636342"/>
      <w:bookmarkStart w:id="1406" w:name="_Toc110265763"/>
      <w:bookmarkStart w:id="1407" w:name="_Toc110330298"/>
      <w:r w:rsidRPr="000C156A">
        <w:rPr>
          <w:rFonts w:cs="Microsoft YaHei" w:hint="eastAsia"/>
          <w:lang w:val="fr-CH"/>
        </w:rPr>
        <w:lastRenderedPageBreak/>
        <w:t>附件</w:t>
      </w:r>
      <w:r w:rsidRPr="000C156A">
        <w:rPr>
          <w:lang w:val="fr-CH"/>
        </w:rPr>
        <w:t>B2</w:t>
      </w:r>
      <w:bookmarkEnd w:id="1403"/>
      <w:bookmarkEnd w:id="1404"/>
      <w:bookmarkEnd w:id="1405"/>
      <w:bookmarkEnd w:id="1406"/>
      <w:bookmarkEnd w:id="1407"/>
    </w:p>
    <w:p w14:paraId="18FB64C0" w14:textId="77777777" w:rsidR="00B56A7B" w:rsidRPr="000C156A" w:rsidRDefault="00B56A7B" w:rsidP="00B56A7B">
      <w:pPr>
        <w:pStyle w:val="Annextitle"/>
        <w:rPr>
          <w:bCs/>
          <w:szCs w:val="28"/>
          <w:lang w:val="en-US"/>
        </w:rPr>
      </w:pPr>
      <w:r w:rsidRPr="000C156A">
        <w:rPr>
          <w:rFonts w:hint="eastAsia"/>
          <w:bCs/>
          <w:szCs w:val="28"/>
          <w:lang w:val="en-US" w:eastAsia="zh-CN"/>
        </w:rPr>
        <w:t>总部新办公楼</w:t>
      </w:r>
    </w:p>
    <w:tbl>
      <w:tblPr>
        <w:tblW w:w="5000" w:type="pct"/>
        <w:tblLook w:val="04A0" w:firstRow="1" w:lastRow="0" w:firstColumn="1" w:lastColumn="0" w:noHBand="0" w:noVBand="1"/>
      </w:tblPr>
      <w:tblGrid>
        <w:gridCol w:w="6443"/>
        <w:gridCol w:w="1593"/>
        <w:gridCol w:w="1593"/>
      </w:tblGrid>
      <w:tr w:rsidR="00B56A7B" w:rsidRPr="00111876" w14:paraId="6A139B7D" w14:textId="77777777" w:rsidTr="00CC47BD">
        <w:trPr>
          <w:trHeight w:val="255"/>
        </w:trPr>
        <w:tc>
          <w:tcPr>
            <w:tcW w:w="3346" w:type="pct"/>
            <w:tcBorders>
              <w:top w:val="single" w:sz="4" w:space="0" w:color="auto"/>
              <w:left w:val="single" w:sz="4" w:space="0" w:color="auto"/>
              <w:bottom w:val="single" w:sz="4" w:space="0" w:color="auto"/>
              <w:right w:val="nil"/>
            </w:tcBorders>
            <w:shd w:val="clear" w:color="auto" w:fill="auto"/>
            <w:noWrap/>
            <w:vAlign w:val="bottom"/>
            <w:hideMark/>
          </w:tcPr>
          <w:p w14:paraId="7F54DB03" w14:textId="77777777" w:rsidR="00B56A7B" w:rsidRPr="00111876" w:rsidRDefault="00B56A7B" w:rsidP="00CC47BD">
            <w:pPr>
              <w:overflowPunct/>
              <w:autoSpaceDE/>
              <w:autoSpaceDN/>
              <w:adjustRightInd/>
              <w:spacing w:before="0"/>
              <w:textAlignment w:val="auto"/>
              <w:rPr>
                <w:rFonts w:cs="Calibri"/>
                <w:sz w:val="22"/>
                <w:szCs w:val="22"/>
                <w:lang w:eastAsia="en-GB"/>
              </w:rPr>
            </w:pPr>
            <w:bookmarkStart w:id="1408" w:name="_Toc511116025"/>
            <w:r w:rsidRPr="00111876">
              <w:rPr>
                <w:rFonts w:cs="Arial" w:hint="eastAsia"/>
                <w:sz w:val="22"/>
                <w:szCs w:val="22"/>
                <w:lang w:val="en-US" w:eastAsia="zh-CN"/>
              </w:rPr>
              <w:t>（单位：千瑞郎）</w:t>
            </w:r>
          </w:p>
        </w:tc>
        <w:tc>
          <w:tcPr>
            <w:tcW w:w="827" w:type="pct"/>
            <w:tcBorders>
              <w:top w:val="single" w:sz="4" w:space="0" w:color="auto"/>
              <w:left w:val="single" w:sz="4" w:space="0" w:color="auto"/>
              <w:bottom w:val="single" w:sz="4" w:space="0" w:color="auto"/>
              <w:right w:val="single" w:sz="4" w:space="0" w:color="auto"/>
            </w:tcBorders>
            <w:shd w:val="clear" w:color="auto" w:fill="auto"/>
            <w:hideMark/>
          </w:tcPr>
          <w:p w14:paraId="7562F250" w14:textId="77777777"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31/12/202</w:t>
            </w:r>
            <w:r w:rsidRPr="00111876">
              <w:rPr>
                <w:rFonts w:cs="Calibri" w:hint="eastAsia"/>
                <w:b/>
                <w:bCs/>
                <w:color w:val="000000"/>
                <w:sz w:val="22"/>
                <w:szCs w:val="22"/>
                <w:lang w:eastAsia="zh-CN"/>
              </w:rPr>
              <w:t>1</w:t>
            </w:r>
          </w:p>
        </w:tc>
        <w:tc>
          <w:tcPr>
            <w:tcW w:w="827" w:type="pct"/>
            <w:tcBorders>
              <w:top w:val="single" w:sz="4" w:space="0" w:color="auto"/>
              <w:left w:val="nil"/>
              <w:bottom w:val="single" w:sz="4" w:space="0" w:color="auto"/>
              <w:right w:val="single" w:sz="4" w:space="0" w:color="auto"/>
            </w:tcBorders>
            <w:shd w:val="clear" w:color="auto" w:fill="auto"/>
            <w:hideMark/>
          </w:tcPr>
          <w:p w14:paraId="6FF6CC96" w14:textId="77777777"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31/12/20</w:t>
            </w:r>
            <w:r w:rsidRPr="00111876">
              <w:rPr>
                <w:rFonts w:cs="Calibri" w:hint="eastAsia"/>
                <w:b/>
                <w:bCs/>
                <w:color w:val="000000"/>
                <w:sz w:val="22"/>
                <w:szCs w:val="22"/>
                <w:lang w:eastAsia="zh-CN"/>
              </w:rPr>
              <w:t>20</w:t>
            </w:r>
          </w:p>
        </w:tc>
      </w:tr>
      <w:tr w:rsidR="00B56A7B" w:rsidRPr="00111876" w14:paraId="26B61BD7" w14:textId="77777777" w:rsidTr="00CC47BD">
        <w:trPr>
          <w:trHeight w:val="255"/>
        </w:trPr>
        <w:tc>
          <w:tcPr>
            <w:tcW w:w="3346" w:type="pct"/>
            <w:tcBorders>
              <w:top w:val="nil"/>
              <w:left w:val="single" w:sz="4" w:space="0" w:color="auto"/>
              <w:bottom w:val="nil"/>
              <w:right w:val="nil"/>
            </w:tcBorders>
            <w:shd w:val="clear" w:color="auto" w:fill="auto"/>
          </w:tcPr>
          <w:p w14:paraId="0D40F423" w14:textId="77777777" w:rsidR="00B56A7B" w:rsidRPr="00111876" w:rsidRDefault="00B56A7B" w:rsidP="00CC47BD">
            <w:pPr>
              <w:overflowPunct/>
              <w:autoSpaceDE/>
              <w:autoSpaceDN/>
              <w:adjustRightInd/>
              <w:spacing w:before="0"/>
              <w:textAlignment w:val="auto"/>
              <w:rPr>
                <w:rFonts w:cs="Arial"/>
                <w:b/>
                <w:bCs/>
                <w:color w:val="000000"/>
                <w:sz w:val="22"/>
                <w:szCs w:val="22"/>
                <w:lang w:val="en-US" w:eastAsia="zh-CN"/>
              </w:rPr>
            </w:pPr>
          </w:p>
        </w:tc>
        <w:tc>
          <w:tcPr>
            <w:tcW w:w="827" w:type="pct"/>
            <w:tcBorders>
              <w:top w:val="nil"/>
              <w:left w:val="single" w:sz="4" w:space="0" w:color="auto"/>
              <w:bottom w:val="nil"/>
              <w:right w:val="single" w:sz="4" w:space="0" w:color="auto"/>
            </w:tcBorders>
            <w:shd w:val="clear" w:color="auto" w:fill="auto"/>
          </w:tcPr>
          <w:p w14:paraId="0FE2A182"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p>
        </w:tc>
        <w:tc>
          <w:tcPr>
            <w:tcW w:w="827" w:type="pct"/>
            <w:tcBorders>
              <w:top w:val="nil"/>
              <w:left w:val="nil"/>
              <w:bottom w:val="nil"/>
              <w:right w:val="single" w:sz="4" w:space="0" w:color="auto"/>
            </w:tcBorders>
            <w:shd w:val="clear" w:color="auto" w:fill="auto"/>
          </w:tcPr>
          <w:p w14:paraId="045AB3F3"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p>
        </w:tc>
      </w:tr>
      <w:tr w:rsidR="00B56A7B" w:rsidRPr="00111876" w14:paraId="7FADDA5A" w14:textId="77777777" w:rsidTr="00CC47BD">
        <w:trPr>
          <w:trHeight w:val="255"/>
        </w:trPr>
        <w:tc>
          <w:tcPr>
            <w:tcW w:w="3346" w:type="pct"/>
            <w:tcBorders>
              <w:top w:val="nil"/>
              <w:left w:val="single" w:sz="4" w:space="0" w:color="auto"/>
              <w:bottom w:val="nil"/>
              <w:right w:val="nil"/>
            </w:tcBorders>
            <w:shd w:val="clear" w:color="auto" w:fill="auto"/>
            <w:hideMark/>
          </w:tcPr>
          <w:p w14:paraId="3356C12D"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收入</w:t>
            </w:r>
          </w:p>
        </w:tc>
        <w:tc>
          <w:tcPr>
            <w:tcW w:w="827" w:type="pct"/>
            <w:tcBorders>
              <w:top w:val="nil"/>
              <w:left w:val="single" w:sz="4" w:space="0" w:color="auto"/>
              <w:bottom w:val="nil"/>
              <w:right w:val="single" w:sz="4" w:space="0" w:color="auto"/>
            </w:tcBorders>
            <w:shd w:val="clear" w:color="auto" w:fill="auto"/>
            <w:hideMark/>
          </w:tcPr>
          <w:p w14:paraId="223DAC6C"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p>
        </w:tc>
        <w:tc>
          <w:tcPr>
            <w:tcW w:w="827" w:type="pct"/>
            <w:tcBorders>
              <w:top w:val="nil"/>
              <w:left w:val="nil"/>
              <w:bottom w:val="nil"/>
              <w:right w:val="single" w:sz="4" w:space="0" w:color="auto"/>
            </w:tcBorders>
            <w:shd w:val="clear" w:color="auto" w:fill="auto"/>
            <w:hideMark/>
          </w:tcPr>
          <w:p w14:paraId="330C733E"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p>
        </w:tc>
      </w:tr>
      <w:tr w:rsidR="00B56A7B" w:rsidRPr="00111876" w14:paraId="36CB51C1" w14:textId="77777777" w:rsidTr="00CC47BD">
        <w:trPr>
          <w:trHeight w:val="255"/>
        </w:trPr>
        <w:tc>
          <w:tcPr>
            <w:tcW w:w="3346" w:type="pct"/>
            <w:tcBorders>
              <w:top w:val="nil"/>
              <w:left w:val="single" w:sz="4" w:space="0" w:color="auto"/>
              <w:bottom w:val="nil"/>
              <w:right w:val="nil"/>
            </w:tcBorders>
            <w:shd w:val="clear" w:color="auto" w:fill="auto"/>
          </w:tcPr>
          <w:p w14:paraId="4B9E9DD0" w14:textId="77777777" w:rsidR="00B56A7B" w:rsidRPr="00111876" w:rsidRDefault="00B56A7B" w:rsidP="00CC47BD">
            <w:pPr>
              <w:overflowPunct/>
              <w:autoSpaceDE/>
              <w:autoSpaceDN/>
              <w:adjustRightInd/>
              <w:spacing w:before="0"/>
              <w:textAlignment w:val="auto"/>
              <w:rPr>
                <w:rFonts w:cs="Arial"/>
                <w:b/>
                <w:bCs/>
                <w:color w:val="000000"/>
                <w:sz w:val="22"/>
                <w:szCs w:val="22"/>
                <w:lang w:val="en-US" w:eastAsia="zh-CN"/>
              </w:rPr>
            </w:pPr>
          </w:p>
        </w:tc>
        <w:tc>
          <w:tcPr>
            <w:tcW w:w="827" w:type="pct"/>
            <w:tcBorders>
              <w:top w:val="nil"/>
              <w:left w:val="single" w:sz="4" w:space="0" w:color="auto"/>
              <w:bottom w:val="nil"/>
              <w:right w:val="single" w:sz="4" w:space="0" w:color="auto"/>
            </w:tcBorders>
            <w:shd w:val="clear" w:color="auto" w:fill="auto"/>
          </w:tcPr>
          <w:p w14:paraId="1F191CCA"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p>
        </w:tc>
        <w:tc>
          <w:tcPr>
            <w:tcW w:w="827" w:type="pct"/>
            <w:tcBorders>
              <w:top w:val="nil"/>
              <w:left w:val="nil"/>
              <w:bottom w:val="nil"/>
              <w:right w:val="single" w:sz="4" w:space="0" w:color="auto"/>
            </w:tcBorders>
            <w:shd w:val="clear" w:color="auto" w:fill="auto"/>
          </w:tcPr>
          <w:p w14:paraId="21723E43"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p>
        </w:tc>
      </w:tr>
      <w:tr w:rsidR="00B56A7B" w:rsidRPr="00111876" w14:paraId="700C3DF5" w14:textId="77777777" w:rsidTr="00CC47BD">
        <w:trPr>
          <w:trHeight w:val="255"/>
        </w:trPr>
        <w:tc>
          <w:tcPr>
            <w:tcW w:w="3346" w:type="pct"/>
            <w:tcBorders>
              <w:top w:val="nil"/>
              <w:left w:val="single" w:sz="4" w:space="0" w:color="auto"/>
              <w:bottom w:val="nil"/>
              <w:right w:val="nil"/>
            </w:tcBorders>
            <w:shd w:val="clear" w:color="auto" w:fill="auto"/>
            <w:hideMark/>
          </w:tcPr>
          <w:p w14:paraId="310C228B" w14:textId="77777777" w:rsidR="00B56A7B" w:rsidRPr="00111876" w:rsidRDefault="00B56A7B" w:rsidP="00CC47BD">
            <w:pPr>
              <w:overflowPunct/>
              <w:autoSpaceDE/>
              <w:autoSpaceDN/>
              <w:adjustRightInd/>
              <w:spacing w:before="0"/>
              <w:textAlignment w:val="auto"/>
              <w:rPr>
                <w:rFonts w:asciiTheme="minorHAnsi" w:hAnsiTheme="minorHAnsi"/>
                <w:sz w:val="22"/>
                <w:szCs w:val="22"/>
              </w:rPr>
            </w:pPr>
            <w:r w:rsidRPr="00111876">
              <w:rPr>
                <w:rFonts w:asciiTheme="minorHAnsi" w:hAnsiTheme="minorHAnsi" w:cstheme="minorHAnsi" w:hint="eastAsia"/>
                <w:sz w:val="22"/>
                <w:szCs w:val="22"/>
                <w:lang w:eastAsia="zh-CN"/>
              </w:rPr>
              <w:t>捐赠</w:t>
            </w:r>
            <w:r w:rsidRPr="00111876">
              <w:rPr>
                <w:rFonts w:asciiTheme="minorHAnsi" w:hAnsiTheme="minorHAnsi" w:cstheme="minorHAnsi" w:hint="eastAsia"/>
                <w:sz w:val="22"/>
                <w:szCs w:val="22"/>
                <w:lang w:eastAsia="zh-CN"/>
              </w:rPr>
              <w:t>/</w:t>
            </w:r>
            <w:r w:rsidRPr="00111876">
              <w:rPr>
                <w:rFonts w:asciiTheme="minorHAnsi" w:hAnsiTheme="minorHAnsi" w:cstheme="minorHAnsi" w:hint="eastAsia"/>
                <w:sz w:val="22"/>
                <w:szCs w:val="22"/>
                <w:lang w:eastAsia="zh-CN"/>
              </w:rPr>
              <w:t>赞助方</w:t>
            </w:r>
          </w:p>
        </w:tc>
        <w:tc>
          <w:tcPr>
            <w:tcW w:w="827" w:type="pct"/>
            <w:tcBorders>
              <w:top w:val="nil"/>
              <w:left w:val="single" w:sz="4" w:space="0" w:color="auto"/>
              <w:bottom w:val="nil"/>
              <w:right w:val="single" w:sz="4" w:space="0" w:color="auto"/>
            </w:tcBorders>
            <w:shd w:val="clear" w:color="auto" w:fill="auto"/>
            <w:vAlign w:val="bottom"/>
            <w:hideMark/>
          </w:tcPr>
          <w:p w14:paraId="399608A3" w14:textId="36EFB925"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2</w:t>
            </w:r>
            <w:r w:rsidR="00111876" w:rsidRPr="00111876">
              <w:rPr>
                <w:rFonts w:cs="Calibri"/>
                <w:color w:val="000000"/>
                <w:sz w:val="22"/>
                <w:szCs w:val="22"/>
                <w:lang w:eastAsia="en-GB"/>
              </w:rPr>
              <w:t> </w:t>
            </w:r>
            <w:r w:rsidRPr="00111876">
              <w:rPr>
                <w:rFonts w:cs="Calibri"/>
                <w:color w:val="000000"/>
                <w:sz w:val="22"/>
                <w:szCs w:val="22"/>
                <w:lang w:eastAsia="en-GB"/>
              </w:rPr>
              <w:t>310</w:t>
            </w:r>
          </w:p>
        </w:tc>
        <w:tc>
          <w:tcPr>
            <w:tcW w:w="827" w:type="pct"/>
            <w:tcBorders>
              <w:top w:val="nil"/>
              <w:left w:val="nil"/>
              <w:bottom w:val="nil"/>
              <w:right w:val="single" w:sz="4" w:space="0" w:color="auto"/>
            </w:tcBorders>
            <w:shd w:val="clear" w:color="auto" w:fill="auto"/>
            <w:vAlign w:val="bottom"/>
            <w:hideMark/>
          </w:tcPr>
          <w:p w14:paraId="4BD61C65" w14:textId="4F18FEC5"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10</w:t>
            </w:r>
            <w:r w:rsidR="00111876" w:rsidRPr="00111876">
              <w:rPr>
                <w:rFonts w:cs="Calibri"/>
                <w:color w:val="000000"/>
                <w:sz w:val="22"/>
                <w:szCs w:val="22"/>
                <w:lang w:eastAsia="en-GB"/>
              </w:rPr>
              <w:t> </w:t>
            </w:r>
            <w:r w:rsidRPr="00111876">
              <w:rPr>
                <w:rFonts w:cs="Calibri"/>
                <w:color w:val="000000"/>
                <w:sz w:val="22"/>
                <w:szCs w:val="22"/>
                <w:lang w:eastAsia="en-GB"/>
              </w:rPr>
              <w:t>000</w:t>
            </w:r>
          </w:p>
        </w:tc>
      </w:tr>
      <w:tr w:rsidR="00B56A7B" w:rsidRPr="00111876" w14:paraId="7B40B942" w14:textId="77777777" w:rsidTr="00CC47BD">
        <w:trPr>
          <w:trHeight w:val="255"/>
        </w:trPr>
        <w:tc>
          <w:tcPr>
            <w:tcW w:w="3346" w:type="pct"/>
            <w:tcBorders>
              <w:top w:val="nil"/>
              <w:left w:val="single" w:sz="4" w:space="0" w:color="auto"/>
              <w:bottom w:val="nil"/>
              <w:right w:val="nil"/>
            </w:tcBorders>
            <w:shd w:val="clear" w:color="auto" w:fill="auto"/>
            <w:hideMark/>
          </w:tcPr>
          <w:p w14:paraId="20B1D618" w14:textId="77777777" w:rsidR="00B56A7B" w:rsidRPr="00111876" w:rsidRDefault="00B56A7B" w:rsidP="00CC47BD">
            <w:pPr>
              <w:overflowPunct/>
              <w:autoSpaceDE/>
              <w:autoSpaceDN/>
              <w:adjustRightInd/>
              <w:spacing w:before="0"/>
              <w:textAlignment w:val="auto"/>
              <w:rPr>
                <w:rFonts w:cs="Calibri"/>
                <w:sz w:val="22"/>
                <w:szCs w:val="22"/>
                <w:lang w:eastAsia="en-GB"/>
              </w:rPr>
            </w:pPr>
            <w:r w:rsidRPr="00111876">
              <w:rPr>
                <w:rFonts w:cs="Arial" w:hint="eastAsia"/>
                <w:sz w:val="22"/>
                <w:szCs w:val="22"/>
                <w:lang w:val="en-US" w:eastAsia="zh-CN"/>
              </w:rPr>
              <w:t>财务收入</w:t>
            </w:r>
          </w:p>
        </w:tc>
        <w:tc>
          <w:tcPr>
            <w:tcW w:w="827" w:type="pct"/>
            <w:tcBorders>
              <w:top w:val="nil"/>
              <w:left w:val="single" w:sz="4" w:space="0" w:color="auto"/>
              <w:bottom w:val="nil"/>
              <w:right w:val="single" w:sz="4" w:space="0" w:color="auto"/>
            </w:tcBorders>
            <w:shd w:val="clear" w:color="auto" w:fill="auto"/>
            <w:noWrap/>
            <w:vAlign w:val="bottom"/>
            <w:hideMark/>
          </w:tcPr>
          <w:p w14:paraId="616F1462"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189</w:t>
            </w:r>
          </w:p>
        </w:tc>
        <w:tc>
          <w:tcPr>
            <w:tcW w:w="827" w:type="pct"/>
            <w:tcBorders>
              <w:top w:val="nil"/>
              <w:left w:val="nil"/>
              <w:bottom w:val="nil"/>
              <w:right w:val="single" w:sz="4" w:space="0" w:color="auto"/>
            </w:tcBorders>
            <w:shd w:val="clear" w:color="auto" w:fill="auto"/>
            <w:noWrap/>
            <w:vAlign w:val="bottom"/>
            <w:hideMark/>
          </w:tcPr>
          <w:p w14:paraId="7D6DE03F"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11</w:t>
            </w:r>
          </w:p>
        </w:tc>
      </w:tr>
      <w:tr w:rsidR="00B56A7B" w:rsidRPr="00111876" w14:paraId="6089562C" w14:textId="77777777" w:rsidTr="00CC47BD">
        <w:trPr>
          <w:trHeight w:val="255"/>
        </w:trPr>
        <w:tc>
          <w:tcPr>
            <w:tcW w:w="3346" w:type="pct"/>
            <w:tcBorders>
              <w:top w:val="nil"/>
              <w:left w:val="single" w:sz="4" w:space="0" w:color="auto"/>
              <w:bottom w:val="nil"/>
              <w:right w:val="nil"/>
            </w:tcBorders>
            <w:shd w:val="clear" w:color="auto" w:fill="auto"/>
          </w:tcPr>
          <w:p w14:paraId="7D101A39" w14:textId="77777777" w:rsidR="00B56A7B" w:rsidRPr="00111876" w:rsidRDefault="00B56A7B" w:rsidP="00CC47BD">
            <w:pPr>
              <w:overflowPunct/>
              <w:autoSpaceDE/>
              <w:autoSpaceDN/>
              <w:adjustRightInd/>
              <w:spacing w:before="0"/>
              <w:textAlignment w:val="auto"/>
              <w:rPr>
                <w:rFonts w:cs="Arial"/>
                <w:sz w:val="22"/>
                <w:szCs w:val="22"/>
                <w:lang w:val="en-US" w:eastAsia="zh-CN"/>
              </w:rPr>
            </w:pPr>
          </w:p>
        </w:tc>
        <w:tc>
          <w:tcPr>
            <w:tcW w:w="827" w:type="pct"/>
            <w:tcBorders>
              <w:top w:val="nil"/>
              <w:left w:val="single" w:sz="4" w:space="0" w:color="auto"/>
              <w:bottom w:val="nil"/>
              <w:right w:val="single" w:sz="4" w:space="0" w:color="auto"/>
            </w:tcBorders>
            <w:shd w:val="clear" w:color="auto" w:fill="auto"/>
            <w:noWrap/>
          </w:tcPr>
          <w:p w14:paraId="6DCB09A5"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p>
        </w:tc>
        <w:tc>
          <w:tcPr>
            <w:tcW w:w="827" w:type="pct"/>
            <w:tcBorders>
              <w:top w:val="nil"/>
              <w:left w:val="nil"/>
              <w:bottom w:val="nil"/>
              <w:right w:val="single" w:sz="4" w:space="0" w:color="auto"/>
            </w:tcBorders>
            <w:shd w:val="clear" w:color="auto" w:fill="auto"/>
            <w:noWrap/>
          </w:tcPr>
          <w:p w14:paraId="213DF268"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p>
        </w:tc>
      </w:tr>
      <w:tr w:rsidR="00B56A7B" w:rsidRPr="00111876" w14:paraId="6DFEBF88" w14:textId="77777777" w:rsidTr="00CC47BD">
        <w:trPr>
          <w:trHeight w:val="255"/>
        </w:trPr>
        <w:tc>
          <w:tcPr>
            <w:tcW w:w="3346" w:type="pct"/>
            <w:tcBorders>
              <w:top w:val="single" w:sz="4" w:space="0" w:color="auto"/>
              <w:left w:val="single" w:sz="4" w:space="0" w:color="auto"/>
              <w:bottom w:val="single" w:sz="4" w:space="0" w:color="auto"/>
              <w:right w:val="nil"/>
            </w:tcBorders>
            <w:shd w:val="clear" w:color="000000" w:fill="C5D9F1"/>
            <w:noWrap/>
            <w:vAlign w:val="center"/>
            <w:hideMark/>
          </w:tcPr>
          <w:p w14:paraId="0FBBC063"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总支出</w:t>
            </w:r>
          </w:p>
        </w:tc>
        <w:tc>
          <w:tcPr>
            <w:tcW w:w="827"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0D046BF" w14:textId="54197471"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111876">
              <w:rPr>
                <w:rFonts w:cs="Calibri"/>
                <w:b/>
                <w:bCs/>
                <w:color w:val="000000"/>
                <w:sz w:val="22"/>
                <w:szCs w:val="22"/>
                <w:lang w:eastAsia="en-GB"/>
              </w:rPr>
              <w:t>2</w:t>
            </w:r>
            <w:r w:rsidR="00111876" w:rsidRPr="00111876">
              <w:rPr>
                <w:rFonts w:cs="Calibri"/>
                <w:b/>
                <w:bCs/>
                <w:color w:val="000000"/>
                <w:sz w:val="22"/>
                <w:szCs w:val="22"/>
                <w:lang w:eastAsia="en-GB"/>
              </w:rPr>
              <w:t> </w:t>
            </w:r>
            <w:r w:rsidRPr="00111876">
              <w:rPr>
                <w:rFonts w:cs="Calibri"/>
                <w:b/>
                <w:bCs/>
                <w:color w:val="000000"/>
                <w:sz w:val="22"/>
                <w:szCs w:val="22"/>
                <w:lang w:eastAsia="en-GB"/>
              </w:rPr>
              <w:t>499</w:t>
            </w:r>
          </w:p>
        </w:tc>
        <w:tc>
          <w:tcPr>
            <w:tcW w:w="827" w:type="pct"/>
            <w:tcBorders>
              <w:top w:val="single" w:sz="4" w:space="0" w:color="auto"/>
              <w:left w:val="nil"/>
              <w:bottom w:val="single" w:sz="4" w:space="0" w:color="auto"/>
              <w:right w:val="single" w:sz="4" w:space="0" w:color="auto"/>
            </w:tcBorders>
            <w:shd w:val="clear" w:color="000000" w:fill="C5D9F1"/>
            <w:noWrap/>
            <w:vAlign w:val="center"/>
            <w:hideMark/>
          </w:tcPr>
          <w:p w14:paraId="4136CA61" w14:textId="43196CEB"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111876">
              <w:rPr>
                <w:rFonts w:cs="Calibri"/>
                <w:b/>
                <w:bCs/>
                <w:color w:val="000000"/>
                <w:sz w:val="22"/>
                <w:szCs w:val="22"/>
                <w:lang w:eastAsia="en-GB"/>
              </w:rPr>
              <w:t>10</w:t>
            </w:r>
            <w:r w:rsidR="00111876" w:rsidRPr="00111876">
              <w:rPr>
                <w:rFonts w:cs="Calibri"/>
                <w:b/>
                <w:bCs/>
                <w:color w:val="000000"/>
                <w:sz w:val="22"/>
                <w:szCs w:val="22"/>
                <w:lang w:eastAsia="en-GB"/>
              </w:rPr>
              <w:t> </w:t>
            </w:r>
            <w:r w:rsidRPr="00111876">
              <w:rPr>
                <w:rFonts w:cs="Calibri"/>
                <w:b/>
                <w:bCs/>
                <w:color w:val="000000"/>
                <w:sz w:val="22"/>
                <w:szCs w:val="22"/>
                <w:lang w:eastAsia="en-GB"/>
              </w:rPr>
              <w:t>011</w:t>
            </w:r>
          </w:p>
        </w:tc>
      </w:tr>
      <w:tr w:rsidR="00B56A7B" w:rsidRPr="00111876" w14:paraId="109FFEB9" w14:textId="77777777" w:rsidTr="00CC47BD">
        <w:trPr>
          <w:trHeight w:val="255"/>
        </w:trPr>
        <w:tc>
          <w:tcPr>
            <w:tcW w:w="3346" w:type="pct"/>
            <w:tcBorders>
              <w:top w:val="single" w:sz="4" w:space="0" w:color="auto"/>
              <w:left w:val="single" w:sz="4" w:space="0" w:color="auto"/>
              <w:bottom w:val="single" w:sz="4" w:space="0" w:color="auto"/>
              <w:right w:val="nil"/>
            </w:tcBorders>
            <w:shd w:val="clear" w:color="auto" w:fill="FFFFFF" w:themeFill="background1"/>
            <w:noWrap/>
            <w:vAlign w:val="center"/>
          </w:tcPr>
          <w:p w14:paraId="6106AB82" w14:textId="77777777" w:rsidR="00B56A7B" w:rsidRPr="00111876" w:rsidRDefault="00B56A7B" w:rsidP="00CC47BD">
            <w:pPr>
              <w:overflowPunct/>
              <w:autoSpaceDE/>
              <w:autoSpaceDN/>
              <w:adjustRightInd/>
              <w:spacing w:before="0"/>
              <w:textAlignment w:val="auto"/>
              <w:rPr>
                <w:rFonts w:cs="Arial"/>
                <w:b/>
                <w:bCs/>
                <w:color w:val="000000"/>
                <w:sz w:val="22"/>
                <w:szCs w:val="22"/>
                <w:lang w:val="en-US" w:eastAsia="zh-CN"/>
              </w:rPr>
            </w:pPr>
          </w:p>
        </w:tc>
        <w:tc>
          <w:tcPr>
            <w:tcW w:w="827"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7EE71AB"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p>
        </w:tc>
        <w:tc>
          <w:tcPr>
            <w:tcW w:w="827" w:type="pct"/>
            <w:tcBorders>
              <w:top w:val="single" w:sz="4" w:space="0" w:color="auto"/>
              <w:left w:val="nil"/>
              <w:bottom w:val="single" w:sz="4" w:space="0" w:color="auto"/>
              <w:right w:val="single" w:sz="4" w:space="0" w:color="auto"/>
            </w:tcBorders>
            <w:shd w:val="clear" w:color="auto" w:fill="FFFFFF" w:themeFill="background1"/>
            <w:noWrap/>
          </w:tcPr>
          <w:p w14:paraId="718B85FC"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p>
        </w:tc>
      </w:tr>
      <w:tr w:rsidR="00B56A7B" w:rsidRPr="00111876" w14:paraId="79F3792A" w14:textId="77777777" w:rsidTr="00CC47BD">
        <w:trPr>
          <w:trHeight w:val="315"/>
        </w:trPr>
        <w:tc>
          <w:tcPr>
            <w:tcW w:w="3346" w:type="pct"/>
            <w:tcBorders>
              <w:top w:val="nil"/>
              <w:left w:val="single" w:sz="4" w:space="0" w:color="auto"/>
              <w:bottom w:val="nil"/>
              <w:right w:val="nil"/>
            </w:tcBorders>
            <w:shd w:val="clear" w:color="auto" w:fill="auto"/>
            <w:noWrap/>
            <w:vAlign w:val="center"/>
            <w:hideMark/>
          </w:tcPr>
          <w:p w14:paraId="64FBC184"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当期盈余</w:t>
            </w:r>
            <w:r w:rsidRPr="00111876">
              <w:rPr>
                <w:rFonts w:cs="Arial" w:hint="eastAsia"/>
                <w:b/>
                <w:bCs/>
                <w:color w:val="000000"/>
                <w:sz w:val="22"/>
                <w:szCs w:val="22"/>
                <w:lang w:val="en-US" w:eastAsia="zh-CN"/>
              </w:rPr>
              <w:t>/</w:t>
            </w:r>
            <w:r w:rsidRPr="00111876">
              <w:rPr>
                <w:rFonts w:cs="Arial" w:hint="eastAsia"/>
                <w:b/>
                <w:bCs/>
                <w:color w:val="000000"/>
                <w:sz w:val="22"/>
                <w:szCs w:val="22"/>
                <w:lang w:val="en-US" w:eastAsia="zh-CN"/>
              </w:rPr>
              <w:t>亏损</w:t>
            </w:r>
          </w:p>
        </w:tc>
        <w:tc>
          <w:tcPr>
            <w:tcW w:w="827" w:type="pct"/>
            <w:tcBorders>
              <w:top w:val="nil"/>
              <w:left w:val="single" w:sz="4" w:space="0" w:color="auto"/>
              <w:bottom w:val="nil"/>
              <w:right w:val="single" w:sz="4" w:space="0" w:color="auto"/>
            </w:tcBorders>
            <w:shd w:val="clear" w:color="auto" w:fill="auto"/>
            <w:hideMark/>
          </w:tcPr>
          <w:p w14:paraId="293BDBA4"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p>
        </w:tc>
        <w:tc>
          <w:tcPr>
            <w:tcW w:w="827" w:type="pct"/>
            <w:tcBorders>
              <w:top w:val="nil"/>
              <w:left w:val="nil"/>
              <w:bottom w:val="nil"/>
              <w:right w:val="single" w:sz="4" w:space="0" w:color="auto"/>
            </w:tcBorders>
            <w:shd w:val="clear" w:color="auto" w:fill="auto"/>
            <w:hideMark/>
          </w:tcPr>
          <w:p w14:paraId="7865F1A0"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p>
        </w:tc>
      </w:tr>
      <w:tr w:rsidR="00B56A7B" w:rsidRPr="00111876" w14:paraId="30389FD5" w14:textId="77777777" w:rsidTr="00CC47BD">
        <w:trPr>
          <w:trHeight w:val="315"/>
        </w:trPr>
        <w:tc>
          <w:tcPr>
            <w:tcW w:w="3346" w:type="pct"/>
            <w:tcBorders>
              <w:top w:val="nil"/>
              <w:left w:val="single" w:sz="4" w:space="0" w:color="auto"/>
              <w:bottom w:val="nil"/>
              <w:right w:val="nil"/>
            </w:tcBorders>
            <w:shd w:val="clear" w:color="auto" w:fill="auto"/>
            <w:noWrap/>
            <w:vAlign w:val="center"/>
          </w:tcPr>
          <w:p w14:paraId="0C7C2BC9" w14:textId="77777777" w:rsidR="00B56A7B" w:rsidRPr="00111876" w:rsidRDefault="00B56A7B" w:rsidP="00CC47BD">
            <w:pPr>
              <w:overflowPunct/>
              <w:autoSpaceDE/>
              <w:autoSpaceDN/>
              <w:adjustRightInd/>
              <w:spacing w:before="0"/>
              <w:textAlignment w:val="auto"/>
              <w:rPr>
                <w:rFonts w:cs="Arial"/>
                <w:b/>
                <w:bCs/>
                <w:color w:val="000000"/>
                <w:sz w:val="22"/>
                <w:szCs w:val="22"/>
                <w:lang w:val="en-US" w:eastAsia="zh-CN"/>
              </w:rPr>
            </w:pPr>
          </w:p>
        </w:tc>
        <w:tc>
          <w:tcPr>
            <w:tcW w:w="827" w:type="pct"/>
            <w:tcBorders>
              <w:top w:val="nil"/>
              <w:left w:val="single" w:sz="4" w:space="0" w:color="auto"/>
              <w:bottom w:val="nil"/>
              <w:right w:val="single" w:sz="4" w:space="0" w:color="auto"/>
            </w:tcBorders>
            <w:shd w:val="clear" w:color="auto" w:fill="auto"/>
          </w:tcPr>
          <w:p w14:paraId="12A86450"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p>
        </w:tc>
        <w:tc>
          <w:tcPr>
            <w:tcW w:w="827" w:type="pct"/>
            <w:tcBorders>
              <w:top w:val="nil"/>
              <w:left w:val="nil"/>
              <w:bottom w:val="nil"/>
              <w:right w:val="single" w:sz="4" w:space="0" w:color="auto"/>
            </w:tcBorders>
            <w:shd w:val="clear" w:color="auto" w:fill="auto"/>
          </w:tcPr>
          <w:p w14:paraId="611CFD91"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p>
        </w:tc>
      </w:tr>
      <w:tr w:rsidR="00B56A7B" w:rsidRPr="00111876" w14:paraId="67343276" w14:textId="77777777" w:rsidTr="00CC47BD">
        <w:trPr>
          <w:trHeight w:val="255"/>
        </w:trPr>
        <w:tc>
          <w:tcPr>
            <w:tcW w:w="3346" w:type="pct"/>
            <w:tcBorders>
              <w:top w:val="nil"/>
              <w:left w:val="single" w:sz="4" w:space="0" w:color="auto"/>
              <w:bottom w:val="nil"/>
              <w:right w:val="nil"/>
            </w:tcBorders>
            <w:shd w:val="clear" w:color="auto" w:fill="auto"/>
            <w:noWrap/>
            <w:vAlign w:val="bottom"/>
            <w:hideMark/>
          </w:tcPr>
          <w:p w14:paraId="07588766" w14:textId="77777777" w:rsidR="00B56A7B" w:rsidRPr="00111876" w:rsidRDefault="00B56A7B" w:rsidP="00CC47BD">
            <w:pPr>
              <w:overflowPunct/>
              <w:autoSpaceDE/>
              <w:autoSpaceDN/>
              <w:adjustRightInd/>
              <w:spacing w:before="0"/>
              <w:textAlignment w:val="auto"/>
              <w:rPr>
                <w:rFonts w:cs="Calibri"/>
                <w:sz w:val="22"/>
                <w:szCs w:val="22"/>
                <w:lang w:eastAsia="en-GB"/>
              </w:rPr>
            </w:pPr>
            <w:r w:rsidRPr="00111876">
              <w:rPr>
                <w:rFonts w:cs="Arial" w:hint="eastAsia"/>
                <w:sz w:val="22"/>
                <w:szCs w:val="22"/>
                <w:lang w:val="en-US" w:eastAsia="zh-CN"/>
              </w:rPr>
              <w:t>人员支出</w:t>
            </w:r>
          </w:p>
        </w:tc>
        <w:tc>
          <w:tcPr>
            <w:tcW w:w="827" w:type="pct"/>
            <w:tcBorders>
              <w:top w:val="nil"/>
              <w:left w:val="single" w:sz="4" w:space="0" w:color="auto"/>
              <w:bottom w:val="nil"/>
              <w:right w:val="single" w:sz="4" w:space="0" w:color="auto"/>
            </w:tcBorders>
            <w:shd w:val="clear" w:color="auto" w:fill="auto"/>
            <w:vAlign w:val="bottom"/>
            <w:hideMark/>
          </w:tcPr>
          <w:p w14:paraId="6A4EFF70"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73AA4C0B"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r>
      <w:tr w:rsidR="00B56A7B" w:rsidRPr="00111876" w14:paraId="23DC840D" w14:textId="77777777" w:rsidTr="00CC47BD">
        <w:trPr>
          <w:trHeight w:val="255"/>
        </w:trPr>
        <w:tc>
          <w:tcPr>
            <w:tcW w:w="3346" w:type="pct"/>
            <w:tcBorders>
              <w:top w:val="nil"/>
              <w:left w:val="single" w:sz="4" w:space="0" w:color="auto"/>
              <w:bottom w:val="nil"/>
              <w:right w:val="nil"/>
            </w:tcBorders>
            <w:shd w:val="clear" w:color="auto" w:fill="auto"/>
            <w:hideMark/>
          </w:tcPr>
          <w:p w14:paraId="5880CB6E" w14:textId="77777777" w:rsidR="00B56A7B" w:rsidRPr="00111876" w:rsidRDefault="00B56A7B" w:rsidP="00CC47BD">
            <w:pPr>
              <w:overflowPunct/>
              <w:autoSpaceDE/>
              <w:autoSpaceDN/>
              <w:adjustRightInd/>
              <w:spacing w:before="0"/>
              <w:textAlignment w:val="auto"/>
              <w:rPr>
                <w:rFonts w:cs="Calibri"/>
                <w:sz w:val="22"/>
                <w:szCs w:val="22"/>
                <w:lang w:eastAsia="en-GB"/>
              </w:rPr>
            </w:pPr>
            <w:r w:rsidRPr="00111876">
              <w:rPr>
                <w:rFonts w:cs="Arial" w:hint="eastAsia"/>
                <w:sz w:val="22"/>
                <w:szCs w:val="22"/>
                <w:lang w:val="en-US" w:eastAsia="zh-CN"/>
              </w:rPr>
              <w:t>出差费用</w:t>
            </w:r>
          </w:p>
        </w:tc>
        <w:tc>
          <w:tcPr>
            <w:tcW w:w="827" w:type="pct"/>
            <w:tcBorders>
              <w:top w:val="nil"/>
              <w:left w:val="single" w:sz="4" w:space="0" w:color="auto"/>
              <w:bottom w:val="nil"/>
              <w:right w:val="single" w:sz="4" w:space="0" w:color="auto"/>
            </w:tcBorders>
            <w:shd w:val="clear" w:color="auto" w:fill="auto"/>
            <w:vAlign w:val="bottom"/>
            <w:hideMark/>
          </w:tcPr>
          <w:p w14:paraId="600930BF"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5B9FFDE8"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r>
      <w:tr w:rsidR="00B56A7B" w:rsidRPr="00111876" w14:paraId="6D5999E0" w14:textId="77777777" w:rsidTr="00CC47BD">
        <w:trPr>
          <w:trHeight w:val="255"/>
        </w:trPr>
        <w:tc>
          <w:tcPr>
            <w:tcW w:w="3346" w:type="pct"/>
            <w:tcBorders>
              <w:top w:val="nil"/>
              <w:left w:val="single" w:sz="4" w:space="0" w:color="auto"/>
              <w:bottom w:val="nil"/>
              <w:right w:val="nil"/>
            </w:tcBorders>
            <w:shd w:val="clear" w:color="auto" w:fill="auto"/>
            <w:hideMark/>
          </w:tcPr>
          <w:p w14:paraId="5DC2A73C" w14:textId="77777777" w:rsidR="00B56A7B" w:rsidRPr="00111876" w:rsidRDefault="00B56A7B" w:rsidP="00CC47BD">
            <w:pPr>
              <w:overflowPunct/>
              <w:autoSpaceDE/>
              <w:autoSpaceDN/>
              <w:adjustRightInd/>
              <w:spacing w:before="0"/>
              <w:textAlignment w:val="auto"/>
              <w:rPr>
                <w:rFonts w:cs="Calibri"/>
                <w:sz w:val="22"/>
                <w:szCs w:val="22"/>
                <w:lang w:eastAsia="en-GB"/>
              </w:rPr>
            </w:pPr>
            <w:r w:rsidRPr="00111876">
              <w:rPr>
                <w:rFonts w:cs="Arial" w:hint="eastAsia"/>
                <w:sz w:val="22"/>
                <w:szCs w:val="22"/>
                <w:lang w:val="en-US" w:eastAsia="zh-CN"/>
              </w:rPr>
              <w:t>合同服务</w:t>
            </w:r>
          </w:p>
        </w:tc>
        <w:tc>
          <w:tcPr>
            <w:tcW w:w="827" w:type="pct"/>
            <w:tcBorders>
              <w:top w:val="nil"/>
              <w:left w:val="single" w:sz="4" w:space="0" w:color="auto"/>
              <w:bottom w:val="nil"/>
              <w:right w:val="single" w:sz="4" w:space="0" w:color="auto"/>
            </w:tcBorders>
            <w:shd w:val="clear" w:color="auto" w:fill="auto"/>
            <w:vAlign w:val="bottom"/>
            <w:hideMark/>
          </w:tcPr>
          <w:p w14:paraId="0F9691B3"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1</w:t>
            </w:r>
          </w:p>
        </w:tc>
        <w:tc>
          <w:tcPr>
            <w:tcW w:w="827" w:type="pct"/>
            <w:tcBorders>
              <w:top w:val="nil"/>
              <w:left w:val="nil"/>
              <w:bottom w:val="nil"/>
              <w:right w:val="single" w:sz="4" w:space="0" w:color="auto"/>
            </w:tcBorders>
            <w:shd w:val="clear" w:color="auto" w:fill="auto"/>
            <w:vAlign w:val="bottom"/>
            <w:hideMark/>
          </w:tcPr>
          <w:p w14:paraId="1E603EE5"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r>
      <w:tr w:rsidR="00B56A7B" w:rsidRPr="00111876" w14:paraId="4FEA8319" w14:textId="77777777" w:rsidTr="00CC47BD">
        <w:trPr>
          <w:trHeight w:val="255"/>
        </w:trPr>
        <w:tc>
          <w:tcPr>
            <w:tcW w:w="3346" w:type="pct"/>
            <w:tcBorders>
              <w:top w:val="nil"/>
              <w:left w:val="single" w:sz="4" w:space="0" w:color="auto"/>
              <w:bottom w:val="nil"/>
              <w:right w:val="nil"/>
            </w:tcBorders>
            <w:shd w:val="clear" w:color="auto" w:fill="auto"/>
            <w:hideMark/>
          </w:tcPr>
          <w:p w14:paraId="2171198B" w14:textId="77777777" w:rsidR="00B56A7B" w:rsidRPr="00111876" w:rsidRDefault="00B56A7B" w:rsidP="00CC47BD">
            <w:pPr>
              <w:overflowPunct/>
              <w:autoSpaceDE/>
              <w:autoSpaceDN/>
              <w:adjustRightInd/>
              <w:spacing w:before="0"/>
              <w:textAlignment w:val="auto"/>
              <w:rPr>
                <w:rFonts w:cs="Calibri"/>
                <w:sz w:val="22"/>
                <w:szCs w:val="22"/>
                <w:lang w:eastAsia="zh-CN"/>
              </w:rPr>
            </w:pPr>
            <w:r w:rsidRPr="00111876">
              <w:rPr>
                <w:rFonts w:cs="Arial" w:hint="eastAsia"/>
                <w:sz w:val="22"/>
                <w:szCs w:val="22"/>
                <w:lang w:val="en-US" w:eastAsia="zh-CN"/>
              </w:rPr>
              <w:t>办公场地和设备租赁与维护</w:t>
            </w:r>
          </w:p>
        </w:tc>
        <w:tc>
          <w:tcPr>
            <w:tcW w:w="827" w:type="pct"/>
            <w:tcBorders>
              <w:top w:val="nil"/>
              <w:left w:val="single" w:sz="4" w:space="0" w:color="auto"/>
              <w:bottom w:val="nil"/>
              <w:right w:val="single" w:sz="4" w:space="0" w:color="auto"/>
            </w:tcBorders>
            <w:shd w:val="clear" w:color="auto" w:fill="auto"/>
            <w:vAlign w:val="bottom"/>
            <w:hideMark/>
          </w:tcPr>
          <w:p w14:paraId="0AEDA405"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59BA01F9"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r>
      <w:tr w:rsidR="00B56A7B" w:rsidRPr="00111876" w14:paraId="77901AF3" w14:textId="77777777" w:rsidTr="00CC47BD">
        <w:trPr>
          <w:trHeight w:val="255"/>
        </w:trPr>
        <w:tc>
          <w:tcPr>
            <w:tcW w:w="3346" w:type="pct"/>
            <w:tcBorders>
              <w:top w:val="nil"/>
              <w:left w:val="single" w:sz="4" w:space="0" w:color="auto"/>
              <w:bottom w:val="nil"/>
              <w:right w:val="nil"/>
            </w:tcBorders>
            <w:shd w:val="clear" w:color="auto" w:fill="auto"/>
            <w:hideMark/>
          </w:tcPr>
          <w:p w14:paraId="72B44785" w14:textId="77777777" w:rsidR="00B56A7B" w:rsidRPr="00111876" w:rsidRDefault="00B56A7B" w:rsidP="00CC47BD">
            <w:pPr>
              <w:overflowPunct/>
              <w:autoSpaceDE/>
              <w:autoSpaceDN/>
              <w:adjustRightInd/>
              <w:spacing w:before="0"/>
              <w:textAlignment w:val="auto"/>
              <w:rPr>
                <w:rFonts w:cs="Calibri"/>
                <w:sz w:val="22"/>
                <w:szCs w:val="22"/>
                <w:lang w:eastAsia="en-GB"/>
              </w:rPr>
            </w:pPr>
            <w:r w:rsidRPr="00111876">
              <w:rPr>
                <w:rFonts w:cs="Arial" w:hint="eastAsia"/>
                <w:sz w:val="22"/>
                <w:szCs w:val="22"/>
                <w:lang w:val="en-US" w:eastAsia="zh-CN"/>
              </w:rPr>
              <w:t>设备和办公用品</w:t>
            </w:r>
          </w:p>
        </w:tc>
        <w:tc>
          <w:tcPr>
            <w:tcW w:w="827" w:type="pct"/>
            <w:tcBorders>
              <w:top w:val="nil"/>
              <w:left w:val="single" w:sz="4" w:space="0" w:color="auto"/>
              <w:bottom w:val="nil"/>
              <w:right w:val="single" w:sz="4" w:space="0" w:color="auto"/>
            </w:tcBorders>
            <w:shd w:val="clear" w:color="auto" w:fill="auto"/>
            <w:vAlign w:val="bottom"/>
            <w:hideMark/>
          </w:tcPr>
          <w:p w14:paraId="0928B9AC"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7A67B4CD"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1</w:t>
            </w:r>
          </w:p>
        </w:tc>
      </w:tr>
      <w:tr w:rsidR="00B56A7B" w:rsidRPr="00111876" w14:paraId="327B4349" w14:textId="77777777" w:rsidTr="00CC47BD">
        <w:trPr>
          <w:trHeight w:val="255"/>
        </w:trPr>
        <w:tc>
          <w:tcPr>
            <w:tcW w:w="3346" w:type="pct"/>
            <w:tcBorders>
              <w:top w:val="nil"/>
              <w:left w:val="single" w:sz="4" w:space="0" w:color="auto"/>
              <w:bottom w:val="nil"/>
              <w:right w:val="nil"/>
            </w:tcBorders>
            <w:shd w:val="clear" w:color="auto" w:fill="auto"/>
            <w:hideMark/>
          </w:tcPr>
          <w:p w14:paraId="6E66CD7E" w14:textId="77777777" w:rsidR="00B56A7B" w:rsidRPr="00111876" w:rsidRDefault="00B56A7B" w:rsidP="00CC47BD">
            <w:pPr>
              <w:overflowPunct/>
              <w:autoSpaceDE/>
              <w:autoSpaceDN/>
              <w:adjustRightInd/>
              <w:spacing w:before="0"/>
              <w:textAlignment w:val="auto"/>
              <w:rPr>
                <w:rFonts w:cs="Calibri"/>
                <w:sz w:val="22"/>
                <w:szCs w:val="22"/>
                <w:lang w:eastAsia="zh-CN"/>
              </w:rPr>
            </w:pPr>
            <w:r w:rsidRPr="00111876">
              <w:rPr>
                <w:rFonts w:cs="Arial" w:hint="eastAsia"/>
                <w:sz w:val="22"/>
                <w:szCs w:val="22"/>
                <w:lang w:val="en-US" w:eastAsia="zh-CN"/>
              </w:rPr>
              <w:t>运输、担心和服务支出</w:t>
            </w:r>
          </w:p>
        </w:tc>
        <w:tc>
          <w:tcPr>
            <w:tcW w:w="827" w:type="pct"/>
            <w:tcBorders>
              <w:top w:val="nil"/>
              <w:left w:val="single" w:sz="4" w:space="0" w:color="auto"/>
              <w:bottom w:val="nil"/>
              <w:right w:val="single" w:sz="4" w:space="0" w:color="auto"/>
            </w:tcBorders>
            <w:shd w:val="clear" w:color="auto" w:fill="auto"/>
            <w:vAlign w:val="bottom"/>
            <w:hideMark/>
          </w:tcPr>
          <w:p w14:paraId="78E6464B"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35239E43"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r>
      <w:tr w:rsidR="00B56A7B" w:rsidRPr="00111876" w14:paraId="3CC6FA4E" w14:textId="77777777" w:rsidTr="00CC47BD">
        <w:trPr>
          <w:trHeight w:val="255"/>
        </w:trPr>
        <w:tc>
          <w:tcPr>
            <w:tcW w:w="3346" w:type="pct"/>
            <w:tcBorders>
              <w:top w:val="nil"/>
              <w:left w:val="single" w:sz="4" w:space="0" w:color="auto"/>
              <w:bottom w:val="nil"/>
              <w:right w:val="nil"/>
            </w:tcBorders>
            <w:shd w:val="clear" w:color="auto" w:fill="auto"/>
            <w:hideMark/>
          </w:tcPr>
          <w:p w14:paraId="3DD12448" w14:textId="77777777" w:rsidR="00B56A7B" w:rsidRPr="00111876" w:rsidRDefault="00B56A7B" w:rsidP="00CC47BD">
            <w:pPr>
              <w:overflowPunct/>
              <w:autoSpaceDE/>
              <w:autoSpaceDN/>
              <w:adjustRightInd/>
              <w:spacing w:before="0"/>
              <w:textAlignment w:val="auto"/>
              <w:rPr>
                <w:rFonts w:cs="Calibri"/>
                <w:sz w:val="22"/>
                <w:szCs w:val="22"/>
                <w:lang w:eastAsia="en-GB"/>
              </w:rPr>
            </w:pPr>
            <w:r w:rsidRPr="00111876">
              <w:rPr>
                <w:rFonts w:cs="Arial" w:hint="eastAsia"/>
                <w:sz w:val="22"/>
                <w:szCs w:val="22"/>
                <w:lang w:val="en-US" w:eastAsia="zh-CN"/>
              </w:rPr>
              <w:t>其他支出</w:t>
            </w:r>
          </w:p>
        </w:tc>
        <w:tc>
          <w:tcPr>
            <w:tcW w:w="827" w:type="pct"/>
            <w:tcBorders>
              <w:top w:val="nil"/>
              <w:left w:val="single" w:sz="4" w:space="0" w:color="auto"/>
              <w:bottom w:val="nil"/>
              <w:right w:val="single" w:sz="4" w:space="0" w:color="auto"/>
            </w:tcBorders>
            <w:shd w:val="clear" w:color="auto" w:fill="auto"/>
            <w:vAlign w:val="bottom"/>
            <w:hideMark/>
          </w:tcPr>
          <w:p w14:paraId="1B69B30D"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c>
          <w:tcPr>
            <w:tcW w:w="827" w:type="pct"/>
            <w:tcBorders>
              <w:top w:val="nil"/>
              <w:left w:val="nil"/>
              <w:bottom w:val="nil"/>
              <w:right w:val="single" w:sz="4" w:space="0" w:color="auto"/>
            </w:tcBorders>
            <w:shd w:val="clear" w:color="auto" w:fill="auto"/>
            <w:vAlign w:val="bottom"/>
            <w:hideMark/>
          </w:tcPr>
          <w:p w14:paraId="4106CBD8"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w:t>
            </w:r>
          </w:p>
        </w:tc>
      </w:tr>
      <w:tr w:rsidR="00B56A7B" w:rsidRPr="00111876" w14:paraId="4EC6A5F4" w14:textId="77777777" w:rsidTr="00CC47BD">
        <w:trPr>
          <w:trHeight w:val="255"/>
        </w:trPr>
        <w:tc>
          <w:tcPr>
            <w:tcW w:w="3346" w:type="pct"/>
            <w:tcBorders>
              <w:top w:val="nil"/>
              <w:left w:val="single" w:sz="4" w:space="0" w:color="auto"/>
              <w:bottom w:val="nil"/>
              <w:right w:val="nil"/>
            </w:tcBorders>
            <w:shd w:val="clear" w:color="auto" w:fill="auto"/>
            <w:hideMark/>
          </w:tcPr>
          <w:p w14:paraId="387D5E33" w14:textId="77777777" w:rsidR="00B56A7B" w:rsidRPr="00111876" w:rsidRDefault="00B56A7B" w:rsidP="00CC47BD">
            <w:pPr>
              <w:overflowPunct/>
              <w:autoSpaceDE/>
              <w:autoSpaceDN/>
              <w:adjustRightInd/>
              <w:spacing w:before="0"/>
              <w:textAlignment w:val="auto"/>
              <w:rPr>
                <w:rFonts w:cs="Calibri"/>
                <w:sz w:val="22"/>
                <w:szCs w:val="22"/>
                <w:lang w:eastAsia="en-GB"/>
              </w:rPr>
            </w:pPr>
            <w:r w:rsidRPr="00111876">
              <w:rPr>
                <w:rFonts w:cs="Arial" w:hint="eastAsia"/>
                <w:sz w:val="22"/>
                <w:szCs w:val="22"/>
                <w:lang w:val="en-US" w:eastAsia="zh-CN"/>
              </w:rPr>
              <w:t>财务支出</w:t>
            </w:r>
          </w:p>
        </w:tc>
        <w:tc>
          <w:tcPr>
            <w:tcW w:w="827" w:type="pct"/>
            <w:tcBorders>
              <w:top w:val="nil"/>
              <w:left w:val="single" w:sz="4" w:space="0" w:color="auto"/>
              <w:bottom w:val="nil"/>
              <w:right w:val="single" w:sz="4" w:space="0" w:color="auto"/>
            </w:tcBorders>
            <w:shd w:val="clear" w:color="auto" w:fill="auto"/>
            <w:vAlign w:val="bottom"/>
            <w:hideMark/>
          </w:tcPr>
          <w:p w14:paraId="3C939887"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178</w:t>
            </w:r>
          </w:p>
        </w:tc>
        <w:tc>
          <w:tcPr>
            <w:tcW w:w="827" w:type="pct"/>
            <w:tcBorders>
              <w:top w:val="nil"/>
              <w:left w:val="nil"/>
              <w:bottom w:val="nil"/>
              <w:right w:val="single" w:sz="4" w:space="0" w:color="auto"/>
            </w:tcBorders>
            <w:shd w:val="clear" w:color="auto" w:fill="auto"/>
            <w:vAlign w:val="bottom"/>
            <w:hideMark/>
          </w:tcPr>
          <w:p w14:paraId="054F5042"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345</w:t>
            </w:r>
          </w:p>
        </w:tc>
      </w:tr>
      <w:tr w:rsidR="00B56A7B" w:rsidRPr="00111876" w14:paraId="61D1DD05" w14:textId="77777777" w:rsidTr="00CC47BD">
        <w:trPr>
          <w:trHeight w:val="255"/>
        </w:trPr>
        <w:tc>
          <w:tcPr>
            <w:tcW w:w="3346" w:type="pct"/>
            <w:tcBorders>
              <w:top w:val="nil"/>
              <w:left w:val="single" w:sz="4" w:space="0" w:color="auto"/>
              <w:bottom w:val="nil"/>
              <w:right w:val="nil"/>
            </w:tcBorders>
            <w:shd w:val="clear" w:color="auto" w:fill="auto"/>
            <w:hideMark/>
          </w:tcPr>
          <w:p w14:paraId="35D96166" w14:textId="77777777" w:rsidR="00B56A7B" w:rsidRPr="00111876" w:rsidRDefault="00B56A7B" w:rsidP="00CC47BD">
            <w:pPr>
              <w:overflowPunct/>
              <w:autoSpaceDE/>
              <w:autoSpaceDN/>
              <w:adjustRightInd/>
              <w:spacing w:before="0"/>
              <w:textAlignment w:val="auto"/>
              <w:rPr>
                <w:rFonts w:cs="Calibri"/>
                <w:sz w:val="22"/>
                <w:szCs w:val="22"/>
                <w:lang w:eastAsia="en-GB"/>
              </w:rPr>
            </w:pPr>
          </w:p>
        </w:tc>
        <w:tc>
          <w:tcPr>
            <w:tcW w:w="827" w:type="pct"/>
            <w:tcBorders>
              <w:top w:val="nil"/>
              <w:left w:val="single" w:sz="4" w:space="0" w:color="auto"/>
              <w:bottom w:val="nil"/>
              <w:right w:val="single" w:sz="4" w:space="0" w:color="auto"/>
            </w:tcBorders>
            <w:shd w:val="clear" w:color="auto" w:fill="auto"/>
            <w:hideMark/>
          </w:tcPr>
          <w:p w14:paraId="6F7A6523"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p>
        </w:tc>
        <w:tc>
          <w:tcPr>
            <w:tcW w:w="827" w:type="pct"/>
            <w:tcBorders>
              <w:top w:val="nil"/>
              <w:left w:val="nil"/>
              <w:bottom w:val="nil"/>
              <w:right w:val="single" w:sz="4" w:space="0" w:color="auto"/>
            </w:tcBorders>
            <w:shd w:val="clear" w:color="auto" w:fill="auto"/>
            <w:hideMark/>
          </w:tcPr>
          <w:p w14:paraId="4586DCCF"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p>
        </w:tc>
      </w:tr>
      <w:tr w:rsidR="00B56A7B" w:rsidRPr="00111876" w14:paraId="7256006B" w14:textId="77777777" w:rsidTr="00CC47BD">
        <w:trPr>
          <w:trHeight w:val="255"/>
        </w:trPr>
        <w:tc>
          <w:tcPr>
            <w:tcW w:w="3346" w:type="pct"/>
            <w:tcBorders>
              <w:top w:val="single" w:sz="4" w:space="0" w:color="auto"/>
              <w:left w:val="single" w:sz="4" w:space="0" w:color="auto"/>
              <w:bottom w:val="single" w:sz="4" w:space="0" w:color="auto"/>
              <w:right w:val="nil"/>
            </w:tcBorders>
            <w:shd w:val="clear" w:color="000000" w:fill="C5D9F1"/>
            <w:noWrap/>
            <w:vAlign w:val="center"/>
            <w:hideMark/>
          </w:tcPr>
          <w:p w14:paraId="4B18F144"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总支出</w:t>
            </w:r>
          </w:p>
        </w:tc>
        <w:tc>
          <w:tcPr>
            <w:tcW w:w="827"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6EC9F7D"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179</w:t>
            </w:r>
          </w:p>
        </w:tc>
        <w:tc>
          <w:tcPr>
            <w:tcW w:w="827" w:type="pct"/>
            <w:tcBorders>
              <w:top w:val="single" w:sz="4" w:space="0" w:color="auto"/>
              <w:left w:val="nil"/>
              <w:bottom w:val="single" w:sz="4" w:space="0" w:color="auto"/>
              <w:right w:val="single" w:sz="4" w:space="0" w:color="auto"/>
            </w:tcBorders>
            <w:shd w:val="clear" w:color="000000" w:fill="C5D9F1"/>
            <w:noWrap/>
            <w:vAlign w:val="center"/>
            <w:hideMark/>
          </w:tcPr>
          <w:p w14:paraId="0EAF3376" w14:textId="77777777" w:rsidR="00B56A7B" w:rsidRPr="00111876" w:rsidRDefault="00B56A7B" w:rsidP="00CC47BD">
            <w:pPr>
              <w:overflowPunct/>
              <w:autoSpaceDE/>
              <w:autoSpaceDN/>
              <w:adjustRightInd/>
              <w:spacing w:before="0"/>
              <w:jc w:val="right"/>
              <w:textAlignment w:val="auto"/>
              <w:rPr>
                <w:rFonts w:asciiTheme="minorHAnsi" w:hAnsiTheme="minorHAnsi" w:cstheme="minorHAnsi"/>
                <w:color w:val="000000"/>
                <w:sz w:val="22"/>
                <w:szCs w:val="22"/>
                <w:lang w:eastAsia="en-GB"/>
              </w:rPr>
            </w:pPr>
            <w:r w:rsidRPr="00111876">
              <w:rPr>
                <w:rFonts w:cs="Calibri"/>
                <w:color w:val="000000"/>
                <w:sz w:val="22"/>
                <w:szCs w:val="22"/>
                <w:lang w:eastAsia="en-GB"/>
              </w:rPr>
              <w:t>346</w:t>
            </w:r>
          </w:p>
        </w:tc>
      </w:tr>
      <w:tr w:rsidR="00B56A7B" w:rsidRPr="00111876" w14:paraId="766A28F8" w14:textId="77777777" w:rsidTr="00CC47BD">
        <w:trPr>
          <w:trHeight w:val="255"/>
        </w:trPr>
        <w:tc>
          <w:tcPr>
            <w:tcW w:w="3346" w:type="pct"/>
            <w:tcBorders>
              <w:top w:val="nil"/>
              <w:left w:val="single" w:sz="4" w:space="0" w:color="auto"/>
              <w:bottom w:val="single" w:sz="4" w:space="0" w:color="auto"/>
              <w:right w:val="nil"/>
            </w:tcBorders>
            <w:shd w:val="clear" w:color="auto" w:fill="auto"/>
            <w:noWrap/>
            <w:vAlign w:val="center"/>
            <w:hideMark/>
          </w:tcPr>
          <w:p w14:paraId="685AFECE"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当期盈余</w:t>
            </w:r>
            <w:r w:rsidRPr="00111876">
              <w:rPr>
                <w:rFonts w:cs="Arial" w:hint="eastAsia"/>
                <w:b/>
                <w:bCs/>
                <w:color w:val="000000"/>
                <w:sz w:val="22"/>
                <w:szCs w:val="22"/>
                <w:lang w:val="en-US" w:eastAsia="zh-CN"/>
              </w:rPr>
              <w:t>/</w:t>
            </w:r>
            <w:r w:rsidRPr="00111876">
              <w:rPr>
                <w:rFonts w:cs="Arial" w:hint="eastAsia"/>
                <w:b/>
                <w:bCs/>
                <w:color w:val="000000"/>
                <w:sz w:val="22"/>
                <w:szCs w:val="22"/>
                <w:lang w:val="en-US" w:eastAsia="zh-CN"/>
              </w:rPr>
              <w:t>亏损</w:t>
            </w:r>
          </w:p>
        </w:tc>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05EE2172" w14:textId="248C7042"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111876">
              <w:rPr>
                <w:rFonts w:cs="Calibri"/>
                <w:b/>
                <w:bCs/>
                <w:color w:val="000000"/>
                <w:sz w:val="22"/>
                <w:szCs w:val="22"/>
                <w:lang w:eastAsia="en-GB"/>
              </w:rPr>
              <w:t>2</w:t>
            </w:r>
            <w:r w:rsidR="00111876" w:rsidRPr="00111876">
              <w:rPr>
                <w:rFonts w:cs="Calibri"/>
                <w:b/>
                <w:bCs/>
                <w:color w:val="000000"/>
                <w:sz w:val="22"/>
                <w:szCs w:val="22"/>
                <w:lang w:eastAsia="en-GB"/>
              </w:rPr>
              <w:t> </w:t>
            </w:r>
            <w:r w:rsidRPr="00111876">
              <w:rPr>
                <w:rFonts w:cs="Calibri"/>
                <w:b/>
                <w:bCs/>
                <w:color w:val="000000"/>
                <w:sz w:val="22"/>
                <w:szCs w:val="22"/>
                <w:lang w:eastAsia="en-GB"/>
              </w:rPr>
              <w:t>320</w:t>
            </w:r>
          </w:p>
        </w:tc>
        <w:tc>
          <w:tcPr>
            <w:tcW w:w="827" w:type="pct"/>
            <w:tcBorders>
              <w:top w:val="nil"/>
              <w:left w:val="nil"/>
              <w:bottom w:val="single" w:sz="4" w:space="0" w:color="auto"/>
              <w:right w:val="single" w:sz="4" w:space="0" w:color="auto"/>
            </w:tcBorders>
            <w:shd w:val="clear" w:color="auto" w:fill="auto"/>
            <w:noWrap/>
            <w:vAlign w:val="center"/>
            <w:hideMark/>
          </w:tcPr>
          <w:p w14:paraId="1B85C884" w14:textId="411517C2" w:rsidR="00B56A7B" w:rsidRPr="00111876" w:rsidRDefault="00B56A7B" w:rsidP="00CC47BD">
            <w:pPr>
              <w:overflowPunct/>
              <w:autoSpaceDE/>
              <w:autoSpaceDN/>
              <w:adjustRightInd/>
              <w:spacing w:before="0"/>
              <w:jc w:val="right"/>
              <w:textAlignment w:val="auto"/>
              <w:rPr>
                <w:rFonts w:asciiTheme="minorHAnsi" w:hAnsiTheme="minorHAnsi" w:cstheme="minorHAnsi"/>
                <w:b/>
                <w:bCs/>
                <w:color w:val="000000"/>
                <w:sz w:val="22"/>
                <w:szCs w:val="22"/>
                <w:lang w:eastAsia="en-GB"/>
              </w:rPr>
            </w:pPr>
            <w:r w:rsidRPr="00111876">
              <w:rPr>
                <w:rFonts w:cs="Calibri"/>
                <w:b/>
                <w:bCs/>
                <w:color w:val="000000"/>
                <w:sz w:val="22"/>
                <w:szCs w:val="22"/>
                <w:lang w:eastAsia="en-GB"/>
              </w:rPr>
              <w:t>9</w:t>
            </w:r>
            <w:r w:rsidR="00111876" w:rsidRPr="00111876">
              <w:rPr>
                <w:rFonts w:cs="Calibri"/>
                <w:b/>
                <w:bCs/>
                <w:color w:val="000000"/>
                <w:sz w:val="22"/>
                <w:szCs w:val="22"/>
                <w:lang w:eastAsia="en-GB"/>
              </w:rPr>
              <w:t> </w:t>
            </w:r>
            <w:r w:rsidRPr="00111876">
              <w:rPr>
                <w:rFonts w:cs="Calibri"/>
                <w:b/>
                <w:bCs/>
                <w:color w:val="000000"/>
                <w:sz w:val="22"/>
                <w:szCs w:val="22"/>
                <w:lang w:eastAsia="en-GB"/>
              </w:rPr>
              <w:t>665</w:t>
            </w:r>
          </w:p>
        </w:tc>
      </w:tr>
    </w:tbl>
    <w:p w14:paraId="61B2BB10" w14:textId="77777777" w:rsidR="00B56A7B" w:rsidRDefault="00B56A7B" w:rsidP="00B56A7B">
      <w:pPr>
        <w:snapToGrid w:val="0"/>
        <w:spacing w:before="0"/>
        <w:rPr>
          <w:b/>
          <w:bCs/>
          <w:sz w:val="20"/>
          <w:lang w:val="en-US"/>
        </w:rPr>
      </w:pPr>
    </w:p>
    <w:p w14:paraId="20BF3027" w14:textId="77777777" w:rsidR="00B56A7B" w:rsidRDefault="00B56A7B" w:rsidP="00B56A7B">
      <w:pPr>
        <w:snapToGrid w:val="0"/>
        <w:spacing w:before="0"/>
        <w:rPr>
          <w:b/>
          <w:bCs/>
          <w:sz w:val="20"/>
          <w:lang w:val="en-US"/>
        </w:rPr>
      </w:pPr>
      <w:r>
        <w:rPr>
          <w:b/>
          <w:bCs/>
          <w:sz w:val="20"/>
          <w:lang w:val="en-US"/>
        </w:rPr>
        <w:br w:type="page"/>
      </w:r>
    </w:p>
    <w:p w14:paraId="61A70BC0" w14:textId="77777777" w:rsidR="00B56A7B" w:rsidRPr="000C156A" w:rsidRDefault="00B56A7B" w:rsidP="00B56A7B">
      <w:pPr>
        <w:keepNext/>
        <w:keepLines/>
        <w:snapToGrid w:val="0"/>
        <w:spacing w:before="0" w:after="240"/>
        <w:jc w:val="center"/>
        <w:rPr>
          <w:b/>
          <w:bCs/>
          <w:sz w:val="20"/>
          <w:lang w:val="en-US"/>
        </w:rPr>
      </w:pPr>
      <w:r w:rsidRPr="007A6D4E">
        <w:rPr>
          <w:rFonts w:hint="eastAsia"/>
          <w:b/>
          <w:bCs/>
          <w:szCs w:val="28"/>
          <w:lang w:val="en-US" w:eastAsia="zh-CN"/>
        </w:rPr>
        <w:lastRenderedPageBreak/>
        <w:t>总部新办公楼</w:t>
      </w:r>
      <w:r>
        <w:rPr>
          <w:rFonts w:hint="eastAsia"/>
          <w:b/>
          <w:bCs/>
          <w:szCs w:val="28"/>
          <w:lang w:val="en-US" w:eastAsia="zh-CN"/>
        </w:rPr>
        <w:t>（</w:t>
      </w:r>
      <w:r w:rsidRPr="00D8651D">
        <w:rPr>
          <w:rFonts w:ascii="STKaiti" w:eastAsia="STKaiti" w:hAnsi="STKaiti" w:hint="eastAsia"/>
          <w:b/>
          <w:bCs/>
          <w:szCs w:val="28"/>
          <w:lang w:val="en-US" w:eastAsia="zh-CN"/>
        </w:rPr>
        <w:t>续</w:t>
      </w:r>
      <w:r>
        <w:rPr>
          <w:rFonts w:hint="eastAsia"/>
          <w:b/>
          <w:bCs/>
          <w:szCs w:val="28"/>
          <w:lang w:val="en-US" w:eastAsia="zh-CN"/>
        </w:rPr>
        <w:t>）</w:t>
      </w:r>
    </w:p>
    <w:tbl>
      <w:tblPr>
        <w:tblW w:w="5000" w:type="pct"/>
        <w:tblLook w:val="04A0" w:firstRow="1" w:lastRow="0" w:firstColumn="1" w:lastColumn="0" w:noHBand="0" w:noVBand="1"/>
      </w:tblPr>
      <w:tblGrid>
        <w:gridCol w:w="6047"/>
        <w:gridCol w:w="1791"/>
        <w:gridCol w:w="1791"/>
      </w:tblGrid>
      <w:tr w:rsidR="00B56A7B" w:rsidRPr="00111876" w14:paraId="591C03BD" w14:textId="77777777" w:rsidTr="00CC47BD">
        <w:trPr>
          <w:trHeight w:val="300"/>
        </w:trPr>
        <w:tc>
          <w:tcPr>
            <w:tcW w:w="3140" w:type="pct"/>
            <w:tcBorders>
              <w:top w:val="single" w:sz="4" w:space="0" w:color="auto"/>
              <w:left w:val="single" w:sz="4" w:space="0" w:color="auto"/>
              <w:bottom w:val="single" w:sz="4" w:space="0" w:color="auto"/>
              <w:right w:val="nil"/>
            </w:tcBorders>
            <w:shd w:val="clear" w:color="auto" w:fill="auto"/>
            <w:noWrap/>
            <w:vAlign w:val="bottom"/>
            <w:hideMark/>
          </w:tcPr>
          <w:p w14:paraId="607ABECE" w14:textId="77777777" w:rsidR="00B56A7B" w:rsidRPr="00111876" w:rsidRDefault="00B56A7B" w:rsidP="00CC47BD">
            <w:pPr>
              <w:overflowPunct/>
              <w:autoSpaceDE/>
              <w:autoSpaceDN/>
              <w:adjustRightInd/>
              <w:spacing w:before="0"/>
              <w:textAlignment w:val="auto"/>
              <w:rPr>
                <w:rFonts w:cs="Calibri"/>
                <w:sz w:val="22"/>
                <w:szCs w:val="22"/>
                <w:lang w:eastAsia="en-GB"/>
              </w:rPr>
            </w:pPr>
            <w:r w:rsidRPr="00111876">
              <w:rPr>
                <w:rFonts w:cs="Arial" w:hint="eastAsia"/>
                <w:sz w:val="22"/>
                <w:szCs w:val="22"/>
                <w:lang w:val="en-US" w:eastAsia="zh-CN"/>
              </w:rPr>
              <w:t>（单位：千瑞郎）</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14:paraId="5FF6E0EA" w14:textId="77777777"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31/12/202</w:t>
            </w:r>
            <w:r w:rsidRPr="00111876">
              <w:rPr>
                <w:rFonts w:cs="Calibri" w:hint="eastAsia"/>
                <w:b/>
                <w:bCs/>
                <w:color w:val="000000"/>
                <w:sz w:val="22"/>
                <w:szCs w:val="22"/>
                <w:lang w:eastAsia="zh-CN"/>
              </w:rPr>
              <w:t>1</w:t>
            </w:r>
          </w:p>
        </w:tc>
        <w:tc>
          <w:tcPr>
            <w:tcW w:w="930" w:type="pct"/>
            <w:tcBorders>
              <w:top w:val="single" w:sz="4" w:space="0" w:color="auto"/>
              <w:left w:val="nil"/>
              <w:bottom w:val="single" w:sz="4" w:space="0" w:color="auto"/>
              <w:right w:val="single" w:sz="4" w:space="0" w:color="auto"/>
            </w:tcBorders>
            <w:shd w:val="clear" w:color="auto" w:fill="auto"/>
            <w:hideMark/>
          </w:tcPr>
          <w:p w14:paraId="1D1F696C" w14:textId="77777777"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31/12/20</w:t>
            </w:r>
            <w:r w:rsidRPr="00111876">
              <w:rPr>
                <w:rFonts w:cs="Calibri" w:hint="eastAsia"/>
                <w:b/>
                <w:bCs/>
                <w:color w:val="000000"/>
                <w:sz w:val="22"/>
                <w:szCs w:val="22"/>
                <w:lang w:eastAsia="zh-CN"/>
              </w:rPr>
              <w:t>20</w:t>
            </w:r>
          </w:p>
        </w:tc>
      </w:tr>
      <w:tr w:rsidR="00B56A7B" w:rsidRPr="00111876" w14:paraId="29C43DCE" w14:textId="77777777" w:rsidTr="00CC47BD">
        <w:trPr>
          <w:trHeight w:val="300"/>
        </w:trPr>
        <w:tc>
          <w:tcPr>
            <w:tcW w:w="3140" w:type="pct"/>
            <w:tcBorders>
              <w:top w:val="nil"/>
              <w:left w:val="single" w:sz="4" w:space="0" w:color="auto"/>
              <w:bottom w:val="nil"/>
              <w:right w:val="nil"/>
            </w:tcBorders>
            <w:shd w:val="clear" w:color="auto" w:fill="auto"/>
          </w:tcPr>
          <w:p w14:paraId="22C849A5" w14:textId="77777777" w:rsidR="00B56A7B" w:rsidRPr="00111876" w:rsidRDefault="00B56A7B" w:rsidP="00CC47BD">
            <w:pPr>
              <w:overflowPunct/>
              <w:autoSpaceDE/>
              <w:autoSpaceDN/>
              <w:adjustRightInd/>
              <w:spacing w:before="0"/>
              <w:textAlignment w:val="auto"/>
              <w:rPr>
                <w:rFonts w:cs="Arial"/>
                <w:b/>
                <w:bCs/>
                <w:color w:val="000000"/>
                <w:sz w:val="22"/>
                <w:szCs w:val="22"/>
                <w:lang w:val="en-US" w:eastAsia="zh-CN"/>
              </w:rPr>
            </w:pPr>
            <w:r w:rsidRPr="00111876">
              <w:rPr>
                <w:rFonts w:cs="Arial" w:hint="eastAsia"/>
                <w:b/>
                <w:bCs/>
                <w:color w:val="000000"/>
                <w:sz w:val="22"/>
                <w:szCs w:val="22"/>
                <w:lang w:eastAsia="zh-CN"/>
              </w:rPr>
              <w:t>资产</w:t>
            </w:r>
          </w:p>
        </w:tc>
        <w:tc>
          <w:tcPr>
            <w:tcW w:w="930" w:type="pct"/>
            <w:tcBorders>
              <w:top w:val="nil"/>
              <w:left w:val="single" w:sz="4" w:space="0" w:color="auto"/>
              <w:bottom w:val="nil"/>
              <w:right w:val="single" w:sz="4" w:space="0" w:color="auto"/>
            </w:tcBorders>
            <w:shd w:val="clear" w:color="auto" w:fill="auto"/>
          </w:tcPr>
          <w:p w14:paraId="78BE0C90"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tcPr>
          <w:p w14:paraId="2DF4F769"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r>
      <w:tr w:rsidR="00B56A7B" w:rsidRPr="00111876" w14:paraId="52D871F8" w14:textId="77777777" w:rsidTr="00CC47BD">
        <w:trPr>
          <w:trHeight w:val="300"/>
        </w:trPr>
        <w:tc>
          <w:tcPr>
            <w:tcW w:w="3140" w:type="pct"/>
            <w:tcBorders>
              <w:top w:val="nil"/>
              <w:left w:val="single" w:sz="4" w:space="0" w:color="auto"/>
              <w:bottom w:val="nil"/>
              <w:right w:val="nil"/>
            </w:tcBorders>
            <w:shd w:val="clear" w:color="auto" w:fill="auto"/>
          </w:tcPr>
          <w:p w14:paraId="6883C653" w14:textId="77777777" w:rsidR="00B56A7B" w:rsidRPr="00111876" w:rsidRDefault="00B56A7B" w:rsidP="00CC47BD">
            <w:pPr>
              <w:overflowPunct/>
              <w:autoSpaceDE/>
              <w:autoSpaceDN/>
              <w:adjustRightInd/>
              <w:spacing w:before="0"/>
              <w:textAlignment w:val="auto"/>
              <w:rPr>
                <w:rFonts w:cs="Arial"/>
                <w:b/>
                <w:bCs/>
                <w:color w:val="000000"/>
                <w:sz w:val="22"/>
                <w:szCs w:val="22"/>
                <w:lang w:val="en-US" w:eastAsia="zh-CN"/>
              </w:rPr>
            </w:pPr>
          </w:p>
        </w:tc>
        <w:tc>
          <w:tcPr>
            <w:tcW w:w="930" w:type="pct"/>
            <w:tcBorders>
              <w:top w:val="nil"/>
              <w:left w:val="single" w:sz="4" w:space="0" w:color="auto"/>
              <w:bottom w:val="nil"/>
              <w:right w:val="single" w:sz="4" w:space="0" w:color="auto"/>
            </w:tcBorders>
            <w:shd w:val="clear" w:color="auto" w:fill="auto"/>
          </w:tcPr>
          <w:p w14:paraId="225C4ABA"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tcPr>
          <w:p w14:paraId="49AB7C9D"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r>
      <w:tr w:rsidR="00B56A7B" w:rsidRPr="00111876" w14:paraId="258C86AB" w14:textId="77777777" w:rsidTr="00CC47BD">
        <w:trPr>
          <w:trHeight w:val="300"/>
        </w:trPr>
        <w:tc>
          <w:tcPr>
            <w:tcW w:w="3140" w:type="pct"/>
            <w:tcBorders>
              <w:top w:val="nil"/>
              <w:left w:val="single" w:sz="4" w:space="0" w:color="auto"/>
              <w:bottom w:val="nil"/>
              <w:right w:val="nil"/>
            </w:tcBorders>
            <w:shd w:val="clear" w:color="auto" w:fill="auto"/>
            <w:hideMark/>
          </w:tcPr>
          <w:p w14:paraId="54991640"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资产</w:t>
            </w:r>
          </w:p>
        </w:tc>
        <w:tc>
          <w:tcPr>
            <w:tcW w:w="930" w:type="pct"/>
            <w:tcBorders>
              <w:top w:val="nil"/>
              <w:left w:val="single" w:sz="4" w:space="0" w:color="auto"/>
              <w:bottom w:val="nil"/>
              <w:right w:val="single" w:sz="4" w:space="0" w:color="auto"/>
            </w:tcBorders>
            <w:shd w:val="clear" w:color="auto" w:fill="auto"/>
            <w:hideMark/>
          </w:tcPr>
          <w:p w14:paraId="0FF78951"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265BA9C4"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r>
      <w:tr w:rsidR="00B56A7B" w:rsidRPr="00111876" w14:paraId="1691478E" w14:textId="77777777" w:rsidTr="00CC47BD">
        <w:trPr>
          <w:trHeight w:val="300"/>
        </w:trPr>
        <w:tc>
          <w:tcPr>
            <w:tcW w:w="3140" w:type="pct"/>
            <w:tcBorders>
              <w:top w:val="nil"/>
              <w:left w:val="single" w:sz="4" w:space="0" w:color="auto"/>
              <w:bottom w:val="nil"/>
              <w:right w:val="nil"/>
            </w:tcBorders>
            <w:shd w:val="clear" w:color="auto" w:fill="auto"/>
            <w:hideMark/>
          </w:tcPr>
          <w:p w14:paraId="1B170605"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流动资产</w:t>
            </w:r>
          </w:p>
        </w:tc>
        <w:tc>
          <w:tcPr>
            <w:tcW w:w="930" w:type="pct"/>
            <w:tcBorders>
              <w:top w:val="nil"/>
              <w:left w:val="single" w:sz="4" w:space="0" w:color="auto"/>
              <w:bottom w:val="nil"/>
              <w:right w:val="single" w:sz="4" w:space="0" w:color="auto"/>
            </w:tcBorders>
            <w:shd w:val="clear" w:color="auto" w:fill="auto"/>
            <w:hideMark/>
          </w:tcPr>
          <w:p w14:paraId="5D4EB49F"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2F742A8E"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r>
      <w:tr w:rsidR="00B56A7B" w:rsidRPr="00111876" w14:paraId="466E606B" w14:textId="77777777" w:rsidTr="00CC47BD">
        <w:trPr>
          <w:trHeight w:val="300"/>
        </w:trPr>
        <w:tc>
          <w:tcPr>
            <w:tcW w:w="3140" w:type="pct"/>
            <w:tcBorders>
              <w:top w:val="nil"/>
              <w:left w:val="single" w:sz="4" w:space="0" w:color="auto"/>
              <w:bottom w:val="nil"/>
              <w:right w:val="nil"/>
            </w:tcBorders>
            <w:shd w:val="clear" w:color="auto" w:fill="auto"/>
            <w:hideMark/>
          </w:tcPr>
          <w:p w14:paraId="5E72CE61" w14:textId="77777777" w:rsidR="00B56A7B" w:rsidRPr="00111876" w:rsidRDefault="00B56A7B" w:rsidP="00CC47BD">
            <w:pPr>
              <w:overflowPunct/>
              <w:autoSpaceDE/>
              <w:autoSpaceDN/>
              <w:adjustRightInd/>
              <w:spacing w:before="0"/>
              <w:textAlignment w:val="auto"/>
              <w:rPr>
                <w:rFonts w:cs="Calibri"/>
                <w:color w:val="000000"/>
                <w:sz w:val="22"/>
                <w:szCs w:val="22"/>
                <w:lang w:eastAsia="en-GB"/>
              </w:rPr>
            </w:pPr>
            <w:r w:rsidRPr="00111876">
              <w:rPr>
                <w:rFonts w:cs="Arial" w:hint="eastAsia"/>
                <w:sz w:val="22"/>
                <w:szCs w:val="22"/>
                <w:lang w:val="en-US" w:eastAsia="zh-CN"/>
              </w:rPr>
              <w:t>现金和现金等价物</w:t>
            </w:r>
          </w:p>
        </w:tc>
        <w:tc>
          <w:tcPr>
            <w:tcW w:w="930" w:type="pct"/>
            <w:tcBorders>
              <w:top w:val="nil"/>
              <w:left w:val="single" w:sz="4" w:space="0" w:color="auto"/>
              <w:bottom w:val="nil"/>
              <w:right w:val="single" w:sz="4" w:space="0" w:color="auto"/>
            </w:tcBorders>
            <w:shd w:val="clear" w:color="auto" w:fill="auto"/>
            <w:hideMark/>
          </w:tcPr>
          <w:p w14:paraId="75643720" w14:textId="044ADE1B"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19</w:t>
            </w:r>
            <w:r w:rsidR="00111876" w:rsidRPr="00111876">
              <w:rPr>
                <w:rFonts w:cs="Calibri"/>
                <w:color w:val="000000"/>
                <w:sz w:val="22"/>
                <w:szCs w:val="22"/>
                <w:lang w:eastAsia="en-GB"/>
              </w:rPr>
              <w:t> </w:t>
            </w:r>
            <w:r w:rsidRPr="00111876">
              <w:rPr>
                <w:rFonts w:cs="Calibri"/>
                <w:color w:val="000000"/>
                <w:sz w:val="22"/>
                <w:szCs w:val="22"/>
                <w:lang w:eastAsia="en-GB"/>
              </w:rPr>
              <w:t>831</w:t>
            </w:r>
          </w:p>
        </w:tc>
        <w:tc>
          <w:tcPr>
            <w:tcW w:w="930" w:type="pct"/>
            <w:tcBorders>
              <w:top w:val="nil"/>
              <w:left w:val="nil"/>
              <w:bottom w:val="nil"/>
              <w:right w:val="single" w:sz="4" w:space="0" w:color="auto"/>
            </w:tcBorders>
            <w:shd w:val="clear" w:color="auto" w:fill="auto"/>
            <w:hideMark/>
          </w:tcPr>
          <w:p w14:paraId="20A3C94D" w14:textId="32B13924"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15</w:t>
            </w:r>
            <w:r w:rsidR="00111876" w:rsidRPr="00111876">
              <w:rPr>
                <w:rFonts w:cs="Calibri"/>
                <w:color w:val="000000"/>
                <w:sz w:val="22"/>
                <w:szCs w:val="22"/>
                <w:lang w:eastAsia="en-GB"/>
              </w:rPr>
              <w:t> </w:t>
            </w:r>
            <w:r w:rsidRPr="00111876">
              <w:rPr>
                <w:rFonts w:cs="Calibri"/>
                <w:color w:val="000000"/>
                <w:sz w:val="22"/>
                <w:szCs w:val="22"/>
                <w:lang w:eastAsia="en-GB"/>
              </w:rPr>
              <w:t>005</w:t>
            </w:r>
          </w:p>
        </w:tc>
      </w:tr>
      <w:tr w:rsidR="00B56A7B" w:rsidRPr="00111876" w14:paraId="2845572F" w14:textId="77777777" w:rsidTr="00CC47BD">
        <w:trPr>
          <w:trHeight w:val="300"/>
        </w:trPr>
        <w:tc>
          <w:tcPr>
            <w:tcW w:w="3140" w:type="pct"/>
            <w:tcBorders>
              <w:top w:val="nil"/>
              <w:left w:val="single" w:sz="4" w:space="0" w:color="auto"/>
              <w:bottom w:val="nil"/>
              <w:right w:val="nil"/>
            </w:tcBorders>
            <w:shd w:val="clear" w:color="auto" w:fill="auto"/>
            <w:hideMark/>
          </w:tcPr>
          <w:p w14:paraId="1375D3B9" w14:textId="77777777" w:rsidR="00B56A7B" w:rsidRPr="00111876" w:rsidRDefault="00B56A7B" w:rsidP="00CC47BD">
            <w:pPr>
              <w:overflowPunct/>
              <w:autoSpaceDE/>
              <w:autoSpaceDN/>
              <w:adjustRightInd/>
              <w:spacing w:before="0"/>
              <w:textAlignment w:val="auto"/>
              <w:rPr>
                <w:rFonts w:cs="Calibri"/>
                <w:color w:val="000000"/>
                <w:sz w:val="22"/>
                <w:szCs w:val="22"/>
                <w:lang w:eastAsia="en-GB"/>
              </w:rPr>
            </w:pPr>
            <w:r w:rsidRPr="00111876">
              <w:rPr>
                <w:rFonts w:cs="Arial" w:hint="eastAsia"/>
                <w:sz w:val="22"/>
                <w:szCs w:val="22"/>
                <w:lang w:val="en-US" w:eastAsia="zh-CN"/>
              </w:rPr>
              <w:t>投资</w:t>
            </w:r>
          </w:p>
        </w:tc>
        <w:tc>
          <w:tcPr>
            <w:tcW w:w="930" w:type="pct"/>
            <w:tcBorders>
              <w:top w:val="nil"/>
              <w:left w:val="single" w:sz="4" w:space="0" w:color="auto"/>
              <w:bottom w:val="nil"/>
              <w:right w:val="single" w:sz="4" w:space="0" w:color="auto"/>
            </w:tcBorders>
            <w:shd w:val="clear" w:color="auto" w:fill="auto"/>
            <w:hideMark/>
          </w:tcPr>
          <w:p w14:paraId="2A48146F" w14:textId="50D7D4B3"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4</w:t>
            </w:r>
            <w:r w:rsidR="00111876" w:rsidRPr="00111876">
              <w:rPr>
                <w:rFonts w:cs="Calibri"/>
                <w:color w:val="000000"/>
                <w:sz w:val="22"/>
                <w:szCs w:val="22"/>
                <w:lang w:eastAsia="en-GB"/>
              </w:rPr>
              <w:t> </w:t>
            </w:r>
            <w:r w:rsidRPr="00111876">
              <w:rPr>
                <w:rFonts w:cs="Calibri"/>
                <w:color w:val="000000"/>
                <w:sz w:val="22"/>
                <w:szCs w:val="22"/>
                <w:lang w:eastAsia="en-GB"/>
              </w:rPr>
              <w:t>625</w:t>
            </w:r>
          </w:p>
        </w:tc>
        <w:tc>
          <w:tcPr>
            <w:tcW w:w="930" w:type="pct"/>
            <w:tcBorders>
              <w:top w:val="nil"/>
              <w:left w:val="nil"/>
              <w:bottom w:val="nil"/>
              <w:right w:val="single" w:sz="4" w:space="0" w:color="auto"/>
            </w:tcBorders>
            <w:shd w:val="clear" w:color="auto" w:fill="auto"/>
            <w:hideMark/>
          </w:tcPr>
          <w:p w14:paraId="2A44B0F4" w14:textId="58444FE4"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r w:rsidRPr="00111876">
              <w:rPr>
                <w:rFonts w:cs="Calibri"/>
                <w:color w:val="000000"/>
                <w:sz w:val="22"/>
                <w:szCs w:val="22"/>
                <w:lang w:eastAsia="en-GB"/>
              </w:rPr>
              <w:t>4</w:t>
            </w:r>
            <w:r w:rsidR="00111876" w:rsidRPr="00111876">
              <w:rPr>
                <w:rFonts w:cs="Calibri"/>
                <w:color w:val="000000"/>
                <w:sz w:val="22"/>
                <w:szCs w:val="22"/>
                <w:lang w:eastAsia="en-GB"/>
              </w:rPr>
              <w:t> </w:t>
            </w:r>
            <w:r w:rsidRPr="00111876">
              <w:rPr>
                <w:rFonts w:cs="Calibri"/>
                <w:color w:val="000000"/>
                <w:sz w:val="22"/>
                <w:szCs w:val="22"/>
                <w:lang w:eastAsia="en-GB"/>
              </w:rPr>
              <w:t>530</w:t>
            </w:r>
          </w:p>
        </w:tc>
      </w:tr>
      <w:tr w:rsidR="00B56A7B" w:rsidRPr="00111876" w14:paraId="5995A5E1" w14:textId="77777777" w:rsidTr="00CC47BD">
        <w:trPr>
          <w:trHeight w:val="300"/>
        </w:trPr>
        <w:tc>
          <w:tcPr>
            <w:tcW w:w="3140" w:type="pct"/>
            <w:tcBorders>
              <w:top w:val="nil"/>
              <w:left w:val="single" w:sz="4" w:space="0" w:color="auto"/>
              <w:bottom w:val="nil"/>
              <w:right w:val="nil"/>
            </w:tcBorders>
            <w:shd w:val="clear" w:color="auto" w:fill="auto"/>
          </w:tcPr>
          <w:p w14:paraId="072E780D" w14:textId="77777777" w:rsidR="00B56A7B" w:rsidRPr="00111876" w:rsidRDefault="00B56A7B" w:rsidP="00CC47BD">
            <w:pPr>
              <w:keepNext/>
              <w:keepLines/>
              <w:overflowPunct/>
              <w:autoSpaceDE/>
              <w:autoSpaceDN/>
              <w:adjustRightInd/>
              <w:spacing w:before="0"/>
              <w:textAlignment w:val="auto"/>
              <w:rPr>
                <w:rFonts w:cs="Calibri"/>
                <w:color w:val="000000"/>
                <w:sz w:val="22"/>
                <w:szCs w:val="22"/>
                <w:lang w:eastAsia="zh-CN"/>
              </w:rPr>
            </w:pPr>
            <w:r w:rsidRPr="00111876">
              <w:rPr>
                <w:rFonts w:cs="Calibri" w:hint="eastAsia"/>
                <w:color w:val="000000"/>
                <w:sz w:val="22"/>
                <w:szCs w:val="22"/>
                <w:lang w:eastAsia="zh-CN"/>
              </w:rPr>
              <w:t>应收账款</w:t>
            </w:r>
            <w:r w:rsidRPr="00111876">
              <w:rPr>
                <w:rFonts w:cs="Calibri" w:hint="eastAsia"/>
                <w:color w:val="000000"/>
                <w:sz w:val="22"/>
                <w:szCs w:val="22"/>
                <w:lang w:eastAsia="zh-CN"/>
              </w:rPr>
              <w:t xml:space="preserve"> </w:t>
            </w:r>
            <w:r w:rsidRPr="00111876">
              <w:rPr>
                <w:rFonts w:cs="Calibri"/>
                <w:color w:val="000000"/>
                <w:sz w:val="22"/>
                <w:szCs w:val="22"/>
                <w:lang w:eastAsia="zh-CN"/>
              </w:rPr>
              <w:t xml:space="preserve">– </w:t>
            </w:r>
            <w:r w:rsidRPr="00111876">
              <w:rPr>
                <w:rFonts w:cs="Calibri" w:hint="eastAsia"/>
                <w:color w:val="000000"/>
                <w:sz w:val="22"/>
                <w:szCs w:val="22"/>
                <w:lang w:eastAsia="zh-CN"/>
              </w:rPr>
              <w:t>非兑换交易</w:t>
            </w:r>
          </w:p>
        </w:tc>
        <w:tc>
          <w:tcPr>
            <w:tcW w:w="930" w:type="pct"/>
            <w:tcBorders>
              <w:top w:val="nil"/>
              <w:left w:val="single" w:sz="4" w:space="0" w:color="auto"/>
              <w:bottom w:val="nil"/>
              <w:right w:val="single" w:sz="4" w:space="0" w:color="auto"/>
            </w:tcBorders>
            <w:shd w:val="clear" w:color="auto" w:fill="auto"/>
          </w:tcPr>
          <w:p w14:paraId="1CC03343"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60</w:t>
            </w:r>
          </w:p>
        </w:tc>
        <w:tc>
          <w:tcPr>
            <w:tcW w:w="930" w:type="pct"/>
            <w:tcBorders>
              <w:top w:val="nil"/>
              <w:left w:val="nil"/>
              <w:bottom w:val="nil"/>
              <w:right w:val="single" w:sz="4" w:space="0" w:color="auto"/>
            </w:tcBorders>
            <w:shd w:val="clear" w:color="auto" w:fill="auto"/>
          </w:tcPr>
          <w:p w14:paraId="147B4F15" w14:textId="226C07F0"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2</w:t>
            </w:r>
            <w:r w:rsidR="00111876" w:rsidRPr="00111876">
              <w:rPr>
                <w:rFonts w:cs="Calibri"/>
                <w:color w:val="000000"/>
                <w:sz w:val="22"/>
                <w:szCs w:val="22"/>
                <w:lang w:eastAsia="en-GB"/>
              </w:rPr>
              <w:t> </w:t>
            </w:r>
            <w:r w:rsidRPr="00111876">
              <w:rPr>
                <w:rFonts w:cs="Calibri"/>
                <w:color w:val="000000"/>
                <w:sz w:val="22"/>
                <w:szCs w:val="22"/>
                <w:lang w:eastAsia="en-GB"/>
              </w:rPr>
              <w:t>000</w:t>
            </w:r>
          </w:p>
        </w:tc>
      </w:tr>
      <w:tr w:rsidR="00B56A7B" w:rsidRPr="00111876" w14:paraId="6FCBF4AC" w14:textId="77777777" w:rsidTr="00CC47BD">
        <w:trPr>
          <w:trHeight w:val="300"/>
        </w:trPr>
        <w:tc>
          <w:tcPr>
            <w:tcW w:w="3140" w:type="pct"/>
            <w:tcBorders>
              <w:top w:val="nil"/>
              <w:left w:val="single" w:sz="4" w:space="0" w:color="auto"/>
              <w:bottom w:val="nil"/>
              <w:right w:val="nil"/>
            </w:tcBorders>
            <w:shd w:val="clear" w:color="auto" w:fill="auto"/>
          </w:tcPr>
          <w:p w14:paraId="5D098CFE" w14:textId="77777777" w:rsidR="00B56A7B" w:rsidRPr="00111876" w:rsidRDefault="00B56A7B" w:rsidP="00CC47BD">
            <w:pPr>
              <w:keepNext/>
              <w:keepLines/>
              <w:overflowPunct/>
              <w:autoSpaceDE/>
              <w:autoSpaceDN/>
              <w:adjustRightInd/>
              <w:spacing w:before="0"/>
              <w:textAlignment w:val="auto"/>
              <w:rPr>
                <w:rFonts w:cs="Calibri"/>
                <w:color w:val="000000"/>
                <w:sz w:val="22"/>
                <w:szCs w:val="22"/>
                <w:lang w:eastAsia="en-GB"/>
              </w:rPr>
            </w:pPr>
            <w:r w:rsidRPr="00111876">
              <w:rPr>
                <w:rFonts w:cs="Calibri" w:hint="eastAsia"/>
                <w:color w:val="000000"/>
                <w:sz w:val="22"/>
                <w:szCs w:val="22"/>
                <w:lang w:eastAsia="zh-CN"/>
              </w:rPr>
              <w:t>库存</w:t>
            </w:r>
          </w:p>
        </w:tc>
        <w:tc>
          <w:tcPr>
            <w:tcW w:w="930" w:type="pct"/>
            <w:tcBorders>
              <w:top w:val="nil"/>
              <w:left w:val="single" w:sz="4" w:space="0" w:color="auto"/>
              <w:bottom w:val="nil"/>
              <w:right w:val="single" w:sz="4" w:space="0" w:color="auto"/>
            </w:tcBorders>
            <w:shd w:val="clear" w:color="auto" w:fill="auto"/>
          </w:tcPr>
          <w:p w14:paraId="5272C776"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tcPr>
          <w:p w14:paraId="185AD5E2"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r>
      <w:tr w:rsidR="00B56A7B" w:rsidRPr="00111876" w14:paraId="07162783" w14:textId="77777777" w:rsidTr="00CC47BD">
        <w:trPr>
          <w:trHeight w:val="300"/>
        </w:trPr>
        <w:tc>
          <w:tcPr>
            <w:tcW w:w="3140" w:type="pct"/>
            <w:tcBorders>
              <w:top w:val="nil"/>
              <w:left w:val="single" w:sz="4" w:space="0" w:color="auto"/>
              <w:bottom w:val="nil"/>
              <w:right w:val="nil"/>
            </w:tcBorders>
            <w:shd w:val="clear" w:color="auto" w:fill="auto"/>
          </w:tcPr>
          <w:p w14:paraId="7E7665D0" w14:textId="77777777" w:rsidR="00B56A7B" w:rsidRPr="00111876" w:rsidRDefault="00B56A7B" w:rsidP="00CC47BD">
            <w:pPr>
              <w:keepNext/>
              <w:keepLines/>
              <w:overflowPunct/>
              <w:autoSpaceDE/>
              <w:autoSpaceDN/>
              <w:adjustRightInd/>
              <w:spacing w:before="0"/>
              <w:textAlignment w:val="auto"/>
              <w:rPr>
                <w:rFonts w:cs="Calibri"/>
                <w:color w:val="000000"/>
                <w:sz w:val="22"/>
                <w:szCs w:val="22"/>
                <w:lang w:eastAsia="en-GB"/>
              </w:rPr>
            </w:pPr>
            <w:r w:rsidRPr="00111876">
              <w:rPr>
                <w:rFonts w:cs="Calibri" w:hint="eastAsia"/>
                <w:color w:val="000000"/>
                <w:sz w:val="22"/>
                <w:szCs w:val="22"/>
                <w:lang w:eastAsia="zh-CN"/>
              </w:rPr>
              <w:t>其他应收账款</w:t>
            </w:r>
          </w:p>
        </w:tc>
        <w:tc>
          <w:tcPr>
            <w:tcW w:w="930" w:type="pct"/>
            <w:tcBorders>
              <w:top w:val="nil"/>
              <w:left w:val="single" w:sz="4" w:space="0" w:color="auto"/>
              <w:bottom w:val="nil"/>
              <w:right w:val="single" w:sz="4" w:space="0" w:color="auto"/>
            </w:tcBorders>
            <w:shd w:val="clear" w:color="auto" w:fill="auto"/>
          </w:tcPr>
          <w:p w14:paraId="1F2CDC2B" w14:textId="37235FE3"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1</w:t>
            </w:r>
            <w:r w:rsidR="00111876" w:rsidRPr="00111876">
              <w:rPr>
                <w:rFonts w:cs="Calibri"/>
                <w:color w:val="000000"/>
                <w:sz w:val="22"/>
                <w:szCs w:val="22"/>
                <w:lang w:eastAsia="en-GB"/>
              </w:rPr>
              <w:t> </w:t>
            </w:r>
            <w:r w:rsidRPr="00111876">
              <w:rPr>
                <w:rFonts w:cs="Calibri"/>
                <w:color w:val="000000"/>
                <w:sz w:val="22"/>
                <w:szCs w:val="22"/>
                <w:lang w:eastAsia="en-GB"/>
              </w:rPr>
              <w:t>998</w:t>
            </w:r>
          </w:p>
        </w:tc>
        <w:tc>
          <w:tcPr>
            <w:tcW w:w="930" w:type="pct"/>
            <w:tcBorders>
              <w:top w:val="nil"/>
              <w:left w:val="nil"/>
              <w:bottom w:val="nil"/>
              <w:right w:val="single" w:sz="4" w:space="0" w:color="auto"/>
            </w:tcBorders>
            <w:shd w:val="clear" w:color="auto" w:fill="auto"/>
          </w:tcPr>
          <w:p w14:paraId="17071DFD" w14:textId="36807B9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2</w:t>
            </w:r>
            <w:r w:rsidR="00111876" w:rsidRPr="00111876">
              <w:rPr>
                <w:rFonts w:cs="Calibri"/>
                <w:color w:val="000000"/>
                <w:sz w:val="22"/>
                <w:szCs w:val="22"/>
                <w:lang w:eastAsia="en-GB"/>
              </w:rPr>
              <w:t> </w:t>
            </w:r>
            <w:r w:rsidRPr="00111876">
              <w:rPr>
                <w:rFonts w:cs="Calibri"/>
                <w:color w:val="000000"/>
                <w:sz w:val="22"/>
                <w:szCs w:val="22"/>
                <w:lang w:eastAsia="en-GB"/>
              </w:rPr>
              <w:t>022</w:t>
            </w:r>
          </w:p>
        </w:tc>
      </w:tr>
      <w:tr w:rsidR="00B56A7B" w:rsidRPr="00111876" w14:paraId="7C28190E" w14:textId="77777777" w:rsidTr="00CC47BD">
        <w:trPr>
          <w:trHeight w:val="300"/>
        </w:trPr>
        <w:tc>
          <w:tcPr>
            <w:tcW w:w="3140" w:type="pct"/>
            <w:tcBorders>
              <w:top w:val="nil"/>
              <w:left w:val="single" w:sz="4" w:space="0" w:color="auto"/>
              <w:bottom w:val="nil"/>
              <w:right w:val="single" w:sz="4" w:space="0" w:color="auto"/>
            </w:tcBorders>
            <w:shd w:val="clear" w:color="auto" w:fill="auto"/>
            <w:hideMark/>
          </w:tcPr>
          <w:p w14:paraId="77F693B2"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流动资产总额</w:t>
            </w:r>
          </w:p>
        </w:tc>
        <w:tc>
          <w:tcPr>
            <w:tcW w:w="930" w:type="pct"/>
            <w:tcBorders>
              <w:top w:val="single" w:sz="4" w:space="0" w:color="auto"/>
              <w:left w:val="nil"/>
              <w:bottom w:val="single" w:sz="4" w:space="0" w:color="auto"/>
              <w:right w:val="single" w:sz="4" w:space="0" w:color="auto"/>
            </w:tcBorders>
            <w:shd w:val="clear" w:color="auto" w:fill="auto"/>
            <w:hideMark/>
          </w:tcPr>
          <w:p w14:paraId="498CFBF7" w14:textId="2446D550"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26</w:t>
            </w:r>
            <w:r w:rsidR="00111876" w:rsidRPr="00111876">
              <w:rPr>
                <w:rFonts w:cs="Calibri"/>
                <w:b/>
                <w:bCs/>
                <w:color w:val="000000"/>
                <w:sz w:val="22"/>
                <w:szCs w:val="22"/>
                <w:lang w:eastAsia="en-GB"/>
              </w:rPr>
              <w:t> </w:t>
            </w:r>
            <w:r w:rsidRPr="00111876">
              <w:rPr>
                <w:rFonts w:cs="Calibri"/>
                <w:b/>
                <w:bCs/>
                <w:color w:val="000000"/>
                <w:sz w:val="22"/>
                <w:szCs w:val="22"/>
                <w:lang w:eastAsia="en-GB"/>
              </w:rPr>
              <w:t>514</w:t>
            </w:r>
          </w:p>
        </w:tc>
        <w:tc>
          <w:tcPr>
            <w:tcW w:w="930" w:type="pct"/>
            <w:tcBorders>
              <w:top w:val="single" w:sz="4" w:space="0" w:color="auto"/>
              <w:left w:val="nil"/>
              <w:bottom w:val="single" w:sz="4" w:space="0" w:color="auto"/>
              <w:right w:val="single" w:sz="4" w:space="0" w:color="auto"/>
            </w:tcBorders>
            <w:shd w:val="clear" w:color="auto" w:fill="auto"/>
            <w:hideMark/>
          </w:tcPr>
          <w:p w14:paraId="40AB0693" w14:textId="54646FC3"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23</w:t>
            </w:r>
            <w:r w:rsidR="00111876" w:rsidRPr="00111876">
              <w:rPr>
                <w:rFonts w:cs="Calibri"/>
                <w:b/>
                <w:bCs/>
                <w:color w:val="000000"/>
                <w:sz w:val="22"/>
                <w:szCs w:val="22"/>
                <w:lang w:eastAsia="en-GB"/>
              </w:rPr>
              <w:t> </w:t>
            </w:r>
            <w:r w:rsidRPr="00111876">
              <w:rPr>
                <w:rFonts w:cs="Calibri"/>
                <w:b/>
                <w:bCs/>
                <w:color w:val="000000"/>
                <w:sz w:val="22"/>
                <w:szCs w:val="22"/>
                <w:lang w:eastAsia="en-GB"/>
              </w:rPr>
              <w:t>556</w:t>
            </w:r>
          </w:p>
        </w:tc>
      </w:tr>
      <w:tr w:rsidR="00B56A7B" w:rsidRPr="00111876" w14:paraId="447F518B" w14:textId="77777777" w:rsidTr="00CC47BD">
        <w:trPr>
          <w:trHeight w:val="300"/>
        </w:trPr>
        <w:tc>
          <w:tcPr>
            <w:tcW w:w="3140" w:type="pct"/>
            <w:tcBorders>
              <w:top w:val="nil"/>
              <w:left w:val="single" w:sz="4" w:space="0" w:color="auto"/>
              <w:bottom w:val="nil"/>
              <w:right w:val="single" w:sz="4" w:space="0" w:color="auto"/>
            </w:tcBorders>
            <w:shd w:val="clear" w:color="auto" w:fill="auto"/>
          </w:tcPr>
          <w:p w14:paraId="29561E41" w14:textId="77777777" w:rsidR="00B56A7B" w:rsidRPr="00111876" w:rsidRDefault="00B56A7B" w:rsidP="00CC47BD">
            <w:pPr>
              <w:overflowPunct/>
              <w:autoSpaceDE/>
              <w:autoSpaceDN/>
              <w:adjustRightInd/>
              <w:spacing w:before="0"/>
              <w:textAlignment w:val="auto"/>
              <w:rPr>
                <w:rFonts w:cs="Arial"/>
                <w:b/>
                <w:bCs/>
                <w:color w:val="000000"/>
                <w:sz w:val="22"/>
                <w:szCs w:val="22"/>
                <w:lang w:val="en-US" w:eastAsia="zh-CN"/>
              </w:rPr>
            </w:pPr>
          </w:p>
        </w:tc>
        <w:tc>
          <w:tcPr>
            <w:tcW w:w="930" w:type="pct"/>
            <w:tcBorders>
              <w:top w:val="single" w:sz="4" w:space="0" w:color="auto"/>
              <w:left w:val="single" w:sz="4" w:space="0" w:color="auto"/>
            </w:tcBorders>
            <w:shd w:val="clear" w:color="auto" w:fill="auto"/>
          </w:tcPr>
          <w:p w14:paraId="67D37A4E"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single" w:sz="4" w:space="0" w:color="auto"/>
            </w:tcBorders>
            <w:shd w:val="clear" w:color="auto" w:fill="auto"/>
          </w:tcPr>
          <w:p w14:paraId="3707E23F"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r>
      <w:tr w:rsidR="00B56A7B" w:rsidRPr="00111876" w14:paraId="11450217" w14:textId="77777777" w:rsidTr="00CC47BD">
        <w:trPr>
          <w:trHeight w:val="300"/>
        </w:trPr>
        <w:tc>
          <w:tcPr>
            <w:tcW w:w="3140" w:type="pct"/>
            <w:tcBorders>
              <w:top w:val="nil"/>
              <w:left w:val="single" w:sz="4" w:space="0" w:color="auto"/>
              <w:bottom w:val="nil"/>
              <w:right w:val="single" w:sz="4" w:space="0" w:color="auto"/>
            </w:tcBorders>
            <w:shd w:val="clear" w:color="auto" w:fill="auto"/>
            <w:hideMark/>
          </w:tcPr>
          <w:p w14:paraId="63682659"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非流动资产</w:t>
            </w:r>
          </w:p>
        </w:tc>
        <w:tc>
          <w:tcPr>
            <w:tcW w:w="930" w:type="pct"/>
            <w:tcBorders>
              <w:top w:val="nil"/>
              <w:left w:val="single" w:sz="4" w:space="0" w:color="auto"/>
              <w:bottom w:val="nil"/>
            </w:tcBorders>
            <w:shd w:val="clear" w:color="auto" w:fill="auto"/>
            <w:hideMark/>
          </w:tcPr>
          <w:p w14:paraId="2D9410E8"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bottom w:val="nil"/>
            </w:tcBorders>
            <w:shd w:val="clear" w:color="auto" w:fill="auto"/>
            <w:hideMark/>
          </w:tcPr>
          <w:p w14:paraId="24594F54"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r>
      <w:tr w:rsidR="00B56A7B" w:rsidRPr="00111876" w14:paraId="2CEA4128" w14:textId="77777777" w:rsidTr="00CC47BD">
        <w:trPr>
          <w:trHeight w:val="300"/>
        </w:trPr>
        <w:tc>
          <w:tcPr>
            <w:tcW w:w="3140" w:type="pct"/>
            <w:tcBorders>
              <w:top w:val="nil"/>
              <w:left w:val="single" w:sz="4" w:space="0" w:color="auto"/>
              <w:bottom w:val="nil"/>
              <w:right w:val="nil"/>
            </w:tcBorders>
            <w:shd w:val="clear" w:color="auto" w:fill="auto"/>
            <w:hideMark/>
          </w:tcPr>
          <w:p w14:paraId="1F6DE527" w14:textId="77777777" w:rsidR="00B56A7B" w:rsidRPr="00111876" w:rsidRDefault="00B56A7B" w:rsidP="00CC47BD">
            <w:pPr>
              <w:overflowPunct/>
              <w:autoSpaceDE/>
              <w:autoSpaceDN/>
              <w:adjustRightInd/>
              <w:spacing w:before="0"/>
              <w:textAlignment w:val="auto"/>
              <w:rPr>
                <w:rFonts w:cs="Calibri"/>
                <w:color w:val="000000"/>
                <w:sz w:val="22"/>
                <w:szCs w:val="22"/>
                <w:lang w:eastAsia="en-GB"/>
              </w:rPr>
            </w:pPr>
            <w:r w:rsidRPr="00111876">
              <w:rPr>
                <w:rFonts w:cs="Arial" w:hint="eastAsia"/>
                <w:color w:val="000000"/>
                <w:sz w:val="22"/>
                <w:szCs w:val="22"/>
                <w:lang w:val="en-US" w:eastAsia="zh-CN"/>
              </w:rPr>
              <w:t>物业、机器和设备</w:t>
            </w:r>
          </w:p>
        </w:tc>
        <w:tc>
          <w:tcPr>
            <w:tcW w:w="930" w:type="pct"/>
            <w:tcBorders>
              <w:top w:val="nil"/>
              <w:left w:val="single" w:sz="4" w:space="0" w:color="auto"/>
              <w:bottom w:val="nil"/>
              <w:right w:val="single" w:sz="4" w:space="0" w:color="auto"/>
            </w:tcBorders>
            <w:shd w:val="clear" w:color="auto" w:fill="auto"/>
            <w:hideMark/>
          </w:tcPr>
          <w:p w14:paraId="55FCD6DE"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5FCBEA59"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r>
      <w:tr w:rsidR="00B56A7B" w:rsidRPr="00111876" w14:paraId="2EDF3A6C" w14:textId="77777777" w:rsidTr="00CC47BD">
        <w:trPr>
          <w:trHeight w:val="300"/>
        </w:trPr>
        <w:tc>
          <w:tcPr>
            <w:tcW w:w="3140" w:type="pct"/>
            <w:tcBorders>
              <w:top w:val="nil"/>
              <w:left w:val="single" w:sz="4" w:space="0" w:color="auto"/>
              <w:bottom w:val="nil"/>
              <w:right w:val="nil"/>
            </w:tcBorders>
            <w:shd w:val="clear" w:color="auto" w:fill="auto"/>
            <w:hideMark/>
          </w:tcPr>
          <w:p w14:paraId="31D279CB" w14:textId="77777777" w:rsidR="00B56A7B" w:rsidRPr="00111876" w:rsidRDefault="00B56A7B" w:rsidP="00CC47BD">
            <w:pPr>
              <w:overflowPunct/>
              <w:autoSpaceDE/>
              <w:autoSpaceDN/>
              <w:adjustRightInd/>
              <w:spacing w:before="0"/>
              <w:textAlignment w:val="auto"/>
              <w:rPr>
                <w:rFonts w:cs="Calibri"/>
                <w:color w:val="000000"/>
                <w:sz w:val="22"/>
                <w:szCs w:val="22"/>
                <w:lang w:eastAsia="en-GB"/>
              </w:rPr>
            </w:pPr>
            <w:r w:rsidRPr="00111876">
              <w:rPr>
                <w:rFonts w:cs="Arial" w:hint="eastAsia"/>
                <w:color w:val="000000"/>
                <w:sz w:val="22"/>
                <w:szCs w:val="22"/>
                <w:lang w:val="en-US" w:eastAsia="zh-CN"/>
              </w:rPr>
              <w:t>无形资产</w:t>
            </w:r>
          </w:p>
        </w:tc>
        <w:tc>
          <w:tcPr>
            <w:tcW w:w="930" w:type="pct"/>
            <w:tcBorders>
              <w:top w:val="nil"/>
              <w:left w:val="single" w:sz="4" w:space="0" w:color="auto"/>
              <w:bottom w:val="nil"/>
              <w:right w:val="single" w:sz="4" w:space="0" w:color="auto"/>
            </w:tcBorders>
            <w:shd w:val="clear" w:color="auto" w:fill="auto"/>
            <w:hideMark/>
          </w:tcPr>
          <w:p w14:paraId="7297278D"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2BD53F04"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r>
      <w:tr w:rsidR="00B56A7B" w:rsidRPr="00111876" w14:paraId="1588F9AA" w14:textId="77777777" w:rsidTr="00CC47BD">
        <w:trPr>
          <w:trHeight w:val="300"/>
        </w:trPr>
        <w:tc>
          <w:tcPr>
            <w:tcW w:w="3140" w:type="pct"/>
            <w:tcBorders>
              <w:top w:val="nil"/>
              <w:left w:val="single" w:sz="4" w:space="0" w:color="auto"/>
              <w:bottom w:val="nil"/>
              <w:right w:val="nil"/>
            </w:tcBorders>
            <w:shd w:val="clear" w:color="auto" w:fill="auto"/>
            <w:hideMark/>
          </w:tcPr>
          <w:p w14:paraId="44D0FD07" w14:textId="77777777" w:rsidR="00B56A7B" w:rsidRPr="00111876" w:rsidRDefault="00B56A7B" w:rsidP="00CC47BD">
            <w:pPr>
              <w:overflowPunct/>
              <w:autoSpaceDE/>
              <w:autoSpaceDN/>
              <w:adjustRightInd/>
              <w:spacing w:before="0"/>
              <w:textAlignment w:val="auto"/>
              <w:rPr>
                <w:rFonts w:cs="Calibri"/>
                <w:color w:val="000000"/>
                <w:sz w:val="22"/>
                <w:szCs w:val="22"/>
                <w:lang w:eastAsia="en-GB"/>
              </w:rPr>
            </w:pPr>
            <w:r w:rsidRPr="00111876">
              <w:rPr>
                <w:rFonts w:cs="Arial" w:hint="eastAsia"/>
                <w:color w:val="000000"/>
                <w:sz w:val="22"/>
                <w:szCs w:val="22"/>
                <w:lang w:val="en-US" w:eastAsia="zh-CN"/>
              </w:rPr>
              <w:t>在建资产</w:t>
            </w:r>
          </w:p>
        </w:tc>
        <w:tc>
          <w:tcPr>
            <w:tcW w:w="930" w:type="pct"/>
            <w:tcBorders>
              <w:top w:val="nil"/>
              <w:left w:val="single" w:sz="4" w:space="0" w:color="auto"/>
              <w:bottom w:val="nil"/>
              <w:right w:val="single" w:sz="4" w:space="0" w:color="auto"/>
            </w:tcBorders>
            <w:shd w:val="clear" w:color="auto" w:fill="auto"/>
            <w:hideMark/>
          </w:tcPr>
          <w:p w14:paraId="2087CD70" w14:textId="738D4300"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13</w:t>
            </w:r>
            <w:r w:rsidR="00111876" w:rsidRPr="00111876">
              <w:rPr>
                <w:rFonts w:cs="Calibri"/>
                <w:color w:val="000000"/>
                <w:sz w:val="22"/>
                <w:szCs w:val="22"/>
                <w:lang w:eastAsia="en-GB"/>
              </w:rPr>
              <w:t> </w:t>
            </w:r>
            <w:r w:rsidRPr="00111876">
              <w:rPr>
                <w:rFonts w:cs="Calibri"/>
                <w:color w:val="000000"/>
                <w:sz w:val="22"/>
                <w:szCs w:val="22"/>
                <w:lang w:eastAsia="en-GB"/>
              </w:rPr>
              <w:t>362</w:t>
            </w:r>
          </w:p>
        </w:tc>
        <w:tc>
          <w:tcPr>
            <w:tcW w:w="930" w:type="pct"/>
            <w:tcBorders>
              <w:top w:val="nil"/>
              <w:left w:val="nil"/>
              <w:bottom w:val="nil"/>
              <w:right w:val="single" w:sz="4" w:space="0" w:color="auto"/>
            </w:tcBorders>
            <w:shd w:val="clear" w:color="auto" w:fill="auto"/>
            <w:hideMark/>
          </w:tcPr>
          <w:p w14:paraId="14E0F7A4" w14:textId="5A2EE5AD"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8</w:t>
            </w:r>
            <w:r w:rsidR="00111876" w:rsidRPr="00111876">
              <w:rPr>
                <w:rFonts w:cs="Calibri"/>
                <w:color w:val="000000"/>
                <w:sz w:val="22"/>
                <w:szCs w:val="22"/>
                <w:lang w:eastAsia="en-GB"/>
              </w:rPr>
              <w:t> </w:t>
            </w:r>
            <w:r w:rsidRPr="00111876">
              <w:rPr>
                <w:rFonts w:cs="Calibri"/>
                <w:color w:val="000000"/>
                <w:sz w:val="22"/>
                <w:szCs w:val="22"/>
                <w:lang w:eastAsia="en-GB"/>
              </w:rPr>
              <w:t>176</w:t>
            </w:r>
          </w:p>
        </w:tc>
      </w:tr>
      <w:tr w:rsidR="00B56A7B" w:rsidRPr="00111876" w14:paraId="076464CE" w14:textId="77777777" w:rsidTr="00CC47BD">
        <w:trPr>
          <w:trHeight w:val="300"/>
        </w:trPr>
        <w:tc>
          <w:tcPr>
            <w:tcW w:w="3140" w:type="pct"/>
            <w:tcBorders>
              <w:top w:val="nil"/>
              <w:left w:val="single" w:sz="4" w:space="0" w:color="auto"/>
              <w:bottom w:val="nil"/>
              <w:right w:val="nil"/>
            </w:tcBorders>
            <w:shd w:val="clear" w:color="auto" w:fill="auto"/>
            <w:hideMark/>
          </w:tcPr>
          <w:p w14:paraId="42DEB33E"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非流动资产总额</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14:paraId="748F2C1C" w14:textId="04E27153"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13</w:t>
            </w:r>
            <w:r w:rsidR="00111876" w:rsidRPr="00111876">
              <w:rPr>
                <w:rFonts w:cs="Calibri"/>
                <w:b/>
                <w:bCs/>
                <w:color w:val="000000"/>
                <w:sz w:val="22"/>
                <w:szCs w:val="22"/>
                <w:lang w:eastAsia="en-GB"/>
              </w:rPr>
              <w:t> </w:t>
            </w:r>
            <w:r w:rsidRPr="00111876">
              <w:rPr>
                <w:rFonts w:cs="Calibri"/>
                <w:b/>
                <w:bCs/>
                <w:color w:val="000000"/>
                <w:sz w:val="22"/>
                <w:szCs w:val="22"/>
                <w:lang w:eastAsia="en-GB"/>
              </w:rPr>
              <w:t>362</w:t>
            </w:r>
          </w:p>
        </w:tc>
        <w:tc>
          <w:tcPr>
            <w:tcW w:w="930" w:type="pct"/>
            <w:tcBorders>
              <w:top w:val="single" w:sz="4" w:space="0" w:color="auto"/>
              <w:left w:val="nil"/>
              <w:bottom w:val="single" w:sz="4" w:space="0" w:color="auto"/>
              <w:right w:val="single" w:sz="4" w:space="0" w:color="auto"/>
            </w:tcBorders>
            <w:shd w:val="clear" w:color="auto" w:fill="auto"/>
            <w:hideMark/>
          </w:tcPr>
          <w:p w14:paraId="339C1F2A" w14:textId="028AACD3"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8</w:t>
            </w:r>
            <w:r w:rsidR="00111876" w:rsidRPr="00111876">
              <w:rPr>
                <w:rFonts w:cs="Calibri"/>
                <w:b/>
                <w:bCs/>
                <w:color w:val="000000"/>
                <w:sz w:val="22"/>
                <w:szCs w:val="22"/>
                <w:lang w:eastAsia="en-GB"/>
              </w:rPr>
              <w:t> </w:t>
            </w:r>
            <w:r w:rsidRPr="00111876">
              <w:rPr>
                <w:rFonts w:cs="Calibri"/>
                <w:b/>
                <w:bCs/>
                <w:color w:val="000000"/>
                <w:sz w:val="22"/>
                <w:szCs w:val="22"/>
                <w:lang w:eastAsia="en-GB"/>
              </w:rPr>
              <w:t>176</w:t>
            </w:r>
          </w:p>
        </w:tc>
      </w:tr>
      <w:tr w:rsidR="00B56A7B" w:rsidRPr="00111876" w14:paraId="532A55DF" w14:textId="77777777" w:rsidTr="00CC47BD">
        <w:trPr>
          <w:trHeight w:val="300"/>
        </w:trPr>
        <w:tc>
          <w:tcPr>
            <w:tcW w:w="3140" w:type="pct"/>
            <w:tcBorders>
              <w:top w:val="nil"/>
              <w:left w:val="single" w:sz="4" w:space="0" w:color="auto"/>
              <w:bottom w:val="nil"/>
              <w:right w:val="nil"/>
            </w:tcBorders>
            <w:shd w:val="clear" w:color="auto" w:fill="auto"/>
          </w:tcPr>
          <w:p w14:paraId="317BDE72" w14:textId="77777777" w:rsidR="00B56A7B" w:rsidRPr="00111876" w:rsidRDefault="00B56A7B" w:rsidP="00CC47BD">
            <w:pPr>
              <w:overflowPunct/>
              <w:autoSpaceDE/>
              <w:autoSpaceDN/>
              <w:adjustRightInd/>
              <w:spacing w:before="0"/>
              <w:textAlignment w:val="auto"/>
              <w:rPr>
                <w:rFonts w:cs="Arial"/>
                <w:b/>
                <w:bCs/>
                <w:color w:val="000000"/>
                <w:sz w:val="22"/>
                <w:szCs w:val="22"/>
                <w:lang w:val="en-US" w:eastAsia="zh-CN"/>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78118A4F"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c>
          <w:tcPr>
            <w:tcW w:w="930" w:type="pct"/>
            <w:tcBorders>
              <w:top w:val="single" w:sz="4" w:space="0" w:color="auto"/>
              <w:left w:val="nil"/>
              <w:bottom w:val="single" w:sz="4" w:space="0" w:color="auto"/>
              <w:right w:val="single" w:sz="4" w:space="0" w:color="auto"/>
            </w:tcBorders>
            <w:shd w:val="clear" w:color="auto" w:fill="auto"/>
          </w:tcPr>
          <w:p w14:paraId="53F4032A"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p>
        </w:tc>
      </w:tr>
      <w:tr w:rsidR="00B56A7B" w:rsidRPr="00111876" w14:paraId="53BED50B" w14:textId="77777777" w:rsidTr="00CC47BD">
        <w:trPr>
          <w:trHeight w:val="300"/>
        </w:trPr>
        <w:tc>
          <w:tcPr>
            <w:tcW w:w="3140" w:type="pct"/>
            <w:tcBorders>
              <w:top w:val="single" w:sz="4" w:space="0" w:color="auto"/>
              <w:left w:val="single" w:sz="4" w:space="0" w:color="auto"/>
              <w:bottom w:val="single" w:sz="4" w:space="0" w:color="auto"/>
              <w:right w:val="nil"/>
            </w:tcBorders>
            <w:shd w:val="clear" w:color="000000" w:fill="C5D9F1"/>
            <w:noWrap/>
            <w:vAlign w:val="center"/>
            <w:hideMark/>
          </w:tcPr>
          <w:p w14:paraId="1A2D3045"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总资产</w:t>
            </w:r>
          </w:p>
        </w:tc>
        <w:tc>
          <w:tcPr>
            <w:tcW w:w="930"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2A17BE4" w14:textId="43BB8813"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39</w:t>
            </w:r>
            <w:r w:rsidR="00111876" w:rsidRPr="00111876">
              <w:rPr>
                <w:rFonts w:cs="Calibri"/>
                <w:b/>
                <w:bCs/>
                <w:color w:val="000000"/>
                <w:sz w:val="22"/>
                <w:szCs w:val="22"/>
                <w:lang w:eastAsia="en-GB"/>
              </w:rPr>
              <w:t> </w:t>
            </w:r>
            <w:r w:rsidRPr="00111876">
              <w:rPr>
                <w:rFonts w:cs="Calibri"/>
                <w:b/>
                <w:bCs/>
                <w:color w:val="000000"/>
                <w:sz w:val="22"/>
                <w:szCs w:val="22"/>
                <w:lang w:eastAsia="en-GB"/>
              </w:rPr>
              <w:t>876</w:t>
            </w:r>
          </w:p>
        </w:tc>
        <w:tc>
          <w:tcPr>
            <w:tcW w:w="930" w:type="pct"/>
            <w:tcBorders>
              <w:top w:val="single" w:sz="4" w:space="0" w:color="auto"/>
              <w:left w:val="nil"/>
              <w:bottom w:val="single" w:sz="4" w:space="0" w:color="auto"/>
              <w:right w:val="single" w:sz="4" w:space="0" w:color="auto"/>
            </w:tcBorders>
            <w:shd w:val="clear" w:color="000000" w:fill="C5D9F1"/>
            <w:noWrap/>
            <w:vAlign w:val="center"/>
            <w:hideMark/>
          </w:tcPr>
          <w:p w14:paraId="181AB5D8" w14:textId="5DCF1E1E"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31</w:t>
            </w:r>
            <w:r w:rsidR="00111876" w:rsidRPr="00111876">
              <w:rPr>
                <w:rFonts w:cs="Calibri"/>
                <w:b/>
                <w:bCs/>
                <w:color w:val="000000"/>
                <w:sz w:val="22"/>
                <w:szCs w:val="22"/>
                <w:lang w:eastAsia="en-GB"/>
              </w:rPr>
              <w:t> </w:t>
            </w:r>
            <w:r w:rsidRPr="00111876">
              <w:rPr>
                <w:rFonts w:cs="Calibri"/>
                <w:b/>
                <w:bCs/>
                <w:color w:val="000000"/>
                <w:sz w:val="22"/>
                <w:szCs w:val="22"/>
                <w:lang w:eastAsia="en-GB"/>
              </w:rPr>
              <w:t>732</w:t>
            </w:r>
          </w:p>
        </w:tc>
      </w:tr>
      <w:tr w:rsidR="00B56A7B" w:rsidRPr="00111876" w14:paraId="06D5729B" w14:textId="77777777" w:rsidTr="00CC47BD">
        <w:trPr>
          <w:trHeight w:val="300"/>
        </w:trPr>
        <w:tc>
          <w:tcPr>
            <w:tcW w:w="3140" w:type="pct"/>
            <w:tcBorders>
              <w:top w:val="nil"/>
              <w:left w:val="single" w:sz="4" w:space="0" w:color="auto"/>
              <w:bottom w:val="nil"/>
              <w:right w:val="nil"/>
            </w:tcBorders>
            <w:shd w:val="clear" w:color="auto" w:fill="auto"/>
            <w:hideMark/>
          </w:tcPr>
          <w:p w14:paraId="5AFFDBF7"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负债</w:t>
            </w:r>
          </w:p>
        </w:tc>
        <w:tc>
          <w:tcPr>
            <w:tcW w:w="930" w:type="pct"/>
            <w:tcBorders>
              <w:top w:val="nil"/>
              <w:left w:val="single" w:sz="4" w:space="0" w:color="auto"/>
              <w:bottom w:val="nil"/>
              <w:right w:val="single" w:sz="4" w:space="0" w:color="auto"/>
            </w:tcBorders>
            <w:shd w:val="clear" w:color="auto" w:fill="auto"/>
            <w:hideMark/>
          </w:tcPr>
          <w:p w14:paraId="24A66BD2"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1F833002"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p>
        </w:tc>
      </w:tr>
      <w:tr w:rsidR="00B56A7B" w:rsidRPr="00111876" w14:paraId="6954C0F5" w14:textId="77777777" w:rsidTr="00CC47BD">
        <w:trPr>
          <w:trHeight w:val="300"/>
        </w:trPr>
        <w:tc>
          <w:tcPr>
            <w:tcW w:w="3140" w:type="pct"/>
            <w:tcBorders>
              <w:top w:val="nil"/>
              <w:left w:val="single" w:sz="4" w:space="0" w:color="auto"/>
              <w:bottom w:val="nil"/>
              <w:right w:val="nil"/>
            </w:tcBorders>
            <w:shd w:val="clear" w:color="auto" w:fill="auto"/>
            <w:hideMark/>
          </w:tcPr>
          <w:p w14:paraId="459A486D"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流动负债</w:t>
            </w:r>
          </w:p>
        </w:tc>
        <w:tc>
          <w:tcPr>
            <w:tcW w:w="930" w:type="pct"/>
            <w:tcBorders>
              <w:top w:val="nil"/>
              <w:left w:val="single" w:sz="4" w:space="0" w:color="auto"/>
              <w:bottom w:val="nil"/>
              <w:right w:val="single" w:sz="4" w:space="0" w:color="auto"/>
            </w:tcBorders>
            <w:shd w:val="clear" w:color="auto" w:fill="auto"/>
            <w:hideMark/>
          </w:tcPr>
          <w:p w14:paraId="4AD94634"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0C67131C"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p>
        </w:tc>
      </w:tr>
      <w:tr w:rsidR="00B56A7B" w:rsidRPr="00111876" w14:paraId="2AA5CE88" w14:textId="77777777" w:rsidTr="00CC47BD">
        <w:trPr>
          <w:trHeight w:val="300"/>
        </w:trPr>
        <w:tc>
          <w:tcPr>
            <w:tcW w:w="3140" w:type="pct"/>
            <w:tcBorders>
              <w:top w:val="nil"/>
              <w:left w:val="single" w:sz="4" w:space="0" w:color="auto"/>
              <w:bottom w:val="nil"/>
              <w:right w:val="nil"/>
            </w:tcBorders>
            <w:shd w:val="clear" w:color="auto" w:fill="auto"/>
            <w:hideMark/>
          </w:tcPr>
          <w:p w14:paraId="737B6226" w14:textId="77777777" w:rsidR="00B56A7B" w:rsidRPr="00111876" w:rsidRDefault="00B56A7B" w:rsidP="00CC47BD">
            <w:pPr>
              <w:overflowPunct/>
              <w:autoSpaceDE/>
              <w:autoSpaceDN/>
              <w:adjustRightInd/>
              <w:spacing w:before="0"/>
              <w:textAlignment w:val="auto"/>
              <w:rPr>
                <w:rFonts w:cs="Calibri"/>
                <w:color w:val="000000"/>
                <w:sz w:val="22"/>
                <w:szCs w:val="22"/>
                <w:lang w:eastAsia="en-GB"/>
              </w:rPr>
            </w:pPr>
            <w:r w:rsidRPr="00111876">
              <w:rPr>
                <w:rFonts w:cs="Arial" w:hint="eastAsia"/>
                <w:sz w:val="22"/>
                <w:szCs w:val="22"/>
                <w:lang w:val="en-US" w:eastAsia="zh-CN"/>
              </w:rPr>
              <w:t>供应商和其他债权人</w:t>
            </w:r>
          </w:p>
        </w:tc>
        <w:tc>
          <w:tcPr>
            <w:tcW w:w="930" w:type="pct"/>
            <w:tcBorders>
              <w:top w:val="nil"/>
              <w:left w:val="single" w:sz="4" w:space="0" w:color="auto"/>
              <w:bottom w:val="nil"/>
              <w:right w:val="single" w:sz="4" w:space="0" w:color="auto"/>
            </w:tcBorders>
            <w:shd w:val="clear" w:color="auto" w:fill="auto"/>
            <w:hideMark/>
          </w:tcPr>
          <w:p w14:paraId="5F714244"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199</w:t>
            </w:r>
          </w:p>
        </w:tc>
        <w:tc>
          <w:tcPr>
            <w:tcW w:w="930" w:type="pct"/>
            <w:tcBorders>
              <w:top w:val="nil"/>
              <w:left w:val="nil"/>
              <w:bottom w:val="nil"/>
              <w:right w:val="single" w:sz="4" w:space="0" w:color="auto"/>
            </w:tcBorders>
            <w:shd w:val="clear" w:color="auto" w:fill="auto"/>
            <w:hideMark/>
          </w:tcPr>
          <w:p w14:paraId="17080B4A"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66</w:t>
            </w:r>
          </w:p>
        </w:tc>
      </w:tr>
      <w:tr w:rsidR="00B56A7B" w:rsidRPr="00111876" w14:paraId="688BC357" w14:textId="77777777" w:rsidTr="00CC47BD">
        <w:trPr>
          <w:trHeight w:val="300"/>
        </w:trPr>
        <w:tc>
          <w:tcPr>
            <w:tcW w:w="3140" w:type="pct"/>
            <w:tcBorders>
              <w:top w:val="nil"/>
              <w:left w:val="single" w:sz="4" w:space="0" w:color="auto"/>
              <w:bottom w:val="nil"/>
              <w:right w:val="nil"/>
            </w:tcBorders>
            <w:shd w:val="clear" w:color="auto" w:fill="auto"/>
          </w:tcPr>
          <w:p w14:paraId="35F0F72C" w14:textId="77777777" w:rsidR="00B56A7B" w:rsidRPr="00111876" w:rsidRDefault="00B56A7B" w:rsidP="00CC47BD">
            <w:pPr>
              <w:keepNext/>
              <w:keepLines/>
              <w:overflowPunct/>
              <w:autoSpaceDE/>
              <w:autoSpaceDN/>
              <w:adjustRightInd/>
              <w:spacing w:before="0"/>
              <w:textAlignment w:val="auto"/>
              <w:rPr>
                <w:rFonts w:cs="Calibri"/>
                <w:color w:val="000000"/>
                <w:sz w:val="22"/>
                <w:szCs w:val="22"/>
                <w:lang w:eastAsia="en-GB"/>
              </w:rPr>
            </w:pPr>
            <w:r w:rsidRPr="00111876">
              <w:rPr>
                <w:rFonts w:cs="Calibri" w:hint="eastAsia"/>
                <w:color w:val="000000"/>
                <w:sz w:val="22"/>
                <w:szCs w:val="22"/>
                <w:lang w:eastAsia="zh-CN"/>
              </w:rPr>
              <w:t>递延收入</w:t>
            </w:r>
          </w:p>
        </w:tc>
        <w:tc>
          <w:tcPr>
            <w:tcW w:w="930" w:type="pct"/>
            <w:tcBorders>
              <w:top w:val="nil"/>
              <w:left w:val="single" w:sz="4" w:space="0" w:color="auto"/>
              <w:bottom w:val="nil"/>
              <w:right w:val="single" w:sz="4" w:space="0" w:color="auto"/>
            </w:tcBorders>
            <w:shd w:val="clear" w:color="auto" w:fill="auto"/>
          </w:tcPr>
          <w:p w14:paraId="78471C90"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w:t>
            </w:r>
          </w:p>
        </w:tc>
        <w:tc>
          <w:tcPr>
            <w:tcW w:w="930" w:type="pct"/>
            <w:tcBorders>
              <w:top w:val="nil"/>
              <w:left w:val="nil"/>
              <w:bottom w:val="nil"/>
              <w:right w:val="single" w:sz="4" w:space="0" w:color="auto"/>
            </w:tcBorders>
            <w:shd w:val="clear" w:color="auto" w:fill="auto"/>
          </w:tcPr>
          <w:p w14:paraId="5B1FA863" w14:textId="7744BF14"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2</w:t>
            </w:r>
            <w:r w:rsidR="00111876" w:rsidRPr="00111876">
              <w:rPr>
                <w:rFonts w:cs="Calibri"/>
                <w:color w:val="000000"/>
                <w:sz w:val="22"/>
                <w:szCs w:val="22"/>
                <w:lang w:eastAsia="en-GB"/>
              </w:rPr>
              <w:t> </w:t>
            </w:r>
            <w:r w:rsidRPr="00111876">
              <w:rPr>
                <w:rFonts w:cs="Calibri"/>
                <w:color w:val="000000"/>
                <w:sz w:val="22"/>
                <w:szCs w:val="22"/>
                <w:lang w:eastAsia="en-GB"/>
              </w:rPr>
              <w:t>000</w:t>
            </w:r>
          </w:p>
        </w:tc>
      </w:tr>
      <w:tr w:rsidR="00B56A7B" w:rsidRPr="00111876" w14:paraId="5EDACEB4" w14:textId="77777777" w:rsidTr="00CC47BD">
        <w:trPr>
          <w:trHeight w:val="300"/>
        </w:trPr>
        <w:tc>
          <w:tcPr>
            <w:tcW w:w="3140" w:type="pct"/>
            <w:tcBorders>
              <w:top w:val="nil"/>
              <w:left w:val="single" w:sz="4" w:space="0" w:color="auto"/>
              <w:bottom w:val="nil"/>
              <w:right w:val="nil"/>
            </w:tcBorders>
            <w:shd w:val="clear" w:color="auto" w:fill="auto"/>
          </w:tcPr>
          <w:p w14:paraId="54D1D797" w14:textId="77777777" w:rsidR="00B56A7B" w:rsidRPr="00111876" w:rsidRDefault="00B56A7B" w:rsidP="00CC47BD">
            <w:pPr>
              <w:keepNext/>
              <w:keepLines/>
              <w:overflowPunct/>
              <w:autoSpaceDE/>
              <w:autoSpaceDN/>
              <w:adjustRightInd/>
              <w:spacing w:before="0"/>
              <w:textAlignment w:val="auto"/>
              <w:rPr>
                <w:rFonts w:cs="Calibri"/>
                <w:color w:val="000000"/>
                <w:sz w:val="22"/>
                <w:szCs w:val="22"/>
                <w:lang w:eastAsia="en-GB"/>
              </w:rPr>
            </w:pPr>
            <w:r w:rsidRPr="00111876">
              <w:rPr>
                <w:rFonts w:cs="Calibri" w:hint="eastAsia"/>
                <w:color w:val="000000"/>
                <w:sz w:val="22"/>
                <w:szCs w:val="22"/>
                <w:lang w:eastAsia="zh-CN"/>
              </w:rPr>
              <w:t>其他债务</w:t>
            </w:r>
          </w:p>
        </w:tc>
        <w:tc>
          <w:tcPr>
            <w:tcW w:w="930" w:type="pct"/>
            <w:tcBorders>
              <w:top w:val="nil"/>
              <w:left w:val="single" w:sz="4" w:space="0" w:color="auto"/>
              <w:bottom w:val="nil"/>
              <w:right w:val="single" w:sz="4" w:space="0" w:color="auto"/>
            </w:tcBorders>
            <w:shd w:val="clear" w:color="auto" w:fill="auto"/>
          </w:tcPr>
          <w:p w14:paraId="1148A6C8"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32</w:t>
            </w:r>
          </w:p>
        </w:tc>
        <w:tc>
          <w:tcPr>
            <w:tcW w:w="930" w:type="pct"/>
            <w:tcBorders>
              <w:top w:val="nil"/>
              <w:left w:val="nil"/>
              <w:bottom w:val="nil"/>
              <w:right w:val="single" w:sz="4" w:space="0" w:color="auto"/>
            </w:tcBorders>
            <w:shd w:val="clear" w:color="auto" w:fill="auto"/>
          </w:tcPr>
          <w:p w14:paraId="2B3301DA"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6</w:t>
            </w:r>
          </w:p>
        </w:tc>
      </w:tr>
      <w:tr w:rsidR="00B56A7B" w:rsidRPr="00111876" w14:paraId="117F69D9" w14:textId="77777777" w:rsidTr="00CC47BD">
        <w:trPr>
          <w:trHeight w:val="207"/>
        </w:trPr>
        <w:tc>
          <w:tcPr>
            <w:tcW w:w="3140" w:type="pct"/>
            <w:tcBorders>
              <w:top w:val="nil"/>
              <w:left w:val="single" w:sz="4" w:space="0" w:color="auto"/>
              <w:right w:val="nil"/>
            </w:tcBorders>
            <w:shd w:val="clear" w:color="auto" w:fill="auto"/>
            <w:hideMark/>
          </w:tcPr>
          <w:p w14:paraId="0B38A650"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流动负债总额</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14:paraId="1750F327" w14:textId="77777777"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231</w:t>
            </w:r>
          </w:p>
        </w:tc>
        <w:tc>
          <w:tcPr>
            <w:tcW w:w="930" w:type="pct"/>
            <w:tcBorders>
              <w:top w:val="single" w:sz="4" w:space="0" w:color="auto"/>
              <w:left w:val="nil"/>
              <w:bottom w:val="single" w:sz="4" w:space="0" w:color="auto"/>
              <w:right w:val="single" w:sz="4" w:space="0" w:color="auto"/>
            </w:tcBorders>
            <w:shd w:val="clear" w:color="auto" w:fill="auto"/>
            <w:hideMark/>
          </w:tcPr>
          <w:p w14:paraId="178CD977" w14:textId="34BA3EE1" w:rsidR="00B56A7B" w:rsidRPr="00111876" w:rsidRDefault="00B56A7B" w:rsidP="00CC47BD">
            <w:pPr>
              <w:keepNext/>
              <w:keepLines/>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2</w:t>
            </w:r>
            <w:r w:rsidR="00111876" w:rsidRPr="00111876">
              <w:rPr>
                <w:rFonts w:cs="Calibri"/>
                <w:b/>
                <w:bCs/>
                <w:color w:val="000000"/>
                <w:sz w:val="22"/>
                <w:szCs w:val="22"/>
                <w:lang w:eastAsia="en-GB"/>
              </w:rPr>
              <w:t> </w:t>
            </w:r>
            <w:r w:rsidRPr="00111876">
              <w:rPr>
                <w:rFonts w:cs="Calibri"/>
                <w:b/>
                <w:bCs/>
                <w:color w:val="000000"/>
                <w:sz w:val="22"/>
                <w:szCs w:val="22"/>
                <w:lang w:eastAsia="en-GB"/>
              </w:rPr>
              <w:t>071</w:t>
            </w:r>
          </w:p>
        </w:tc>
      </w:tr>
      <w:tr w:rsidR="00B56A7B" w:rsidRPr="00111876" w14:paraId="62EBEC3E" w14:textId="77777777" w:rsidTr="00CC47BD">
        <w:trPr>
          <w:trHeight w:val="300"/>
        </w:trPr>
        <w:tc>
          <w:tcPr>
            <w:tcW w:w="3140" w:type="pct"/>
            <w:tcBorders>
              <w:top w:val="nil"/>
              <w:left w:val="single" w:sz="4" w:space="0" w:color="auto"/>
              <w:bottom w:val="nil"/>
              <w:right w:val="single" w:sz="4" w:space="0" w:color="auto"/>
            </w:tcBorders>
            <w:shd w:val="clear" w:color="auto" w:fill="auto"/>
          </w:tcPr>
          <w:p w14:paraId="600C6579" w14:textId="77777777" w:rsidR="00B56A7B" w:rsidRPr="00111876" w:rsidRDefault="00B56A7B" w:rsidP="00CC47BD">
            <w:pPr>
              <w:overflowPunct/>
              <w:autoSpaceDE/>
              <w:autoSpaceDN/>
              <w:adjustRightInd/>
              <w:spacing w:before="0"/>
              <w:textAlignment w:val="auto"/>
              <w:rPr>
                <w:rFonts w:cs="Arial"/>
                <w:b/>
                <w:bCs/>
                <w:color w:val="000000"/>
                <w:sz w:val="22"/>
                <w:szCs w:val="22"/>
                <w:lang w:val="en-US" w:eastAsia="zh-CN"/>
              </w:rPr>
            </w:pPr>
          </w:p>
        </w:tc>
        <w:tc>
          <w:tcPr>
            <w:tcW w:w="930" w:type="pct"/>
            <w:tcBorders>
              <w:top w:val="single" w:sz="4" w:space="0" w:color="auto"/>
              <w:left w:val="single" w:sz="4" w:space="0" w:color="auto"/>
            </w:tcBorders>
            <w:shd w:val="clear" w:color="auto" w:fill="auto"/>
          </w:tcPr>
          <w:p w14:paraId="569DC346"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p>
        </w:tc>
        <w:tc>
          <w:tcPr>
            <w:tcW w:w="930" w:type="pct"/>
            <w:tcBorders>
              <w:top w:val="single" w:sz="4" w:space="0" w:color="auto"/>
            </w:tcBorders>
            <w:shd w:val="clear" w:color="auto" w:fill="auto"/>
          </w:tcPr>
          <w:p w14:paraId="7D5938FB"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p>
        </w:tc>
      </w:tr>
      <w:tr w:rsidR="00B56A7B" w:rsidRPr="00111876" w14:paraId="533826B5" w14:textId="77777777" w:rsidTr="00CC47BD">
        <w:trPr>
          <w:trHeight w:val="300"/>
        </w:trPr>
        <w:tc>
          <w:tcPr>
            <w:tcW w:w="3140" w:type="pct"/>
            <w:tcBorders>
              <w:top w:val="nil"/>
              <w:left w:val="single" w:sz="4" w:space="0" w:color="auto"/>
              <w:bottom w:val="nil"/>
              <w:right w:val="single" w:sz="4" w:space="0" w:color="auto"/>
            </w:tcBorders>
            <w:shd w:val="clear" w:color="auto" w:fill="auto"/>
            <w:hideMark/>
          </w:tcPr>
          <w:p w14:paraId="0FD2F87E"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非流动负债</w:t>
            </w:r>
          </w:p>
        </w:tc>
        <w:tc>
          <w:tcPr>
            <w:tcW w:w="930" w:type="pct"/>
            <w:tcBorders>
              <w:top w:val="nil"/>
              <w:left w:val="single" w:sz="4" w:space="0" w:color="auto"/>
              <w:bottom w:val="nil"/>
            </w:tcBorders>
            <w:shd w:val="clear" w:color="auto" w:fill="auto"/>
            <w:hideMark/>
          </w:tcPr>
          <w:p w14:paraId="2B93B7D1"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p>
        </w:tc>
        <w:tc>
          <w:tcPr>
            <w:tcW w:w="930" w:type="pct"/>
            <w:tcBorders>
              <w:top w:val="nil"/>
              <w:bottom w:val="nil"/>
            </w:tcBorders>
            <w:shd w:val="clear" w:color="auto" w:fill="auto"/>
            <w:hideMark/>
          </w:tcPr>
          <w:p w14:paraId="5CFF8FAF" w14:textId="77777777" w:rsidR="00B56A7B" w:rsidRPr="00111876" w:rsidRDefault="00B56A7B" w:rsidP="00CC47BD">
            <w:pPr>
              <w:keepNext/>
              <w:keepLines/>
              <w:overflowPunct/>
              <w:autoSpaceDE/>
              <w:autoSpaceDN/>
              <w:adjustRightInd/>
              <w:spacing w:before="0"/>
              <w:jc w:val="right"/>
              <w:textAlignment w:val="auto"/>
              <w:rPr>
                <w:rFonts w:cs="Calibri"/>
                <w:color w:val="000000"/>
                <w:sz w:val="22"/>
                <w:szCs w:val="22"/>
                <w:lang w:eastAsia="en-GB"/>
              </w:rPr>
            </w:pPr>
          </w:p>
        </w:tc>
      </w:tr>
      <w:tr w:rsidR="00B56A7B" w:rsidRPr="00111876" w14:paraId="36B0C946" w14:textId="77777777" w:rsidTr="00CC47BD">
        <w:trPr>
          <w:trHeight w:val="300"/>
        </w:trPr>
        <w:tc>
          <w:tcPr>
            <w:tcW w:w="3140" w:type="pct"/>
            <w:tcBorders>
              <w:top w:val="nil"/>
              <w:left w:val="single" w:sz="4" w:space="0" w:color="auto"/>
              <w:bottom w:val="nil"/>
              <w:right w:val="nil"/>
            </w:tcBorders>
            <w:shd w:val="clear" w:color="auto" w:fill="auto"/>
            <w:hideMark/>
          </w:tcPr>
          <w:p w14:paraId="2C31CA71" w14:textId="77777777" w:rsidR="00B56A7B" w:rsidRPr="00111876" w:rsidRDefault="00B56A7B" w:rsidP="00CC47BD">
            <w:pPr>
              <w:overflowPunct/>
              <w:autoSpaceDE/>
              <w:autoSpaceDN/>
              <w:adjustRightInd/>
              <w:spacing w:before="0"/>
              <w:textAlignment w:val="auto"/>
              <w:rPr>
                <w:rFonts w:cs="Calibri"/>
                <w:color w:val="000000"/>
                <w:sz w:val="22"/>
                <w:szCs w:val="22"/>
                <w:lang w:eastAsia="en-GB"/>
              </w:rPr>
            </w:pPr>
            <w:r w:rsidRPr="00111876">
              <w:rPr>
                <w:rFonts w:cs="Arial" w:hint="eastAsia"/>
                <w:sz w:val="22"/>
                <w:szCs w:val="22"/>
                <w:lang w:val="en-US" w:eastAsia="zh-CN"/>
              </w:rPr>
              <w:t>借贷</w:t>
            </w:r>
          </w:p>
        </w:tc>
        <w:tc>
          <w:tcPr>
            <w:tcW w:w="930" w:type="pct"/>
            <w:tcBorders>
              <w:top w:val="nil"/>
              <w:left w:val="single" w:sz="4" w:space="0" w:color="auto"/>
              <w:bottom w:val="nil"/>
              <w:right w:val="single" w:sz="4" w:space="0" w:color="auto"/>
            </w:tcBorders>
            <w:shd w:val="clear" w:color="auto" w:fill="auto"/>
            <w:hideMark/>
          </w:tcPr>
          <w:p w14:paraId="0D301EFB" w14:textId="0AF94CEF" w:rsidR="00B56A7B" w:rsidRPr="00111876" w:rsidRDefault="00B56A7B" w:rsidP="00CC47BD">
            <w:pPr>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16</w:t>
            </w:r>
            <w:r w:rsidR="00111876" w:rsidRPr="00111876">
              <w:rPr>
                <w:rFonts w:cs="Calibri"/>
                <w:color w:val="000000"/>
                <w:sz w:val="22"/>
                <w:szCs w:val="22"/>
                <w:lang w:eastAsia="en-GB"/>
              </w:rPr>
              <w:t> </w:t>
            </w:r>
            <w:r w:rsidRPr="00111876">
              <w:rPr>
                <w:rFonts w:cs="Calibri"/>
                <w:color w:val="000000"/>
                <w:sz w:val="22"/>
                <w:szCs w:val="22"/>
                <w:lang w:eastAsia="en-GB"/>
              </w:rPr>
              <w:t>954</w:t>
            </w:r>
          </w:p>
        </w:tc>
        <w:tc>
          <w:tcPr>
            <w:tcW w:w="930" w:type="pct"/>
            <w:tcBorders>
              <w:top w:val="nil"/>
              <w:left w:val="nil"/>
              <w:bottom w:val="nil"/>
              <w:right w:val="single" w:sz="4" w:space="0" w:color="auto"/>
            </w:tcBorders>
            <w:shd w:val="clear" w:color="auto" w:fill="auto"/>
            <w:hideMark/>
          </w:tcPr>
          <w:p w14:paraId="0A213311" w14:textId="102B8480" w:rsidR="00B56A7B" w:rsidRPr="00111876" w:rsidRDefault="00B56A7B" w:rsidP="00CC47BD">
            <w:pPr>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9</w:t>
            </w:r>
            <w:r w:rsidR="00111876" w:rsidRPr="00111876">
              <w:rPr>
                <w:rFonts w:cs="Calibri"/>
                <w:color w:val="000000"/>
                <w:sz w:val="22"/>
                <w:szCs w:val="22"/>
                <w:lang w:eastAsia="en-GB"/>
              </w:rPr>
              <w:t> </w:t>
            </w:r>
            <w:r w:rsidRPr="00111876">
              <w:rPr>
                <w:rFonts w:cs="Calibri"/>
                <w:color w:val="000000"/>
                <w:sz w:val="22"/>
                <w:szCs w:val="22"/>
                <w:lang w:eastAsia="en-GB"/>
              </w:rPr>
              <w:t>291</w:t>
            </w:r>
          </w:p>
        </w:tc>
      </w:tr>
      <w:tr w:rsidR="00B56A7B" w:rsidRPr="00111876" w14:paraId="1EF11FF4" w14:textId="77777777" w:rsidTr="00CC47BD">
        <w:trPr>
          <w:trHeight w:val="300"/>
        </w:trPr>
        <w:tc>
          <w:tcPr>
            <w:tcW w:w="3140" w:type="pct"/>
            <w:tcBorders>
              <w:top w:val="nil"/>
              <w:left w:val="single" w:sz="4" w:space="0" w:color="auto"/>
              <w:bottom w:val="nil"/>
              <w:right w:val="nil"/>
            </w:tcBorders>
            <w:shd w:val="clear" w:color="auto" w:fill="auto"/>
            <w:hideMark/>
          </w:tcPr>
          <w:p w14:paraId="372661D0" w14:textId="77777777" w:rsidR="00B56A7B" w:rsidRPr="00111876" w:rsidRDefault="00B56A7B" w:rsidP="00CC47BD">
            <w:pPr>
              <w:overflowPunct/>
              <w:autoSpaceDE/>
              <w:autoSpaceDN/>
              <w:adjustRightInd/>
              <w:spacing w:before="0"/>
              <w:textAlignment w:val="auto"/>
              <w:rPr>
                <w:rFonts w:cs="Calibri"/>
                <w:color w:val="000000"/>
                <w:sz w:val="22"/>
                <w:szCs w:val="22"/>
                <w:lang w:eastAsia="en-GB"/>
              </w:rPr>
            </w:pPr>
            <w:r w:rsidRPr="00111876">
              <w:rPr>
                <w:rFonts w:cs="Arial" w:hint="eastAsia"/>
                <w:color w:val="000000"/>
                <w:sz w:val="22"/>
                <w:szCs w:val="22"/>
                <w:lang w:val="en-US" w:eastAsia="zh-CN"/>
              </w:rPr>
              <w:t>职员福利</w:t>
            </w:r>
          </w:p>
        </w:tc>
        <w:tc>
          <w:tcPr>
            <w:tcW w:w="930" w:type="pct"/>
            <w:tcBorders>
              <w:top w:val="nil"/>
              <w:left w:val="single" w:sz="4" w:space="0" w:color="auto"/>
              <w:bottom w:val="nil"/>
              <w:right w:val="single" w:sz="4" w:space="0" w:color="auto"/>
            </w:tcBorders>
            <w:shd w:val="clear" w:color="auto" w:fill="auto"/>
            <w:hideMark/>
          </w:tcPr>
          <w:p w14:paraId="56834B2B" w14:textId="77777777" w:rsidR="00B56A7B" w:rsidRPr="00111876" w:rsidRDefault="00B56A7B" w:rsidP="00CC47BD">
            <w:pPr>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8</w:t>
            </w:r>
          </w:p>
        </w:tc>
        <w:tc>
          <w:tcPr>
            <w:tcW w:w="930" w:type="pct"/>
            <w:tcBorders>
              <w:top w:val="nil"/>
              <w:left w:val="nil"/>
              <w:bottom w:val="nil"/>
              <w:right w:val="single" w:sz="4" w:space="0" w:color="auto"/>
            </w:tcBorders>
            <w:shd w:val="clear" w:color="auto" w:fill="auto"/>
            <w:hideMark/>
          </w:tcPr>
          <w:p w14:paraId="05E78BF6" w14:textId="77777777" w:rsidR="00B56A7B" w:rsidRPr="00111876" w:rsidRDefault="00B56A7B" w:rsidP="00CC47BD">
            <w:pPr>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8</w:t>
            </w:r>
          </w:p>
        </w:tc>
      </w:tr>
      <w:tr w:rsidR="00B56A7B" w:rsidRPr="00111876" w14:paraId="18970661" w14:textId="77777777" w:rsidTr="00CC47BD">
        <w:trPr>
          <w:trHeight w:val="300"/>
        </w:trPr>
        <w:tc>
          <w:tcPr>
            <w:tcW w:w="3140" w:type="pct"/>
            <w:tcBorders>
              <w:top w:val="nil"/>
              <w:left w:val="single" w:sz="4" w:space="0" w:color="auto"/>
              <w:bottom w:val="nil"/>
              <w:right w:val="nil"/>
            </w:tcBorders>
            <w:shd w:val="clear" w:color="auto" w:fill="auto"/>
            <w:hideMark/>
          </w:tcPr>
          <w:p w14:paraId="2363A756"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非流动负债总额</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14:paraId="411763F6" w14:textId="7E6A1965"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16</w:t>
            </w:r>
            <w:r w:rsidR="00111876" w:rsidRPr="00111876">
              <w:rPr>
                <w:rFonts w:cs="Calibri"/>
                <w:b/>
                <w:bCs/>
                <w:color w:val="000000"/>
                <w:sz w:val="22"/>
                <w:szCs w:val="22"/>
                <w:lang w:eastAsia="en-GB"/>
              </w:rPr>
              <w:t> </w:t>
            </w:r>
            <w:r w:rsidRPr="00111876">
              <w:rPr>
                <w:rFonts w:cs="Calibri"/>
                <w:b/>
                <w:bCs/>
                <w:color w:val="000000"/>
                <w:sz w:val="22"/>
                <w:szCs w:val="22"/>
                <w:lang w:eastAsia="en-GB"/>
              </w:rPr>
              <w:t>962</w:t>
            </w:r>
          </w:p>
        </w:tc>
        <w:tc>
          <w:tcPr>
            <w:tcW w:w="930" w:type="pct"/>
            <w:tcBorders>
              <w:top w:val="single" w:sz="4" w:space="0" w:color="auto"/>
              <w:left w:val="nil"/>
              <w:bottom w:val="single" w:sz="4" w:space="0" w:color="auto"/>
              <w:right w:val="single" w:sz="4" w:space="0" w:color="auto"/>
            </w:tcBorders>
            <w:shd w:val="clear" w:color="auto" w:fill="auto"/>
            <w:hideMark/>
          </w:tcPr>
          <w:p w14:paraId="3962A66A" w14:textId="5F61107D"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9</w:t>
            </w:r>
            <w:r w:rsidR="00111876" w:rsidRPr="00111876">
              <w:rPr>
                <w:rFonts w:cs="Calibri"/>
                <w:b/>
                <w:bCs/>
                <w:color w:val="000000"/>
                <w:sz w:val="22"/>
                <w:szCs w:val="22"/>
                <w:lang w:eastAsia="en-GB"/>
              </w:rPr>
              <w:t> </w:t>
            </w:r>
            <w:r w:rsidRPr="00111876">
              <w:rPr>
                <w:rFonts w:cs="Calibri"/>
                <w:b/>
                <w:bCs/>
                <w:color w:val="000000"/>
                <w:sz w:val="22"/>
                <w:szCs w:val="22"/>
                <w:lang w:eastAsia="en-GB"/>
              </w:rPr>
              <w:t>299</w:t>
            </w:r>
          </w:p>
        </w:tc>
      </w:tr>
      <w:tr w:rsidR="00B56A7B" w:rsidRPr="00111876" w14:paraId="6920F9CD" w14:textId="77777777" w:rsidTr="00CC47BD">
        <w:trPr>
          <w:trHeight w:val="300"/>
        </w:trPr>
        <w:tc>
          <w:tcPr>
            <w:tcW w:w="3140" w:type="pct"/>
            <w:tcBorders>
              <w:top w:val="nil"/>
              <w:left w:val="single" w:sz="4" w:space="0" w:color="auto"/>
              <w:bottom w:val="nil"/>
              <w:right w:val="nil"/>
            </w:tcBorders>
            <w:shd w:val="clear" w:color="auto" w:fill="auto"/>
          </w:tcPr>
          <w:p w14:paraId="74DC70DB" w14:textId="77777777" w:rsidR="00B56A7B" w:rsidRPr="00111876" w:rsidRDefault="00B56A7B" w:rsidP="00CC47BD">
            <w:pPr>
              <w:overflowPunct/>
              <w:autoSpaceDE/>
              <w:autoSpaceDN/>
              <w:adjustRightInd/>
              <w:spacing w:before="0"/>
              <w:textAlignment w:val="auto"/>
              <w:rPr>
                <w:rFonts w:cs="Arial"/>
                <w:b/>
                <w:bCs/>
                <w:color w:val="000000"/>
                <w:sz w:val="22"/>
                <w:szCs w:val="22"/>
                <w:lang w:val="en-US" w:eastAsia="zh-CN"/>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7E2758C" w14:textId="77777777"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p>
        </w:tc>
        <w:tc>
          <w:tcPr>
            <w:tcW w:w="930" w:type="pct"/>
            <w:tcBorders>
              <w:top w:val="single" w:sz="4" w:space="0" w:color="auto"/>
              <w:left w:val="nil"/>
              <w:bottom w:val="single" w:sz="4" w:space="0" w:color="auto"/>
              <w:right w:val="single" w:sz="4" w:space="0" w:color="auto"/>
            </w:tcBorders>
            <w:shd w:val="clear" w:color="auto" w:fill="auto"/>
          </w:tcPr>
          <w:p w14:paraId="55C45C97" w14:textId="77777777"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p>
        </w:tc>
      </w:tr>
      <w:tr w:rsidR="00B56A7B" w:rsidRPr="00111876" w14:paraId="2A78CB1D" w14:textId="77777777" w:rsidTr="00CC47BD">
        <w:trPr>
          <w:trHeight w:val="300"/>
        </w:trPr>
        <w:tc>
          <w:tcPr>
            <w:tcW w:w="3140" w:type="pct"/>
            <w:tcBorders>
              <w:top w:val="single" w:sz="4" w:space="0" w:color="auto"/>
              <w:left w:val="single" w:sz="4" w:space="0" w:color="auto"/>
              <w:bottom w:val="single" w:sz="4" w:space="0" w:color="auto"/>
              <w:right w:val="nil"/>
            </w:tcBorders>
            <w:shd w:val="clear" w:color="000000" w:fill="C5D9F1"/>
            <w:noWrap/>
            <w:vAlign w:val="center"/>
            <w:hideMark/>
          </w:tcPr>
          <w:p w14:paraId="311C0B5C"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Calibri"/>
                <w:b/>
                <w:bCs/>
                <w:color w:val="000000"/>
                <w:sz w:val="22"/>
                <w:szCs w:val="22"/>
                <w:lang w:eastAsia="en-GB"/>
              </w:rPr>
              <w:t>总负债</w:t>
            </w:r>
          </w:p>
        </w:tc>
        <w:tc>
          <w:tcPr>
            <w:tcW w:w="930" w:type="pct"/>
            <w:tcBorders>
              <w:top w:val="nil"/>
              <w:left w:val="single" w:sz="4" w:space="0" w:color="auto"/>
              <w:bottom w:val="single" w:sz="4" w:space="0" w:color="auto"/>
              <w:right w:val="single" w:sz="4" w:space="0" w:color="auto"/>
            </w:tcBorders>
            <w:shd w:val="clear" w:color="000000" w:fill="C5D9F1"/>
            <w:noWrap/>
            <w:vAlign w:val="center"/>
            <w:hideMark/>
          </w:tcPr>
          <w:p w14:paraId="1BEC92C1" w14:textId="21B03A0E"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17</w:t>
            </w:r>
            <w:r w:rsidR="00111876" w:rsidRPr="00111876">
              <w:rPr>
                <w:rFonts w:cs="Calibri"/>
                <w:b/>
                <w:bCs/>
                <w:color w:val="000000"/>
                <w:sz w:val="22"/>
                <w:szCs w:val="22"/>
                <w:lang w:eastAsia="en-GB"/>
              </w:rPr>
              <w:t> </w:t>
            </w:r>
            <w:r w:rsidRPr="00111876">
              <w:rPr>
                <w:rFonts w:cs="Calibri"/>
                <w:b/>
                <w:bCs/>
                <w:color w:val="000000"/>
                <w:sz w:val="22"/>
                <w:szCs w:val="22"/>
                <w:lang w:eastAsia="en-GB"/>
              </w:rPr>
              <w:t>193</w:t>
            </w:r>
          </w:p>
        </w:tc>
        <w:tc>
          <w:tcPr>
            <w:tcW w:w="930" w:type="pct"/>
            <w:tcBorders>
              <w:top w:val="nil"/>
              <w:left w:val="nil"/>
              <w:bottom w:val="single" w:sz="4" w:space="0" w:color="auto"/>
              <w:right w:val="single" w:sz="4" w:space="0" w:color="auto"/>
            </w:tcBorders>
            <w:shd w:val="clear" w:color="000000" w:fill="C5D9F1"/>
            <w:noWrap/>
            <w:vAlign w:val="center"/>
            <w:hideMark/>
          </w:tcPr>
          <w:p w14:paraId="5DC6B0C8" w14:textId="7686E5A5"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11</w:t>
            </w:r>
            <w:r w:rsidR="00111876" w:rsidRPr="00111876">
              <w:rPr>
                <w:rFonts w:cs="Calibri"/>
                <w:b/>
                <w:bCs/>
                <w:color w:val="000000"/>
                <w:sz w:val="22"/>
                <w:szCs w:val="22"/>
                <w:lang w:eastAsia="en-GB"/>
              </w:rPr>
              <w:t> </w:t>
            </w:r>
            <w:r w:rsidRPr="00111876">
              <w:rPr>
                <w:rFonts w:cs="Calibri"/>
                <w:b/>
                <w:bCs/>
                <w:color w:val="000000"/>
                <w:sz w:val="22"/>
                <w:szCs w:val="22"/>
                <w:lang w:eastAsia="en-GB"/>
              </w:rPr>
              <w:t>370</w:t>
            </w:r>
          </w:p>
        </w:tc>
      </w:tr>
      <w:tr w:rsidR="00B56A7B" w:rsidRPr="00111876" w14:paraId="54CCF0E4" w14:textId="77777777" w:rsidTr="00CC47BD">
        <w:trPr>
          <w:trHeight w:val="300"/>
        </w:trPr>
        <w:tc>
          <w:tcPr>
            <w:tcW w:w="3140" w:type="pct"/>
            <w:tcBorders>
              <w:top w:val="nil"/>
              <w:left w:val="single" w:sz="4" w:space="0" w:color="auto"/>
              <w:bottom w:val="nil"/>
              <w:right w:val="nil"/>
            </w:tcBorders>
            <w:shd w:val="clear" w:color="auto" w:fill="auto"/>
            <w:hideMark/>
          </w:tcPr>
          <w:p w14:paraId="7714E4EF"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Calibri" w:hint="eastAsia"/>
                <w:b/>
                <w:bCs/>
                <w:color w:val="000000"/>
                <w:sz w:val="22"/>
                <w:szCs w:val="22"/>
                <w:lang w:eastAsia="zh-CN"/>
              </w:rPr>
              <w:t>净资产</w:t>
            </w:r>
          </w:p>
        </w:tc>
        <w:tc>
          <w:tcPr>
            <w:tcW w:w="930" w:type="pct"/>
            <w:tcBorders>
              <w:top w:val="nil"/>
              <w:left w:val="single" w:sz="4" w:space="0" w:color="auto"/>
              <w:bottom w:val="nil"/>
              <w:right w:val="single" w:sz="4" w:space="0" w:color="auto"/>
            </w:tcBorders>
            <w:shd w:val="clear" w:color="auto" w:fill="auto"/>
            <w:hideMark/>
          </w:tcPr>
          <w:p w14:paraId="779F9703" w14:textId="77777777" w:rsidR="00B56A7B" w:rsidRPr="00111876" w:rsidRDefault="00B56A7B" w:rsidP="00CC47BD">
            <w:pPr>
              <w:overflowPunct/>
              <w:autoSpaceDE/>
              <w:autoSpaceDN/>
              <w:adjustRightInd/>
              <w:spacing w:before="0"/>
              <w:jc w:val="right"/>
              <w:textAlignment w:val="auto"/>
              <w:rPr>
                <w:rFonts w:cs="Calibri"/>
                <w:color w:val="000000"/>
                <w:sz w:val="22"/>
                <w:szCs w:val="22"/>
                <w:lang w:eastAsia="en-GB"/>
              </w:rPr>
            </w:pPr>
          </w:p>
        </w:tc>
        <w:tc>
          <w:tcPr>
            <w:tcW w:w="930" w:type="pct"/>
            <w:tcBorders>
              <w:top w:val="nil"/>
              <w:left w:val="nil"/>
              <w:bottom w:val="nil"/>
              <w:right w:val="single" w:sz="4" w:space="0" w:color="auto"/>
            </w:tcBorders>
            <w:shd w:val="clear" w:color="auto" w:fill="auto"/>
            <w:hideMark/>
          </w:tcPr>
          <w:p w14:paraId="40714766" w14:textId="77777777" w:rsidR="00B56A7B" w:rsidRPr="00111876" w:rsidRDefault="00B56A7B" w:rsidP="00CC47BD">
            <w:pPr>
              <w:overflowPunct/>
              <w:autoSpaceDE/>
              <w:autoSpaceDN/>
              <w:adjustRightInd/>
              <w:spacing w:before="0"/>
              <w:jc w:val="right"/>
              <w:textAlignment w:val="auto"/>
              <w:rPr>
                <w:rFonts w:cs="Calibri"/>
                <w:color w:val="000000"/>
                <w:sz w:val="22"/>
                <w:szCs w:val="22"/>
                <w:lang w:eastAsia="en-GB"/>
              </w:rPr>
            </w:pPr>
          </w:p>
        </w:tc>
      </w:tr>
      <w:tr w:rsidR="00B56A7B" w:rsidRPr="00111876" w14:paraId="7F9B5069" w14:textId="77777777" w:rsidTr="00CC47BD">
        <w:trPr>
          <w:trHeight w:val="300"/>
        </w:trPr>
        <w:tc>
          <w:tcPr>
            <w:tcW w:w="3140" w:type="pct"/>
            <w:tcBorders>
              <w:top w:val="nil"/>
              <w:left w:val="single" w:sz="4" w:space="0" w:color="auto"/>
              <w:bottom w:val="nil"/>
              <w:right w:val="nil"/>
            </w:tcBorders>
            <w:shd w:val="clear" w:color="auto" w:fill="auto"/>
            <w:hideMark/>
          </w:tcPr>
          <w:p w14:paraId="554236B0" w14:textId="77777777" w:rsidR="00B56A7B" w:rsidRPr="00111876" w:rsidRDefault="00B56A7B" w:rsidP="00CC47BD">
            <w:pPr>
              <w:overflowPunct/>
              <w:autoSpaceDE/>
              <w:autoSpaceDN/>
              <w:adjustRightInd/>
              <w:spacing w:before="0"/>
              <w:textAlignment w:val="auto"/>
              <w:rPr>
                <w:rFonts w:cs="Calibri"/>
                <w:color w:val="000000"/>
                <w:sz w:val="22"/>
                <w:szCs w:val="22"/>
                <w:lang w:eastAsia="en-GB"/>
              </w:rPr>
            </w:pPr>
            <w:r w:rsidRPr="00111876">
              <w:rPr>
                <w:rFonts w:cs="Arial" w:hint="eastAsia"/>
                <w:color w:val="000000"/>
                <w:sz w:val="22"/>
                <w:szCs w:val="22"/>
                <w:lang w:val="en-US" w:eastAsia="zh-CN"/>
              </w:rPr>
              <w:t>自有资金划拨</w:t>
            </w:r>
          </w:p>
        </w:tc>
        <w:tc>
          <w:tcPr>
            <w:tcW w:w="930" w:type="pct"/>
            <w:tcBorders>
              <w:top w:val="nil"/>
              <w:left w:val="single" w:sz="4" w:space="0" w:color="auto"/>
              <w:bottom w:val="nil"/>
              <w:right w:val="single" w:sz="4" w:space="0" w:color="auto"/>
            </w:tcBorders>
            <w:shd w:val="clear" w:color="auto" w:fill="auto"/>
            <w:hideMark/>
          </w:tcPr>
          <w:p w14:paraId="6838F24D" w14:textId="11C879E4" w:rsidR="00B56A7B" w:rsidRPr="00111876" w:rsidRDefault="00B56A7B" w:rsidP="00CC47BD">
            <w:pPr>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9</w:t>
            </w:r>
            <w:r w:rsidR="00111876" w:rsidRPr="00111876">
              <w:rPr>
                <w:rFonts w:cs="Calibri"/>
                <w:color w:val="000000"/>
                <w:sz w:val="22"/>
                <w:szCs w:val="22"/>
                <w:lang w:eastAsia="en-GB"/>
              </w:rPr>
              <w:t> </w:t>
            </w:r>
            <w:r w:rsidRPr="00111876">
              <w:rPr>
                <w:rFonts w:cs="Calibri"/>
                <w:color w:val="000000"/>
                <w:sz w:val="22"/>
                <w:szCs w:val="22"/>
                <w:lang w:eastAsia="en-GB"/>
              </w:rPr>
              <w:t>567</w:t>
            </w:r>
          </w:p>
        </w:tc>
        <w:tc>
          <w:tcPr>
            <w:tcW w:w="930" w:type="pct"/>
            <w:tcBorders>
              <w:top w:val="nil"/>
              <w:left w:val="nil"/>
              <w:bottom w:val="nil"/>
              <w:right w:val="single" w:sz="4" w:space="0" w:color="auto"/>
            </w:tcBorders>
            <w:shd w:val="clear" w:color="auto" w:fill="auto"/>
            <w:hideMark/>
          </w:tcPr>
          <w:p w14:paraId="6BB4512E" w14:textId="2F6D41E5" w:rsidR="00B56A7B" w:rsidRPr="00111876" w:rsidRDefault="00B56A7B" w:rsidP="00CC47BD">
            <w:pPr>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12</w:t>
            </w:r>
            <w:r w:rsidR="00111876" w:rsidRPr="00111876">
              <w:rPr>
                <w:rFonts w:cs="Calibri"/>
                <w:color w:val="000000"/>
                <w:sz w:val="22"/>
                <w:szCs w:val="22"/>
                <w:lang w:eastAsia="en-GB"/>
              </w:rPr>
              <w:t> </w:t>
            </w:r>
            <w:r w:rsidRPr="00111876">
              <w:rPr>
                <w:rFonts w:cs="Calibri"/>
                <w:color w:val="000000"/>
                <w:sz w:val="22"/>
                <w:szCs w:val="22"/>
                <w:lang w:eastAsia="en-GB"/>
              </w:rPr>
              <w:t>528</w:t>
            </w:r>
          </w:p>
        </w:tc>
      </w:tr>
      <w:tr w:rsidR="00B56A7B" w:rsidRPr="00111876" w14:paraId="5B593B73" w14:textId="77777777" w:rsidTr="00CC47BD">
        <w:trPr>
          <w:trHeight w:val="300"/>
        </w:trPr>
        <w:tc>
          <w:tcPr>
            <w:tcW w:w="3140" w:type="pct"/>
            <w:tcBorders>
              <w:top w:val="nil"/>
              <w:left w:val="single" w:sz="4" w:space="0" w:color="auto"/>
              <w:bottom w:val="nil"/>
              <w:right w:val="nil"/>
            </w:tcBorders>
            <w:shd w:val="clear" w:color="auto" w:fill="auto"/>
            <w:hideMark/>
          </w:tcPr>
          <w:p w14:paraId="0468D258" w14:textId="77777777" w:rsidR="00B56A7B" w:rsidRPr="00111876" w:rsidRDefault="00B56A7B" w:rsidP="00CC47BD">
            <w:pPr>
              <w:overflowPunct/>
              <w:autoSpaceDE/>
              <w:autoSpaceDN/>
              <w:adjustRightInd/>
              <w:spacing w:before="0"/>
              <w:textAlignment w:val="auto"/>
              <w:rPr>
                <w:rFonts w:cs="Calibri"/>
                <w:color w:val="000000"/>
                <w:sz w:val="22"/>
                <w:szCs w:val="22"/>
                <w:lang w:eastAsia="zh-CN"/>
              </w:rPr>
            </w:pPr>
            <w:r w:rsidRPr="00111876">
              <w:rPr>
                <w:rFonts w:cs="Calibri"/>
                <w:color w:val="000000"/>
                <w:sz w:val="22"/>
                <w:szCs w:val="22"/>
                <w:lang w:eastAsia="zh-CN"/>
              </w:rPr>
              <w:t>IPSAS</w:t>
            </w:r>
            <w:r w:rsidRPr="00111876">
              <w:rPr>
                <w:rFonts w:cs="Calibri"/>
                <w:color w:val="000000"/>
                <w:sz w:val="22"/>
                <w:szCs w:val="22"/>
                <w:lang w:eastAsia="zh-CN"/>
              </w:rPr>
              <w:t>累计赤字（统计）</w:t>
            </w:r>
          </w:p>
        </w:tc>
        <w:tc>
          <w:tcPr>
            <w:tcW w:w="930" w:type="pct"/>
            <w:tcBorders>
              <w:top w:val="nil"/>
              <w:left w:val="single" w:sz="4" w:space="0" w:color="auto"/>
              <w:bottom w:val="nil"/>
              <w:right w:val="single" w:sz="4" w:space="0" w:color="auto"/>
            </w:tcBorders>
            <w:shd w:val="clear" w:color="auto" w:fill="auto"/>
            <w:hideMark/>
          </w:tcPr>
          <w:p w14:paraId="445A39BC" w14:textId="60CD8746" w:rsidR="00B56A7B" w:rsidRPr="00111876" w:rsidRDefault="00B56A7B" w:rsidP="00CC47BD">
            <w:pPr>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13</w:t>
            </w:r>
            <w:r w:rsidR="00111876" w:rsidRPr="00111876">
              <w:rPr>
                <w:rFonts w:cs="Calibri"/>
                <w:color w:val="000000"/>
                <w:sz w:val="22"/>
                <w:szCs w:val="22"/>
                <w:lang w:eastAsia="en-GB"/>
              </w:rPr>
              <w:t> </w:t>
            </w:r>
            <w:r w:rsidRPr="00111876">
              <w:rPr>
                <w:rFonts w:cs="Calibri"/>
                <w:color w:val="000000"/>
                <w:sz w:val="22"/>
                <w:szCs w:val="22"/>
                <w:lang w:eastAsia="en-GB"/>
              </w:rPr>
              <w:t>116</w:t>
            </w:r>
          </w:p>
        </w:tc>
        <w:tc>
          <w:tcPr>
            <w:tcW w:w="930" w:type="pct"/>
            <w:tcBorders>
              <w:top w:val="nil"/>
              <w:left w:val="nil"/>
              <w:bottom w:val="nil"/>
              <w:right w:val="single" w:sz="4" w:space="0" w:color="auto"/>
            </w:tcBorders>
            <w:shd w:val="clear" w:color="auto" w:fill="auto"/>
            <w:hideMark/>
          </w:tcPr>
          <w:p w14:paraId="5465AAE0" w14:textId="63E13C11" w:rsidR="00B56A7B" w:rsidRPr="00111876" w:rsidRDefault="00B56A7B" w:rsidP="00CC47BD">
            <w:pPr>
              <w:overflowPunct/>
              <w:autoSpaceDE/>
              <w:autoSpaceDN/>
              <w:adjustRightInd/>
              <w:spacing w:before="0"/>
              <w:jc w:val="right"/>
              <w:textAlignment w:val="auto"/>
              <w:rPr>
                <w:rFonts w:cs="Calibri"/>
                <w:color w:val="000000"/>
                <w:sz w:val="22"/>
                <w:szCs w:val="22"/>
                <w:lang w:eastAsia="en-GB"/>
              </w:rPr>
            </w:pPr>
            <w:r w:rsidRPr="00111876">
              <w:rPr>
                <w:rFonts w:cs="Calibri"/>
                <w:color w:val="000000"/>
                <w:sz w:val="22"/>
                <w:szCs w:val="22"/>
                <w:lang w:eastAsia="en-GB"/>
              </w:rPr>
              <w:t>7</w:t>
            </w:r>
            <w:r w:rsidR="00111876" w:rsidRPr="00111876">
              <w:rPr>
                <w:rFonts w:cs="Calibri"/>
                <w:color w:val="000000"/>
                <w:sz w:val="22"/>
                <w:szCs w:val="22"/>
                <w:lang w:eastAsia="en-GB"/>
              </w:rPr>
              <w:t> </w:t>
            </w:r>
            <w:r w:rsidRPr="00111876">
              <w:rPr>
                <w:rFonts w:cs="Calibri"/>
                <w:color w:val="000000"/>
                <w:sz w:val="22"/>
                <w:szCs w:val="22"/>
                <w:lang w:eastAsia="en-GB"/>
              </w:rPr>
              <w:t>835</w:t>
            </w:r>
          </w:p>
        </w:tc>
      </w:tr>
      <w:tr w:rsidR="00B56A7B" w:rsidRPr="00111876" w14:paraId="6B1331B5" w14:textId="77777777" w:rsidTr="00CC47BD">
        <w:trPr>
          <w:trHeight w:val="300"/>
        </w:trPr>
        <w:tc>
          <w:tcPr>
            <w:tcW w:w="3140" w:type="pct"/>
            <w:tcBorders>
              <w:top w:val="single" w:sz="4" w:space="0" w:color="auto"/>
              <w:left w:val="single" w:sz="4" w:space="0" w:color="auto"/>
              <w:bottom w:val="single" w:sz="4" w:space="0" w:color="auto"/>
              <w:right w:val="nil"/>
            </w:tcBorders>
            <w:shd w:val="clear" w:color="000000" w:fill="C5D9F1"/>
            <w:noWrap/>
            <w:vAlign w:val="center"/>
            <w:hideMark/>
          </w:tcPr>
          <w:p w14:paraId="094A9016" w14:textId="77777777" w:rsidR="00B56A7B" w:rsidRPr="00111876" w:rsidRDefault="00B56A7B" w:rsidP="00CC47BD">
            <w:pPr>
              <w:overflowPunct/>
              <w:autoSpaceDE/>
              <w:autoSpaceDN/>
              <w:adjustRightInd/>
              <w:spacing w:before="0"/>
              <w:textAlignment w:val="auto"/>
              <w:rPr>
                <w:rFonts w:cs="Calibri"/>
                <w:b/>
                <w:bCs/>
                <w:color w:val="000000"/>
                <w:sz w:val="22"/>
                <w:szCs w:val="22"/>
                <w:lang w:eastAsia="en-GB"/>
              </w:rPr>
            </w:pPr>
            <w:r w:rsidRPr="00111876">
              <w:rPr>
                <w:rFonts w:cs="Arial" w:hint="eastAsia"/>
                <w:b/>
                <w:bCs/>
                <w:color w:val="000000"/>
                <w:sz w:val="22"/>
                <w:szCs w:val="22"/>
                <w:lang w:val="en-US" w:eastAsia="zh-CN"/>
              </w:rPr>
              <w:t>总净资产</w:t>
            </w:r>
          </w:p>
        </w:tc>
        <w:tc>
          <w:tcPr>
            <w:tcW w:w="930"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C863F49" w14:textId="36ECBB93"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22</w:t>
            </w:r>
            <w:r w:rsidR="00111876" w:rsidRPr="00111876">
              <w:rPr>
                <w:rFonts w:cs="Calibri"/>
                <w:b/>
                <w:bCs/>
                <w:color w:val="000000"/>
                <w:sz w:val="22"/>
                <w:szCs w:val="22"/>
                <w:lang w:eastAsia="en-GB"/>
              </w:rPr>
              <w:t> </w:t>
            </w:r>
            <w:r w:rsidRPr="00111876">
              <w:rPr>
                <w:rFonts w:cs="Calibri"/>
                <w:b/>
                <w:bCs/>
                <w:color w:val="000000"/>
                <w:sz w:val="22"/>
                <w:szCs w:val="22"/>
                <w:lang w:eastAsia="en-GB"/>
              </w:rPr>
              <w:t>683</w:t>
            </w:r>
          </w:p>
        </w:tc>
        <w:tc>
          <w:tcPr>
            <w:tcW w:w="930" w:type="pct"/>
            <w:tcBorders>
              <w:top w:val="single" w:sz="4" w:space="0" w:color="auto"/>
              <w:left w:val="nil"/>
              <w:bottom w:val="single" w:sz="4" w:space="0" w:color="auto"/>
              <w:right w:val="single" w:sz="4" w:space="0" w:color="auto"/>
            </w:tcBorders>
            <w:shd w:val="clear" w:color="000000" w:fill="C5D9F1"/>
            <w:noWrap/>
            <w:vAlign w:val="center"/>
            <w:hideMark/>
          </w:tcPr>
          <w:p w14:paraId="15369C34" w14:textId="1026BFEA" w:rsidR="00B56A7B" w:rsidRPr="00111876" w:rsidRDefault="00B56A7B" w:rsidP="00CC47BD">
            <w:pPr>
              <w:overflowPunct/>
              <w:autoSpaceDE/>
              <w:autoSpaceDN/>
              <w:adjustRightInd/>
              <w:spacing w:before="0"/>
              <w:jc w:val="right"/>
              <w:textAlignment w:val="auto"/>
              <w:rPr>
                <w:rFonts w:cs="Calibri"/>
                <w:b/>
                <w:bCs/>
                <w:color w:val="000000"/>
                <w:sz w:val="22"/>
                <w:szCs w:val="22"/>
                <w:lang w:eastAsia="en-GB"/>
              </w:rPr>
            </w:pPr>
            <w:r w:rsidRPr="00111876">
              <w:rPr>
                <w:rFonts w:cs="Calibri"/>
                <w:b/>
                <w:bCs/>
                <w:color w:val="000000"/>
                <w:sz w:val="22"/>
                <w:szCs w:val="22"/>
                <w:lang w:eastAsia="en-GB"/>
              </w:rPr>
              <w:t>20</w:t>
            </w:r>
            <w:r w:rsidR="00111876" w:rsidRPr="00111876">
              <w:rPr>
                <w:rFonts w:cs="Calibri"/>
                <w:b/>
                <w:bCs/>
                <w:color w:val="000000"/>
                <w:sz w:val="22"/>
                <w:szCs w:val="22"/>
                <w:lang w:eastAsia="en-GB"/>
              </w:rPr>
              <w:t> </w:t>
            </w:r>
            <w:r w:rsidRPr="00111876">
              <w:rPr>
                <w:rFonts w:cs="Calibri"/>
                <w:b/>
                <w:bCs/>
                <w:color w:val="000000"/>
                <w:sz w:val="22"/>
                <w:szCs w:val="22"/>
                <w:lang w:eastAsia="en-GB"/>
              </w:rPr>
              <w:t>363</w:t>
            </w:r>
          </w:p>
        </w:tc>
      </w:tr>
    </w:tbl>
    <w:p w14:paraId="5A66DD25" w14:textId="77777777" w:rsidR="00B56A7B" w:rsidRPr="000C156A" w:rsidRDefault="00B56A7B" w:rsidP="00B56A7B">
      <w:pPr>
        <w:pStyle w:val="Annextitle"/>
        <w:jc w:val="left"/>
        <w:rPr>
          <w:w w:val="105"/>
          <w:lang w:val="en-US" w:eastAsia="zh-CN"/>
        </w:rPr>
      </w:pPr>
      <w:bookmarkStart w:id="1409" w:name="_Toc41905916"/>
      <w:bookmarkStart w:id="1410" w:name="_Toc41908088"/>
      <w:r w:rsidRPr="000C156A">
        <w:rPr>
          <w:w w:val="105"/>
          <w:lang w:val="en-US" w:eastAsia="zh-CN"/>
        </w:rPr>
        <w:br w:type="page"/>
      </w:r>
    </w:p>
    <w:p w14:paraId="373EBFF7" w14:textId="77777777" w:rsidR="00B56A7B" w:rsidRPr="00111876" w:rsidRDefault="00B56A7B" w:rsidP="00B56A7B">
      <w:pPr>
        <w:pStyle w:val="AnnexNo"/>
        <w:outlineLvl w:val="0"/>
        <w:rPr>
          <w:rFonts w:cs="Calibri"/>
          <w:w w:val="105"/>
          <w:lang w:val="en-US" w:eastAsia="zh-CN"/>
        </w:rPr>
      </w:pPr>
      <w:bookmarkStart w:id="1411" w:name="_Toc73636343"/>
      <w:bookmarkStart w:id="1412" w:name="_Toc110265764"/>
      <w:bookmarkStart w:id="1413" w:name="_Toc110330299"/>
      <w:r w:rsidRPr="00111876">
        <w:rPr>
          <w:rFonts w:cs="Calibri" w:hint="eastAsia"/>
          <w:w w:val="105"/>
          <w:lang w:val="en-US" w:eastAsia="zh-CN"/>
        </w:rPr>
        <w:lastRenderedPageBreak/>
        <w:t>附件</w:t>
      </w:r>
      <w:r w:rsidRPr="00111876">
        <w:rPr>
          <w:rFonts w:cs="Calibri"/>
          <w:w w:val="105"/>
          <w:lang w:val="en-US" w:eastAsia="zh-CN"/>
        </w:rPr>
        <w:t>B3</w:t>
      </w:r>
      <w:bookmarkEnd w:id="1408"/>
      <w:bookmarkEnd w:id="1409"/>
      <w:bookmarkEnd w:id="1410"/>
      <w:bookmarkEnd w:id="1411"/>
      <w:bookmarkEnd w:id="1412"/>
      <w:bookmarkEnd w:id="1413"/>
    </w:p>
    <w:p w14:paraId="7D57334E" w14:textId="77777777" w:rsidR="00B56A7B" w:rsidRPr="00111876" w:rsidRDefault="00B56A7B" w:rsidP="00B56A7B">
      <w:pPr>
        <w:pStyle w:val="Annextitle"/>
        <w:rPr>
          <w:rFonts w:ascii="Calibri" w:hAnsi="Calibri" w:cs="Calibri"/>
          <w:lang w:val="fr-FR" w:eastAsia="zh-CN"/>
        </w:rPr>
      </w:pPr>
      <w:bookmarkStart w:id="1414" w:name="_Toc73518905"/>
      <w:bookmarkStart w:id="1415" w:name="_Toc73519305"/>
      <w:r w:rsidRPr="00111876">
        <w:rPr>
          <w:rFonts w:ascii="Calibri" w:hAnsi="Calibri" w:cs="Calibri" w:hint="eastAsia"/>
          <w:lang w:val="fr-FR" w:eastAsia="zh-CN"/>
        </w:rPr>
        <w:t>职员退休和福利基金</w:t>
      </w:r>
      <w:r w:rsidRPr="00111876">
        <w:rPr>
          <w:rFonts w:ascii="Calibri" w:hAnsi="Calibri" w:cs="Calibri" w:hint="eastAsia"/>
          <w:lang w:val="fr-FR" w:eastAsia="zh-CN"/>
        </w:rPr>
        <w:t xml:space="preserve"> </w:t>
      </w:r>
      <w:r w:rsidRPr="00111876">
        <w:rPr>
          <w:rFonts w:ascii="Calibri" w:hAnsi="Calibri" w:cs="Calibri"/>
          <w:lang w:val="fr-FR" w:eastAsia="zh-CN"/>
        </w:rPr>
        <w:t>–</w:t>
      </w:r>
      <w:r w:rsidRPr="00111876">
        <w:rPr>
          <w:rFonts w:ascii="Calibri" w:hAnsi="Calibri" w:cs="Calibri" w:hint="eastAsia"/>
          <w:lang w:val="fr-FR" w:eastAsia="zh-CN"/>
        </w:rPr>
        <w:t xml:space="preserve"> </w:t>
      </w:r>
      <w:r w:rsidRPr="00111876">
        <w:rPr>
          <w:rFonts w:ascii="Calibri" w:hAnsi="Calibri" w:cs="Calibri" w:hint="eastAsia"/>
          <w:lang w:val="fr-FR" w:eastAsia="zh-CN"/>
        </w:rPr>
        <w:t>见说明</w:t>
      </w:r>
      <w:r w:rsidRPr="00111876">
        <w:rPr>
          <w:rFonts w:ascii="Calibri" w:hAnsi="Calibri" w:cs="Calibri" w:hint="eastAsia"/>
          <w:lang w:val="fr-FR" w:eastAsia="zh-CN"/>
        </w:rPr>
        <w:t>2</w:t>
      </w:r>
      <w:bookmarkEnd w:id="1414"/>
      <w:bookmarkEnd w:id="1415"/>
    </w:p>
    <w:tbl>
      <w:tblPr>
        <w:tblW w:w="5150" w:type="pct"/>
        <w:tblInd w:w="-147" w:type="dxa"/>
        <w:tblLook w:val="04A0" w:firstRow="1" w:lastRow="0" w:firstColumn="1" w:lastColumn="0" w:noHBand="0" w:noVBand="1"/>
      </w:tblPr>
      <w:tblGrid>
        <w:gridCol w:w="3294"/>
        <w:gridCol w:w="1492"/>
        <w:gridCol w:w="1617"/>
        <w:gridCol w:w="1801"/>
        <w:gridCol w:w="1714"/>
      </w:tblGrid>
      <w:tr w:rsidR="00B56A7B" w:rsidRPr="00111876" w14:paraId="7240D2EE" w14:textId="77777777" w:rsidTr="00CC47BD">
        <w:trPr>
          <w:trHeight w:val="405"/>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14:paraId="1558299B" w14:textId="77777777" w:rsidR="00B56A7B" w:rsidRPr="00111876" w:rsidRDefault="00B56A7B" w:rsidP="00CC47BD">
            <w:pPr>
              <w:overflowPunct/>
              <w:adjustRightInd/>
              <w:spacing w:before="0"/>
              <w:jc w:val="center"/>
              <w:textAlignment w:val="auto"/>
              <w:rPr>
                <w:rFonts w:asciiTheme="minorHAnsi" w:hAnsiTheme="minorHAnsi"/>
                <w:sz w:val="18"/>
                <w:szCs w:val="18"/>
                <w:lang w:val="en-US" w:eastAsia="zh-CN"/>
              </w:rPr>
            </w:pPr>
            <w:r w:rsidRPr="00111876">
              <w:rPr>
                <w:rFonts w:cs="Calibri" w:hint="eastAsia"/>
                <w:b/>
                <w:bCs/>
                <w:sz w:val="18"/>
                <w:szCs w:val="18"/>
                <w:lang w:val="en-US" w:eastAsia="zh-CN"/>
              </w:rPr>
              <w:t>2021</w:t>
            </w:r>
            <w:r w:rsidRPr="00111876">
              <w:rPr>
                <w:rFonts w:cs="Calibri" w:hint="eastAsia"/>
                <w:b/>
                <w:bCs/>
                <w:sz w:val="18"/>
                <w:szCs w:val="18"/>
                <w:lang w:val="en-US" w:eastAsia="zh-CN"/>
              </w:rPr>
              <w:t>财年财务业绩报表以及与</w:t>
            </w:r>
            <w:r w:rsidRPr="00111876">
              <w:rPr>
                <w:rFonts w:cs="Calibri" w:hint="eastAsia"/>
                <w:b/>
                <w:bCs/>
                <w:sz w:val="18"/>
                <w:szCs w:val="18"/>
                <w:lang w:val="en-US" w:eastAsia="zh-CN"/>
              </w:rPr>
              <w:t>2020</w:t>
            </w:r>
            <w:r w:rsidRPr="00111876">
              <w:rPr>
                <w:rFonts w:cs="Calibri" w:hint="eastAsia"/>
                <w:b/>
                <w:bCs/>
                <w:sz w:val="18"/>
                <w:szCs w:val="18"/>
                <w:lang w:val="en-US" w:eastAsia="zh-CN"/>
              </w:rPr>
              <w:t>年数额的对比</w:t>
            </w:r>
          </w:p>
        </w:tc>
      </w:tr>
      <w:tr w:rsidR="00B56A7B" w:rsidRPr="00111876" w14:paraId="1EF0F2B0" w14:textId="77777777" w:rsidTr="00CC47BD">
        <w:trPr>
          <w:trHeight w:val="316"/>
        </w:trPr>
        <w:tc>
          <w:tcPr>
            <w:tcW w:w="1661" w:type="pct"/>
            <w:tcBorders>
              <w:top w:val="single" w:sz="4" w:space="0" w:color="auto"/>
              <w:left w:val="single" w:sz="4" w:space="0" w:color="auto"/>
              <w:bottom w:val="nil"/>
              <w:right w:val="nil"/>
            </w:tcBorders>
            <w:shd w:val="clear" w:color="auto" w:fill="auto"/>
            <w:noWrap/>
            <w:vAlign w:val="center"/>
            <w:hideMark/>
          </w:tcPr>
          <w:p w14:paraId="3BE8FA6F" w14:textId="77777777" w:rsidR="00B56A7B" w:rsidRPr="00111876" w:rsidRDefault="00B56A7B" w:rsidP="00CC47BD">
            <w:pPr>
              <w:overflowPunct/>
              <w:adjustRightInd/>
              <w:spacing w:before="0"/>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 </w:t>
            </w:r>
          </w:p>
        </w:tc>
        <w:tc>
          <w:tcPr>
            <w:tcW w:w="1567" w:type="pct"/>
            <w:gridSpan w:val="2"/>
            <w:tcBorders>
              <w:top w:val="single" w:sz="4" w:space="0" w:color="auto"/>
              <w:left w:val="single" w:sz="4" w:space="0" w:color="auto"/>
              <w:bottom w:val="nil"/>
              <w:right w:val="single" w:sz="4" w:space="0" w:color="000000"/>
            </w:tcBorders>
            <w:shd w:val="clear" w:color="auto" w:fill="auto"/>
            <w:vAlign w:val="center"/>
            <w:hideMark/>
          </w:tcPr>
          <w:p w14:paraId="73DC4578" w14:textId="77777777" w:rsidR="00B56A7B" w:rsidRPr="00111876" w:rsidRDefault="00B56A7B" w:rsidP="00CC47BD">
            <w:pPr>
              <w:overflowPunct/>
              <w:adjustRightInd/>
              <w:spacing w:before="0"/>
              <w:jc w:val="center"/>
              <w:textAlignment w:val="auto"/>
              <w:rPr>
                <w:rFonts w:cs="Calibri"/>
                <w:b/>
                <w:bCs/>
                <w:sz w:val="18"/>
                <w:szCs w:val="18"/>
                <w:lang w:val="fr-FR"/>
              </w:rPr>
            </w:pPr>
            <w:r w:rsidRPr="00111876">
              <w:rPr>
                <w:rFonts w:cs="Calibri" w:hint="eastAsia"/>
                <w:b/>
                <w:bCs/>
                <w:sz w:val="18"/>
                <w:szCs w:val="18"/>
                <w:lang w:val="fr-FR"/>
              </w:rPr>
              <w:t>储备与补充基金</w:t>
            </w:r>
          </w:p>
        </w:tc>
        <w:tc>
          <w:tcPr>
            <w:tcW w:w="1772" w:type="pct"/>
            <w:gridSpan w:val="2"/>
            <w:tcBorders>
              <w:top w:val="single" w:sz="4" w:space="0" w:color="auto"/>
              <w:left w:val="nil"/>
              <w:bottom w:val="nil"/>
              <w:right w:val="single" w:sz="4" w:space="0" w:color="000000"/>
            </w:tcBorders>
            <w:shd w:val="clear" w:color="auto" w:fill="auto"/>
            <w:noWrap/>
            <w:vAlign w:val="center"/>
            <w:hideMark/>
          </w:tcPr>
          <w:p w14:paraId="646201EE" w14:textId="77777777" w:rsidR="00B56A7B" w:rsidRPr="00111876" w:rsidRDefault="00B56A7B" w:rsidP="00CC47BD">
            <w:pPr>
              <w:overflowPunct/>
              <w:adjustRightInd/>
              <w:spacing w:before="0"/>
              <w:jc w:val="center"/>
              <w:textAlignment w:val="auto"/>
              <w:rPr>
                <w:rFonts w:asciiTheme="minorHAnsi" w:hAnsiTheme="minorHAnsi" w:cs="Arial"/>
                <w:b/>
                <w:bCs/>
                <w:sz w:val="18"/>
                <w:szCs w:val="18"/>
                <w:lang w:val="fr-CH" w:eastAsia="zh-CN"/>
              </w:rPr>
            </w:pPr>
            <w:r w:rsidRPr="00111876">
              <w:rPr>
                <w:rFonts w:cs="Calibri" w:hint="eastAsia"/>
                <w:b/>
                <w:bCs/>
                <w:sz w:val="18"/>
                <w:szCs w:val="18"/>
              </w:rPr>
              <w:t>援助基金</w:t>
            </w:r>
          </w:p>
        </w:tc>
      </w:tr>
      <w:tr w:rsidR="00B56A7B" w:rsidRPr="00111876" w14:paraId="5785672B" w14:textId="77777777" w:rsidTr="00CC47BD">
        <w:trPr>
          <w:trHeight w:val="300"/>
        </w:trPr>
        <w:tc>
          <w:tcPr>
            <w:tcW w:w="1661" w:type="pct"/>
            <w:tcBorders>
              <w:top w:val="nil"/>
              <w:left w:val="single" w:sz="4" w:space="0" w:color="auto"/>
              <w:bottom w:val="single" w:sz="4" w:space="0" w:color="auto"/>
              <w:right w:val="nil"/>
            </w:tcBorders>
            <w:shd w:val="clear" w:color="auto" w:fill="auto"/>
            <w:noWrap/>
            <w:vAlign w:val="center"/>
            <w:hideMark/>
          </w:tcPr>
          <w:p w14:paraId="1C9AFAA5" w14:textId="77777777" w:rsidR="00B56A7B" w:rsidRPr="00111876" w:rsidRDefault="00B56A7B" w:rsidP="00CC47BD">
            <w:pPr>
              <w:overflowPunct/>
              <w:adjustRightInd/>
              <w:spacing w:before="0"/>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 </w:t>
            </w:r>
          </w:p>
        </w:tc>
        <w:tc>
          <w:tcPr>
            <w:tcW w:w="1567" w:type="pct"/>
            <w:gridSpan w:val="2"/>
            <w:tcBorders>
              <w:top w:val="nil"/>
              <w:left w:val="single" w:sz="4" w:space="0" w:color="auto"/>
              <w:bottom w:val="single" w:sz="4" w:space="0" w:color="auto"/>
              <w:right w:val="nil"/>
            </w:tcBorders>
            <w:shd w:val="clear" w:color="auto" w:fill="auto"/>
            <w:noWrap/>
            <w:vAlign w:val="center"/>
            <w:hideMark/>
          </w:tcPr>
          <w:p w14:paraId="008E41F8" w14:textId="77777777" w:rsidR="00B56A7B" w:rsidRPr="00111876" w:rsidRDefault="00B56A7B" w:rsidP="00CC47BD">
            <w:pPr>
              <w:spacing w:before="0"/>
              <w:jc w:val="center"/>
              <w:rPr>
                <w:sz w:val="18"/>
                <w:szCs w:val="18"/>
              </w:rPr>
            </w:pPr>
            <w:r w:rsidRPr="00111876">
              <w:rPr>
                <w:rFonts w:hint="eastAsia"/>
                <w:sz w:val="18"/>
                <w:szCs w:val="18"/>
              </w:rPr>
              <w:t>瑞郎</w:t>
            </w:r>
          </w:p>
        </w:tc>
        <w:tc>
          <w:tcPr>
            <w:tcW w:w="1772"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6C857925" w14:textId="77777777" w:rsidR="00B56A7B" w:rsidRPr="00111876" w:rsidRDefault="00B56A7B" w:rsidP="00CC47BD">
            <w:pPr>
              <w:spacing w:before="0"/>
              <w:jc w:val="center"/>
              <w:rPr>
                <w:sz w:val="18"/>
                <w:szCs w:val="18"/>
              </w:rPr>
            </w:pPr>
            <w:r w:rsidRPr="00111876">
              <w:rPr>
                <w:rFonts w:hint="eastAsia"/>
                <w:sz w:val="18"/>
                <w:szCs w:val="18"/>
              </w:rPr>
              <w:t>瑞郎</w:t>
            </w:r>
          </w:p>
        </w:tc>
      </w:tr>
      <w:tr w:rsidR="00B56A7B" w:rsidRPr="00111876" w14:paraId="607CB615"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33D3C333" w14:textId="77777777" w:rsidR="00B56A7B" w:rsidRPr="00111876" w:rsidRDefault="00B56A7B" w:rsidP="00CC47BD">
            <w:pPr>
              <w:overflowPunct/>
              <w:adjustRightInd/>
              <w:spacing w:before="0"/>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14:paraId="5DF4488D" w14:textId="77777777" w:rsidR="00B56A7B" w:rsidRPr="00111876" w:rsidRDefault="00B56A7B" w:rsidP="00CC47BD">
            <w:pPr>
              <w:overflowPunct/>
              <w:autoSpaceDE/>
              <w:autoSpaceDN/>
              <w:adjustRightInd/>
              <w:spacing w:before="0"/>
              <w:jc w:val="center"/>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202</w:t>
            </w:r>
            <w:r w:rsidRPr="00111876">
              <w:rPr>
                <w:rFonts w:asciiTheme="minorHAnsi" w:hAnsiTheme="minorHAnsi" w:hint="eastAsia"/>
                <w:sz w:val="18"/>
                <w:szCs w:val="18"/>
                <w:lang w:val="en-US" w:eastAsia="zh-CN"/>
              </w:rPr>
              <w:t>1</w:t>
            </w:r>
          </w:p>
        </w:tc>
        <w:tc>
          <w:tcPr>
            <w:tcW w:w="815" w:type="pct"/>
            <w:tcBorders>
              <w:top w:val="nil"/>
              <w:left w:val="nil"/>
              <w:bottom w:val="nil"/>
              <w:right w:val="single" w:sz="4" w:space="0" w:color="auto"/>
            </w:tcBorders>
            <w:shd w:val="clear" w:color="auto" w:fill="auto"/>
            <w:noWrap/>
            <w:vAlign w:val="center"/>
            <w:hideMark/>
          </w:tcPr>
          <w:p w14:paraId="7F903EEE" w14:textId="77777777" w:rsidR="00B56A7B" w:rsidRPr="00111876" w:rsidRDefault="00B56A7B" w:rsidP="00CC47BD">
            <w:pPr>
              <w:overflowPunct/>
              <w:autoSpaceDE/>
              <w:autoSpaceDN/>
              <w:adjustRightInd/>
              <w:spacing w:before="0"/>
              <w:jc w:val="center"/>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20</w:t>
            </w:r>
            <w:r w:rsidRPr="00111876">
              <w:rPr>
                <w:rFonts w:asciiTheme="minorHAnsi" w:hAnsiTheme="minorHAnsi" w:hint="eastAsia"/>
                <w:sz w:val="18"/>
                <w:szCs w:val="18"/>
                <w:lang w:val="en-US" w:eastAsia="zh-CN"/>
              </w:rPr>
              <w:t>20</w:t>
            </w:r>
          </w:p>
        </w:tc>
        <w:tc>
          <w:tcPr>
            <w:tcW w:w="908" w:type="pct"/>
            <w:tcBorders>
              <w:top w:val="nil"/>
              <w:left w:val="nil"/>
              <w:bottom w:val="nil"/>
              <w:right w:val="single" w:sz="4" w:space="0" w:color="auto"/>
            </w:tcBorders>
            <w:shd w:val="clear" w:color="auto" w:fill="auto"/>
            <w:noWrap/>
            <w:vAlign w:val="center"/>
            <w:hideMark/>
          </w:tcPr>
          <w:p w14:paraId="5BCB3E60" w14:textId="77777777" w:rsidR="00B56A7B" w:rsidRPr="00111876" w:rsidRDefault="00B56A7B" w:rsidP="00CC47BD">
            <w:pPr>
              <w:overflowPunct/>
              <w:autoSpaceDE/>
              <w:autoSpaceDN/>
              <w:adjustRightInd/>
              <w:spacing w:before="0"/>
              <w:jc w:val="center"/>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202</w:t>
            </w:r>
            <w:r w:rsidRPr="00111876">
              <w:rPr>
                <w:rFonts w:asciiTheme="minorHAnsi" w:hAnsiTheme="minorHAnsi" w:hint="eastAsia"/>
                <w:sz w:val="18"/>
                <w:szCs w:val="18"/>
                <w:lang w:val="en-US" w:eastAsia="zh-CN"/>
              </w:rPr>
              <w:t>1</w:t>
            </w:r>
          </w:p>
        </w:tc>
        <w:tc>
          <w:tcPr>
            <w:tcW w:w="864" w:type="pct"/>
            <w:tcBorders>
              <w:top w:val="nil"/>
              <w:left w:val="nil"/>
              <w:bottom w:val="nil"/>
              <w:right w:val="single" w:sz="4" w:space="0" w:color="auto"/>
            </w:tcBorders>
            <w:shd w:val="clear" w:color="auto" w:fill="auto"/>
            <w:noWrap/>
            <w:vAlign w:val="center"/>
            <w:hideMark/>
          </w:tcPr>
          <w:p w14:paraId="1F24C3EA" w14:textId="77777777" w:rsidR="00B56A7B" w:rsidRPr="00111876" w:rsidRDefault="00B56A7B" w:rsidP="00CC47BD">
            <w:pPr>
              <w:overflowPunct/>
              <w:autoSpaceDE/>
              <w:autoSpaceDN/>
              <w:adjustRightInd/>
              <w:spacing w:before="0"/>
              <w:jc w:val="center"/>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20</w:t>
            </w:r>
            <w:r w:rsidRPr="00111876">
              <w:rPr>
                <w:rFonts w:asciiTheme="minorHAnsi" w:hAnsiTheme="minorHAnsi" w:hint="eastAsia"/>
                <w:sz w:val="18"/>
                <w:szCs w:val="18"/>
                <w:lang w:val="en-US" w:eastAsia="zh-CN"/>
              </w:rPr>
              <w:t>20</w:t>
            </w:r>
          </w:p>
        </w:tc>
      </w:tr>
      <w:tr w:rsidR="00B56A7B" w:rsidRPr="00111876" w14:paraId="09CBD815"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2B6227CF" w14:textId="77777777" w:rsidR="00B56A7B" w:rsidRPr="00111876" w:rsidRDefault="00B56A7B" w:rsidP="00CC47BD">
            <w:pPr>
              <w:overflowPunct/>
              <w:adjustRightInd/>
              <w:spacing w:before="0"/>
              <w:textAlignment w:val="auto"/>
              <w:rPr>
                <w:rFonts w:asciiTheme="minorHAnsi" w:hAnsiTheme="minorHAnsi"/>
                <w:sz w:val="18"/>
                <w:szCs w:val="18"/>
                <w:u w:val="single"/>
                <w:lang w:val="en-US" w:eastAsia="zh-CN"/>
              </w:rPr>
            </w:pPr>
            <w:r w:rsidRPr="00111876">
              <w:rPr>
                <w:rFonts w:cs="Calibri" w:hint="eastAsia"/>
                <w:sz w:val="18"/>
                <w:szCs w:val="18"/>
                <w:u w:val="single"/>
              </w:rPr>
              <w:t>费用</w:t>
            </w:r>
          </w:p>
        </w:tc>
        <w:tc>
          <w:tcPr>
            <w:tcW w:w="752" w:type="pct"/>
            <w:tcBorders>
              <w:top w:val="nil"/>
              <w:left w:val="nil"/>
              <w:bottom w:val="nil"/>
              <w:right w:val="nil"/>
            </w:tcBorders>
            <w:shd w:val="clear" w:color="auto" w:fill="auto"/>
            <w:noWrap/>
            <w:vAlign w:val="center"/>
            <w:hideMark/>
          </w:tcPr>
          <w:p w14:paraId="6F9E046B" w14:textId="77777777" w:rsidR="00B56A7B" w:rsidRPr="00111876" w:rsidRDefault="00B56A7B" w:rsidP="00CC47BD">
            <w:pPr>
              <w:keepNext/>
              <w:keepLines/>
              <w:overflowPunct/>
              <w:autoSpaceDE/>
              <w:autoSpaceDN/>
              <w:adjustRightInd/>
              <w:spacing w:before="0"/>
              <w:jc w:val="right"/>
              <w:textAlignment w:val="auto"/>
              <w:rPr>
                <w:rFonts w:cs="Calibri"/>
                <w:sz w:val="18"/>
                <w:szCs w:val="18"/>
                <w:u w:val="single"/>
                <w:lang w:val="en-US" w:eastAsia="zh-CN"/>
              </w:rPr>
            </w:pPr>
          </w:p>
        </w:tc>
        <w:tc>
          <w:tcPr>
            <w:tcW w:w="815" w:type="pct"/>
            <w:tcBorders>
              <w:top w:val="nil"/>
              <w:left w:val="single" w:sz="4" w:space="0" w:color="auto"/>
              <w:bottom w:val="nil"/>
              <w:right w:val="single" w:sz="4" w:space="0" w:color="auto"/>
            </w:tcBorders>
            <w:shd w:val="clear" w:color="auto" w:fill="auto"/>
            <w:noWrap/>
            <w:vAlign w:val="center"/>
            <w:hideMark/>
          </w:tcPr>
          <w:p w14:paraId="1C1C5D02"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908" w:type="pct"/>
            <w:tcBorders>
              <w:top w:val="nil"/>
              <w:left w:val="nil"/>
              <w:bottom w:val="nil"/>
              <w:right w:val="single" w:sz="4" w:space="0" w:color="auto"/>
            </w:tcBorders>
            <w:shd w:val="clear" w:color="auto" w:fill="auto"/>
            <w:noWrap/>
            <w:vAlign w:val="center"/>
            <w:hideMark/>
          </w:tcPr>
          <w:p w14:paraId="0728CB01"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864" w:type="pct"/>
            <w:tcBorders>
              <w:top w:val="nil"/>
              <w:left w:val="nil"/>
              <w:bottom w:val="nil"/>
              <w:right w:val="single" w:sz="4" w:space="0" w:color="auto"/>
            </w:tcBorders>
            <w:shd w:val="clear" w:color="auto" w:fill="auto"/>
            <w:noWrap/>
            <w:vAlign w:val="center"/>
            <w:hideMark/>
          </w:tcPr>
          <w:p w14:paraId="43009E75"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r>
      <w:tr w:rsidR="00B56A7B" w:rsidRPr="00111876" w14:paraId="638B097A"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6C2D4E7B" w14:textId="77777777" w:rsidR="00B56A7B" w:rsidRPr="00111876" w:rsidRDefault="00B56A7B" w:rsidP="00CC47BD">
            <w:pPr>
              <w:overflowPunct/>
              <w:adjustRightInd/>
              <w:spacing w:before="0"/>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 </w:t>
            </w:r>
          </w:p>
        </w:tc>
        <w:tc>
          <w:tcPr>
            <w:tcW w:w="752" w:type="pct"/>
            <w:tcBorders>
              <w:top w:val="nil"/>
              <w:left w:val="nil"/>
              <w:bottom w:val="nil"/>
              <w:right w:val="nil"/>
            </w:tcBorders>
            <w:shd w:val="clear" w:color="auto" w:fill="auto"/>
            <w:noWrap/>
            <w:vAlign w:val="center"/>
            <w:hideMark/>
          </w:tcPr>
          <w:p w14:paraId="2128AF02"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815" w:type="pct"/>
            <w:tcBorders>
              <w:top w:val="nil"/>
              <w:left w:val="single" w:sz="4" w:space="0" w:color="auto"/>
              <w:bottom w:val="nil"/>
              <w:right w:val="single" w:sz="4" w:space="0" w:color="auto"/>
            </w:tcBorders>
            <w:shd w:val="clear" w:color="auto" w:fill="auto"/>
            <w:noWrap/>
            <w:vAlign w:val="center"/>
            <w:hideMark/>
          </w:tcPr>
          <w:p w14:paraId="30CEAFFA"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908" w:type="pct"/>
            <w:tcBorders>
              <w:top w:val="nil"/>
              <w:left w:val="nil"/>
              <w:bottom w:val="nil"/>
              <w:right w:val="single" w:sz="4" w:space="0" w:color="auto"/>
            </w:tcBorders>
            <w:shd w:val="clear" w:color="auto" w:fill="auto"/>
            <w:noWrap/>
            <w:vAlign w:val="center"/>
            <w:hideMark/>
          </w:tcPr>
          <w:p w14:paraId="0441D1E8"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864" w:type="pct"/>
            <w:tcBorders>
              <w:top w:val="nil"/>
              <w:left w:val="nil"/>
              <w:bottom w:val="nil"/>
              <w:right w:val="single" w:sz="4" w:space="0" w:color="auto"/>
            </w:tcBorders>
            <w:shd w:val="clear" w:color="auto" w:fill="auto"/>
            <w:noWrap/>
            <w:vAlign w:val="center"/>
            <w:hideMark/>
          </w:tcPr>
          <w:p w14:paraId="6C1E5AB7"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r>
      <w:tr w:rsidR="00B56A7B" w:rsidRPr="00111876" w14:paraId="4251CBA0"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67F775D8" w14:textId="77777777" w:rsidR="00B56A7B" w:rsidRPr="00111876" w:rsidRDefault="00B56A7B" w:rsidP="00CC47BD">
            <w:pPr>
              <w:spacing w:before="100"/>
              <w:rPr>
                <w:rFonts w:cs="Calibri"/>
                <w:sz w:val="18"/>
                <w:szCs w:val="18"/>
              </w:rPr>
            </w:pPr>
            <w:r w:rsidRPr="00111876">
              <w:rPr>
                <w:rFonts w:cs="Calibri" w:hint="eastAsia"/>
                <w:sz w:val="18"/>
                <w:szCs w:val="18"/>
              </w:rPr>
              <w:t>养恤金</w:t>
            </w:r>
          </w:p>
        </w:tc>
        <w:tc>
          <w:tcPr>
            <w:tcW w:w="752" w:type="pct"/>
            <w:tcBorders>
              <w:top w:val="nil"/>
              <w:left w:val="nil"/>
              <w:bottom w:val="nil"/>
              <w:right w:val="nil"/>
            </w:tcBorders>
            <w:shd w:val="clear" w:color="auto" w:fill="auto"/>
            <w:noWrap/>
            <w:vAlign w:val="center"/>
            <w:hideMark/>
          </w:tcPr>
          <w:p w14:paraId="1B70C839" w14:textId="5F3B2711"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16</w:t>
            </w:r>
            <w:r w:rsidR="00111876">
              <w:rPr>
                <w:rFonts w:cs="Calibri"/>
                <w:sz w:val="18"/>
                <w:szCs w:val="18"/>
                <w:lang w:val="en-US" w:eastAsia="zh-CN"/>
              </w:rPr>
              <w:t> </w:t>
            </w:r>
            <w:r w:rsidRPr="00111876">
              <w:rPr>
                <w:rFonts w:cs="Calibri"/>
                <w:sz w:val="18"/>
                <w:szCs w:val="18"/>
                <w:lang w:val="en-US" w:eastAsia="zh-CN"/>
              </w:rPr>
              <w:t>864.80</w:t>
            </w:r>
          </w:p>
        </w:tc>
        <w:tc>
          <w:tcPr>
            <w:tcW w:w="815" w:type="pct"/>
            <w:tcBorders>
              <w:top w:val="nil"/>
              <w:left w:val="single" w:sz="4" w:space="0" w:color="auto"/>
              <w:bottom w:val="nil"/>
              <w:right w:val="nil"/>
            </w:tcBorders>
            <w:shd w:val="clear" w:color="auto" w:fill="auto"/>
            <w:noWrap/>
            <w:vAlign w:val="center"/>
            <w:hideMark/>
          </w:tcPr>
          <w:p w14:paraId="50BDE3A2" w14:textId="45815B8B"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16</w:t>
            </w:r>
            <w:r w:rsidR="00111876">
              <w:rPr>
                <w:rFonts w:cs="Calibri"/>
                <w:sz w:val="18"/>
                <w:szCs w:val="18"/>
                <w:lang w:val="en-US" w:eastAsia="zh-CN"/>
              </w:rPr>
              <w:t> </w:t>
            </w:r>
            <w:r w:rsidRPr="00111876">
              <w:rPr>
                <w:rFonts w:cs="Calibri"/>
                <w:sz w:val="18"/>
                <w:szCs w:val="18"/>
                <w:lang w:val="en-US" w:eastAsia="zh-CN"/>
              </w:rPr>
              <w:t>864.80</w:t>
            </w:r>
          </w:p>
        </w:tc>
        <w:tc>
          <w:tcPr>
            <w:tcW w:w="908" w:type="pct"/>
            <w:tcBorders>
              <w:top w:val="nil"/>
              <w:left w:val="single" w:sz="4" w:space="0" w:color="auto"/>
              <w:bottom w:val="nil"/>
              <w:right w:val="single" w:sz="4" w:space="0" w:color="auto"/>
            </w:tcBorders>
            <w:shd w:val="clear" w:color="auto" w:fill="auto"/>
            <w:noWrap/>
            <w:vAlign w:val="center"/>
            <w:hideMark/>
          </w:tcPr>
          <w:p w14:paraId="1FD2AF25"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w:t>
            </w:r>
          </w:p>
        </w:tc>
        <w:tc>
          <w:tcPr>
            <w:tcW w:w="864" w:type="pct"/>
            <w:tcBorders>
              <w:top w:val="nil"/>
              <w:left w:val="nil"/>
              <w:bottom w:val="nil"/>
              <w:right w:val="single" w:sz="4" w:space="0" w:color="auto"/>
            </w:tcBorders>
            <w:shd w:val="clear" w:color="auto" w:fill="auto"/>
            <w:noWrap/>
            <w:vAlign w:val="center"/>
            <w:hideMark/>
          </w:tcPr>
          <w:p w14:paraId="7095EA7E"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w:t>
            </w:r>
          </w:p>
        </w:tc>
      </w:tr>
      <w:tr w:rsidR="00B56A7B" w:rsidRPr="00111876" w14:paraId="2763FF47"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56FD89AC" w14:textId="77777777" w:rsidR="00B56A7B" w:rsidRPr="00111876" w:rsidRDefault="00B56A7B" w:rsidP="00CC47BD">
            <w:pPr>
              <w:spacing w:before="100"/>
              <w:rPr>
                <w:rFonts w:cs="Calibri"/>
                <w:sz w:val="18"/>
                <w:szCs w:val="18"/>
              </w:rPr>
            </w:pPr>
            <w:r w:rsidRPr="00111876">
              <w:rPr>
                <w:rFonts w:cs="Calibri" w:hint="eastAsia"/>
                <w:sz w:val="18"/>
                <w:szCs w:val="18"/>
              </w:rPr>
              <w:t>捐款</w:t>
            </w:r>
          </w:p>
        </w:tc>
        <w:tc>
          <w:tcPr>
            <w:tcW w:w="752" w:type="pct"/>
            <w:tcBorders>
              <w:top w:val="nil"/>
              <w:left w:val="nil"/>
              <w:bottom w:val="nil"/>
              <w:right w:val="single" w:sz="4" w:space="0" w:color="auto"/>
            </w:tcBorders>
            <w:shd w:val="clear" w:color="auto" w:fill="auto"/>
            <w:noWrap/>
            <w:vAlign w:val="center"/>
            <w:hideMark/>
          </w:tcPr>
          <w:p w14:paraId="57976F70"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815" w:type="pct"/>
            <w:tcBorders>
              <w:top w:val="nil"/>
              <w:left w:val="nil"/>
              <w:bottom w:val="nil"/>
              <w:right w:val="single" w:sz="4" w:space="0" w:color="auto"/>
            </w:tcBorders>
            <w:shd w:val="clear" w:color="auto" w:fill="auto"/>
            <w:noWrap/>
            <w:vAlign w:val="center"/>
            <w:hideMark/>
          </w:tcPr>
          <w:p w14:paraId="679B015D"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908" w:type="pct"/>
            <w:tcBorders>
              <w:top w:val="nil"/>
              <w:left w:val="nil"/>
              <w:bottom w:val="nil"/>
              <w:right w:val="single" w:sz="4" w:space="0" w:color="auto"/>
            </w:tcBorders>
            <w:shd w:val="clear" w:color="auto" w:fill="auto"/>
            <w:noWrap/>
            <w:vAlign w:val="center"/>
            <w:hideMark/>
          </w:tcPr>
          <w:p w14:paraId="40903948"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864" w:type="pct"/>
            <w:tcBorders>
              <w:top w:val="nil"/>
              <w:left w:val="nil"/>
              <w:bottom w:val="nil"/>
              <w:right w:val="single" w:sz="4" w:space="0" w:color="auto"/>
            </w:tcBorders>
            <w:shd w:val="clear" w:color="auto" w:fill="auto"/>
            <w:noWrap/>
            <w:vAlign w:val="center"/>
            <w:hideMark/>
          </w:tcPr>
          <w:p w14:paraId="77F25997"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r>
      <w:tr w:rsidR="00B56A7B" w:rsidRPr="00111876" w14:paraId="2858826A"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4244FF5D" w14:textId="77777777" w:rsidR="00B56A7B" w:rsidRPr="00111876" w:rsidRDefault="00B56A7B" w:rsidP="00CC47BD">
            <w:pPr>
              <w:rPr>
                <w:rFonts w:cs="Calibri"/>
                <w:sz w:val="18"/>
                <w:szCs w:val="18"/>
              </w:rPr>
            </w:pPr>
            <w:r w:rsidRPr="00111876">
              <w:rPr>
                <w:rFonts w:cs="Calibri" w:hint="eastAsia"/>
                <w:sz w:val="18"/>
                <w:szCs w:val="18"/>
              </w:rPr>
              <w:t>财务</w:t>
            </w:r>
            <w:r w:rsidRPr="00111876">
              <w:rPr>
                <w:rFonts w:cs="Calibri"/>
                <w:sz w:val="18"/>
                <w:szCs w:val="18"/>
              </w:rPr>
              <w:t>费用</w:t>
            </w:r>
            <w:r w:rsidRPr="00111876">
              <w:rPr>
                <w:rFonts w:cs="Calibri"/>
                <w:sz w:val="18"/>
                <w:szCs w:val="18"/>
              </w:rPr>
              <w:t xml:space="preserve"> </w:t>
            </w:r>
          </w:p>
        </w:tc>
        <w:tc>
          <w:tcPr>
            <w:tcW w:w="752" w:type="pct"/>
            <w:tcBorders>
              <w:top w:val="nil"/>
              <w:left w:val="nil"/>
              <w:bottom w:val="nil"/>
              <w:right w:val="nil"/>
            </w:tcBorders>
            <w:shd w:val="clear" w:color="auto" w:fill="auto"/>
            <w:noWrap/>
            <w:vAlign w:val="center"/>
            <w:hideMark/>
          </w:tcPr>
          <w:p w14:paraId="6C0571F1" w14:textId="6F594D5C"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2</w:t>
            </w:r>
            <w:r w:rsidR="00111876">
              <w:rPr>
                <w:rFonts w:cs="Calibri"/>
                <w:sz w:val="18"/>
                <w:szCs w:val="18"/>
                <w:lang w:val="en-US" w:eastAsia="zh-CN"/>
              </w:rPr>
              <w:t> </w:t>
            </w:r>
            <w:r w:rsidRPr="00111876">
              <w:rPr>
                <w:rFonts w:cs="Calibri"/>
                <w:sz w:val="18"/>
                <w:szCs w:val="18"/>
                <w:lang w:val="en-US" w:eastAsia="zh-CN"/>
              </w:rPr>
              <w:t>234.68</w:t>
            </w:r>
          </w:p>
        </w:tc>
        <w:tc>
          <w:tcPr>
            <w:tcW w:w="815" w:type="pct"/>
            <w:tcBorders>
              <w:top w:val="nil"/>
              <w:left w:val="single" w:sz="4" w:space="0" w:color="auto"/>
              <w:bottom w:val="nil"/>
              <w:right w:val="nil"/>
            </w:tcBorders>
            <w:shd w:val="clear" w:color="auto" w:fill="auto"/>
            <w:noWrap/>
            <w:vAlign w:val="center"/>
            <w:hideMark/>
          </w:tcPr>
          <w:p w14:paraId="27F11E9E"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143.17</w:t>
            </w:r>
          </w:p>
        </w:tc>
        <w:tc>
          <w:tcPr>
            <w:tcW w:w="908" w:type="pct"/>
            <w:tcBorders>
              <w:top w:val="nil"/>
              <w:left w:val="single" w:sz="4" w:space="0" w:color="auto"/>
              <w:bottom w:val="nil"/>
              <w:right w:val="single" w:sz="4" w:space="0" w:color="auto"/>
            </w:tcBorders>
            <w:shd w:val="clear" w:color="auto" w:fill="auto"/>
            <w:noWrap/>
            <w:vAlign w:val="center"/>
            <w:hideMark/>
          </w:tcPr>
          <w:p w14:paraId="683054CF" w14:textId="374B384F"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1</w:t>
            </w:r>
            <w:r w:rsidR="00111876">
              <w:rPr>
                <w:rFonts w:cs="Calibri"/>
                <w:sz w:val="18"/>
                <w:szCs w:val="18"/>
                <w:lang w:val="en-US" w:eastAsia="zh-CN"/>
              </w:rPr>
              <w:t> </w:t>
            </w:r>
            <w:r w:rsidRPr="00111876">
              <w:rPr>
                <w:rFonts w:cs="Calibri"/>
                <w:sz w:val="18"/>
                <w:szCs w:val="18"/>
                <w:lang w:val="en-US" w:eastAsia="zh-CN"/>
              </w:rPr>
              <w:t>616.88</w:t>
            </w:r>
          </w:p>
        </w:tc>
        <w:tc>
          <w:tcPr>
            <w:tcW w:w="864" w:type="pct"/>
            <w:tcBorders>
              <w:top w:val="nil"/>
              <w:left w:val="nil"/>
              <w:bottom w:val="nil"/>
              <w:right w:val="single" w:sz="4" w:space="0" w:color="auto"/>
            </w:tcBorders>
            <w:shd w:val="clear" w:color="auto" w:fill="auto"/>
            <w:noWrap/>
            <w:vAlign w:val="center"/>
            <w:hideMark/>
          </w:tcPr>
          <w:p w14:paraId="213278FF"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329.86</w:t>
            </w:r>
          </w:p>
        </w:tc>
      </w:tr>
      <w:tr w:rsidR="00B56A7B" w:rsidRPr="00111876" w14:paraId="27962D91"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668FE3B0" w14:textId="77777777" w:rsidR="00B56A7B" w:rsidRPr="00111876" w:rsidRDefault="00B56A7B" w:rsidP="00CC47BD">
            <w:pPr>
              <w:spacing w:before="100"/>
              <w:rPr>
                <w:rFonts w:cs="Calibri"/>
                <w:sz w:val="18"/>
                <w:szCs w:val="18"/>
              </w:rPr>
            </w:pPr>
            <w:r w:rsidRPr="00111876">
              <w:rPr>
                <w:rFonts w:cs="Calibri" w:hint="eastAsia"/>
                <w:sz w:val="18"/>
                <w:szCs w:val="18"/>
              </w:rPr>
              <w:t>其他财务费用合计</w:t>
            </w:r>
          </w:p>
        </w:tc>
        <w:tc>
          <w:tcPr>
            <w:tcW w:w="752" w:type="pct"/>
            <w:tcBorders>
              <w:top w:val="nil"/>
              <w:left w:val="nil"/>
              <w:bottom w:val="nil"/>
              <w:right w:val="nil"/>
            </w:tcBorders>
            <w:shd w:val="clear" w:color="auto" w:fill="auto"/>
            <w:noWrap/>
            <w:vAlign w:val="center"/>
            <w:hideMark/>
          </w:tcPr>
          <w:p w14:paraId="391EC635" w14:textId="57FF4389"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71</w:t>
            </w:r>
            <w:r w:rsidR="00111876">
              <w:rPr>
                <w:rFonts w:cs="Calibri"/>
                <w:sz w:val="18"/>
                <w:szCs w:val="18"/>
                <w:lang w:val="en-US" w:eastAsia="zh-CN"/>
              </w:rPr>
              <w:t> </w:t>
            </w:r>
            <w:r w:rsidRPr="00111876">
              <w:rPr>
                <w:rFonts w:cs="Calibri"/>
                <w:sz w:val="18"/>
                <w:szCs w:val="18"/>
                <w:lang w:val="en-US" w:eastAsia="zh-CN"/>
              </w:rPr>
              <w:t>671.61</w:t>
            </w:r>
          </w:p>
        </w:tc>
        <w:tc>
          <w:tcPr>
            <w:tcW w:w="815" w:type="pct"/>
            <w:tcBorders>
              <w:top w:val="nil"/>
              <w:left w:val="single" w:sz="4" w:space="0" w:color="auto"/>
              <w:bottom w:val="nil"/>
              <w:right w:val="nil"/>
            </w:tcBorders>
            <w:shd w:val="clear" w:color="auto" w:fill="auto"/>
            <w:noWrap/>
            <w:vAlign w:val="center"/>
            <w:hideMark/>
          </w:tcPr>
          <w:p w14:paraId="6CA6AEFA" w14:textId="76198CFC"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413</w:t>
            </w:r>
            <w:r w:rsidR="00111876">
              <w:rPr>
                <w:rFonts w:cs="Calibri"/>
                <w:sz w:val="18"/>
                <w:szCs w:val="18"/>
                <w:lang w:val="en-US" w:eastAsia="zh-CN"/>
              </w:rPr>
              <w:t> </w:t>
            </w:r>
            <w:r w:rsidRPr="00111876">
              <w:rPr>
                <w:rFonts w:cs="Calibri"/>
                <w:sz w:val="18"/>
                <w:szCs w:val="18"/>
                <w:lang w:val="en-US" w:eastAsia="zh-CN"/>
              </w:rPr>
              <w:t>434.15</w:t>
            </w:r>
          </w:p>
        </w:tc>
        <w:tc>
          <w:tcPr>
            <w:tcW w:w="908" w:type="pct"/>
            <w:tcBorders>
              <w:top w:val="nil"/>
              <w:left w:val="single" w:sz="4" w:space="0" w:color="auto"/>
              <w:bottom w:val="nil"/>
              <w:right w:val="single" w:sz="4" w:space="0" w:color="auto"/>
            </w:tcBorders>
            <w:shd w:val="clear" w:color="auto" w:fill="auto"/>
            <w:noWrap/>
            <w:vAlign w:val="center"/>
            <w:hideMark/>
          </w:tcPr>
          <w:p w14:paraId="519390D9"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w:t>
            </w:r>
          </w:p>
        </w:tc>
        <w:tc>
          <w:tcPr>
            <w:tcW w:w="864" w:type="pct"/>
            <w:tcBorders>
              <w:top w:val="nil"/>
              <w:left w:val="nil"/>
              <w:bottom w:val="nil"/>
              <w:right w:val="single" w:sz="4" w:space="0" w:color="auto"/>
            </w:tcBorders>
            <w:shd w:val="clear" w:color="auto" w:fill="auto"/>
            <w:noWrap/>
            <w:vAlign w:val="center"/>
            <w:hideMark/>
          </w:tcPr>
          <w:p w14:paraId="2528C18E"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w:t>
            </w:r>
          </w:p>
        </w:tc>
      </w:tr>
      <w:tr w:rsidR="00B56A7B" w:rsidRPr="00111876" w14:paraId="399BCE23"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475EEA5E" w14:textId="77777777" w:rsidR="00B56A7B" w:rsidRPr="00111876" w:rsidRDefault="00B56A7B" w:rsidP="00CC47BD">
            <w:pPr>
              <w:overflowPunct/>
              <w:adjustRightInd/>
              <w:spacing w:before="0"/>
              <w:textAlignment w:val="auto"/>
              <w:rPr>
                <w:rFonts w:asciiTheme="minorHAnsi" w:hAnsiTheme="minorHAnsi"/>
                <w:b/>
                <w:bCs/>
                <w:sz w:val="18"/>
                <w:szCs w:val="18"/>
                <w:lang w:val="en-US" w:eastAsia="zh-CN"/>
              </w:rPr>
            </w:pPr>
            <w:r w:rsidRPr="00111876">
              <w:rPr>
                <w:rFonts w:cs="Calibri" w:hint="eastAsia"/>
                <w:b/>
                <w:bCs/>
                <w:sz w:val="18"/>
                <w:szCs w:val="18"/>
                <w:lang w:eastAsia="zh-CN"/>
              </w:rPr>
              <w:t>费用合计</w:t>
            </w:r>
          </w:p>
        </w:tc>
        <w:tc>
          <w:tcPr>
            <w:tcW w:w="752" w:type="pct"/>
            <w:tcBorders>
              <w:top w:val="nil"/>
              <w:left w:val="nil"/>
              <w:bottom w:val="nil"/>
              <w:right w:val="single" w:sz="4" w:space="0" w:color="auto"/>
            </w:tcBorders>
            <w:shd w:val="clear" w:color="auto" w:fill="auto"/>
            <w:noWrap/>
            <w:vAlign w:val="center"/>
            <w:hideMark/>
          </w:tcPr>
          <w:p w14:paraId="1F51F80F" w14:textId="0DB2B4A0" w:rsidR="00B56A7B" w:rsidRPr="00111876" w:rsidRDefault="00B56A7B" w:rsidP="00CC47BD">
            <w:pPr>
              <w:keepNext/>
              <w:keepLines/>
              <w:overflowPunct/>
              <w:autoSpaceDE/>
              <w:autoSpaceDN/>
              <w:adjustRightInd/>
              <w:spacing w:before="0"/>
              <w:jc w:val="right"/>
              <w:textAlignment w:val="auto"/>
              <w:rPr>
                <w:rFonts w:cs="Calibri"/>
                <w:b/>
                <w:bCs/>
                <w:sz w:val="18"/>
                <w:szCs w:val="18"/>
                <w:lang w:val="en-US" w:eastAsia="zh-CN"/>
              </w:rPr>
            </w:pPr>
            <w:r w:rsidRPr="00111876">
              <w:rPr>
                <w:rFonts w:cs="Calibri"/>
                <w:b/>
                <w:bCs/>
                <w:sz w:val="18"/>
                <w:szCs w:val="18"/>
                <w:lang w:val="en-US" w:eastAsia="zh-CN"/>
              </w:rPr>
              <w:t>90</w:t>
            </w:r>
            <w:r w:rsidR="00111876">
              <w:rPr>
                <w:rFonts w:cs="Calibri"/>
                <w:b/>
                <w:bCs/>
                <w:sz w:val="18"/>
                <w:szCs w:val="18"/>
                <w:lang w:val="en-US" w:eastAsia="zh-CN"/>
              </w:rPr>
              <w:t> </w:t>
            </w:r>
            <w:r w:rsidRPr="00111876">
              <w:rPr>
                <w:rFonts w:cs="Calibri"/>
                <w:b/>
                <w:bCs/>
                <w:sz w:val="18"/>
                <w:szCs w:val="18"/>
                <w:lang w:val="en-US" w:eastAsia="zh-CN"/>
              </w:rPr>
              <w:t>771.09</w:t>
            </w:r>
          </w:p>
        </w:tc>
        <w:tc>
          <w:tcPr>
            <w:tcW w:w="815" w:type="pct"/>
            <w:tcBorders>
              <w:top w:val="single" w:sz="4" w:space="0" w:color="auto"/>
              <w:left w:val="nil"/>
              <w:bottom w:val="nil"/>
              <w:right w:val="single" w:sz="4" w:space="0" w:color="auto"/>
            </w:tcBorders>
            <w:shd w:val="clear" w:color="auto" w:fill="auto"/>
            <w:noWrap/>
            <w:vAlign w:val="center"/>
            <w:hideMark/>
          </w:tcPr>
          <w:p w14:paraId="26A61E1C" w14:textId="64977B48" w:rsidR="00B56A7B" w:rsidRPr="00111876" w:rsidRDefault="00B56A7B" w:rsidP="00CC47BD">
            <w:pPr>
              <w:keepNext/>
              <w:keepLines/>
              <w:overflowPunct/>
              <w:autoSpaceDE/>
              <w:autoSpaceDN/>
              <w:adjustRightInd/>
              <w:spacing w:before="0"/>
              <w:jc w:val="right"/>
              <w:textAlignment w:val="auto"/>
              <w:rPr>
                <w:rFonts w:cs="Calibri"/>
                <w:b/>
                <w:bCs/>
                <w:sz w:val="18"/>
                <w:szCs w:val="18"/>
                <w:lang w:val="en-US" w:eastAsia="zh-CN"/>
              </w:rPr>
            </w:pPr>
            <w:r w:rsidRPr="00111876">
              <w:rPr>
                <w:rFonts w:cs="Calibri"/>
                <w:b/>
                <w:bCs/>
                <w:sz w:val="18"/>
                <w:szCs w:val="18"/>
                <w:lang w:val="en-US" w:eastAsia="zh-CN"/>
              </w:rPr>
              <w:t>430</w:t>
            </w:r>
            <w:r w:rsidR="00111876">
              <w:rPr>
                <w:rFonts w:cs="Calibri"/>
                <w:b/>
                <w:bCs/>
                <w:sz w:val="18"/>
                <w:szCs w:val="18"/>
                <w:lang w:val="en-US" w:eastAsia="zh-CN"/>
              </w:rPr>
              <w:t> </w:t>
            </w:r>
            <w:r w:rsidRPr="00111876">
              <w:rPr>
                <w:rFonts w:cs="Calibri"/>
                <w:b/>
                <w:bCs/>
                <w:sz w:val="18"/>
                <w:szCs w:val="18"/>
                <w:lang w:val="en-US" w:eastAsia="zh-CN"/>
              </w:rPr>
              <w:t>442.12</w:t>
            </w:r>
          </w:p>
        </w:tc>
        <w:tc>
          <w:tcPr>
            <w:tcW w:w="908" w:type="pct"/>
            <w:tcBorders>
              <w:top w:val="nil"/>
              <w:left w:val="nil"/>
              <w:bottom w:val="nil"/>
              <w:right w:val="single" w:sz="4" w:space="0" w:color="auto"/>
            </w:tcBorders>
            <w:shd w:val="clear" w:color="auto" w:fill="auto"/>
            <w:noWrap/>
            <w:vAlign w:val="center"/>
            <w:hideMark/>
          </w:tcPr>
          <w:p w14:paraId="4DDDD6A9" w14:textId="0BCAE607" w:rsidR="00B56A7B" w:rsidRPr="00111876" w:rsidRDefault="00B56A7B" w:rsidP="00CC47BD">
            <w:pPr>
              <w:keepNext/>
              <w:keepLines/>
              <w:overflowPunct/>
              <w:autoSpaceDE/>
              <w:autoSpaceDN/>
              <w:adjustRightInd/>
              <w:spacing w:before="0"/>
              <w:jc w:val="right"/>
              <w:textAlignment w:val="auto"/>
              <w:rPr>
                <w:rFonts w:cs="Calibri"/>
                <w:b/>
                <w:bCs/>
                <w:sz w:val="18"/>
                <w:szCs w:val="18"/>
                <w:lang w:val="en-US" w:eastAsia="zh-CN"/>
              </w:rPr>
            </w:pPr>
            <w:r w:rsidRPr="00111876">
              <w:rPr>
                <w:rFonts w:cs="Calibri"/>
                <w:b/>
                <w:bCs/>
                <w:sz w:val="18"/>
                <w:szCs w:val="18"/>
                <w:lang w:val="en-US" w:eastAsia="zh-CN"/>
              </w:rPr>
              <w:t>1</w:t>
            </w:r>
            <w:r w:rsidR="00111876">
              <w:rPr>
                <w:rFonts w:cs="Calibri"/>
                <w:b/>
                <w:bCs/>
                <w:sz w:val="18"/>
                <w:szCs w:val="18"/>
                <w:lang w:val="en-US" w:eastAsia="zh-CN"/>
              </w:rPr>
              <w:t> </w:t>
            </w:r>
            <w:r w:rsidRPr="00111876">
              <w:rPr>
                <w:rFonts w:cs="Calibri"/>
                <w:b/>
                <w:bCs/>
                <w:sz w:val="18"/>
                <w:szCs w:val="18"/>
                <w:lang w:val="en-US" w:eastAsia="zh-CN"/>
              </w:rPr>
              <w:t>616.88</w:t>
            </w:r>
          </w:p>
        </w:tc>
        <w:tc>
          <w:tcPr>
            <w:tcW w:w="864" w:type="pct"/>
            <w:tcBorders>
              <w:top w:val="nil"/>
              <w:left w:val="nil"/>
              <w:bottom w:val="nil"/>
              <w:right w:val="single" w:sz="4" w:space="0" w:color="auto"/>
            </w:tcBorders>
            <w:shd w:val="clear" w:color="auto" w:fill="auto"/>
            <w:noWrap/>
            <w:vAlign w:val="center"/>
            <w:hideMark/>
          </w:tcPr>
          <w:p w14:paraId="5280FDF7" w14:textId="77777777" w:rsidR="00B56A7B" w:rsidRPr="00111876" w:rsidRDefault="00B56A7B" w:rsidP="00CC47BD">
            <w:pPr>
              <w:keepNext/>
              <w:keepLines/>
              <w:overflowPunct/>
              <w:autoSpaceDE/>
              <w:autoSpaceDN/>
              <w:adjustRightInd/>
              <w:spacing w:before="0"/>
              <w:jc w:val="right"/>
              <w:textAlignment w:val="auto"/>
              <w:rPr>
                <w:rFonts w:cs="Calibri"/>
                <w:b/>
                <w:bCs/>
                <w:sz w:val="18"/>
                <w:szCs w:val="18"/>
                <w:lang w:val="en-US" w:eastAsia="zh-CN"/>
              </w:rPr>
            </w:pPr>
            <w:r w:rsidRPr="00111876">
              <w:rPr>
                <w:rFonts w:cs="Calibri"/>
                <w:sz w:val="18"/>
                <w:szCs w:val="18"/>
                <w:lang w:val="en-US" w:eastAsia="zh-CN"/>
              </w:rPr>
              <w:t>329.86</w:t>
            </w:r>
          </w:p>
        </w:tc>
      </w:tr>
      <w:tr w:rsidR="00B56A7B" w:rsidRPr="00111876" w14:paraId="6E69DC1A"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293FF3A7" w14:textId="77777777" w:rsidR="00B56A7B" w:rsidRPr="00111876" w:rsidRDefault="00B56A7B" w:rsidP="00CC47BD">
            <w:pPr>
              <w:overflowPunct/>
              <w:adjustRightInd/>
              <w:spacing w:before="0"/>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14:paraId="15730677"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815" w:type="pct"/>
            <w:tcBorders>
              <w:top w:val="nil"/>
              <w:left w:val="nil"/>
              <w:bottom w:val="nil"/>
              <w:right w:val="single" w:sz="4" w:space="0" w:color="auto"/>
            </w:tcBorders>
            <w:shd w:val="clear" w:color="auto" w:fill="auto"/>
            <w:noWrap/>
            <w:vAlign w:val="center"/>
            <w:hideMark/>
          </w:tcPr>
          <w:p w14:paraId="78CBD0EE"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908" w:type="pct"/>
            <w:tcBorders>
              <w:top w:val="nil"/>
              <w:left w:val="nil"/>
              <w:bottom w:val="nil"/>
              <w:right w:val="single" w:sz="4" w:space="0" w:color="auto"/>
            </w:tcBorders>
            <w:shd w:val="clear" w:color="auto" w:fill="auto"/>
            <w:noWrap/>
            <w:vAlign w:val="center"/>
            <w:hideMark/>
          </w:tcPr>
          <w:p w14:paraId="3E1B222A"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864" w:type="pct"/>
            <w:tcBorders>
              <w:top w:val="nil"/>
              <w:left w:val="nil"/>
              <w:bottom w:val="nil"/>
              <w:right w:val="single" w:sz="4" w:space="0" w:color="auto"/>
            </w:tcBorders>
            <w:shd w:val="clear" w:color="auto" w:fill="auto"/>
            <w:noWrap/>
            <w:vAlign w:val="center"/>
            <w:hideMark/>
          </w:tcPr>
          <w:p w14:paraId="31FA67B8"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r>
      <w:tr w:rsidR="00B56A7B" w:rsidRPr="00111876" w14:paraId="4B4E22E9"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6E2DBE9D" w14:textId="77777777" w:rsidR="00B56A7B" w:rsidRPr="00111876" w:rsidRDefault="00B56A7B" w:rsidP="00CC47BD">
            <w:pPr>
              <w:overflowPunct/>
              <w:adjustRightInd/>
              <w:spacing w:before="0"/>
              <w:textAlignment w:val="auto"/>
              <w:rPr>
                <w:rFonts w:asciiTheme="minorHAnsi" w:hAnsiTheme="minorHAnsi"/>
                <w:sz w:val="18"/>
                <w:szCs w:val="18"/>
                <w:u w:val="single"/>
                <w:lang w:val="en-US" w:eastAsia="zh-CN"/>
              </w:rPr>
            </w:pPr>
            <w:r w:rsidRPr="00111876">
              <w:rPr>
                <w:rFonts w:cs="Calibri" w:hint="eastAsia"/>
                <w:sz w:val="18"/>
                <w:szCs w:val="18"/>
                <w:u w:val="single"/>
                <w:lang w:val="fr-CH" w:eastAsia="zh-CN"/>
              </w:rPr>
              <w:t>收入</w:t>
            </w:r>
          </w:p>
        </w:tc>
        <w:tc>
          <w:tcPr>
            <w:tcW w:w="752" w:type="pct"/>
            <w:tcBorders>
              <w:top w:val="nil"/>
              <w:left w:val="nil"/>
              <w:bottom w:val="nil"/>
              <w:right w:val="single" w:sz="4" w:space="0" w:color="auto"/>
            </w:tcBorders>
            <w:shd w:val="clear" w:color="auto" w:fill="auto"/>
            <w:noWrap/>
            <w:vAlign w:val="center"/>
            <w:hideMark/>
          </w:tcPr>
          <w:p w14:paraId="6BF67FE6"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815" w:type="pct"/>
            <w:tcBorders>
              <w:top w:val="nil"/>
              <w:left w:val="nil"/>
              <w:bottom w:val="nil"/>
              <w:right w:val="single" w:sz="4" w:space="0" w:color="auto"/>
            </w:tcBorders>
            <w:shd w:val="clear" w:color="auto" w:fill="auto"/>
            <w:noWrap/>
            <w:vAlign w:val="center"/>
            <w:hideMark/>
          </w:tcPr>
          <w:p w14:paraId="6A9585ED"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908" w:type="pct"/>
            <w:tcBorders>
              <w:top w:val="nil"/>
              <w:left w:val="nil"/>
              <w:bottom w:val="nil"/>
              <w:right w:val="single" w:sz="4" w:space="0" w:color="auto"/>
            </w:tcBorders>
            <w:shd w:val="clear" w:color="auto" w:fill="auto"/>
            <w:noWrap/>
            <w:vAlign w:val="center"/>
            <w:hideMark/>
          </w:tcPr>
          <w:p w14:paraId="053FBA2E"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c>
          <w:tcPr>
            <w:tcW w:w="864" w:type="pct"/>
            <w:tcBorders>
              <w:top w:val="nil"/>
              <w:left w:val="nil"/>
              <w:bottom w:val="nil"/>
              <w:right w:val="single" w:sz="4" w:space="0" w:color="auto"/>
            </w:tcBorders>
            <w:shd w:val="clear" w:color="auto" w:fill="auto"/>
            <w:noWrap/>
            <w:vAlign w:val="center"/>
            <w:hideMark/>
          </w:tcPr>
          <w:p w14:paraId="78D62B75" w14:textId="77777777" w:rsidR="00B56A7B" w:rsidRPr="00111876" w:rsidRDefault="00B56A7B" w:rsidP="00CC47BD">
            <w:pPr>
              <w:keepNext/>
              <w:keepLines/>
              <w:overflowPunct/>
              <w:autoSpaceDE/>
              <w:autoSpaceDN/>
              <w:adjustRightInd/>
              <w:spacing w:before="0"/>
              <w:jc w:val="right"/>
              <w:textAlignment w:val="auto"/>
              <w:rPr>
                <w:rFonts w:cs="Calibri"/>
                <w:sz w:val="18"/>
                <w:szCs w:val="18"/>
                <w:lang w:val="en-US" w:eastAsia="zh-CN"/>
              </w:rPr>
            </w:pPr>
          </w:p>
        </w:tc>
      </w:tr>
      <w:tr w:rsidR="00B56A7B" w:rsidRPr="00111876" w14:paraId="66F731F1"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0F9E24C8" w14:textId="77777777" w:rsidR="00B56A7B" w:rsidRPr="00111876" w:rsidRDefault="00B56A7B" w:rsidP="00CC47BD">
            <w:pPr>
              <w:overflowPunct/>
              <w:adjustRightInd/>
              <w:spacing w:before="0"/>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14:paraId="40F5C1DB"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p>
        </w:tc>
        <w:tc>
          <w:tcPr>
            <w:tcW w:w="815" w:type="pct"/>
            <w:tcBorders>
              <w:top w:val="nil"/>
              <w:left w:val="nil"/>
              <w:bottom w:val="nil"/>
              <w:right w:val="single" w:sz="4" w:space="0" w:color="auto"/>
            </w:tcBorders>
            <w:shd w:val="clear" w:color="auto" w:fill="auto"/>
            <w:noWrap/>
            <w:vAlign w:val="center"/>
            <w:hideMark/>
          </w:tcPr>
          <w:p w14:paraId="2F1AC70D"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p>
        </w:tc>
        <w:tc>
          <w:tcPr>
            <w:tcW w:w="908" w:type="pct"/>
            <w:tcBorders>
              <w:top w:val="nil"/>
              <w:left w:val="nil"/>
              <w:bottom w:val="nil"/>
              <w:right w:val="single" w:sz="4" w:space="0" w:color="auto"/>
            </w:tcBorders>
            <w:shd w:val="clear" w:color="auto" w:fill="auto"/>
            <w:noWrap/>
            <w:vAlign w:val="center"/>
            <w:hideMark/>
          </w:tcPr>
          <w:p w14:paraId="3153050E"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p>
        </w:tc>
        <w:tc>
          <w:tcPr>
            <w:tcW w:w="864" w:type="pct"/>
            <w:tcBorders>
              <w:top w:val="nil"/>
              <w:left w:val="nil"/>
              <w:bottom w:val="nil"/>
              <w:right w:val="single" w:sz="4" w:space="0" w:color="auto"/>
            </w:tcBorders>
            <w:shd w:val="clear" w:color="auto" w:fill="auto"/>
            <w:noWrap/>
            <w:vAlign w:val="center"/>
            <w:hideMark/>
          </w:tcPr>
          <w:p w14:paraId="58F5C0ED"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p>
        </w:tc>
      </w:tr>
      <w:tr w:rsidR="00B56A7B" w:rsidRPr="00111876" w14:paraId="2E9C5DED"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3443CF55" w14:textId="77777777" w:rsidR="00B56A7B" w:rsidRPr="00111876" w:rsidRDefault="00B56A7B" w:rsidP="00CC47BD">
            <w:pPr>
              <w:spacing w:before="100"/>
              <w:rPr>
                <w:rFonts w:cs="Calibri"/>
                <w:sz w:val="18"/>
                <w:szCs w:val="18"/>
                <w:lang w:val="fr-CH"/>
              </w:rPr>
            </w:pPr>
            <w:r w:rsidRPr="00111876">
              <w:rPr>
                <w:rFonts w:cs="Calibri" w:hint="eastAsia"/>
                <w:sz w:val="18"/>
                <w:szCs w:val="18"/>
                <w:lang w:val="fr-CH" w:eastAsia="zh-CN"/>
              </w:rPr>
              <w:t>投资利</w:t>
            </w:r>
            <w:r w:rsidRPr="00111876">
              <w:rPr>
                <w:rFonts w:cs="Calibri"/>
                <w:sz w:val="18"/>
                <w:szCs w:val="18"/>
                <w:lang w:val="fr-CH" w:eastAsia="zh-CN"/>
              </w:rPr>
              <w:t>息</w:t>
            </w:r>
          </w:p>
        </w:tc>
        <w:tc>
          <w:tcPr>
            <w:tcW w:w="752" w:type="pct"/>
            <w:tcBorders>
              <w:top w:val="nil"/>
              <w:left w:val="nil"/>
              <w:bottom w:val="nil"/>
              <w:right w:val="single" w:sz="4" w:space="0" w:color="auto"/>
            </w:tcBorders>
            <w:shd w:val="clear" w:color="auto" w:fill="auto"/>
            <w:noWrap/>
            <w:vAlign w:val="center"/>
            <w:hideMark/>
          </w:tcPr>
          <w:p w14:paraId="2875AF1F" w14:textId="2069D5D8" w:rsidR="00B56A7B" w:rsidRPr="00111876" w:rsidRDefault="00B56A7B" w:rsidP="00CC47BD">
            <w:pPr>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30</w:t>
            </w:r>
            <w:r w:rsidR="00111876">
              <w:rPr>
                <w:rFonts w:cs="Calibri"/>
                <w:sz w:val="18"/>
                <w:szCs w:val="18"/>
                <w:lang w:val="en-US" w:eastAsia="zh-CN"/>
              </w:rPr>
              <w:t> </w:t>
            </w:r>
            <w:r w:rsidRPr="00111876">
              <w:rPr>
                <w:rFonts w:cs="Calibri"/>
                <w:sz w:val="18"/>
                <w:szCs w:val="18"/>
                <w:lang w:val="en-US" w:eastAsia="zh-CN"/>
              </w:rPr>
              <w:t>327.85</w:t>
            </w:r>
          </w:p>
        </w:tc>
        <w:tc>
          <w:tcPr>
            <w:tcW w:w="815" w:type="pct"/>
            <w:tcBorders>
              <w:top w:val="nil"/>
              <w:left w:val="nil"/>
              <w:bottom w:val="nil"/>
              <w:right w:val="single" w:sz="4" w:space="0" w:color="auto"/>
            </w:tcBorders>
            <w:shd w:val="clear" w:color="auto" w:fill="auto"/>
            <w:noWrap/>
            <w:vAlign w:val="center"/>
            <w:hideMark/>
          </w:tcPr>
          <w:p w14:paraId="45CBF76D" w14:textId="30ADFA32" w:rsidR="00B56A7B" w:rsidRPr="00111876" w:rsidRDefault="00B56A7B" w:rsidP="00CC47BD">
            <w:pPr>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24</w:t>
            </w:r>
            <w:r w:rsidR="00111876">
              <w:rPr>
                <w:rFonts w:cs="Calibri"/>
                <w:sz w:val="18"/>
                <w:szCs w:val="18"/>
                <w:lang w:val="en-US" w:eastAsia="zh-CN"/>
              </w:rPr>
              <w:t> </w:t>
            </w:r>
            <w:r w:rsidRPr="00111876">
              <w:rPr>
                <w:rFonts w:cs="Calibri"/>
                <w:sz w:val="18"/>
                <w:szCs w:val="18"/>
                <w:lang w:val="en-US" w:eastAsia="zh-CN"/>
              </w:rPr>
              <w:t>992.39</w:t>
            </w:r>
          </w:p>
        </w:tc>
        <w:tc>
          <w:tcPr>
            <w:tcW w:w="908" w:type="pct"/>
            <w:tcBorders>
              <w:top w:val="nil"/>
              <w:left w:val="nil"/>
              <w:bottom w:val="nil"/>
              <w:right w:val="single" w:sz="4" w:space="0" w:color="auto"/>
            </w:tcBorders>
            <w:shd w:val="clear" w:color="auto" w:fill="auto"/>
            <w:noWrap/>
            <w:vAlign w:val="center"/>
            <w:hideMark/>
          </w:tcPr>
          <w:p w14:paraId="3CDFEF28"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w:t>
            </w:r>
          </w:p>
        </w:tc>
        <w:tc>
          <w:tcPr>
            <w:tcW w:w="864" w:type="pct"/>
            <w:tcBorders>
              <w:top w:val="nil"/>
              <w:left w:val="nil"/>
              <w:bottom w:val="nil"/>
              <w:right w:val="single" w:sz="4" w:space="0" w:color="auto"/>
            </w:tcBorders>
            <w:shd w:val="clear" w:color="auto" w:fill="auto"/>
            <w:noWrap/>
            <w:vAlign w:val="center"/>
            <w:hideMark/>
          </w:tcPr>
          <w:p w14:paraId="75E6B435"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w:t>
            </w:r>
          </w:p>
        </w:tc>
      </w:tr>
      <w:tr w:rsidR="00B56A7B" w:rsidRPr="00111876" w14:paraId="34784220"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3FCC0C90" w14:textId="77777777" w:rsidR="00B56A7B" w:rsidRPr="00111876" w:rsidRDefault="00B56A7B" w:rsidP="00CC47BD">
            <w:pPr>
              <w:spacing w:before="100"/>
              <w:rPr>
                <w:rFonts w:cs="Calibri"/>
                <w:sz w:val="18"/>
                <w:szCs w:val="18"/>
              </w:rPr>
            </w:pPr>
            <w:r w:rsidRPr="00111876">
              <w:rPr>
                <w:rFonts w:cs="Calibri" w:hint="eastAsia"/>
                <w:sz w:val="18"/>
                <w:szCs w:val="18"/>
                <w:lang w:eastAsia="zh-CN"/>
              </w:rPr>
              <w:t>其他财务</w:t>
            </w:r>
            <w:r w:rsidRPr="00111876">
              <w:rPr>
                <w:rFonts w:cs="Calibri" w:hint="eastAsia"/>
                <w:sz w:val="18"/>
                <w:szCs w:val="18"/>
              </w:rPr>
              <w:t>收入</w:t>
            </w:r>
          </w:p>
        </w:tc>
        <w:tc>
          <w:tcPr>
            <w:tcW w:w="752" w:type="pct"/>
            <w:tcBorders>
              <w:top w:val="nil"/>
              <w:left w:val="nil"/>
              <w:bottom w:val="nil"/>
              <w:right w:val="single" w:sz="4" w:space="0" w:color="auto"/>
            </w:tcBorders>
            <w:shd w:val="clear" w:color="auto" w:fill="auto"/>
            <w:noWrap/>
            <w:vAlign w:val="center"/>
            <w:hideMark/>
          </w:tcPr>
          <w:p w14:paraId="120AC463" w14:textId="244AD574" w:rsidR="00B56A7B" w:rsidRPr="00111876" w:rsidRDefault="00B56A7B" w:rsidP="00CC47BD">
            <w:pPr>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186</w:t>
            </w:r>
            <w:r w:rsidR="00111876">
              <w:rPr>
                <w:rFonts w:cs="Calibri"/>
                <w:sz w:val="18"/>
                <w:szCs w:val="18"/>
                <w:lang w:val="en-US" w:eastAsia="zh-CN"/>
              </w:rPr>
              <w:t> </w:t>
            </w:r>
            <w:r w:rsidRPr="00111876">
              <w:rPr>
                <w:rFonts w:cs="Calibri"/>
                <w:sz w:val="18"/>
                <w:szCs w:val="18"/>
                <w:lang w:val="en-US" w:eastAsia="zh-CN"/>
              </w:rPr>
              <w:t>208.88</w:t>
            </w:r>
          </w:p>
        </w:tc>
        <w:tc>
          <w:tcPr>
            <w:tcW w:w="815" w:type="pct"/>
            <w:tcBorders>
              <w:top w:val="nil"/>
              <w:left w:val="nil"/>
              <w:bottom w:val="nil"/>
              <w:right w:val="single" w:sz="4" w:space="0" w:color="auto"/>
            </w:tcBorders>
            <w:shd w:val="clear" w:color="auto" w:fill="auto"/>
            <w:noWrap/>
            <w:vAlign w:val="center"/>
            <w:hideMark/>
          </w:tcPr>
          <w:p w14:paraId="421CB5CC" w14:textId="19936AA3" w:rsidR="00B56A7B" w:rsidRPr="00111876" w:rsidRDefault="00B56A7B" w:rsidP="00CC47BD">
            <w:pPr>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4</w:t>
            </w:r>
            <w:r w:rsidR="00111876">
              <w:rPr>
                <w:rFonts w:cs="Calibri"/>
                <w:sz w:val="18"/>
                <w:szCs w:val="18"/>
                <w:lang w:val="en-US" w:eastAsia="zh-CN"/>
              </w:rPr>
              <w:t> </w:t>
            </w:r>
            <w:r w:rsidRPr="00111876">
              <w:rPr>
                <w:rFonts w:cs="Calibri"/>
                <w:sz w:val="18"/>
                <w:szCs w:val="18"/>
                <w:lang w:val="en-US" w:eastAsia="zh-CN"/>
              </w:rPr>
              <w:t>315.15</w:t>
            </w:r>
          </w:p>
        </w:tc>
        <w:tc>
          <w:tcPr>
            <w:tcW w:w="908" w:type="pct"/>
            <w:tcBorders>
              <w:top w:val="nil"/>
              <w:left w:val="nil"/>
              <w:bottom w:val="nil"/>
              <w:right w:val="single" w:sz="4" w:space="0" w:color="auto"/>
            </w:tcBorders>
            <w:shd w:val="clear" w:color="auto" w:fill="auto"/>
            <w:noWrap/>
            <w:vAlign w:val="center"/>
            <w:hideMark/>
          </w:tcPr>
          <w:p w14:paraId="627736E9"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w:t>
            </w:r>
          </w:p>
        </w:tc>
        <w:tc>
          <w:tcPr>
            <w:tcW w:w="864" w:type="pct"/>
            <w:tcBorders>
              <w:top w:val="nil"/>
              <w:left w:val="nil"/>
              <w:bottom w:val="nil"/>
              <w:right w:val="single" w:sz="4" w:space="0" w:color="auto"/>
            </w:tcBorders>
            <w:shd w:val="clear" w:color="auto" w:fill="auto"/>
            <w:noWrap/>
            <w:vAlign w:val="center"/>
            <w:hideMark/>
          </w:tcPr>
          <w:p w14:paraId="128286C0"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r w:rsidRPr="00111876">
              <w:rPr>
                <w:rFonts w:cs="Calibri"/>
                <w:sz w:val="18"/>
                <w:szCs w:val="18"/>
                <w:lang w:val="en-US" w:eastAsia="zh-CN"/>
              </w:rPr>
              <w:t>-</w:t>
            </w:r>
          </w:p>
        </w:tc>
      </w:tr>
      <w:tr w:rsidR="00B56A7B" w:rsidRPr="00111876" w14:paraId="1EA9745D" w14:textId="77777777" w:rsidTr="00CC47BD">
        <w:trPr>
          <w:trHeight w:val="255"/>
        </w:trPr>
        <w:tc>
          <w:tcPr>
            <w:tcW w:w="1661" w:type="pct"/>
            <w:tcBorders>
              <w:top w:val="nil"/>
              <w:left w:val="single" w:sz="4" w:space="0" w:color="auto"/>
              <w:right w:val="single" w:sz="4" w:space="0" w:color="auto"/>
            </w:tcBorders>
            <w:shd w:val="clear" w:color="auto" w:fill="auto"/>
            <w:noWrap/>
            <w:vAlign w:val="center"/>
            <w:hideMark/>
          </w:tcPr>
          <w:p w14:paraId="048D9F51" w14:textId="77777777" w:rsidR="00B56A7B" w:rsidRPr="00111876" w:rsidRDefault="00B56A7B" w:rsidP="00CC47BD">
            <w:pPr>
              <w:overflowPunct/>
              <w:adjustRightInd/>
              <w:spacing w:before="0"/>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 </w:t>
            </w:r>
          </w:p>
        </w:tc>
        <w:tc>
          <w:tcPr>
            <w:tcW w:w="752" w:type="pct"/>
            <w:tcBorders>
              <w:top w:val="nil"/>
              <w:left w:val="nil"/>
              <w:right w:val="single" w:sz="4" w:space="0" w:color="auto"/>
            </w:tcBorders>
            <w:shd w:val="clear" w:color="auto" w:fill="auto"/>
            <w:noWrap/>
            <w:vAlign w:val="center"/>
            <w:hideMark/>
          </w:tcPr>
          <w:p w14:paraId="4825AA29"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p>
        </w:tc>
        <w:tc>
          <w:tcPr>
            <w:tcW w:w="815" w:type="pct"/>
            <w:tcBorders>
              <w:top w:val="nil"/>
              <w:left w:val="nil"/>
              <w:right w:val="single" w:sz="4" w:space="0" w:color="auto"/>
            </w:tcBorders>
            <w:shd w:val="clear" w:color="auto" w:fill="auto"/>
            <w:noWrap/>
            <w:vAlign w:val="center"/>
            <w:hideMark/>
          </w:tcPr>
          <w:p w14:paraId="67FDC886"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p>
        </w:tc>
        <w:tc>
          <w:tcPr>
            <w:tcW w:w="908" w:type="pct"/>
            <w:tcBorders>
              <w:top w:val="nil"/>
              <w:left w:val="nil"/>
              <w:right w:val="single" w:sz="4" w:space="0" w:color="auto"/>
            </w:tcBorders>
            <w:shd w:val="clear" w:color="auto" w:fill="auto"/>
            <w:noWrap/>
            <w:vAlign w:val="center"/>
            <w:hideMark/>
          </w:tcPr>
          <w:p w14:paraId="0E02B086"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p>
        </w:tc>
        <w:tc>
          <w:tcPr>
            <w:tcW w:w="864" w:type="pct"/>
            <w:tcBorders>
              <w:top w:val="nil"/>
              <w:left w:val="nil"/>
              <w:right w:val="single" w:sz="4" w:space="0" w:color="auto"/>
            </w:tcBorders>
            <w:shd w:val="clear" w:color="auto" w:fill="auto"/>
            <w:noWrap/>
            <w:vAlign w:val="center"/>
            <w:hideMark/>
          </w:tcPr>
          <w:p w14:paraId="183AB11D"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p>
        </w:tc>
      </w:tr>
      <w:tr w:rsidR="00B56A7B" w:rsidRPr="00111876" w14:paraId="61D421EA" w14:textId="77777777" w:rsidTr="00CC47BD">
        <w:trPr>
          <w:trHeight w:val="300"/>
        </w:trPr>
        <w:tc>
          <w:tcPr>
            <w:tcW w:w="1661" w:type="pct"/>
            <w:tcBorders>
              <w:top w:val="nil"/>
              <w:left w:val="single" w:sz="4" w:space="0" w:color="auto"/>
              <w:bottom w:val="nil"/>
              <w:right w:val="single" w:sz="4" w:space="0" w:color="auto"/>
            </w:tcBorders>
            <w:shd w:val="clear" w:color="auto" w:fill="auto"/>
            <w:noWrap/>
            <w:vAlign w:val="center"/>
            <w:hideMark/>
          </w:tcPr>
          <w:p w14:paraId="65E1CA8E" w14:textId="77777777" w:rsidR="00B56A7B" w:rsidRPr="00111876" w:rsidRDefault="00B56A7B" w:rsidP="00CC47BD">
            <w:pPr>
              <w:overflowPunct/>
              <w:adjustRightInd/>
              <w:spacing w:before="0"/>
              <w:textAlignment w:val="auto"/>
              <w:rPr>
                <w:rFonts w:asciiTheme="minorHAnsi" w:hAnsiTheme="minorHAnsi"/>
                <w:b/>
                <w:bCs/>
                <w:sz w:val="18"/>
                <w:szCs w:val="18"/>
                <w:lang w:val="en-US" w:eastAsia="zh-CN"/>
              </w:rPr>
            </w:pPr>
            <w:r w:rsidRPr="00111876">
              <w:rPr>
                <w:rFonts w:cs="Calibri" w:hint="eastAsia"/>
                <w:b/>
                <w:bCs/>
                <w:sz w:val="18"/>
                <w:szCs w:val="18"/>
                <w:lang w:eastAsia="zh-CN"/>
              </w:rPr>
              <w:t>收入合计</w:t>
            </w:r>
          </w:p>
        </w:tc>
        <w:tc>
          <w:tcPr>
            <w:tcW w:w="752" w:type="pct"/>
            <w:tcBorders>
              <w:top w:val="nil"/>
              <w:left w:val="nil"/>
              <w:bottom w:val="nil"/>
              <w:right w:val="single" w:sz="4" w:space="0" w:color="auto"/>
            </w:tcBorders>
            <w:shd w:val="clear" w:color="auto" w:fill="auto"/>
            <w:noWrap/>
            <w:vAlign w:val="center"/>
            <w:hideMark/>
          </w:tcPr>
          <w:p w14:paraId="2224A153" w14:textId="7AEE2BC3" w:rsidR="00B56A7B" w:rsidRPr="00111876" w:rsidRDefault="00B56A7B" w:rsidP="00CC47BD">
            <w:pPr>
              <w:overflowPunct/>
              <w:autoSpaceDE/>
              <w:autoSpaceDN/>
              <w:adjustRightInd/>
              <w:spacing w:before="0"/>
              <w:jc w:val="right"/>
              <w:textAlignment w:val="auto"/>
              <w:rPr>
                <w:rFonts w:cs="Calibri"/>
                <w:b/>
                <w:bCs/>
                <w:sz w:val="18"/>
                <w:szCs w:val="18"/>
                <w:lang w:val="en-US" w:eastAsia="zh-CN"/>
              </w:rPr>
            </w:pPr>
            <w:r w:rsidRPr="00111876">
              <w:rPr>
                <w:rFonts w:cs="Calibri"/>
                <w:b/>
                <w:bCs/>
                <w:sz w:val="18"/>
                <w:szCs w:val="18"/>
                <w:lang w:val="en-US" w:eastAsia="zh-CN"/>
              </w:rPr>
              <w:t>216</w:t>
            </w:r>
            <w:r w:rsidR="00111876">
              <w:rPr>
                <w:rFonts w:cs="Calibri"/>
                <w:b/>
                <w:bCs/>
                <w:sz w:val="18"/>
                <w:szCs w:val="18"/>
                <w:lang w:val="en-US" w:eastAsia="zh-CN"/>
              </w:rPr>
              <w:t> </w:t>
            </w:r>
            <w:r w:rsidRPr="00111876">
              <w:rPr>
                <w:rFonts w:cs="Calibri"/>
                <w:b/>
                <w:bCs/>
                <w:sz w:val="18"/>
                <w:szCs w:val="18"/>
                <w:lang w:val="en-US" w:eastAsia="zh-CN"/>
              </w:rPr>
              <w:t>536.73</w:t>
            </w:r>
          </w:p>
        </w:tc>
        <w:tc>
          <w:tcPr>
            <w:tcW w:w="815" w:type="pct"/>
            <w:tcBorders>
              <w:top w:val="nil"/>
              <w:left w:val="nil"/>
              <w:bottom w:val="nil"/>
              <w:right w:val="single" w:sz="4" w:space="0" w:color="auto"/>
            </w:tcBorders>
            <w:shd w:val="clear" w:color="auto" w:fill="auto"/>
            <w:noWrap/>
            <w:vAlign w:val="center"/>
            <w:hideMark/>
          </w:tcPr>
          <w:p w14:paraId="724DAAAA" w14:textId="2CA2BADE" w:rsidR="00B56A7B" w:rsidRPr="00111876" w:rsidRDefault="00B56A7B" w:rsidP="00CC47BD">
            <w:pPr>
              <w:overflowPunct/>
              <w:autoSpaceDE/>
              <w:autoSpaceDN/>
              <w:adjustRightInd/>
              <w:spacing w:before="0"/>
              <w:jc w:val="right"/>
              <w:textAlignment w:val="auto"/>
              <w:rPr>
                <w:rFonts w:cs="Calibri"/>
                <w:b/>
                <w:bCs/>
                <w:sz w:val="18"/>
                <w:szCs w:val="18"/>
                <w:lang w:val="en-US" w:eastAsia="zh-CN"/>
              </w:rPr>
            </w:pPr>
            <w:r w:rsidRPr="00111876">
              <w:rPr>
                <w:rFonts w:cs="Calibri"/>
                <w:b/>
                <w:bCs/>
                <w:sz w:val="18"/>
                <w:szCs w:val="18"/>
                <w:lang w:val="en-US" w:eastAsia="zh-CN"/>
              </w:rPr>
              <w:t>16</w:t>
            </w:r>
            <w:r w:rsidR="00111876">
              <w:rPr>
                <w:rFonts w:cs="Calibri"/>
                <w:b/>
                <w:bCs/>
                <w:sz w:val="18"/>
                <w:szCs w:val="18"/>
                <w:lang w:val="en-US" w:eastAsia="zh-CN"/>
              </w:rPr>
              <w:t> </w:t>
            </w:r>
            <w:r w:rsidRPr="00111876">
              <w:rPr>
                <w:rFonts w:cs="Calibri"/>
                <w:b/>
                <w:bCs/>
                <w:sz w:val="18"/>
                <w:szCs w:val="18"/>
                <w:lang w:val="en-US" w:eastAsia="zh-CN"/>
              </w:rPr>
              <w:t>864.80</w:t>
            </w:r>
          </w:p>
        </w:tc>
        <w:tc>
          <w:tcPr>
            <w:tcW w:w="908" w:type="pct"/>
            <w:tcBorders>
              <w:top w:val="nil"/>
              <w:left w:val="nil"/>
              <w:bottom w:val="nil"/>
              <w:right w:val="single" w:sz="4" w:space="0" w:color="auto"/>
            </w:tcBorders>
            <w:shd w:val="clear" w:color="auto" w:fill="auto"/>
            <w:noWrap/>
            <w:vAlign w:val="center"/>
            <w:hideMark/>
          </w:tcPr>
          <w:p w14:paraId="289940D5" w14:textId="77777777" w:rsidR="00B56A7B" w:rsidRPr="00111876" w:rsidRDefault="00B56A7B" w:rsidP="00CC47BD">
            <w:pPr>
              <w:overflowPunct/>
              <w:autoSpaceDE/>
              <w:autoSpaceDN/>
              <w:adjustRightInd/>
              <w:spacing w:before="0"/>
              <w:jc w:val="right"/>
              <w:textAlignment w:val="auto"/>
              <w:rPr>
                <w:rFonts w:cs="Calibri"/>
                <w:b/>
                <w:bCs/>
                <w:sz w:val="18"/>
                <w:szCs w:val="18"/>
                <w:lang w:val="en-US" w:eastAsia="zh-CN"/>
              </w:rPr>
            </w:pPr>
            <w:r w:rsidRPr="00111876">
              <w:rPr>
                <w:rFonts w:cs="Calibri"/>
                <w:sz w:val="18"/>
                <w:szCs w:val="18"/>
                <w:lang w:val="en-US" w:eastAsia="zh-CN"/>
              </w:rPr>
              <w:t>-</w:t>
            </w:r>
          </w:p>
        </w:tc>
        <w:tc>
          <w:tcPr>
            <w:tcW w:w="864" w:type="pct"/>
            <w:tcBorders>
              <w:top w:val="nil"/>
              <w:left w:val="nil"/>
              <w:bottom w:val="nil"/>
              <w:right w:val="single" w:sz="4" w:space="0" w:color="auto"/>
            </w:tcBorders>
            <w:shd w:val="clear" w:color="auto" w:fill="auto"/>
            <w:noWrap/>
            <w:vAlign w:val="center"/>
            <w:hideMark/>
          </w:tcPr>
          <w:p w14:paraId="1A58F5A3" w14:textId="77777777" w:rsidR="00B56A7B" w:rsidRPr="00111876" w:rsidRDefault="00B56A7B" w:rsidP="00CC47BD">
            <w:pPr>
              <w:overflowPunct/>
              <w:autoSpaceDE/>
              <w:autoSpaceDN/>
              <w:adjustRightInd/>
              <w:spacing w:before="0"/>
              <w:jc w:val="right"/>
              <w:textAlignment w:val="auto"/>
              <w:rPr>
                <w:rFonts w:cs="Calibri"/>
                <w:b/>
                <w:bCs/>
                <w:sz w:val="18"/>
                <w:szCs w:val="18"/>
                <w:lang w:val="en-US" w:eastAsia="zh-CN"/>
              </w:rPr>
            </w:pPr>
            <w:r w:rsidRPr="00111876">
              <w:rPr>
                <w:rFonts w:cs="Calibri"/>
                <w:sz w:val="18"/>
                <w:szCs w:val="18"/>
                <w:lang w:val="en-US" w:eastAsia="zh-CN"/>
              </w:rPr>
              <w:t>-</w:t>
            </w:r>
          </w:p>
        </w:tc>
      </w:tr>
      <w:tr w:rsidR="00B56A7B" w:rsidRPr="00111876" w14:paraId="131D62FF" w14:textId="77777777" w:rsidTr="00CC47BD">
        <w:trPr>
          <w:trHeight w:val="300"/>
        </w:trPr>
        <w:tc>
          <w:tcPr>
            <w:tcW w:w="1661" w:type="pct"/>
            <w:tcBorders>
              <w:top w:val="nil"/>
              <w:left w:val="single" w:sz="4" w:space="0" w:color="auto"/>
              <w:bottom w:val="single" w:sz="4" w:space="0" w:color="auto"/>
              <w:right w:val="single" w:sz="4" w:space="0" w:color="auto"/>
            </w:tcBorders>
            <w:shd w:val="clear" w:color="auto" w:fill="auto"/>
            <w:noWrap/>
            <w:vAlign w:val="center"/>
          </w:tcPr>
          <w:p w14:paraId="2225F496" w14:textId="77777777" w:rsidR="00B56A7B" w:rsidRPr="00111876" w:rsidRDefault="00B56A7B" w:rsidP="00CC47BD">
            <w:pPr>
              <w:overflowPunct/>
              <w:autoSpaceDE/>
              <w:autoSpaceDN/>
              <w:adjustRightInd/>
              <w:spacing w:before="0"/>
              <w:textAlignment w:val="auto"/>
              <w:rPr>
                <w:rFonts w:asciiTheme="minorHAnsi" w:hAnsiTheme="minorHAnsi"/>
                <w:b/>
                <w:bCs/>
                <w:sz w:val="18"/>
                <w:szCs w:val="18"/>
                <w:lang w:val="en-US" w:eastAsia="zh-CN"/>
              </w:rPr>
            </w:pPr>
            <w:r w:rsidRPr="00111876">
              <w:rPr>
                <w:rFonts w:asciiTheme="minorHAnsi" w:hAnsiTheme="minorHAnsi" w:hint="eastAsia"/>
                <w:b/>
                <w:bCs/>
                <w:sz w:val="18"/>
                <w:szCs w:val="18"/>
                <w:lang w:val="en-US" w:eastAsia="zh-CN"/>
              </w:rPr>
              <w:t>本期盈余</w:t>
            </w:r>
            <w:r w:rsidRPr="00111876">
              <w:rPr>
                <w:rFonts w:asciiTheme="minorHAnsi" w:hAnsiTheme="minorHAnsi" w:hint="eastAsia"/>
                <w:b/>
                <w:bCs/>
                <w:sz w:val="18"/>
                <w:szCs w:val="18"/>
                <w:lang w:val="en-US" w:eastAsia="zh-CN"/>
              </w:rPr>
              <w:t>/</w:t>
            </w:r>
            <w:r w:rsidRPr="00111876">
              <w:rPr>
                <w:rFonts w:asciiTheme="minorHAnsi" w:hAnsiTheme="minorHAnsi" w:hint="eastAsia"/>
                <w:b/>
                <w:bCs/>
                <w:sz w:val="18"/>
                <w:szCs w:val="18"/>
                <w:lang w:val="en-US" w:eastAsia="zh-CN"/>
              </w:rPr>
              <w:t>赤字</w:t>
            </w:r>
          </w:p>
        </w:tc>
        <w:tc>
          <w:tcPr>
            <w:tcW w:w="752" w:type="pct"/>
            <w:tcBorders>
              <w:top w:val="nil"/>
              <w:left w:val="nil"/>
              <w:bottom w:val="single" w:sz="4" w:space="0" w:color="auto"/>
              <w:right w:val="single" w:sz="4" w:space="0" w:color="auto"/>
            </w:tcBorders>
            <w:shd w:val="clear" w:color="auto" w:fill="auto"/>
            <w:noWrap/>
            <w:vAlign w:val="center"/>
          </w:tcPr>
          <w:p w14:paraId="2524EB85" w14:textId="45038445" w:rsidR="00B56A7B" w:rsidRPr="00111876" w:rsidRDefault="00B56A7B" w:rsidP="00CC47BD">
            <w:pPr>
              <w:overflowPunct/>
              <w:autoSpaceDE/>
              <w:autoSpaceDN/>
              <w:adjustRightInd/>
              <w:spacing w:before="0"/>
              <w:jc w:val="right"/>
              <w:textAlignment w:val="auto"/>
              <w:rPr>
                <w:rFonts w:cs="Calibri"/>
                <w:b/>
                <w:bCs/>
                <w:sz w:val="18"/>
                <w:szCs w:val="18"/>
                <w:lang w:val="en-US" w:eastAsia="zh-CN"/>
              </w:rPr>
            </w:pPr>
            <w:r w:rsidRPr="00111876">
              <w:rPr>
                <w:rFonts w:cs="Calibri"/>
                <w:b/>
                <w:bCs/>
                <w:sz w:val="18"/>
                <w:szCs w:val="18"/>
                <w:lang w:val="en-US" w:eastAsia="zh-CN"/>
              </w:rPr>
              <w:t>125</w:t>
            </w:r>
            <w:r w:rsidR="00111876">
              <w:rPr>
                <w:rFonts w:cs="Calibri"/>
                <w:b/>
                <w:bCs/>
                <w:sz w:val="18"/>
                <w:szCs w:val="18"/>
                <w:lang w:val="en-US" w:eastAsia="zh-CN"/>
              </w:rPr>
              <w:t> </w:t>
            </w:r>
            <w:r w:rsidRPr="00111876">
              <w:rPr>
                <w:rFonts w:cs="Calibri"/>
                <w:b/>
                <w:bCs/>
                <w:sz w:val="18"/>
                <w:szCs w:val="18"/>
                <w:lang w:val="en-US" w:eastAsia="zh-CN"/>
              </w:rPr>
              <w:t>765.64</w:t>
            </w:r>
          </w:p>
        </w:tc>
        <w:tc>
          <w:tcPr>
            <w:tcW w:w="815" w:type="pct"/>
            <w:tcBorders>
              <w:top w:val="nil"/>
              <w:left w:val="nil"/>
              <w:bottom w:val="single" w:sz="4" w:space="0" w:color="auto"/>
              <w:right w:val="single" w:sz="4" w:space="0" w:color="auto"/>
            </w:tcBorders>
            <w:shd w:val="clear" w:color="auto" w:fill="auto"/>
            <w:noWrap/>
            <w:vAlign w:val="center"/>
          </w:tcPr>
          <w:p w14:paraId="146C1CAB" w14:textId="254C487A" w:rsidR="00B56A7B" w:rsidRPr="00111876" w:rsidRDefault="00B56A7B" w:rsidP="00CC47BD">
            <w:pPr>
              <w:overflowPunct/>
              <w:autoSpaceDE/>
              <w:autoSpaceDN/>
              <w:adjustRightInd/>
              <w:spacing w:before="0"/>
              <w:jc w:val="right"/>
              <w:textAlignment w:val="auto"/>
              <w:rPr>
                <w:rFonts w:cs="Calibri"/>
                <w:b/>
                <w:bCs/>
                <w:sz w:val="18"/>
                <w:szCs w:val="18"/>
                <w:lang w:val="en-US" w:eastAsia="zh-CN"/>
              </w:rPr>
            </w:pPr>
            <w:r w:rsidRPr="00111876">
              <w:rPr>
                <w:rFonts w:cs="Calibri"/>
                <w:b/>
                <w:bCs/>
                <w:sz w:val="18"/>
                <w:szCs w:val="18"/>
                <w:lang w:val="en-US" w:eastAsia="zh-CN"/>
              </w:rPr>
              <w:t>-401</w:t>
            </w:r>
            <w:r w:rsidR="00111876">
              <w:rPr>
                <w:rFonts w:cs="Calibri"/>
                <w:b/>
                <w:bCs/>
                <w:sz w:val="18"/>
                <w:szCs w:val="18"/>
                <w:lang w:val="en-US" w:eastAsia="zh-CN"/>
              </w:rPr>
              <w:t> </w:t>
            </w:r>
            <w:r w:rsidRPr="00111876">
              <w:rPr>
                <w:rFonts w:cs="Calibri"/>
                <w:b/>
                <w:bCs/>
                <w:sz w:val="18"/>
                <w:szCs w:val="18"/>
                <w:lang w:val="en-US" w:eastAsia="zh-CN"/>
              </w:rPr>
              <w:t>134.58</w:t>
            </w:r>
          </w:p>
        </w:tc>
        <w:tc>
          <w:tcPr>
            <w:tcW w:w="908" w:type="pct"/>
            <w:tcBorders>
              <w:top w:val="nil"/>
              <w:left w:val="nil"/>
              <w:bottom w:val="single" w:sz="4" w:space="0" w:color="auto"/>
              <w:right w:val="single" w:sz="4" w:space="0" w:color="auto"/>
            </w:tcBorders>
            <w:shd w:val="clear" w:color="auto" w:fill="auto"/>
            <w:noWrap/>
            <w:vAlign w:val="center"/>
          </w:tcPr>
          <w:p w14:paraId="12948D50" w14:textId="62AF4447" w:rsidR="00B56A7B" w:rsidRPr="00111876" w:rsidRDefault="00B56A7B" w:rsidP="00CC47BD">
            <w:pPr>
              <w:overflowPunct/>
              <w:autoSpaceDE/>
              <w:autoSpaceDN/>
              <w:adjustRightInd/>
              <w:spacing w:before="0"/>
              <w:jc w:val="right"/>
              <w:textAlignment w:val="auto"/>
              <w:rPr>
                <w:rFonts w:cs="Calibri"/>
                <w:b/>
                <w:bCs/>
                <w:sz w:val="18"/>
                <w:szCs w:val="18"/>
                <w:lang w:val="en-US" w:eastAsia="zh-CN"/>
              </w:rPr>
            </w:pPr>
            <w:r w:rsidRPr="00111876">
              <w:rPr>
                <w:rFonts w:cs="Calibri"/>
                <w:b/>
                <w:bCs/>
                <w:sz w:val="18"/>
                <w:szCs w:val="18"/>
                <w:lang w:val="en-US" w:eastAsia="zh-CN"/>
              </w:rPr>
              <w:t>-1</w:t>
            </w:r>
            <w:r w:rsidR="00111876">
              <w:rPr>
                <w:rFonts w:cs="Calibri"/>
                <w:b/>
                <w:bCs/>
                <w:sz w:val="18"/>
                <w:szCs w:val="18"/>
                <w:lang w:val="en-US" w:eastAsia="zh-CN"/>
              </w:rPr>
              <w:t> </w:t>
            </w:r>
            <w:r w:rsidRPr="00111876">
              <w:rPr>
                <w:rFonts w:cs="Calibri"/>
                <w:b/>
                <w:bCs/>
                <w:sz w:val="18"/>
                <w:szCs w:val="18"/>
                <w:lang w:val="en-US" w:eastAsia="zh-CN"/>
              </w:rPr>
              <w:t>616.88</w:t>
            </w:r>
          </w:p>
        </w:tc>
        <w:tc>
          <w:tcPr>
            <w:tcW w:w="864" w:type="pct"/>
            <w:tcBorders>
              <w:top w:val="nil"/>
              <w:left w:val="nil"/>
              <w:bottom w:val="single" w:sz="4" w:space="0" w:color="auto"/>
              <w:right w:val="single" w:sz="4" w:space="0" w:color="auto"/>
            </w:tcBorders>
            <w:shd w:val="clear" w:color="auto" w:fill="auto"/>
            <w:noWrap/>
            <w:vAlign w:val="center"/>
          </w:tcPr>
          <w:p w14:paraId="67FDEA96" w14:textId="77777777" w:rsidR="00B56A7B" w:rsidRPr="00111876" w:rsidRDefault="00B56A7B" w:rsidP="00CC47BD">
            <w:pPr>
              <w:overflowPunct/>
              <w:autoSpaceDE/>
              <w:autoSpaceDN/>
              <w:adjustRightInd/>
              <w:spacing w:before="0"/>
              <w:jc w:val="right"/>
              <w:textAlignment w:val="auto"/>
              <w:rPr>
                <w:rFonts w:cs="Calibri"/>
                <w:sz w:val="18"/>
                <w:szCs w:val="18"/>
                <w:lang w:val="en-US" w:eastAsia="zh-CN"/>
              </w:rPr>
            </w:pPr>
            <w:r w:rsidRPr="00111876">
              <w:rPr>
                <w:rFonts w:cs="Calibri"/>
                <w:b/>
                <w:bCs/>
                <w:sz w:val="18"/>
                <w:szCs w:val="18"/>
                <w:lang w:val="en-US" w:eastAsia="zh-CN"/>
              </w:rPr>
              <w:t>-329.86</w:t>
            </w:r>
          </w:p>
        </w:tc>
      </w:tr>
    </w:tbl>
    <w:p w14:paraId="696B96B1" w14:textId="77777777" w:rsidR="00B56A7B" w:rsidRPr="000C156A" w:rsidRDefault="00B56A7B" w:rsidP="00B56A7B">
      <w:pPr>
        <w:spacing w:before="0"/>
        <w:rPr>
          <w:sz w:val="22"/>
          <w:szCs w:val="18"/>
          <w:lang w:val="en-US"/>
        </w:rPr>
      </w:pPr>
    </w:p>
    <w:tbl>
      <w:tblPr>
        <w:tblW w:w="5153" w:type="pct"/>
        <w:tblInd w:w="-147" w:type="dxa"/>
        <w:tblLook w:val="04A0" w:firstRow="1" w:lastRow="0" w:firstColumn="1" w:lastColumn="0" w:noHBand="0" w:noVBand="1"/>
      </w:tblPr>
      <w:tblGrid>
        <w:gridCol w:w="3417"/>
        <w:gridCol w:w="1983"/>
        <w:gridCol w:w="1379"/>
        <w:gridCol w:w="1633"/>
        <w:gridCol w:w="1512"/>
      </w:tblGrid>
      <w:tr w:rsidR="00B56A7B" w:rsidRPr="00111876" w14:paraId="72A24586" w14:textId="77777777" w:rsidTr="00CC47BD">
        <w:trPr>
          <w:trHeight w:val="331"/>
        </w:trPr>
        <w:tc>
          <w:tcPr>
            <w:tcW w:w="5000" w:type="pct"/>
            <w:gridSpan w:val="5"/>
            <w:tcBorders>
              <w:top w:val="single" w:sz="4" w:space="0" w:color="auto"/>
              <w:left w:val="single" w:sz="4" w:space="0" w:color="auto"/>
              <w:bottom w:val="nil"/>
              <w:right w:val="single" w:sz="4" w:space="0" w:color="auto"/>
            </w:tcBorders>
            <w:shd w:val="clear" w:color="auto" w:fill="auto"/>
            <w:noWrap/>
            <w:vAlign w:val="center"/>
            <w:hideMark/>
          </w:tcPr>
          <w:p w14:paraId="5F80FE22" w14:textId="77777777" w:rsidR="00B56A7B" w:rsidRPr="00111876" w:rsidRDefault="00B56A7B" w:rsidP="00CC47BD">
            <w:pPr>
              <w:overflowPunct/>
              <w:adjustRightInd/>
              <w:spacing w:before="0"/>
              <w:jc w:val="center"/>
              <w:textAlignment w:val="auto"/>
              <w:rPr>
                <w:rFonts w:asciiTheme="minorHAnsi" w:hAnsiTheme="minorHAnsi"/>
                <w:sz w:val="18"/>
                <w:szCs w:val="18"/>
                <w:lang w:val="en-US" w:eastAsia="zh-CN"/>
              </w:rPr>
            </w:pPr>
            <w:r w:rsidRPr="00111876">
              <w:rPr>
                <w:rFonts w:cs="Calibri" w:hint="eastAsia"/>
                <w:b/>
                <w:bCs/>
                <w:sz w:val="18"/>
                <w:szCs w:val="18"/>
                <w:lang w:val="en-US" w:eastAsia="zh-CN"/>
              </w:rPr>
              <w:t>截至</w:t>
            </w:r>
            <w:r w:rsidRPr="00111876">
              <w:rPr>
                <w:rFonts w:cs="Calibri" w:hint="eastAsia"/>
                <w:b/>
                <w:bCs/>
                <w:sz w:val="18"/>
                <w:szCs w:val="18"/>
                <w:lang w:val="en-US" w:eastAsia="zh-CN"/>
              </w:rPr>
              <w:t>202</w:t>
            </w:r>
            <w:r w:rsidRPr="00111876">
              <w:rPr>
                <w:rFonts w:cs="Calibri"/>
                <w:b/>
                <w:bCs/>
                <w:sz w:val="18"/>
                <w:szCs w:val="18"/>
                <w:lang w:val="en-US" w:eastAsia="zh-CN"/>
              </w:rPr>
              <w:t>1</w:t>
            </w:r>
            <w:r w:rsidRPr="00111876">
              <w:rPr>
                <w:rFonts w:cs="Calibri" w:hint="eastAsia"/>
                <w:b/>
                <w:bCs/>
                <w:sz w:val="18"/>
                <w:szCs w:val="18"/>
                <w:lang w:val="en-US" w:eastAsia="zh-CN"/>
              </w:rPr>
              <w:t>年</w:t>
            </w:r>
            <w:r w:rsidRPr="00111876">
              <w:rPr>
                <w:rFonts w:cs="Calibri" w:hint="eastAsia"/>
                <w:b/>
                <w:bCs/>
                <w:sz w:val="18"/>
                <w:szCs w:val="18"/>
                <w:lang w:val="en-US" w:eastAsia="zh-CN"/>
              </w:rPr>
              <w:t>12</w:t>
            </w:r>
            <w:r w:rsidRPr="00111876">
              <w:rPr>
                <w:rFonts w:cs="Calibri" w:hint="eastAsia"/>
                <w:b/>
                <w:bCs/>
                <w:sz w:val="18"/>
                <w:szCs w:val="18"/>
                <w:lang w:val="en-US" w:eastAsia="zh-CN"/>
              </w:rPr>
              <w:t>月</w:t>
            </w:r>
            <w:r w:rsidRPr="00111876">
              <w:rPr>
                <w:rFonts w:cs="Calibri" w:hint="eastAsia"/>
                <w:b/>
                <w:bCs/>
                <w:sz w:val="18"/>
                <w:szCs w:val="18"/>
                <w:lang w:val="en-US" w:eastAsia="zh-CN"/>
              </w:rPr>
              <w:t>31</w:t>
            </w:r>
            <w:r w:rsidRPr="00111876">
              <w:rPr>
                <w:rFonts w:cs="Calibri" w:hint="eastAsia"/>
                <w:b/>
                <w:bCs/>
                <w:sz w:val="18"/>
                <w:szCs w:val="18"/>
                <w:lang w:val="en-US" w:eastAsia="zh-CN"/>
              </w:rPr>
              <w:t>日的财务状况报表以及与</w:t>
            </w:r>
            <w:r w:rsidRPr="00111876">
              <w:rPr>
                <w:rFonts w:cs="Calibri" w:hint="eastAsia"/>
                <w:b/>
                <w:bCs/>
                <w:sz w:val="18"/>
                <w:szCs w:val="18"/>
                <w:lang w:val="en-US" w:eastAsia="zh-CN"/>
              </w:rPr>
              <w:t>20</w:t>
            </w:r>
            <w:r w:rsidRPr="00111876">
              <w:rPr>
                <w:rFonts w:cs="Calibri"/>
                <w:b/>
                <w:bCs/>
                <w:sz w:val="18"/>
                <w:szCs w:val="18"/>
                <w:lang w:val="en-US" w:eastAsia="zh-CN"/>
              </w:rPr>
              <w:t>20</w:t>
            </w:r>
            <w:r w:rsidRPr="00111876">
              <w:rPr>
                <w:rFonts w:cs="Calibri" w:hint="eastAsia"/>
                <w:b/>
                <w:bCs/>
                <w:sz w:val="18"/>
                <w:szCs w:val="18"/>
                <w:lang w:val="en-US" w:eastAsia="zh-CN"/>
              </w:rPr>
              <w:t>年</w:t>
            </w:r>
            <w:r w:rsidRPr="00111876">
              <w:rPr>
                <w:rFonts w:cs="Calibri" w:hint="eastAsia"/>
                <w:b/>
                <w:bCs/>
                <w:sz w:val="18"/>
                <w:szCs w:val="18"/>
                <w:lang w:val="en-US" w:eastAsia="zh-CN"/>
              </w:rPr>
              <w:t>12</w:t>
            </w:r>
            <w:r w:rsidRPr="00111876">
              <w:rPr>
                <w:rFonts w:cs="Calibri" w:hint="eastAsia"/>
                <w:b/>
                <w:bCs/>
                <w:sz w:val="18"/>
                <w:szCs w:val="18"/>
                <w:lang w:val="en-US" w:eastAsia="zh-CN"/>
              </w:rPr>
              <w:t>月</w:t>
            </w:r>
            <w:r w:rsidRPr="00111876">
              <w:rPr>
                <w:rFonts w:cs="Calibri" w:hint="eastAsia"/>
                <w:b/>
                <w:bCs/>
                <w:sz w:val="18"/>
                <w:szCs w:val="18"/>
                <w:lang w:val="en-US" w:eastAsia="zh-CN"/>
              </w:rPr>
              <w:t>31</w:t>
            </w:r>
            <w:r w:rsidRPr="00111876">
              <w:rPr>
                <w:rFonts w:cs="Calibri" w:hint="eastAsia"/>
                <w:b/>
                <w:bCs/>
                <w:sz w:val="18"/>
                <w:szCs w:val="18"/>
                <w:lang w:val="en-US" w:eastAsia="zh-CN"/>
              </w:rPr>
              <w:t>日数额的对比</w:t>
            </w:r>
          </w:p>
        </w:tc>
      </w:tr>
      <w:tr w:rsidR="00B56A7B" w:rsidRPr="00111876" w14:paraId="4DD5A562" w14:textId="77777777" w:rsidTr="00CC47BD">
        <w:trPr>
          <w:trHeight w:val="343"/>
        </w:trPr>
        <w:tc>
          <w:tcPr>
            <w:tcW w:w="1721" w:type="pct"/>
            <w:tcBorders>
              <w:top w:val="single" w:sz="4" w:space="0" w:color="auto"/>
              <w:left w:val="single" w:sz="4" w:space="0" w:color="auto"/>
              <w:bottom w:val="nil"/>
              <w:right w:val="single" w:sz="4" w:space="0" w:color="auto"/>
            </w:tcBorders>
            <w:shd w:val="clear" w:color="auto" w:fill="auto"/>
            <w:noWrap/>
            <w:vAlign w:val="center"/>
            <w:hideMark/>
          </w:tcPr>
          <w:p w14:paraId="56522A74" w14:textId="77777777" w:rsidR="00B56A7B" w:rsidRPr="00111876" w:rsidRDefault="00B56A7B" w:rsidP="00CC47BD">
            <w:pPr>
              <w:overflowPunct/>
              <w:adjustRightInd/>
              <w:spacing w:before="0"/>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 </w:t>
            </w:r>
          </w:p>
        </w:tc>
        <w:tc>
          <w:tcPr>
            <w:tcW w:w="1694" w:type="pct"/>
            <w:gridSpan w:val="2"/>
            <w:tcBorders>
              <w:top w:val="single" w:sz="4" w:space="0" w:color="auto"/>
              <w:left w:val="nil"/>
              <w:bottom w:val="nil"/>
              <w:right w:val="single" w:sz="4" w:space="0" w:color="000000"/>
            </w:tcBorders>
            <w:shd w:val="clear" w:color="auto" w:fill="auto"/>
            <w:vAlign w:val="center"/>
            <w:hideMark/>
          </w:tcPr>
          <w:p w14:paraId="293378E3" w14:textId="77777777" w:rsidR="00B56A7B" w:rsidRPr="00111876" w:rsidRDefault="00B56A7B" w:rsidP="00CC47BD">
            <w:pPr>
              <w:overflowPunct/>
              <w:adjustRightInd/>
              <w:spacing w:before="0"/>
              <w:jc w:val="center"/>
              <w:textAlignment w:val="auto"/>
              <w:rPr>
                <w:rFonts w:cs="Calibri"/>
                <w:b/>
                <w:bCs/>
                <w:sz w:val="18"/>
                <w:szCs w:val="18"/>
                <w:lang w:val="fr-FR"/>
              </w:rPr>
            </w:pPr>
            <w:r w:rsidRPr="00111876">
              <w:rPr>
                <w:rFonts w:cs="Calibri" w:hint="eastAsia"/>
                <w:b/>
                <w:bCs/>
                <w:sz w:val="18"/>
                <w:szCs w:val="18"/>
                <w:lang w:val="fr-FR"/>
              </w:rPr>
              <w:t>储备与补充基金</w:t>
            </w:r>
          </w:p>
        </w:tc>
        <w:tc>
          <w:tcPr>
            <w:tcW w:w="1586" w:type="pct"/>
            <w:gridSpan w:val="2"/>
            <w:tcBorders>
              <w:top w:val="single" w:sz="4" w:space="0" w:color="auto"/>
              <w:left w:val="nil"/>
              <w:bottom w:val="nil"/>
              <w:right w:val="single" w:sz="4" w:space="0" w:color="auto"/>
            </w:tcBorders>
            <w:shd w:val="clear" w:color="auto" w:fill="auto"/>
            <w:noWrap/>
            <w:vAlign w:val="center"/>
            <w:hideMark/>
          </w:tcPr>
          <w:p w14:paraId="36B160A7" w14:textId="77777777" w:rsidR="00B56A7B" w:rsidRPr="00111876" w:rsidRDefault="00B56A7B" w:rsidP="00CC47BD">
            <w:pPr>
              <w:overflowPunct/>
              <w:adjustRightInd/>
              <w:spacing w:before="0"/>
              <w:jc w:val="center"/>
              <w:textAlignment w:val="auto"/>
              <w:rPr>
                <w:rFonts w:asciiTheme="minorHAnsi" w:hAnsiTheme="minorHAnsi" w:cs="Arial"/>
                <w:b/>
                <w:bCs/>
                <w:sz w:val="18"/>
                <w:szCs w:val="18"/>
                <w:lang w:val="fr-CH" w:eastAsia="zh-CN"/>
              </w:rPr>
            </w:pPr>
            <w:r w:rsidRPr="00111876">
              <w:rPr>
                <w:rFonts w:cs="Calibri" w:hint="eastAsia"/>
                <w:b/>
                <w:bCs/>
                <w:sz w:val="18"/>
                <w:szCs w:val="18"/>
              </w:rPr>
              <w:t>援助基金</w:t>
            </w:r>
          </w:p>
        </w:tc>
      </w:tr>
      <w:tr w:rsidR="00B56A7B" w:rsidRPr="00111876" w14:paraId="4E1A3B67" w14:textId="77777777" w:rsidTr="00CC47BD">
        <w:trPr>
          <w:trHeight w:val="300"/>
        </w:trPr>
        <w:tc>
          <w:tcPr>
            <w:tcW w:w="1721" w:type="pct"/>
            <w:tcBorders>
              <w:top w:val="nil"/>
              <w:left w:val="single" w:sz="4" w:space="0" w:color="auto"/>
              <w:bottom w:val="nil"/>
              <w:right w:val="single" w:sz="4" w:space="0" w:color="auto"/>
            </w:tcBorders>
            <w:shd w:val="clear" w:color="auto" w:fill="auto"/>
            <w:noWrap/>
            <w:vAlign w:val="center"/>
            <w:hideMark/>
          </w:tcPr>
          <w:p w14:paraId="18367BB8" w14:textId="77777777" w:rsidR="00B56A7B" w:rsidRPr="00111876" w:rsidRDefault="00B56A7B" w:rsidP="00CC47BD">
            <w:pPr>
              <w:overflowPunct/>
              <w:adjustRightInd/>
              <w:spacing w:before="0"/>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 </w:t>
            </w:r>
          </w:p>
        </w:tc>
        <w:tc>
          <w:tcPr>
            <w:tcW w:w="1694" w:type="pct"/>
            <w:gridSpan w:val="2"/>
            <w:tcBorders>
              <w:top w:val="nil"/>
              <w:left w:val="nil"/>
              <w:bottom w:val="single" w:sz="4" w:space="0" w:color="auto"/>
              <w:right w:val="nil"/>
            </w:tcBorders>
            <w:shd w:val="clear" w:color="auto" w:fill="auto"/>
            <w:noWrap/>
            <w:vAlign w:val="center"/>
            <w:hideMark/>
          </w:tcPr>
          <w:p w14:paraId="7D34F085" w14:textId="77777777" w:rsidR="00B56A7B" w:rsidRPr="00111876" w:rsidRDefault="00B56A7B" w:rsidP="00CC47BD">
            <w:pPr>
              <w:spacing w:before="0"/>
              <w:jc w:val="center"/>
              <w:rPr>
                <w:sz w:val="18"/>
                <w:szCs w:val="18"/>
              </w:rPr>
            </w:pPr>
            <w:r w:rsidRPr="00111876">
              <w:rPr>
                <w:rFonts w:hint="eastAsia"/>
                <w:sz w:val="18"/>
                <w:szCs w:val="18"/>
              </w:rPr>
              <w:t>瑞郎</w:t>
            </w:r>
          </w:p>
        </w:tc>
        <w:tc>
          <w:tcPr>
            <w:tcW w:w="1586" w:type="pct"/>
            <w:gridSpan w:val="2"/>
            <w:tcBorders>
              <w:top w:val="nil"/>
              <w:left w:val="single" w:sz="4" w:space="0" w:color="auto"/>
              <w:bottom w:val="single" w:sz="4" w:space="0" w:color="auto"/>
              <w:right w:val="single" w:sz="4" w:space="0" w:color="auto"/>
            </w:tcBorders>
            <w:shd w:val="clear" w:color="auto" w:fill="auto"/>
            <w:noWrap/>
            <w:vAlign w:val="center"/>
            <w:hideMark/>
          </w:tcPr>
          <w:p w14:paraId="72FC24BC" w14:textId="77777777" w:rsidR="00B56A7B" w:rsidRPr="00111876" w:rsidRDefault="00B56A7B" w:rsidP="00CC47BD">
            <w:pPr>
              <w:spacing w:before="0"/>
              <w:jc w:val="center"/>
              <w:rPr>
                <w:sz w:val="18"/>
                <w:szCs w:val="18"/>
              </w:rPr>
            </w:pPr>
            <w:r w:rsidRPr="00111876">
              <w:rPr>
                <w:rFonts w:hint="eastAsia"/>
                <w:sz w:val="18"/>
                <w:szCs w:val="18"/>
              </w:rPr>
              <w:t>瑞郎</w:t>
            </w:r>
          </w:p>
        </w:tc>
      </w:tr>
      <w:tr w:rsidR="00B56A7B" w:rsidRPr="00111876" w14:paraId="3A2E8D26" w14:textId="77777777" w:rsidTr="00CC47BD">
        <w:trPr>
          <w:trHeight w:val="300"/>
        </w:trPr>
        <w:tc>
          <w:tcPr>
            <w:tcW w:w="1721" w:type="pct"/>
            <w:tcBorders>
              <w:top w:val="nil"/>
              <w:left w:val="single" w:sz="4" w:space="0" w:color="auto"/>
              <w:bottom w:val="nil"/>
              <w:right w:val="single" w:sz="4" w:space="0" w:color="auto"/>
            </w:tcBorders>
            <w:shd w:val="clear" w:color="auto" w:fill="auto"/>
            <w:noWrap/>
            <w:vAlign w:val="center"/>
            <w:hideMark/>
          </w:tcPr>
          <w:p w14:paraId="5F65C90A" w14:textId="77777777" w:rsidR="00B56A7B" w:rsidRPr="00111876" w:rsidRDefault="00B56A7B" w:rsidP="00CC47BD">
            <w:pPr>
              <w:overflowPunct/>
              <w:adjustRightInd/>
              <w:spacing w:before="0"/>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 </w:t>
            </w:r>
          </w:p>
        </w:tc>
        <w:tc>
          <w:tcPr>
            <w:tcW w:w="999" w:type="pct"/>
            <w:tcBorders>
              <w:top w:val="nil"/>
              <w:left w:val="nil"/>
              <w:right w:val="single" w:sz="4" w:space="0" w:color="auto"/>
            </w:tcBorders>
            <w:shd w:val="clear" w:color="auto" w:fill="auto"/>
            <w:noWrap/>
            <w:vAlign w:val="center"/>
            <w:hideMark/>
          </w:tcPr>
          <w:p w14:paraId="5EDE70AE"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2021</w:t>
            </w:r>
          </w:p>
        </w:tc>
        <w:tc>
          <w:tcPr>
            <w:tcW w:w="695" w:type="pct"/>
            <w:tcBorders>
              <w:top w:val="nil"/>
              <w:left w:val="nil"/>
              <w:right w:val="single" w:sz="4" w:space="0" w:color="auto"/>
            </w:tcBorders>
            <w:shd w:val="clear" w:color="auto" w:fill="auto"/>
            <w:noWrap/>
            <w:vAlign w:val="center"/>
            <w:hideMark/>
          </w:tcPr>
          <w:p w14:paraId="16959A35"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2020</w:t>
            </w:r>
          </w:p>
        </w:tc>
        <w:tc>
          <w:tcPr>
            <w:tcW w:w="823" w:type="pct"/>
            <w:tcBorders>
              <w:top w:val="nil"/>
              <w:left w:val="nil"/>
              <w:right w:val="single" w:sz="4" w:space="0" w:color="auto"/>
            </w:tcBorders>
            <w:shd w:val="clear" w:color="auto" w:fill="auto"/>
            <w:noWrap/>
            <w:vAlign w:val="center"/>
            <w:hideMark/>
          </w:tcPr>
          <w:p w14:paraId="04499250"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2021</w:t>
            </w:r>
          </w:p>
        </w:tc>
        <w:tc>
          <w:tcPr>
            <w:tcW w:w="763" w:type="pct"/>
            <w:tcBorders>
              <w:top w:val="nil"/>
              <w:left w:val="nil"/>
              <w:right w:val="single" w:sz="4" w:space="0" w:color="auto"/>
            </w:tcBorders>
            <w:shd w:val="clear" w:color="auto" w:fill="auto"/>
            <w:noWrap/>
            <w:vAlign w:val="center"/>
            <w:hideMark/>
          </w:tcPr>
          <w:p w14:paraId="157EBD3D"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2020</w:t>
            </w:r>
          </w:p>
        </w:tc>
      </w:tr>
      <w:tr w:rsidR="00B56A7B" w:rsidRPr="00111876" w14:paraId="1460CBDA" w14:textId="77777777" w:rsidTr="00CC47BD">
        <w:trPr>
          <w:trHeight w:val="300"/>
        </w:trPr>
        <w:tc>
          <w:tcPr>
            <w:tcW w:w="1721" w:type="pct"/>
            <w:tcBorders>
              <w:top w:val="nil"/>
              <w:left w:val="single" w:sz="4" w:space="0" w:color="auto"/>
              <w:bottom w:val="nil"/>
              <w:right w:val="single" w:sz="4" w:space="0" w:color="auto"/>
            </w:tcBorders>
            <w:shd w:val="clear" w:color="auto" w:fill="auto"/>
            <w:noWrap/>
            <w:vAlign w:val="center"/>
            <w:hideMark/>
          </w:tcPr>
          <w:p w14:paraId="26E9C94B" w14:textId="77777777" w:rsidR="00B56A7B" w:rsidRPr="00111876" w:rsidRDefault="00B56A7B" w:rsidP="00CC47BD">
            <w:pPr>
              <w:overflowPunct/>
              <w:adjustRightInd/>
              <w:spacing w:before="0"/>
              <w:textAlignment w:val="auto"/>
              <w:rPr>
                <w:rFonts w:asciiTheme="minorHAnsi" w:hAnsiTheme="minorHAnsi"/>
                <w:sz w:val="18"/>
                <w:szCs w:val="18"/>
                <w:u w:val="single"/>
                <w:lang w:val="en-US" w:eastAsia="zh-CN"/>
              </w:rPr>
            </w:pPr>
            <w:r w:rsidRPr="00111876">
              <w:rPr>
                <w:rFonts w:cs="Calibri" w:hint="eastAsia"/>
                <w:sz w:val="18"/>
                <w:szCs w:val="18"/>
                <w:u w:val="single"/>
              </w:rPr>
              <w:t>资产</w:t>
            </w:r>
          </w:p>
        </w:tc>
        <w:tc>
          <w:tcPr>
            <w:tcW w:w="999" w:type="pct"/>
            <w:tcBorders>
              <w:top w:val="nil"/>
              <w:left w:val="single" w:sz="4" w:space="0" w:color="auto"/>
              <w:bottom w:val="nil"/>
              <w:right w:val="single" w:sz="4" w:space="0" w:color="auto"/>
            </w:tcBorders>
            <w:shd w:val="clear" w:color="auto" w:fill="auto"/>
            <w:noWrap/>
            <w:vAlign w:val="center"/>
            <w:hideMark/>
          </w:tcPr>
          <w:p w14:paraId="71DBF798"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695" w:type="pct"/>
            <w:tcBorders>
              <w:top w:val="nil"/>
              <w:left w:val="single" w:sz="4" w:space="0" w:color="auto"/>
              <w:bottom w:val="nil"/>
              <w:right w:val="single" w:sz="4" w:space="0" w:color="auto"/>
            </w:tcBorders>
            <w:shd w:val="clear" w:color="auto" w:fill="auto"/>
            <w:noWrap/>
            <w:vAlign w:val="center"/>
            <w:hideMark/>
          </w:tcPr>
          <w:p w14:paraId="1EB668A6"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823" w:type="pct"/>
            <w:tcBorders>
              <w:top w:val="nil"/>
              <w:left w:val="single" w:sz="4" w:space="0" w:color="auto"/>
              <w:bottom w:val="nil"/>
              <w:right w:val="single" w:sz="4" w:space="0" w:color="auto"/>
            </w:tcBorders>
            <w:shd w:val="clear" w:color="auto" w:fill="auto"/>
            <w:noWrap/>
            <w:vAlign w:val="center"/>
            <w:hideMark/>
          </w:tcPr>
          <w:p w14:paraId="56D96778"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763" w:type="pct"/>
            <w:tcBorders>
              <w:top w:val="nil"/>
              <w:left w:val="single" w:sz="4" w:space="0" w:color="auto"/>
              <w:bottom w:val="nil"/>
              <w:right w:val="single" w:sz="4" w:space="0" w:color="auto"/>
            </w:tcBorders>
            <w:shd w:val="clear" w:color="auto" w:fill="auto"/>
            <w:noWrap/>
            <w:vAlign w:val="center"/>
            <w:hideMark/>
          </w:tcPr>
          <w:p w14:paraId="6D634527"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r>
      <w:tr w:rsidR="00B56A7B" w:rsidRPr="00111876" w14:paraId="33B88893" w14:textId="77777777" w:rsidTr="00CC47BD">
        <w:trPr>
          <w:trHeight w:val="300"/>
        </w:trPr>
        <w:tc>
          <w:tcPr>
            <w:tcW w:w="1721" w:type="pct"/>
            <w:tcBorders>
              <w:top w:val="nil"/>
              <w:left w:val="single" w:sz="4" w:space="0" w:color="auto"/>
              <w:bottom w:val="nil"/>
              <w:right w:val="single" w:sz="4" w:space="0" w:color="auto"/>
            </w:tcBorders>
            <w:shd w:val="clear" w:color="auto" w:fill="auto"/>
            <w:noWrap/>
            <w:vAlign w:val="center"/>
            <w:hideMark/>
          </w:tcPr>
          <w:p w14:paraId="60792636" w14:textId="77777777" w:rsidR="00B56A7B" w:rsidRPr="00111876" w:rsidRDefault="00B56A7B" w:rsidP="00CC47BD">
            <w:pPr>
              <w:rPr>
                <w:rFonts w:cs="Calibri"/>
                <w:sz w:val="18"/>
                <w:szCs w:val="18"/>
              </w:rPr>
            </w:pPr>
            <w:r w:rsidRPr="00111876">
              <w:rPr>
                <w:rFonts w:cs="Calibri" w:hint="eastAsia"/>
                <w:sz w:val="18"/>
                <w:szCs w:val="18"/>
                <w:lang w:eastAsia="zh-CN"/>
              </w:rPr>
              <w:t>现金和现金等价物</w:t>
            </w:r>
          </w:p>
        </w:tc>
        <w:tc>
          <w:tcPr>
            <w:tcW w:w="999" w:type="pct"/>
            <w:tcBorders>
              <w:top w:val="nil"/>
              <w:left w:val="single" w:sz="4" w:space="0" w:color="auto"/>
              <w:bottom w:val="nil"/>
              <w:right w:val="single" w:sz="4" w:space="0" w:color="auto"/>
            </w:tcBorders>
            <w:shd w:val="clear" w:color="auto" w:fill="auto"/>
            <w:noWrap/>
            <w:vAlign w:val="center"/>
            <w:hideMark/>
          </w:tcPr>
          <w:p w14:paraId="22BBD26A" w14:textId="0DC0D1DF"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381</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418.73</w:t>
            </w:r>
          </w:p>
        </w:tc>
        <w:tc>
          <w:tcPr>
            <w:tcW w:w="695" w:type="pct"/>
            <w:tcBorders>
              <w:top w:val="nil"/>
              <w:left w:val="single" w:sz="4" w:space="0" w:color="auto"/>
              <w:bottom w:val="nil"/>
              <w:right w:val="single" w:sz="4" w:space="0" w:color="auto"/>
            </w:tcBorders>
            <w:shd w:val="clear" w:color="auto" w:fill="auto"/>
            <w:noWrap/>
            <w:vAlign w:val="center"/>
            <w:hideMark/>
          </w:tcPr>
          <w:p w14:paraId="1A83FC75" w14:textId="67172253"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357</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712.96</w:t>
            </w:r>
          </w:p>
        </w:tc>
        <w:tc>
          <w:tcPr>
            <w:tcW w:w="823" w:type="pct"/>
            <w:tcBorders>
              <w:top w:val="nil"/>
              <w:left w:val="single" w:sz="4" w:space="0" w:color="auto"/>
              <w:bottom w:val="nil"/>
              <w:right w:val="single" w:sz="4" w:space="0" w:color="auto"/>
            </w:tcBorders>
            <w:shd w:val="clear" w:color="auto" w:fill="auto"/>
            <w:noWrap/>
            <w:vAlign w:val="center"/>
            <w:hideMark/>
          </w:tcPr>
          <w:p w14:paraId="5478E713" w14:textId="1A283A2B"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276</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163.40</w:t>
            </w:r>
          </w:p>
        </w:tc>
        <w:tc>
          <w:tcPr>
            <w:tcW w:w="763" w:type="pct"/>
            <w:tcBorders>
              <w:top w:val="nil"/>
              <w:left w:val="single" w:sz="4" w:space="0" w:color="auto"/>
              <w:bottom w:val="nil"/>
              <w:right w:val="single" w:sz="4" w:space="0" w:color="auto"/>
            </w:tcBorders>
            <w:shd w:val="clear" w:color="auto" w:fill="auto"/>
            <w:noWrap/>
            <w:vAlign w:val="center"/>
            <w:hideMark/>
          </w:tcPr>
          <w:p w14:paraId="3D45A430" w14:textId="4D576FD2"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277</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580.84</w:t>
            </w:r>
          </w:p>
        </w:tc>
      </w:tr>
      <w:tr w:rsidR="00B56A7B" w:rsidRPr="00111876" w14:paraId="4EDE4145" w14:textId="77777777" w:rsidTr="00CC47BD">
        <w:trPr>
          <w:trHeight w:val="300"/>
        </w:trPr>
        <w:tc>
          <w:tcPr>
            <w:tcW w:w="1721" w:type="pct"/>
            <w:tcBorders>
              <w:top w:val="nil"/>
              <w:left w:val="single" w:sz="4" w:space="0" w:color="auto"/>
              <w:bottom w:val="nil"/>
              <w:right w:val="single" w:sz="4" w:space="0" w:color="auto"/>
            </w:tcBorders>
            <w:shd w:val="clear" w:color="auto" w:fill="auto"/>
            <w:noWrap/>
            <w:vAlign w:val="center"/>
            <w:hideMark/>
          </w:tcPr>
          <w:p w14:paraId="495C3FA6" w14:textId="77777777" w:rsidR="00B56A7B" w:rsidRPr="00111876" w:rsidRDefault="00B56A7B" w:rsidP="00CC47BD">
            <w:pPr>
              <w:rPr>
                <w:rFonts w:cs="Calibri"/>
                <w:sz w:val="18"/>
                <w:szCs w:val="18"/>
                <w:lang w:eastAsia="zh-CN"/>
              </w:rPr>
            </w:pPr>
            <w:r w:rsidRPr="00111876">
              <w:rPr>
                <w:rFonts w:cs="Calibri" w:hint="eastAsia"/>
                <w:sz w:val="18"/>
                <w:szCs w:val="18"/>
                <w:lang w:eastAsia="zh-CN"/>
              </w:rPr>
              <w:t>待收资金</w:t>
            </w:r>
          </w:p>
        </w:tc>
        <w:tc>
          <w:tcPr>
            <w:tcW w:w="999" w:type="pct"/>
            <w:tcBorders>
              <w:top w:val="nil"/>
              <w:left w:val="single" w:sz="4" w:space="0" w:color="auto"/>
              <w:bottom w:val="nil"/>
              <w:right w:val="single" w:sz="4" w:space="0" w:color="auto"/>
            </w:tcBorders>
            <w:shd w:val="clear" w:color="auto" w:fill="auto"/>
            <w:noWrap/>
            <w:vAlign w:val="center"/>
            <w:hideMark/>
          </w:tcPr>
          <w:p w14:paraId="7302B1BF"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w:t>
            </w:r>
          </w:p>
        </w:tc>
        <w:tc>
          <w:tcPr>
            <w:tcW w:w="695" w:type="pct"/>
            <w:tcBorders>
              <w:top w:val="nil"/>
              <w:left w:val="single" w:sz="4" w:space="0" w:color="auto"/>
              <w:bottom w:val="nil"/>
              <w:right w:val="single" w:sz="4" w:space="0" w:color="auto"/>
            </w:tcBorders>
            <w:shd w:val="clear" w:color="auto" w:fill="auto"/>
            <w:noWrap/>
            <w:vAlign w:val="center"/>
            <w:hideMark/>
          </w:tcPr>
          <w:p w14:paraId="4969E28C"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w:t>
            </w:r>
          </w:p>
        </w:tc>
        <w:tc>
          <w:tcPr>
            <w:tcW w:w="823" w:type="pct"/>
            <w:tcBorders>
              <w:top w:val="nil"/>
              <w:left w:val="single" w:sz="4" w:space="0" w:color="auto"/>
              <w:bottom w:val="nil"/>
              <w:right w:val="single" w:sz="4" w:space="0" w:color="auto"/>
            </w:tcBorders>
            <w:shd w:val="clear" w:color="auto" w:fill="auto"/>
            <w:noWrap/>
            <w:vAlign w:val="center"/>
            <w:hideMark/>
          </w:tcPr>
          <w:p w14:paraId="7E24FFEE"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763" w:type="pct"/>
            <w:tcBorders>
              <w:top w:val="nil"/>
              <w:left w:val="single" w:sz="4" w:space="0" w:color="auto"/>
              <w:bottom w:val="nil"/>
              <w:right w:val="single" w:sz="4" w:space="0" w:color="auto"/>
            </w:tcBorders>
            <w:shd w:val="clear" w:color="auto" w:fill="auto"/>
            <w:noWrap/>
            <w:vAlign w:val="center"/>
            <w:hideMark/>
          </w:tcPr>
          <w:p w14:paraId="6C7B3CF4"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r>
      <w:tr w:rsidR="00B56A7B" w:rsidRPr="00111876" w14:paraId="5AD6BF97" w14:textId="77777777" w:rsidTr="00CC47BD">
        <w:trPr>
          <w:trHeight w:val="300"/>
        </w:trPr>
        <w:tc>
          <w:tcPr>
            <w:tcW w:w="1721" w:type="pct"/>
            <w:tcBorders>
              <w:top w:val="nil"/>
              <w:left w:val="single" w:sz="4" w:space="0" w:color="auto"/>
              <w:bottom w:val="nil"/>
              <w:right w:val="single" w:sz="4" w:space="0" w:color="auto"/>
            </w:tcBorders>
            <w:shd w:val="clear" w:color="auto" w:fill="auto"/>
            <w:noWrap/>
            <w:vAlign w:val="center"/>
            <w:hideMark/>
          </w:tcPr>
          <w:p w14:paraId="3F7ACBCF" w14:textId="77777777" w:rsidR="00B56A7B" w:rsidRPr="00111876" w:rsidRDefault="00B56A7B" w:rsidP="00CC47BD">
            <w:pPr>
              <w:rPr>
                <w:rFonts w:cs="Calibri"/>
                <w:sz w:val="18"/>
                <w:szCs w:val="18"/>
                <w:lang w:eastAsia="zh-CN"/>
              </w:rPr>
            </w:pPr>
            <w:r w:rsidRPr="00111876">
              <w:rPr>
                <w:rFonts w:cs="Calibri" w:hint="eastAsia"/>
                <w:sz w:val="18"/>
                <w:szCs w:val="18"/>
                <w:lang w:eastAsia="zh-CN"/>
              </w:rPr>
              <w:t>投资</w:t>
            </w:r>
          </w:p>
        </w:tc>
        <w:tc>
          <w:tcPr>
            <w:tcW w:w="999" w:type="pct"/>
            <w:tcBorders>
              <w:top w:val="nil"/>
              <w:left w:val="single" w:sz="4" w:space="0" w:color="auto"/>
              <w:bottom w:val="nil"/>
              <w:right w:val="single" w:sz="4" w:space="0" w:color="auto"/>
            </w:tcBorders>
            <w:shd w:val="clear" w:color="auto" w:fill="auto"/>
            <w:noWrap/>
            <w:vAlign w:val="center"/>
            <w:hideMark/>
          </w:tcPr>
          <w:p w14:paraId="64E99293" w14:textId="02A7C6F2"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5</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56</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974.42</w:t>
            </w:r>
          </w:p>
          <w:p w14:paraId="6FA8EB17"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695" w:type="pct"/>
            <w:tcBorders>
              <w:top w:val="nil"/>
              <w:left w:val="single" w:sz="4" w:space="0" w:color="auto"/>
              <w:bottom w:val="nil"/>
              <w:right w:val="single" w:sz="4" w:space="0" w:color="auto"/>
            </w:tcBorders>
            <w:shd w:val="clear" w:color="auto" w:fill="auto"/>
            <w:noWrap/>
            <w:vAlign w:val="center"/>
            <w:hideMark/>
          </w:tcPr>
          <w:p w14:paraId="3E4FBB74" w14:textId="5EC8F2D0"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5</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436</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013.59</w:t>
            </w:r>
          </w:p>
          <w:p w14:paraId="13D732C6"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823" w:type="pct"/>
            <w:tcBorders>
              <w:top w:val="nil"/>
              <w:left w:val="single" w:sz="4" w:space="0" w:color="auto"/>
              <w:bottom w:val="nil"/>
              <w:right w:val="single" w:sz="4" w:space="0" w:color="auto"/>
            </w:tcBorders>
            <w:shd w:val="clear" w:color="auto" w:fill="auto"/>
            <w:noWrap/>
            <w:vAlign w:val="center"/>
            <w:hideMark/>
          </w:tcPr>
          <w:p w14:paraId="41C3A368"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763" w:type="pct"/>
            <w:tcBorders>
              <w:top w:val="nil"/>
              <w:left w:val="single" w:sz="4" w:space="0" w:color="auto"/>
              <w:bottom w:val="nil"/>
              <w:right w:val="single" w:sz="4" w:space="0" w:color="auto"/>
            </w:tcBorders>
            <w:shd w:val="clear" w:color="auto" w:fill="auto"/>
            <w:noWrap/>
            <w:vAlign w:val="center"/>
            <w:hideMark/>
          </w:tcPr>
          <w:p w14:paraId="09609F95"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r>
      <w:tr w:rsidR="00B56A7B" w:rsidRPr="00111876" w14:paraId="126A8971" w14:textId="77777777" w:rsidTr="00CC47BD">
        <w:trPr>
          <w:trHeight w:val="300"/>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14:paraId="7B80E0FD" w14:textId="77777777" w:rsidR="00B56A7B" w:rsidRPr="00111876" w:rsidRDefault="00B56A7B" w:rsidP="00CC47BD">
            <w:pPr>
              <w:rPr>
                <w:rFonts w:cs="Calibri"/>
                <w:sz w:val="18"/>
                <w:szCs w:val="18"/>
                <w:lang w:eastAsia="zh-CN"/>
              </w:rPr>
            </w:pPr>
            <w:r w:rsidRPr="00111876">
              <w:rPr>
                <w:rFonts w:cs="Calibri" w:hint="eastAsia"/>
                <w:sz w:val="18"/>
                <w:szCs w:val="18"/>
                <w:lang w:eastAsia="zh-CN"/>
              </w:rPr>
              <w:t>过渡性</w:t>
            </w:r>
            <w:r w:rsidRPr="00111876">
              <w:rPr>
                <w:rFonts w:cs="Calibri"/>
                <w:sz w:val="18"/>
                <w:szCs w:val="18"/>
                <w:lang w:eastAsia="zh-CN"/>
              </w:rPr>
              <w:t>资产</w:t>
            </w:r>
          </w:p>
        </w:tc>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1A4441A6"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w:t>
            </w:r>
          </w:p>
          <w:p w14:paraId="47973AF8"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0FBE28BE" w14:textId="598F99D6"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25</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254.81</w:t>
            </w:r>
          </w:p>
          <w:p w14:paraId="0D2DC30A"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823" w:type="pct"/>
            <w:tcBorders>
              <w:top w:val="nil"/>
              <w:left w:val="single" w:sz="4" w:space="0" w:color="auto"/>
              <w:bottom w:val="single" w:sz="4" w:space="0" w:color="auto"/>
              <w:right w:val="single" w:sz="4" w:space="0" w:color="auto"/>
            </w:tcBorders>
            <w:shd w:val="clear" w:color="auto" w:fill="auto"/>
            <w:noWrap/>
            <w:vAlign w:val="center"/>
            <w:hideMark/>
          </w:tcPr>
          <w:p w14:paraId="2FA00B15"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w:t>
            </w:r>
          </w:p>
        </w:tc>
        <w:tc>
          <w:tcPr>
            <w:tcW w:w="763" w:type="pct"/>
            <w:tcBorders>
              <w:top w:val="nil"/>
              <w:left w:val="single" w:sz="4" w:space="0" w:color="auto"/>
              <w:bottom w:val="single" w:sz="4" w:space="0" w:color="auto"/>
              <w:right w:val="single" w:sz="4" w:space="0" w:color="auto"/>
            </w:tcBorders>
            <w:shd w:val="clear" w:color="auto" w:fill="auto"/>
            <w:noWrap/>
            <w:vAlign w:val="center"/>
            <w:hideMark/>
          </w:tcPr>
          <w:p w14:paraId="29D6042A"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w:t>
            </w:r>
          </w:p>
        </w:tc>
      </w:tr>
      <w:tr w:rsidR="00B56A7B" w:rsidRPr="00111876" w14:paraId="0EAC6B69" w14:textId="77777777" w:rsidTr="00CC47BD">
        <w:trPr>
          <w:trHeight w:val="300"/>
        </w:trPr>
        <w:tc>
          <w:tcPr>
            <w:tcW w:w="1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760C9" w14:textId="77777777" w:rsidR="00B56A7B" w:rsidRPr="00111876" w:rsidRDefault="00B56A7B" w:rsidP="00CC47BD">
            <w:pPr>
              <w:overflowPunct/>
              <w:adjustRightInd/>
              <w:spacing w:before="0"/>
              <w:textAlignment w:val="auto"/>
              <w:rPr>
                <w:rFonts w:asciiTheme="minorHAnsi" w:hAnsiTheme="minorHAnsi"/>
                <w:b/>
                <w:bCs/>
                <w:sz w:val="18"/>
                <w:szCs w:val="18"/>
                <w:lang w:val="en-US" w:eastAsia="zh-CN"/>
              </w:rPr>
            </w:pPr>
            <w:r w:rsidRPr="00111876">
              <w:rPr>
                <w:rFonts w:cs="Calibri" w:hint="eastAsia"/>
                <w:b/>
                <w:bCs/>
                <w:sz w:val="18"/>
                <w:szCs w:val="18"/>
                <w:lang w:eastAsia="zh-CN"/>
              </w:rPr>
              <w:t>资产合计</w:t>
            </w: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C35B" w14:textId="5570293D" w:rsidR="00B56A7B" w:rsidRPr="00111876" w:rsidRDefault="00B56A7B" w:rsidP="00CC47BD">
            <w:pPr>
              <w:overflowPunct/>
              <w:autoSpaceDE/>
              <w:autoSpaceDN/>
              <w:adjustRightInd/>
              <w:spacing w:before="0"/>
              <w:jc w:val="right"/>
              <w:textAlignment w:val="auto"/>
              <w:rPr>
                <w:rFonts w:asciiTheme="minorHAnsi" w:hAnsiTheme="minorHAnsi"/>
                <w:b/>
                <w:bCs/>
                <w:sz w:val="18"/>
                <w:szCs w:val="18"/>
                <w:lang w:val="en-US" w:eastAsia="zh-CN"/>
              </w:rPr>
            </w:pPr>
            <w:r w:rsidRPr="00111876">
              <w:rPr>
                <w:rFonts w:asciiTheme="minorHAnsi" w:hAnsiTheme="minorHAnsi"/>
                <w:b/>
                <w:bCs/>
                <w:sz w:val="18"/>
                <w:szCs w:val="18"/>
                <w:lang w:val="en-US" w:eastAsia="zh-CN"/>
              </w:rPr>
              <w:t>5</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945</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393.15</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B46B6" w14:textId="5351C962" w:rsidR="00B56A7B" w:rsidRPr="00111876" w:rsidRDefault="00B56A7B" w:rsidP="00CC47BD">
            <w:pPr>
              <w:overflowPunct/>
              <w:autoSpaceDE/>
              <w:autoSpaceDN/>
              <w:adjustRightInd/>
              <w:spacing w:before="0"/>
              <w:jc w:val="right"/>
              <w:textAlignment w:val="auto"/>
              <w:rPr>
                <w:rFonts w:asciiTheme="minorHAnsi" w:hAnsiTheme="minorHAnsi"/>
                <w:b/>
                <w:bCs/>
                <w:sz w:val="18"/>
                <w:szCs w:val="18"/>
                <w:lang w:val="en-US" w:eastAsia="zh-CN"/>
              </w:rPr>
            </w:pPr>
            <w:r w:rsidRPr="00111876">
              <w:rPr>
                <w:rFonts w:asciiTheme="minorHAnsi" w:hAnsiTheme="minorHAnsi"/>
                <w:b/>
                <w:bCs/>
                <w:sz w:val="18"/>
                <w:szCs w:val="18"/>
                <w:lang w:val="en-US" w:eastAsia="zh-CN"/>
              </w:rPr>
              <w:t>5</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818</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981.36</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486FD" w14:textId="4F1E8A91" w:rsidR="00B56A7B" w:rsidRPr="00111876" w:rsidRDefault="00B56A7B" w:rsidP="00CC47BD">
            <w:pPr>
              <w:overflowPunct/>
              <w:autoSpaceDE/>
              <w:autoSpaceDN/>
              <w:adjustRightInd/>
              <w:spacing w:before="0"/>
              <w:jc w:val="right"/>
              <w:textAlignment w:val="auto"/>
              <w:rPr>
                <w:rFonts w:asciiTheme="minorHAnsi" w:hAnsiTheme="minorHAnsi"/>
                <w:b/>
                <w:bCs/>
                <w:sz w:val="18"/>
                <w:szCs w:val="18"/>
                <w:lang w:val="en-US" w:eastAsia="zh-CN"/>
              </w:rPr>
            </w:pPr>
            <w:r w:rsidRPr="00111876">
              <w:rPr>
                <w:rFonts w:asciiTheme="minorHAnsi" w:hAnsiTheme="minorHAnsi"/>
                <w:b/>
                <w:bCs/>
                <w:sz w:val="18"/>
                <w:szCs w:val="18"/>
                <w:lang w:val="en-US" w:eastAsia="zh-CN"/>
              </w:rPr>
              <w:t>276</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163.40</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B6DB3" w14:textId="38E3BEDE" w:rsidR="00B56A7B" w:rsidRPr="00111876" w:rsidRDefault="00B56A7B" w:rsidP="00CC47BD">
            <w:pPr>
              <w:overflowPunct/>
              <w:autoSpaceDE/>
              <w:autoSpaceDN/>
              <w:adjustRightInd/>
              <w:spacing w:before="0"/>
              <w:jc w:val="right"/>
              <w:textAlignment w:val="auto"/>
              <w:rPr>
                <w:rFonts w:asciiTheme="minorHAnsi" w:hAnsiTheme="minorHAnsi"/>
                <w:b/>
                <w:bCs/>
                <w:sz w:val="18"/>
                <w:szCs w:val="18"/>
                <w:lang w:val="en-US" w:eastAsia="zh-CN"/>
              </w:rPr>
            </w:pPr>
            <w:r w:rsidRPr="00111876">
              <w:rPr>
                <w:rFonts w:asciiTheme="minorHAnsi" w:hAnsiTheme="minorHAnsi"/>
                <w:b/>
                <w:bCs/>
                <w:sz w:val="18"/>
                <w:szCs w:val="18"/>
                <w:lang w:val="en-US" w:eastAsia="zh-CN"/>
              </w:rPr>
              <w:t>277</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580.84</w:t>
            </w:r>
          </w:p>
        </w:tc>
      </w:tr>
      <w:tr w:rsidR="00B56A7B" w:rsidRPr="00111876" w14:paraId="275C484F" w14:textId="77777777" w:rsidTr="00CC47BD">
        <w:trPr>
          <w:trHeight w:val="300"/>
        </w:trPr>
        <w:tc>
          <w:tcPr>
            <w:tcW w:w="1721" w:type="pct"/>
            <w:tcBorders>
              <w:top w:val="single" w:sz="4" w:space="0" w:color="auto"/>
              <w:left w:val="single" w:sz="4" w:space="0" w:color="auto"/>
              <w:bottom w:val="nil"/>
              <w:right w:val="single" w:sz="4" w:space="0" w:color="auto"/>
            </w:tcBorders>
            <w:shd w:val="clear" w:color="auto" w:fill="auto"/>
            <w:noWrap/>
            <w:vAlign w:val="center"/>
            <w:hideMark/>
          </w:tcPr>
          <w:p w14:paraId="07A14688" w14:textId="77777777" w:rsidR="00B56A7B" w:rsidRPr="00111876" w:rsidRDefault="00B56A7B" w:rsidP="00CC47BD">
            <w:pPr>
              <w:overflowPunct/>
              <w:adjustRightInd/>
              <w:spacing w:before="0"/>
              <w:textAlignment w:val="auto"/>
              <w:rPr>
                <w:rFonts w:asciiTheme="minorHAnsi" w:hAnsiTheme="minorHAnsi"/>
                <w:sz w:val="18"/>
                <w:szCs w:val="18"/>
                <w:u w:val="single"/>
                <w:lang w:val="en-US" w:eastAsia="zh-CN"/>
              </w:rPr>
            </w:pPr>
            <w:r w:rsidRPr="00111876">
              <w:rPr>
                <w:rFonts w:cs="Calibri" w:hint="eastAsia"/>
                <w:sz w:val="18"/>
                <w:szCs w:val="18"/>
                <w:u w:val="single"/>
              </w:rPr>
              <w:t>负债</w:t>
            </w:r>
          </w:p>
        </w:tc>
        <w:tc>
          <w:tcPr>
            <w:tcW w:w="999" w:type="pct"/>
            <w:tcBorders>
              <w:top w:val="single" w:sz="4" w:space="0" w:color="auto"/>
              <w:left w:val="single" w:sz="4" w:space="0" w:color="auto"/>
              <w:bottom w:val="nil"/>
              <w:right w:val="single" w:sz="4" w:space="0" w:color="auto"/>
            </w:tcBorders>
            <w:shd w:val="clear" w:color="auto" w:fill="auto"/>
            <w:noWrap/>
            <w:vAlign w:val="center"/>
            <w:hideMark/>
          </w:tcPr>
          <w:p w14:paraId="511B8966"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695" w:type="pct"/>
            <w:tcBorders>
              <w:top w:val="single" w:sz="4" w:space="0" w:color="auto"/>
              <w:left w:val="single" w:sz="4" w:space="0" w:color="auto"/>
              <w:bottom w:val="nil"/>
              <w:right w:val="single" w:sz="4" w:space="0" w:color="auto"/>
            </w:tcBorders>
            <w:shd w:val="clear" w:color="auto" w:fill="auto"/>
            <w:noWrap/>
            <w:vAlign w:val="center"/>
            <w:hideMark/>
          </w:tcPr>
          <w:p w14:paraId="2872FE86"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823" w:type="pct"/>
            <w:tcBorders>
              <w:top w:val="single" w:sz="4" w:space="0" w:color="auto"/>
              <w:left w:val="single" w:sz="4" w:space="0" w:color="auto"/>
              <w:bottom w:val="nil"/>
              <w:right w:val="single" w:sz="4" w:space="0" w:color="auto"/>
            </w:tcBorders>
            <w:shd w:val="clear" w:color="auto" w:fill="auto"/>
            <w:noWrap/>
            <w:vAlign w:val="center"/>
            <w:hideMark/>
          </w:tcPr>
          <w:p w14:paraId="5E9B26CE"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763" w:type="pct"/>
            <w:tcBorders>
              <w:top w:val="single" w:sz="4" w:space="0" w:color="auto"/>
              <w:left w:val="single" w:sz="4" w:space="0" w:color="auto"/>
              <w:bottom w:val="nil"/>
              <w:right w:val="single" w:sz="4" w:space="0" w:color="auto"/>
            </w:tcBorders>
            <w:shd w:val="clear" w:color="auto" w:fill="auto"/>
            <w:noWrap/>
            <w:vAlign w:val="center"/>
            <w:hideMark/>
          </w:tcPr>
          <w:p w14:paraId="012C9BA9"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r>
      <w:tr w:rsidR="00B56A7B" w:rsidRPr="00111876" w14:paraId="0560173B" w14:textId="77777777" w:rsidTr="00CC47BD">
        <w:trPr>
          <w:trHeight w:val="167"/>
        </w:trPr>
        <w:tc>
          <w:tcPr>
            <w:tcW w:w="1721" w:type="pct"/>
            <w:tcBorders>
              <w:top w:val="nil"/>
              <w:left w:val="single" w:sz="4" w:space="0" w:color="auto"/>
              <w:bottom w:val="nil"/>
              <w:right w:val="single" w:sz="4" w:space="0" w:color="auto"/>
            </w:tcBorders>
            <w:shd w:val="clear" w:color="auto" w:fill="auto"/>
            <w:noWrap/>
            <w:vAlign w:val="center"/>
            <w:hideMark/>
          </w:tcPr>
          <w:p w14:paraId="1A4ED518" w14:textId="77777777" w:rsidR="00B56A7B" w:rsidRPr="00111876" w:rsidRDefault="00B56A7B" w:rsidP="00CC47BD">
            <w:pPr>
              <w:overflowPunct/>
              <w:adjustRightInd/>
              <w:spacing w:before="0"/>
              <w:textAlignment w:val="auto"/>
              <w:rPr>
                <w:rFonts w:cs="Calibri"/>
                <w:sz w:val="18"/>
                <w:szCs w:val="18"/>
              </w:rPr>
            </w:pPr>
            <w:r w:rsidRPr="00111876">
              <w:rPr>
                <w:rFonts w:cs="Calibri" w:hint="eastAsia"/>
                <w:sz w:val="18"/>
                <w:szCs w:val="18"/>
                <w:lang w:eastAsia="zh-CN"/>
              </w:rPr>
              <w:t>职员</w:t>
            </w:r>
            <w:r w:rsidRPr="00111876">
              <w:rPr>
                <w:rFonts w:cs="Calibri" w:hint="eastAsia"/>
                <w:sz w:val="18"/>
                <w:szCs w:val="18"/>
              </w:rPr>
              <w:t>福利</w:t>
            </w:r>
          </w:p>
        </w:tc>
        <w:tc>
          <w:tcPr>
            <w:tcW w:w="999" w:type="pct"/>
            <w:tcBorders>
              <w:top w:val="nil"/>
              <w:left w:val="single" w:sz="4" w:space="0" w:color="auto"/>
              <w:bottom w:val="nil"/>
              <w:right w:val="single" w:sz="4" w:space="0" w:color="auto"/>
            </w:tcBorders>
            <w:shd w:val="clear" w:color="auto" w:fill="auto"/>
            <w:noWrap/>
            <w:vAlign w:val="center"/>
            <w:hideMark/>
          </w:tcPr>
          <w:p w14:paraId="5D51C941" w14:textId="637060D2"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54</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000.00</w:t>
            </w:r>
          </w:p>
        </w:tc>
        <w:tc>
          <w:tcPr>
            <w:tcW w:w="695" w:type="pct"/>
            <w:tcBorders>
              <w:top w:val="nil"/>
              <w:left w:val="single" w:sz="4" w:space="0" w:color="auto"/>
              <w:bottom w:val="nil"/>
              <w:right w:val="single" w:sz="4" w:space="0" w:color="auto"/>
            </w:tcBorders>
            <w:shd w:val="clear" w:color="auto" w:fill="auto"/>
            <w:noWrap/>
            <w:vAlign w:val="center"/>
            <w:hideMark/>
          </w:tcPr>
          <w:p w14:paraId="25A2A868" w14:textId="3CE53A73"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54</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000.00</w:t>
            </w:r>
          </w:p>
        </w:tc>
        <w:tc>
          <w:tcPr>
            <w:tcW w:w="823" w:type="pct"/>
            <w:tcBorders>
              <w:top w:val="nil"/>
              <w:left w:val="single" w:sz="4" w:space="0" w:color="auto"/>
              <w:bottom w:val="nil"/>
              <w:right w:val="single" w:sz="4" w:space="0" w:color="auto"/>
            </w:tcBorders>
            <w:shd w:val="clear" w:color="auto" w:fill="auto"/>
            <w:noWrap/>
            <w:vAlign w:val="center"/>
            <w:hideMark/>
          </w:tcPr>
          <w:p w14:paraId="6C235B38"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763" w:type="pct"/>
            <w:tcBorders>
              <w:top w:val="nil"/>
              <w:left w:val="single" w:sz="4" w:space="0" w:color="auto"/>
              <w:bottom w:val="nil"/>
              <w:right w:val="single" w:sz="4" w:space="0" w:color="auto"/>
            </w:tcBorders>
            <w:shd w:val="clear" w:color="auto" w:fill="auto"/>
            <w:noWrap/>
            <w:vAlign w:val="center"/>
            <w:hideMark/>
          </w:tcPr>
          <w:p w14:paraId="236F7173"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r>
      <w:tr w:rsidR="00B56A7B" w:rsidRPr="00111876" w14:paraId="1E1AB233" w14:textId="77777777" w:rsidTr="00CC47BD">
        <w:trPr>
          <w:trHeight w:val="300"/>
        </w:trPr>
        <w:tc>
          <w:tcPr>
            <w:tcW w:w="1721" w:type="pct"/>
            <w:tcBorders>
              <w:top w:val="nil"/>
              <w:left w:val="single" w:sz="4" w:space="0" w:color="auto"/>
              <w:bottom w:val="single" w:sz="4" w:space="0" w:color="auto"/>
              <w:right w:val="single" w:sz="4" w:space="0" w:color="auto"/>
            </w:tcBorders>
            <w:shd w:val="clear" w:color="auto" w:fill="auto"/>
            <w:noWrap/>
            <w:vAlign w:val="center"/>
          </w:tcPr>
          <w:p w14:paraId="5267ECBA" w14:textId="77777777" w:rsidR="00B56A7B" w:rsidRPr="00111876" w:rsidRDefault="00B56A7B" w:rsidP="00CC47BD">
            <w:pPr>
              <w:overflowPunct/>
              <w:adjustRightInd/>
              <w:spacing w:before="0"/>
              <w:textAlignment w:val="auto"/>
              <w:rPr>
                <w:rFonts w:asciiTheme="minorHAnsi" w:hAnsiTheme="minorHAnsi"/>
                <w:sz w:val="18"/>
                <w:szCs w:val="18"/>
                <w:lang w:val="en-US" w:eastAsia="zh-CN"/>
              </w:rPr>
            </w:pPr>
            <w:r w:rsidRPr="00111876">
              <w:rPr>
                <w:rFonts w:asciiTheme="minorHAnsi" w:hAnsiTheme="minorHAnsi" w:hint="eastAsia"/>
                <w:sz w:val="18"/>
                <w:szCs w:val="18"/>
                <w:lang w:val="en-US" w:eastAsia="zh-CN"/>
              </w:rPr>
              <w:t>过度债务</w:t>
            </w:r>
          </w:p>
        </w:tc>
        <w:tc>
          <w:tcPr>
            <w:tcW w:w="999" w:type="pct"/>
            <w:tcBorders>
              <w:top w:val="nil"/>
              <w:left w:val="single" w:sz="4" w:space="0" w:color="auto"/>
              <w:bottom w:val="single" w:sz="4" w:space="0" w:color="auto"/>
              <w:right w:val="single" w:sz="4" w:space="0" w:color="auto"/>
            </w:tcBorders>
            <w:shd w:val="clear" w:color="auto" w:fill="auto"/>
            <w:noWrap/>
            <w:vAlign w:val="center"/>
          </w:tcPr>
          <w:p w14:paraId="77F1818B"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759.49</w:t>
            </w:r>
          </w:p>
        </w:tc>
        <w:tc>
          <w:tcPr>
            <w:tcW w:w="695" w:type="pct"/>
            <w:tcBorders>
              <w:top w:val="nil"/>
              <w:left w:val="single" w:sz="4" w:space="0" w:color="auto"/>
              <w:bottom w:val="single" w:sz="4" w:space="0" w:color="auto"/>
              <w:right w:val="single" w:sz="4" w:space="0" w:color="auto"/>
            </w:tcBorders>
            <w:shd w:val="clear" w:color="auto" w:fill="auto"/>
            <w:noWrap/>
            <w:vAlign w:val="center"/>
          </w:tcPr>
          <w:p w14:paraId="0703B9DF" w14:textId="3AD20E8A"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113</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34</w:t>
            </w:r>
          </w:p>
        </w:tc>
        <w:tc>
          <w:tcPr>
            <w:tcW w:w="823" w:type="pct"/>
            <w:tcBorders>
              <w:top w:val="nil"/>
              <w:left w:val="single" w:sz="4" w:space="0" w:color="auto"/>
              <w:bottom w:val="single" w:sz="4" w:space="0" w:color="auto"/>
              <w:right w:val="single" w:sz="4" w:space="0" w:color="auto"/>
            </w:tcBorders>
            <w:shd w:val="clear" w:color="auto" w:fill="auto"/>
            <w:noWrap/>
            <w:vAlign w:val="center"/>
          </w:tcPr>
          <w:p w14:paraId="34FE439B"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529.30</w:t>
            </w:r>
          </w:p>
        </w:tc>
        <w:tc>
          <w:tcPr>
            <w:tcW w:w="763" w:type="pct"/>
            <w:tcBorders>
              <w:top w:val="nil"/>
              <w:left w:val="single" w:sz="4" w:space="0" w:color="auto"/>
              <w:bottom w:val="single" w:sz="4" w:space="0" w:color="auto"/>
              <w:right w:val="single" w:sz="4" w:space="0" w:color="auto"/>
            </w:tcBorders>
            <w:shd w:val="clear" w:color="auto" w:fill="auto"/>
            <w:noWrap/>
            <w:vAlign w:val="center"/>
          </w:tcPr>
          <w:p w14:paraId="19744F80"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141.77</w:t>
            </w:r>
          </w:p>
        </w:tc>
      </w:tr>
      <w:tr w:rsidR="00B56A7B" w:rsidRPr="00111876" w14:paraId="742F5F0C" w14:textId="77777777" w:rsidTr="00CC47BD">
        <w:trPr>
          <w:trHeight w:val="300"/>
        </w:trPr>
        <w:tc>
          <w:tcPr>
            <w:tcW w:w="17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31A0F" w14:textId="77777777" w:rsidR="00B56A7B" w:rsidRPr="00111876" w:rsidRDefault="00B56A7B" w:rsidP="00CC47BD">
            <w:pPr>
              <w:overflowPunct/>
              <w:autoSpaceDE/>
              <w:autoSpaceDN/>
              <w:adjustRightInd/>
              <w:spacing w:before="0"/>
              <w:textAlignment w:val="auto"/>
              <w:rPr>
                <w:rFonts w:asciiTheme="minorHAnsi" w:hAnsiTheme="minorHAnsi"/>
                <w:b/>
                <w:bCs/>
                <w:sz w:val="18"/>
                <w:szCs w:val="18"/>
                <w:lang w:val="en-US" w:eastAsia="zh-CN"/>
              </w:rPr>
            </w:pPr>
            <w:r w:rsidRPr="00111876">
              <w:rPr>
                <w:rFonts w:asciiTheme="minorHAnsi" w:hAnsiTheme="minorHAnsi" w:hint="eastAsia"/>
                <w:b/>
                <w:bCs/>
                <w:sz w:val="18"/>
                <w:szCs w:val="18"/>
                <w:lang w:val="en-US" w:eastAsia="zh-CN"/>
              </w:rPr>
              <w:t>债务合计</w:t>
            </w: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B6886" w14:textId="274B1882"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b/>
                <w:bCs/>
                <w:sz w:val="18"/>
                <w:szCs w:val="18"/>
                <w:lang w:val="en-US" w:eastAsia="zh-CN"/>
              </w:rPr>
              <w:t>54</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759.49</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5A390" w14:textId="7256F6A9"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b/>
                <w:bCs/>
                <w:sz w:val="18"/>
                <w:szCs w:val="18"/>
                <w:lang w:val="en-US" w:eastAsia="zh-CN"/>
              </w:rPr>
              <w:t>54</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113.34</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0AA36"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b/>
                <w:bCs/>
                <w:sz w:val="18"/>
                <w:szCs w:val="18"/>
                <w:lang w:val="en-US" w:eastAsia="zh-CN"/>
              </w:rPr>
              <w:t>529.30</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EA226"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b/>
                <w:bCs/>
                <w:sz w:val="18"/>
                <w:szCs w:val="18"/>
                <w:lang w:val="en-US" w:eastAsia="zh-CN"/>
              </w:rPr>
              <w:t>141.77</w:t>
            </w:r>
          </w:p>
        </w:tc>
      </w:tr>
      <w:tr w:rsidR="00B56A7B" w:rsidRPr="00111876" w14:paraId="0FE2BD83" w14:textId="77777777" w:rsidTr="00CC47BD">
        <w:trPr>
          <w:trHeight w:val="300"/>
        </w:trPr>
        <w:tc>
          <w:tcPr>
            <w:tcW w:w="1721" w:type="pct"/>
            <w:tcBorders>
              <w:top w:val="single" w:sz="4" w:space="0" w:color="auto"/>
              <w:left w:val="single" w:sz="4" w:space="0" w:color="auto"/>
              <w:bottom w:val="nil"/>
              <w:right w:val="single" w:sz="4" w:space="0" w:color="auto"/>
            </w:tcBorders>
            <w:shd w:val="clear" w:color="auto" w:fill="auto"/>
            <w:noWrap/>
            <w:vAlign w:val="center"/>
          </w:tcPr>
          <w:p w14:paraId="585E47FE" w14:textId="77777777" w:rsidR="00B56A7B" w:rsidRPr="00111876" w:rsidRDefault="00B56A7B" w:rsidP="00CC47BD">
            <w:pPr>
              <w:overflowPunct/>
              <w:autoSpaceDE/>
              <w:autoSpaceDN/>
              <w:adjustRightInd/>
              <w:spacing w:before="0"/>
              <w:textAlignment w:val="auto"/>
              <w:rPr>
                <w:rFonts w:asciiTheme="minorHAnsi" w:hAnsiTheme="minorHAnsi"/>
                <w:b/>
                <w:bCs/>
                <w:sz w:val="18"/>
                <w:szCs w:val="18"/>
                <w:lang w:val="en-US" w:eastAsia="zh-CN"/>
              </w:rPr>
            </w:pPr>
            <w:r w:rsidRPr="00111876">
              <w:rPr>
                <w:rFonts w:asciiTheme="minorHAnsi" w:hAnsiTheme="minorHAnsi" w:hint="eastAsia"/>
                <w:b/>
                <w:bCs/>
                <w:sz w:val="18"/>
                <w:szCs w:val="18"/>
                <w:lang w:val="en-US" w:eastAsia="zh-CN"/>
              </w:rPr>
              <w:t>净资产</w:t>
            </w:r>
          </w:p>
        </w:tc>
        <w:tc>
          <w:tcPr>
            <w:tcW w:w="999" w:type="pct"/>
            <w:tcBorders>
              <w:top w:val="single" w:sz="4" w:space="0" w:color="auto"/>
              <w:left w:val="single" w:sz="4" w:space="0" w:color="auto"/>
              <w:bottom w:val="nil"/>
              <w:right w:val="single" w:sz="4" w:space="0" w:color="auto"/>
            </w:tcBorders>
            <w:shd w:val="clear" w:color="auto" w:fill="auto"/>
            <w:noWrap/>
            <w:vAlign w:val="center"/>
          </w:tcPr>
          <w:p w14:paraId="33FCC632"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695" w:type="pct"/>
            <w:tcBorders>
              <w:top w:val="single" w:sz="4" w:space="0" w:color="auto"/>
              <w:left w:val="single" w:sz="4" w:space="0" w:color="auto"/>
              <w:bottom w:val="nil"/>
              <w:right w:val="single" w:sz="4" w:space="0" w:color="auto"/>
            </w:tcBorders>
            <w:shd w:val="clear" w:color="auto" w:fill="auto"/>
            <w:noWrap/>
            <w:vAlign w:val="center"/>
          </w:tcPr>
          <w:p w14:paraId="034C4DBA"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823" w:type="pct"/>
            <w:tcBorders>
              <w:top w:val="single" w:sz="4" w:space="0" w:color="auto"/>
              <w:left w:val="single" w:sz="4" w:space="0" w:color="auto"/>
              <w:bottom w:val="nil"/>
              <w:right w:val="single" w:sz="4" w:space="0" w:color="auto"/>
            </w:tcBorders>
            <w:shd w:val="clear" w:color="auto" w:fill="auto"/>
            <w:noWrap/>
            <w:vAlign w:val="center"/>
          </w:tcPr>
          <w:p w14:paraId="214E78B7"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763" w:type="pct"/>
            <w:tcBorders>
              <w:top w:val="single" w:sz="4" w:space="0" w:color="auto"/>
              <w:left w:val="single" w:sz="4" w:space="0" w:color="auto"/>
              <w:bottom w:val="nil"/>
              <w:right w:val="single" w:sz="4" w:space="0" w:color="auto"/>
            </w:tcBorders>
            <w:shd w:val="clear" w:color="auto" w:fill="auto"/>
            <w:noWrap/>
            <w:vAlign w:val="center"/>
          </w:tcPr>
          <w:p w14:paraId="5A79DB66"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r>
      <w:tr w:rsidR="00B56A7B" w:rsidRPr="00111876" w14:paraId="5709CFA0" w14:textId="77777777" w:rsidTr="00CC47BD">
        <w:trPr>
          <w:trHeight w:val="300"/>
        </w:trPr>
        <w:tc>
          <w:tcPr>
            <w:tcW w:w="1721" w:type="pct"/>
            <w:tcBorders>
              <w:top w:val="nil"/>
              <w:left w:val="single" w:sz="4" w:space="0" w:color="auto"/>
              <w:bottom w:val="nil"/>
              <w:right w:val="single" w:sz="4" w:space="0" w:color="auto"/>
            </w:tcBorders>
            <w:shd w:val="clear" w:color="auto" w:fill="auto"/>
            <w:noWrap/>
            <w:vAlign w:val="center"/>
            <w:hideMark/>
          </w:tcPr>
          <w:p w14:paraId="088CFBD2" w14:textId="77777777" w:rsidR="00B56A7B" w:rsidRPr="00111876" w:rsidRDefault="00B56A7B" w:rsidP="00CC47BD">
            <w:pPr>
              <w:overflowPunct/>
              <w:adjustRightInd/>
              <w:spacing w:before="0"/>
              <w:textAlignment w:val="auto"/>
              <w:rPr>
                <w:rFonts w:cs="Calibri"/>
                <w:sz w:val="18"/>
                <w:szCs w:val="18"/>
              </w:rPr>
            </w:pPr>
            <w:r w:rsidRPr="00111876">
              <w:rPr>
                <w:rFonts w:cs="Calibri" w:hint="eastAsia"/>
                <w:sz w:val="18"/>
                <w:szCs w:val="18"/>
              </w:rPr>
              <w:t>已分配自有资金</w:t>
            </w:r>
          </w:p>
        </w:tc>
        <w:tc>
          <w:tcPr>
            <w:tcW w:w="999" w:type="pct"/>
            <w:tcBorders>
              <w:top w:val="nil"/>
              <w:left w:val="single" w:sz="4" w:space="0" w:color="auto"/>
              <w:bottom w:val="nil"/>
              <w:right w:val="single" w:sz="4" w:space="0" w:color="auto"/>
            </w:tcBorders>
            <w:shd w:val="clear" w:color="auto" w:fill="auto"/>
            <w:noWrap/>
            <w:vAlign w:val="center"/>
            <w:hideMark/>
          </w:tcPr>
          <w:p w14:paraId="23A567BB" w14:textId="0928A8A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6</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173</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987.02</w:t>
            </w:r>
          </w:p>
        </w:tc>
        <w:tc>
          <w:tcPr>
            <w:tcW w:w="695" w:type="pct"/>
            <w:tcBorders>
              <w:top w:val="nil"/>
              <w:left w:val="single" w:sz="4" w:space="0" w:color="auto"/>
              <w:bottom w:val="nil"/>
              <w:right w:val="single" w:sz="4" w:space="0" w:color="auto"/>
            </w:tcBorders>
            <w:shd w:val="clear" w:color="auto" w:fill="auto"/>
            <w:noWrap/>
            <w:vAlign w:val="center"/>
            <w:hideMark/>
          </w:tcPr>
          <w:p w14:paraId="1B892C81" w14:textId="3904EC2B"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6</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166</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002.60</w:t>
            </w:r>
          </w:p>
        </w:tc>
        <w:tc>
          <w:tcPr>
            <w:tcW w:w="823" w:type="pct"/>
            <w:tcBorders>
              <w:top w:val="nil"/>
              <w:left w:val="single" w:sz="4" w:space="0" w:color="auto"/>
              <w:bottom w:val="nil"/>
              <w:right w:val="single" w:sz="4" w:space="0" w:color="auto"/>
            </w:tcBorders>
            <w:shd w:val="clear" w:color="auto" w:fill="auto"/>
            <w:noWrap/>
            <w:vAlign w:val="center"/>
            <w:hideMark/>
          </w:tcPr>
          <w:p w14:paraId="787D13D9" w14:textId="482B593F"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277</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250.98</w:t>
            </w:r>
          </w:p>
        </w:tc>
        <w:tc>
          <w:tcPr>
            <w:tcW w:w="763" w:type="pct"/>
            <w:tcBorders>
              <w:top w:val="nil"/>
              <w:left w:val="single" w:sz="4" w:space="0" w:color="auto"/>
              <w:bottom w:val="nil"/>
              <w:right w:val="single" w:sz="4" w:space="0" w:color="auto"/>
            </w:tcBorders>
            <w:shd w:val="clear" w:color="auto" w:fill="auto"/>
            <w:noWrap/>
            <w:vAlign w:val="center"/>
            <w:hideMark/>
          </w:tcPr>
          <w:p w14:paraId="716F5481" w14:textId="55235B69"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277</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580.84</w:t>
            </w:r>
          </w:p>
        </w:tc>
      </w:tr>
      <w:tr w:rsidR="00B56A7B" w:rsidRPr="00111876" w14:paraId="2072243E" w14:textId="77777777" w:rsidTr="00CC47BD">
        <w:trPr>
          <w:trHeight w:val="300"/>
        </w:trPr>
        <w:tc>
          <w:tcPr>
            <w:tcW w:w="1721" w:type="pct"/>
            <w:tcBorders>
              <w:top w:val="nil"/>
              <w:left w:val="single" w:sz="4" w:space="0" w:color="auto"/>
              <w:bottom w:val="nil"/>
              <w:right w:val="single" w:sz="4" w:space="0" w:color="auto"/>
            </w:tcBorders>
            <w:shd w:val="clear" w:color="auto" w:fill="auto"/>
            <w:noWrap/>
            <w:vAlign w:val="center"/>
            <w:hideMark/>
          </w:tcPr>
          <w:p w14:paraId="2E6F0338" w14:textId="77777777" w:rsidR="00B56A7B" w:rsidRPr="00111876" w:rsidRDefault="00B56A7B" w:rsidP="00CC47BD">
            <w:pPr>
              <w:overflowPunct/>
              <w:autoSpaceDE/>
              <w:autoSpaceDN/>
              <w:adjustRightInd/>
              <w:spacing w:before="0"/>
              <w:textAlignment w:val="auto"/>
              <w:rPr>
                <w:rFonts w:asciiTheme="minorHAnsi" w:hAnsiTheme="minorHAnsi"/>
                <w:sz w:val="18"/>
                <w:szCs w:val="18"/>
                <w:lang w:val="en-US" w:eastAsia="zh-CN"/>
              </w:rPr>
            </w:pPr>
            <w:r w:rsidRPr="00111876">
              <w:rPr>
                <w:rFonts w:asciiTheme="minorHAnsi" w:hAnsiTheme="minorHAnsi" w:hint="eastAsia"/>
                <w:sz w:val="18"/>
                <w:szCs w:val="18"/>
                <w:lang w:val="en-US" w:eastAsia="zh-CN"/>
              </w:rPr>
              <w:t>本期盈余</w:t>
            </w:r>
            <w:r w:rsidRPr="00111876">
              <w:rPr>
                <w:rFonts w:asciiTheme="minorHAnsi" w:hAnsiTheme="minorHAnsi" w:hint="eastAsia"/>
                <w:sz w:val="18"/>
                <w:szCs w:val="18"/>
                <w:lang w:val="en-US" w:eastAsia="zh-CN"/>
              </w:rPr>
              <w:t>/</w:t>
            </w:r>
            <w:r w:rsidRPr="00111876">
              <w:rPr>
                <w:rFonts w:asciiTheme="minorHAnsi" w:hAnsiTheme="minorHAnsi" w:hint="eastAsia"/>
                <w:sz w:val="18"/>
                <w:szCs w:val="18"/>
                <w:lang w:val="en-US" w:eastAsia="zh-CN"/>
              </w:rPr>
              <w:t>赤字</w:t>
            </w:r>
          </w:p>
        </w:tc>
        <w:tc>
          <w:tcPr>
            <w:tcW w:w="999" w:type="pct"/>
            <w:tcBorders>
              <w:top w:val="nil"/>
              <w:left w:val="single" w:sz="4" w:space="0" w:color="auto"/>
              <w:right w:val="single" w:sz="4" w:space="0" w:color="auto"/>
            </w:tcBorders>
            <w:shd w:val="clear" w:color="auto" w:fill="auto"/>
            <w:noWrap/>
            <w:vAlign w:val="center"/>
            <w:hideMark/>
          </w:tcPr>
          <w:p w14:paraId="73DB49DE" w14:textId="0CBAD12B"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11</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228.37</w:t>
            </w:r>
          </w:p>
        </w:tc>
        <w:tc>
          <w:tcPr>
            <w:tcW w:w="695" w:type="pct"/>
            <w:tcBorders>
              <w:top w:val="nil"/>
              <w:left w:val="single" w:sz="4" w:space="0" w:color="auto"/>
              <w:right w:val="single" w:sz="4" w:space="0" w:color="auto"/>
            </w:tcBorders>
            <w:shd w:val="clear" w:color="auto" w:fill="auto"/>
            <w:noWrap/>
            <w:vAlign w:val="center"/>
            <w:hideMark/>
          </w:tcPr>
          <w:p w14:paraId="3EADB146" w14:textId="22899A3D"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7</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984.42</w:t>
            </w:r>
          </w:p>
        </w:tc>
        <w:tc>
          <w:tcPr>
            <w:tcW w:w="823" w:type="pct"/>
            <w:tcBorders>
              <w:top w:val="nil"/>
              <w:left w:val="single" w:sz="4" w:space="0" w:color="auto"/>
              <w:right w:val="single" w:sz="4" w:space="0" w:color="auto"/>
            </w:tcBorders>
            <w:shd w:val="clear" w:color="auto" w:fill="auto"/>
            <w:noWrap/>
            <w:vAlign w:val="center"/>
            <w:hideMark/>
          </w:tcPr>
          <w:p w14:paraId="2876AC5D" w14:textId="4DF61EA4"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-1</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616.88</w:t>
            </w:r>
          </w:p>
        </w:tc>
        <w:tc>
          <w:tcPr>
            <w:tcW w:w="763" w:type="pct"/>
            <w:tcBorders>
              <w:top w:val="nil"/>
              <w:left w:val="single" w:sz="4" w:space="0" w:color="auto"/>
              <w:right w:val="single" w:sz="4" w:space="0" w:color="auto"/>
            </w:tcBorders>
            <w:shd w:val="clear" w:color="auto" w:fill="auto"/>
            <w:noWrap/>
            <w:vAlign w:val="center"/>
            <w:hideMark/>
          </w:tcPr>
          <w:p w14:paraId="6BBF2EC5"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-329.86</w:t>
            </w:r>
          </w:p>
        </w:tc>
      </w:tr>
      <w:tr w:rsidR="00B56A7B" w:rsidRPr="00111876" w14:paraId="01D680E5" w14:textId="77777777" w:rsidTr="00CC47BD">
        <w:trPr>
          <w:trHeight w:val="300"/>
        </w:trPr>
        <w:tc>
          <w:tcPr>
            <w:tcW w:w="1721" w:type="pct"/>
            <w:tcBorders>
              <w:top w:val="nil"/>
              <w:left w:val="single" w:sz="4" w:space="0" w:color="auto"/>
              <w:bottom w:val="single" w:sz="4" w:space="0" w:color="auto"/>
              <w:right w:val="single" w:sz="4" w:space="0" w:color="auto"/>
            </w:tcBorders>
            <w:shd w:val="clear" w:color="auto" w:fill="auto"/>
            <w:noWrap/>
            <w:vAlign w:val="center"/>
            <w:hideMark/>
          </w:tcPr>
          <w:p w14:paraId="55E52EEC" w14:textId="77777777" w:rsidR="00B56A7B" w:rsidRPr="00111876" w:rsidRDefault="00B56A7B" w:rsidP="00CC47BD">
            <w:pPr>
              <w:overflowPunct/>
              <w:autoSpaceDE/>
              <w:autoSpaceDN/>
              <w:adjustRightInd/>
              <w:spacing w:before="0"/>
              <w:textAlignment w:val="auto"/>
              <w:rPr>
                <w:rFonts w:asciiTheme="minorHAnsi" w:hAnsiTheme="minorHAnsi"/>
                <w:sz w:val="18"/>
                <w:szCs w:val="18"/>
                <w:lang w:val="en-US" w:eastAsia="zh-CN"/>
              </w:rPr>
            </w:pPr>
            <w:r w:rsidRPr="00111876">
              <w:rPr>
                <w:rFonts w:asciiTheme="minorHAnsi" w:hAnsiTheme="minorHAnsi" w:hint="eastAsia"/>
                <w:sz w:val="18"/>
                <w:szCs w:val="18"/>
                <w:lang w:val="en-US" w:eastAsia="zh-CN"/>
              </w:rPr>
              <w:t>IPSAS</w:t>
            </w:r>
            <w:r w:rsidRPr="00111876">
              <w:rPr>
                <w:rFonts w:asciiTheme="minorHAnsi" w:hAnsiTheme="minorHAnsi" w:hint="eastAsia"/>
                <w:sz w:val="18"/>
                <w:szCs w:val="18"/>
                <w:lang w:val="en-US" w:eastAsia="zh-CN"/>
              </w:rPr>
              <w:t>累计结果</w:t>
            </w:r>
          </w:p>
        </w:tc>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5445E9C0" w14:textId="5291BE2E"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-294</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581.73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14:paraId="192558AC" w14:textId="105599F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r w:rsidRPr="00111876">
              <w:rPr>
                <w:rFonts w:asciiTheme="minorHAnsi" w:hAnsiTheme="minorHAnsi"/>
                <w:sz w:val="18"/>
                <w:szCs w:val="18"/>
                <w:lang w:val="en-US" w:eastAsia="zh-CN"/>
              </w:rPr>
              <w:t>-409</w:t>
            </w:r>
            <w:r w:rsidR="00111876">
              <w:rPr>
                <w:rFonts w:asciiTheme="minorHAnsi" w:hAnsiTheme="minorHAnsi"/>
                <w:sz w:val="18"/>
                <w:szCs w:val="18"/>
                <w:lang w:val="en-US" w:eastAsia="zh-CN"/>
              </w:rPr>
              <w:t> </w:t>
            </w:r>
            <w:r w:rsidRPr="00111876">
              <w:rPr>
                <w:rFonts w:asciiTheme="minorHAnsi" w:hAnsiTheme="minorHAnsi"/>
                <w:sz w:val="18"/>
                <w:szCs w:val="18"/>
                <w:lang w:val="en-US" w:eastAsia="zh-CN"/>
              </w:rPr>
              <w:t>119</w:t>
            </w:r>
          </w:p>
        </w:tc>
        <w:tc>
          <w:tcPr>
            <w:tcW w:w="823" w:type="pct"/>
            <w:tcBorders>
              <w:top w:val="nil"/>
              <w:left w:val="single" w:sz="4" w:space="0" w:color="auto"/>
              <w:bottom w:val="single" w:sz="4" w:space="0" w:color="auto"/>
              <w:right w:val="single" w:sz="4" w:space="0" w:color="auto"/>
            </w:tcBorders>
            <w:shd w:val="clear" w:color="auto" w:fill="auto"/>
            <w:noWrap/>
            <w:vAlign w:val="center"/>
            <w:hideMark/>
          </w:tcPr>
          <w:p w14:paraId="48C783DE"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c>
          <w:tcPr>
            <w:tcW w:w="763" w:type="pct"/>
            <w:tcBorders>
              <w:top w:val="nil"/>
              <w:left w:val="single" w:sz="4" w:space="0" w:color="auto"/>
              <w:bottom w:val="single" w:sz="4" w:space="0" w:color="auto"/>
              <w:right w:val="single" w:sz="4" w:space="0" w:color="auto"/>
            </w:tcBorders>
            <w:shd w:val="clear" w:color="auto" w:fill="auto"/>
            <w:noWrap/>
            <w:vAlign w:val="center"/>
            <w:hideMark/>
          </w:tcPr>
          <w:p w14:paraId="291ABD22" w14:textId="77777777" w:rsidR="00B56A7B" w:rsidRPr="00111876" w:rsidRDefault="00B56A7B" w:rsidP="00CC47BD">
            <w:pPr>
              <w:overflowPunct/>
              <w:autoSpaceDE/>
              <w:autoSpaceDN/>
              <w:adjustRightInd/>
              <w:spacing w:before="0"/>
              <w:jc w:val="right"/>
              <w:textAlignment w:val="auto"/>
              <w:rPr>
                <w:rFonts w:asciiTheme="minorHAnsi" w:hAnsiTheme="minorHAnsi"/>
                <w:sz w:val="18"/>
                <w:szCs w:val="18"/>
                <w:lang w:val="en-US" w:eastAsia="zh-CN"/>
              </w:rPr>
            </w:pPr>
          </w:p>
        </w:tc>
      </w:tr>
      <w:tr w:rsidR="00B56A7B" w:rsidRPr="00111876" w14:paraId="1765B838" w14:textId="77777777" w:rsidTr="00CC47BD">
        <w:trPr>
          <w:trHeight w:val="300"/>
        </w:trPr>
        <w:tc>
          <w:tcPr>
            <w:tcW w:w="1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B85DE" w14:textId="77777777" w:rsidR="00B56A7B" w:rsidRPr="00111876" w:rsidRDefault="00B56A7B" w:rsidP="00CC47BD">
            <w:pPr>
              <w:overflowPunct/>
              <w:adjustRightInd/>
              <w:spacing w:before="0"/>
              <w:textAlignment w:val="auto"/>
              <w:rPr>
                <w:rFonts w:asciiTheme="minorHAnsi" w:hAnsiTheme="minorHAnsi"/>
                <w:b/>
                <w:bCs/>
                <w:sz w:val="18"/>
                <w:szCs w:val="18"/>
                <w:lang w:val="en-US" w:eastAsia="zh-CN"/>
              </w:rPr>
            </w:pPr>
            <w:r w:rsidRPr="00111876">
              <w:rPr>
                <w:rFonts w:cs="Calibri" w:hint="eastAsia"/>
                <w:b/>
                <w:bCs/>
                <w:sz w:val="18"/>
                <w:szCs w:val="18"/>
                <w:lang w:eastAsia="zh-CN"/>
              </w:rPr>
              <w:t>合计</w:t>
            </w:r>
          </w:p>
        </w:tc>
        <w:tc>
          <w:tcPr>
            <w:tcW w:w="9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B63BA" w14:textId="37F69A2F" w:rsidR="00B56A7B" w:rsidRPr="00111876" w:rsidRDefault="00B56A7B" w:rsidP="00CC47BD">
            <w:pPr>
              <w:overflowPunct/>
              <w:autoSpaceDE/>
              <w:autoSpaceDN/>
              <w:adjustRightInd/>
              <w:spacing w:before="0"/>
              <w:jc w:val="right"/>
              <w:textAlignment w:val="auto"/>
              <w:rPr>
                <w:rFonts w:asciiTheme="minorHAnsi" w:hAnsiTheme="minorHAnsi"/>
                <w:b/>
                <w:bCs/>
                <w:sz w:val="18"/>
                <w:szCs w:val="18"/>
                <w:lang w:val="en-US" w:eastAsia="zh-CN"/>
              </w:rPr>
            </w:pPr>
            <w:r w:rsidRPr="00111876">
              <w:rPr>
                <w:rFonts w:asciiTheme="minorHAnsi" w:hAnsiTheme="minorHAnsi"/>
                <w:b/>
                <w:bCs/>
                <w:sz w:val="18"/>
                <w:szCs w:val="18"/>
                <w:lang w:val="en-US" w:eastAsia="zh-CN"/>
              </w:rPr>
              <w:t>5</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890</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633.56</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DAB64" w14:textId="25B1E511" w:rsidR="00B56A7B" w:rsidRPr="00111876" w:rsidRDefault="00B56A7B" w:rsidP="00CC47BD">
            <w:pPr>
              <w:overflowPunct/>
              <w:autoSpaceDE/>
              <w:autoSpaceDN/>
              <w:adjustRightInd/>
              <w:spacing w:before="0"/>
              <w:jc w:val="right"/>
              <w:textAlignment w:val="auto"/>
              <w:rPr>
                <w:rFonts w:asciiTheme="minorHAnsi" w:hAnsiTheme="minorHAnsi"/>
                <w:b/>
                <w:bCs/>
                <w:sz w:val="18"/>
                <w:szCs w:val="18"/>
                <w:lang w:val="en-US" w:eastAsia="zh-CN"/>
              </w:rPr>
            </w:pPr>
            <w:r w:rsidRPr="00111876">
              <w:rPr>
                <w:rFonts w:asciiTheme="minorHAnsi" w:hAnsiTheme="minorHAnsi"/>
                <w:b/>
                <w:bCs/>
                <w:sz w:val="18"/>
                <w:szCs w:val="18"/>
                <w:lang w:val="en-US" w:eastAsia="zh-CN"/>
              </w:rPr>
              <w:t>5</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764</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868.02</w:t>
            </w:r>
          </w:p>
        </w:tc>
        <w:tc>
          <w:tcPr>
            <w:tcW w:w="8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4E67A" w14:textId="7FBE6632" w:rsidR="00B56A7B" w:rsidRPr="00111876" w:rsidRDefault="00B56A7B" w:rsidP="00CC47BD">
            <w:pPr>
              <w:overflowPunct/>
              <w:autoSpaceDE/>
              <w:autoSpaceDN/>
              <w:adjustRightInd/>
              <w:spacing w:before="0"/>
              <w:jc w:val="right"/>
              <w:textAlignment w:val="auto"/>
              <w:rPr>
                <w:rFonts w:asciiTheme="minorHAnsi" w:hAnsiTheme="minorHAnsi"/>
                <w:b/>
                <w:bCs/>
                <w:sz w:val="18"/>
                <w:szCs w:val="18"/>
                <w:lang w:val="en-US" w:eastAsia="zh-CN"/>
              </w:rPr>
            </w:pPr>
            <w:r w:rsidRPr="00111876">
              <w:rPr>
                <w:rFonts w:asciiTheme="minorHAnsi" w:hAnsiTheme="minorHAnsi"/>
                <w:b/>
                <w:bCs/>
                <w:sz w:val="18"/>
                <w:szCs w:val="18"/>
                <w:lang w:val="en-US" w:eastAsia="zh-CN"/>
              </w:rPr>
              <w:t>275</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634.10</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ADDA5" w14:textId="71EA9C77" w:rsidR="00B56A7B" w:rsidRPr="00111876" w:rsidRDefault="00B56A7B" w:rsidP="00CC47BD">
            <w:pPr>
              <w:overflowPunct/>
              <w:autoSpaceDE/>
              <w:autoSpaceDN/>
              <w:adjustRightInd/>
              <w:spacing w:before="0"/>
              <w:jc w:val="right"/>
              <w:textAlignment w:val="auto"/>
              <w:rPr>
                <w:rFonts w:asciiTheme="minorHAnsi" w:hAnsiTheme="minorHAnsi"/>
                <w:b/>
                <w:bCs/>
                <w:sz w:val="18"/>
                <w:szCs w:val="18"/>
                <w:lang w:val="en-US" w:eastAsia="zh-CN"/>
              </w:rPr>
            </w:pPr>
            <w:r w:rsidRPr="00111876">
              <w:rPr>
                <w:rFonts w:asciiTheme="minorHAnsi" w:hAnsiTheme="minorHAnsi"/>
                <w:b/>
                <w:bCs/>
                <w:sz w:val="18"/>
                <w:szCs w:val="18"/>
                <w:lang w:val="en-US" w:eastAsia="zh-CN"/>
              </w:rPr>
              <w:t>277</w:t>
            </w:r>
            <w:r w:rsidR="00111876">
              <w:rPr>
                <w:rFonts w:asciiTheme="minorHAnsi" w:hAnsiTheme="minorHAnsi"/>
                <w:b/>
                <w:bCs/>
                <w:sz w:val="18"/>
                <w:szCs w:val="18"/>
                <w:lang w:val="en-US" w:eastAsia="zh-CN"/>
              </w:rPr>
              <w:t> </w:t>
            </w:r>
            <w:r w:rsidRPr="00111876">
              <w:rPr>
                <w:rFonts w:asciiTheme="minorHAnsi" w:hAnsiTheme="minorHAnsi"/>
                <w:b/>
                <w:bCs/>
                <w:sz w:val="18"/>
                <w:szCs w:val="18"/>
                <w:lang w:val="en-US" w:eastAsia="zh-CN"/>
              </w:rPr>
              <w:t>250.98</w:t>
            </w:r>
          </w:p>
        </w:tc>
      </w:tr>
    </w:tbl>
    <w:p w14:paraId="3458F571" w14:textId="77777777" w:rsidR="00B56A7B" w:rsidRPr="000C156A" w:rsidRDefault="00B56A7B" w:rsidP="00B56A7B">
      <w:pPr>
        <w:rPr>
          <w:lang w:val="en-US" w:eastAsia="zh-CN"/>
        </w:rPr>
        <w:sectPr w:rsidR="00B56A7B" w:rsidRPr="000C156A" w:rsidSect="003A64C9">
          <w:pgSz w:w="11907" w:h="16834"/>
          <w:pgMar w:top="851" w:right="1134" w:bottom="851" w:left="1134" w:header="720" w:footer="720" w:gutter="0"/>
          <w:paperSrc w:first="15" w:other="15"/>
          <w:cols w:space="720"/>
          <w:titlePg/>
          <w:docGrid w:linePitch="326"/>
        </w:sectPr>
      </w:pPr>
    </w:p>
    <w:p w14:paraId="2CC2DD6D" w14:textId="77777777" w:rsidR="004C18AD" w:rsidRPr="000C156A" w:rsidRDefault="004C18AD" w:rsidP="004C18AD">
      <w:pPr>
        <w:pStyle w:val="AnnexNo"/>
        <w:spacing w:before="0"/>
        <w:outlineLvl w:val="0"/>
        <w:rPr>
          <w:caps w:val="0"/>
          <w:lang w:val="ru-RU" w:eastAsia="zh-CN"/>
        </w:rPr>
      </w:pPr>
      <w:bookmarkStart w:id="1416" w:name="_Toc41905917"/>
      <w:bookmarkStart w:id="1417" w:name="_Toc41908089"/>
      <w:bookmarkStart w:id="1418" w:name="_Toc73519306"/>
      <w:bookmarkStart w:id="1419" w:name="_Toc73636344"/>
      <w:bookmarkStart w:id="1420" w:name="_Toc110330300"/>
      <w:r w:rsidRPr="000C156A">
        <w:rPr>
          <w:rFonts w:hint="eastAsia"/>
          <w:w w:val="105"/>
          <w:lang w:val="en-US" w:eastAsia="zh-CN"/>
        </w:rPr>
        <w:lastRenderedPageBreak/>
        <w:t>附件</w:t>
      </w:r>
      <w:r w:rsidRPr="000C156A">
        <w:rPr>
          <w:w w:val="105"/>
          <w:lang w:val="en-US" w:eastAsia="zh-CN"/>
        </w:rPr>
        <w:t>B4</w:t>
      </w:r>
      <w:bookmarkEnd w:id="1416"/>
      <w:bookmarkEnd w:id="1417"/>
      <w:bookmarkEnd w:id="1418"/>
      <w:bookmarkEnd w:id="1419"/>
      <w:bookmarkEnd w:id="1420"/>
    </w:p>
    <w:p w14:paraId="4AB55A04" w14:textId="77777777" w:rsidR="004C18AD" w:rsidRPr="000C156A" w:rsidRDefault="004C18AD" w:rsidP="004C18AD">
      <w:pPr>
        <w:pStyle w:val="Annextitle"/>
        <w:rPr>
          <w:rFonts w:cs="Microsoft YaHei"/>
          <w:lang w:val="fr-FR" w:eastAsia="zh-CN"/>
        </w:rPr>
      </w:pPr>
      <w:bookmarkStart w:id="1421" w:name="_Toc358374608"/>
      <w:bookmarkStart w:id="1422" w:name="_Toc358136606"/>
      <w:bookmarkStart w:id="1423" w:name="_Toc452103924"/>
      <w:bookmarkStart w:id="1424" w:name="_Toc452103502"/>
      <w:bookmarkStart w:id="1425" w:name="_Toc452103245"/>
      <w:bookmarkStart w:id="1426" w:name="_Toc419404413"/>
      <w:bookmarkStart w:id="1427" w:name="_Toc419389938"/>
      <w:bookmarkStart w:id="1428" w:name="_Toc387243059"/>
      <w:r w:rsidRPr="00D60D99">
        <w:rPr>
          <w:rFonts w:cs="Microsoft YaHei" w:hint="eastAsia"/>
          <w:lang w:val="fr-FR" w:eastAsia="zh-CN"/>
        </w:rPr>
        <w:t>信托基金（未使用的拨款）</w:t>
      </w:r>
      <w:bookmarkEnd w:id="1421"/>
      <w:bookmarkEnd w:id="1422"/>
      <w:r w:rsidRPr="000C156A">
        <w:rPr>
          <w:rFonts w:cs="Microsoft YaHei"/>
          <w:lang w:val="fr-FR" w:eastAsia="zh-CN"/>
        </w:rPr>
        <w:t xml:space="preserve"> – </w:t>
      </w:r>
      <w:r w:rsidRPr="000C156A">
        <w:rPr>
          <w:rFonts w:cs="Microsoft YaHei" w:hint="eastAsia"/>
          <w:lang w:val="fr-FR" w:eastAsia="zh-CN"/>
        </w:rPr>
        <w:t>见说明</w:t>
      </w:r>
      <w:bookmarkEnd w:id="1423"/>
      <w:bookmarkEnd w:id="1424"/>
      <w:bookmarkEnd w:id="1425"/>
      <w:bookmarkEnd w:id="1426"/>
      <w:bookmarkEnd w:id="1427"/>
      <w:bookmarkEnd w:id="1428"/>
      <w:r w:rsidRPr="000C156A">
        <w:rPr>
          <w:rFonts w:cs="Microsoft YaHei"/>
          <w:lang w:val="fr-FR" w:eastAsia="zh-CN"/>
        </w:rPr>
        <w:t>20</w:t>
      </w:r>
    </w:p>
    <w:p w14:paraId="2A4B26DE" w14:textId="0E2F0FB4" w:rsidR="004C18AD" w:rsidRDefault="00FD78FF" w:rsidP="004C18AD">
      <w:pPr>
        <w:overflowPunct/>
        <w:autoSpaceDE/>
        <w:autoSpaceDN/>
        <w:adjustRightInd/>
        <w:spacing w:before="0"/>
        <w:textAlignment w:val="auto"/>
        <w:rPr>
          <w:lang w:eastAsia="zh-CN"/>
        </w:rPr>
      </w:pPr>
      <w:r w:rsidRPr="00FD78FF">
        <w:rPr>
          <w:noProof/>
        </w:rPr>
        <w:drawing>
          <wp:inline distT="0" distB="0" distL="0" distR="0" wp14:anchorId="2C706B1B" wp14:editId="57528D25">
            <wp:extent cx="8888730" cy="3308985"/>
            <wp:effectExtent l="0" t="0" r="762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888730" cy="3308985"/>
                    </a:xfrm>
                    <a:prstGeom prst="rect">
                      <a:avLst/>
                    </a:prstGeom>
                    <a:noFill/>
                    <a:ln>
                      <a:noFill/>
                    </a:ln>
                  </pic:spPr>
                </pic:pic>
              </a:graphicData>
            </a:graphic>
          </wp:inline>
        </w:drawing>
      </w:r>
    </w:p>
    <w:p w14:paraId="201EDD34" w14:textId="77777777" w:rsidR="004C18AD" w:rsidRDefault="004C18AD" w:rsidP="004C18AD">
      <w:pPr>
        <w:pStyle w:val="Annextitle"/>
        <w:rPr>
          <w:szCs w:val="24"/>
          <w:lang w:val="ru-RU" w:eastAsia="zh-CN"/>
        </w:rPr>
      </w:pPr>
      <w:r w:rsidRPr="00D60D99">
        <w:rPr>
          <w:rFonts w:hint="eastAsia"/>
          <w:szCs w:val="24"/>
          <w:lang w:val="ru-RU" w:eastAsia="zh-CN"/>
        </w:rPr>
        <w:lastRenderedPageBreak/>
        <w:t>信托</w:t>
      </w:r>
      <w:r w:rsidRPr="00D60D99">
        <w:rPr>
          <w:szCs w:val="24"/>
          <w:lang w:val="ru-RU" w:eastAsia="zh-CN"/>
        </w:rPr>
        <w:t>基金（未使用的拨款）（</w:t>
      </w:r>
      <w:r w:rsidRPr="00D60D99">
        <w:rPr>
          <w:rFonts w:eastAsia="STKaiti"/>
          <w:szCs w:val="24"/>
          <w:lang w:val="ru-RU" w:eastAsia="zh-CN"/>
        </w:rPr>
        <w:t>续</w:t>
      </w:r>
      <w:r w:rsidRPr="00D60D99">
        <w:rPr>
          <w:szCs w:val="24"/>
          <w:lang w:val="ru-RU" w:eastAsia="zh-CN"/>
        </w:rPr>
        <w:t>）</w:t>
      </w:r>
    </w:p>
    <w:p w14:paraId="5B18E377" w14:textId="0F684C65" w:rsidR="004C18AD" w:rsidRPr="00FA47C4" w:rsidRDefault="00FD78FF" w:rsidP="004C18AD">
      <w:pPr>
        <w:pStyle w:val="Annexref"/>
        <w:rPr>
          <w:lang w:val="ru-RU" w:eastAsia="zh-CN"/>
        </w:rPr>
      </w:pPr>
      <w:r w:rsidRPr="00FD78FF">
        <w:rPr>
          <w:noProof/>
        </w:rPr>
        <w:drawing>
          <wp:inline distT="0" distB="0" distL="0" distR="0" wp14:anchorId="1C198675" wp14:editId="3CBC6071">
            <wp:extent cx="8888730" cy="5116830"/>
            <wp:effectExtent l="0" t="0" r="762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88730" cy="5116830"/>
                    </a:xfrm>
                    <a:prstGeom prst="rect">
                      <a:avLst/>
                    </a:prstGeom>
                    <a:noFill/>
                    <a:ln>
                      <a:noFill/>
                    </a:ln>
                  </pic:spPr>
                </pic:pic>
              </a:graphicData>
            </a:graphic>
          </wp:inline>
        </w:drawing>
      </w:r>
    </w:p>
    <w:p w14:paraId="64DB2252" w14:textId="77777777" w:rsidR="004C18AD" w:rsidRPr="000C156A" w:rsidRDefault="004C18AD" w:rsidP="004C18AD">
      <w:pPr>
        <w:overflowPunct/>
        <w:autoSpaceDE/>
        <w:autoSpaceDN/>
        <w:adjustRightInd/>
        <w:spacing w:before="0"/>
        <w:textAlignment w:val="auto"/>
        <w:rPr>
          <w:lang w:eastAsia="zh-CN"/>
        </w:rPr>
      </w:pPr>
      <w:bookmarkStart w:id="1429" w:name="_MON_1719670830"/>
      <w:bookmarkEnd w:id="1429"/>
      <w:r w:rsidRPr="000C156A">
        <w:rPr>
          <w:lang w:eastAsia="zh-CN"/>
        </w:rPr>
        <w:br w:type="page"/>
      </w:r>
    </w:p>
    <w:p w14:paraId="45C098AD" w14:textId="77777777" w:rsidR="004C18AD" w:rsidRDefault="004C18AD" w:rsidP="004C18AD">
      <w:pPr>
        <w:pStyle w:val="Annextitle"/>
        <w:spacing w:after="0"/>
        <w:rPr>
          <w:szCs w:val="24"/>
          <w:lang w:val="ru-RU" w:eastAsia="zh-CN"/>
        </w:rPr>
      </w:pPr>
      <w:r w:rsidRPr="00D60D99">
        <w:rPr>
          <w:rFonts w:hint="eastAsia"/>
          <w:szCs w:val="24"/>
          <w:lang w:val="ru-RU" w:eastAsia="zh-CN"/>
        </w:rPr>
        <w:lastRenderedPageBreak/>
        <w:t>信托</w:t>
      </w:r>
      <w:r w:rsidRPr="00D60D99">
        <w:rPr>
          <w:szCs w:val="24"/>
          <w:lang w:val="ru-RU" w:eastAsia="zh-CN"/>
        </w:rPr>
        <w:t>基金（未使用的拨款）（</w:t>
      </w:r>
      <w:r w:rsidRPr="00D60D99">
        <w:rPr>
          <w:rFonts w:eastAsia="STKaiti"/>
          <w:szCs w:val="24"/>
          <w:lang w:val="ru-RU" w:eastAsia="zh-CN"/>
        </w:rPr>
        <w:t>续</w:t>
      </w:r>
      <w:r w:rsidRPr="00D60D99">
        <w:rPr>
          <w:szCs w:val="24"/>
          <w:lang w:val="ru-RU" w:eastAsia="zh-CN"/>
        </w:rPr>
        <w:t>）</w:t>
      </w:r>
    </w:p>
    <w:p w14:paraId="08AE0C7A" w14:textId="6AF691D8" w:rsidR="004C18AD" w:rsidRDefault="00FD78FF" w:rsidP="004C18AD">
      <w:pPr>
        <w:pStyle w:val="Annextitle"/>
        <w:spacing w:after="0"/>
        <w:rPr>
          <w:szCs w:val="24"/>
          <w:lang w:val="ru-RU" w:eastAsia="zh-CN"/>
        </w:rPr>
      </w:pPr>
      <w:r w:rsidRPr="00FD78FF">
        <w:rPr>
          <w:noProof/>
        </w:rPr>
        <w:drawing>
          <wp:inline distT="0" distB="0" distL="0" distR="0" wp14:anchorId="3351D23D" wp14:editId="4FD0C42D">
            <wp:extent cx="8038768" cy="3091348"/>
            <wp:effectExtent l="0" t="0" r="63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055367" cy="3097731"/>
                    </a:xfrm>
                    <a:prstGeom prst="rect">
                      <a:avLst/>
                    </a:prstGeom>
                    <a:noFill/>
                    <a:ln>
                      <a:noFill/>
                    </a:ln>
                  </pic:spPr>
                </pic:pic>
              </a:graphicData>
            </a:graphic>
          </wp:inline>
        </w:drawing>
      </w:r>
    </w:p>
    <w:p w14:paraId="18215FD1" w14:textId="0B261A07" w:rsidR="004C18AD" w:rsidRPr="000C156A" w:rsidRDefault="00FD78FF" w:rsidP="00FD78FF">
      <w:pPr>
        <w:pStyle w:val="Annexref"/>
        <w:rPr>
          <w:rFonts w:ascii="Times New Roman Bold" w:hAnsi="Times New Roman Bold"/>
          <w:b/>
          <w:sz w:val="22"/>
          <w:szCs w:val="22"/>
          <w:lang w:val="ru-RU" w:eastAsia="zh-CN"/>
        </w:rPr>
      </w:pPr>
      <w:r w:rsidRPr="00FD78FF">
        <w:rPr>
          <w:noProof/>
        </w:rPr>
        <w:drawing>
          <wp:inline distT="0" distB="0" distL="0" distR="0" wp14:anchorId="345C46BA" wp14:editId="396FA552">
            <wp:extent cx="8006964" cy="2321207"/>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024531" cy="2326300"/>
                    </a:xfrm>
                    <a:prstGeom prst="rect">
                      <a:avLst/>
                    </a:prstGeom>
                    <a:noFill/>
                    <a:ln>
                      <a:noFill/>
                    </a:ln>
                  </pic:spPr>
                </pic:pic>
              </a:graphicData>
            </a:graphic>
          </wp:inline>
        </w:drawing>
      </w:r>
      <w:r w:rsidR="004C18AD" w:rsidRPr="000C156A">
        <w:rPr>
          <w:rFonts w:ascii="Times New Roman Bold" w:hAnsi="Times New Roman Bold"/>
          <w:b/>
          <w:sz w:val="22"/>
          <w:szCs w:val="22"/>
          <w:lang w:val="ru-RU" w:eastAsia="zh-CN"/>
        </w:rPr>
        <w:br w:type="page"/>
      </w:r>
    </w:p>
    <w:p w14:paraId="536590F1" w14:textId="77777777" w:rsidR="004C18AD" w:rsidRDefault="004C18AD" w:rsidP="004C18AD">
      <w:pPr>
        <w:pStyle w:val="Annextitle"/>
        <w:spacing w:after="0"/>
        <w:rPr>
          <w:szCs w:val="24"/>
          <w:lang w:val="ru-RU" w:eastAsia="zh-CN"/>
        </w:rPr>
      </w:pPr>
      <w:r w:rsidRPr="00D60D99">
        <w:rPr>
          <w:rFonts w:hint="eastAsia"/>
          <w:szCs w:val="24"/>
          <w:lang w:val="ru-RU" w:eastAsia="zh-CN"/>
        </w:rPr>
        <w:lastRenderedPageBreak/>
        <w:t>信托</w:t>
      </w:r>
      <w:r w:rsidRPr="00D60D99">
        <w:rPr>
          <w:szCs w:val="24"/>
          <w:lang w:val="ru-RU" w:eastAsia="zh-CN"/>
        </w:rPr>
        <w:t>基金（未使用的拨款）（</w:t>
      </w:r>
      <w:r w:rsidRPr="00D60D99">
        <w:rPr>
          <w:rFonts w:eastAsia="STKaiti"/>
          <w:szCs w:val="24"/>
          <w:lang w:val="ru-RU" w:eastAsia="zh-CN"/>
        </w:rPr>
        <w:t>续</w:t>
      </w:r>
      <w:r w:rsidRPr="00D60D99">
        <w:rPr>
          <w:szCs w:val="24"/>
          <w:lang w:val="ru-RU" w:eastAsia="zh-CN"/>
        </w:rPr>
        <w:t>）</w:t>
      </w:r>
    </w:p>
    <w:p w14:paraId="7A765A58" w14:textId="01A20F85" w:rsidR="004C18AD" w:rsidRPr="00712993" w:rsidRDefault="00454FB1" w:rsidP="004C18AD">
      <w:pPr>
        <w:pStyle w:val="Annexref"/>
        <w:rPr>
          <w:lang w:val="ru-RU" w:eastAsia="zh-CN"/>
        </w:rPr>
      </w:pPr>
      <w:r w:rsidRPr="00454FB1">
        <w:rPr>
          <w:noProof/>
        </w:rPr>
        <w:drawing>
          <wp:inline distT="0" distB="0" distL="0" distR="0" wp14:anchorId="3CCE9EEC" wp14:editId="2157724A">
            <wp:extent cx="8888730" cy="4836795"/>
            <wp:effectExtent l="0" t="0" r="7620"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88730" cy="4836795"/>
                    </a:xfrm>
                    <a:prstGeom prst="rect">
                      <a:avLst/>
                    </a:prstGeom>
                    <a:noFill/>
                    <a:ln>
                      <a:noFill/>
                    </a:ln>
                  </pic:spPr>
                </pic:pic>
              </a:graphicData>
            </a:graphic>
          </wp:inline>
        </w:drawing>
      </w:r>
    </w:p>
    <w:p w14:paraId="2974D848" w14:textId="77777777" w:rsidR="004C18AD" w:rsidRDefault="004C18AD" w:rsidP="004C18AD">
      <w:pPr>
        <w:overflowPunct/>
        <w:autoSpaceDE/>
        <w:autoSpaceDN/>
        <w:adjustRightInd/>
        <w:spacing w:before="0"/>
        <w:textAlignment w:val="auto"/>
        <w:rPr>
          <w:rFonts w:ascii="Times New Roman Bold" w:hAnsi="Times New Roman Bold"/>
          <w:b/>
          <w:sz w:val="22"/>
          <w:szCs w:val="22"/>
          <w:lang w:val="ru-RU" w:eastAsia="zh-CN"/>
        </w:rPr>
      </w:pPr>
    </w:p>
    <w:p w14:paraId="029A14CE" w14:textId="77777777" w:rsidR="004C18AD" w:rsidRPr="000C156A" w:rsidRDefault="004C18AD" w:rsidP="004C18AD">
      <w:pPr>
        <w:overflowPunct/>
        <w:autoSpaceDE/>
        <w:autoSpaceDN/>
        <w:adjustRightInd/>
        <w:spacing w:before="0"/>
        <w:textAlignment w:val="auto"/>
        <w:rPr>
          <w:rFonts w:ascii="Times New Roman Bold" w:hAnsi="Times New Roman Bold"/>
          <w:b/>
          <w:sz w:val="22"/>
          <w:szCs w:val="22"/>
          <w:lang w:val="ru-RU" w:eastAsia="zh-CN"/>
        </w:rPr>
      </w:pPr>
      <w:r w:rsidRPr="000C156A">
        <w:rPr>
          <w:rFonts w:ascii="Times New Roman Bold" w:hAnsi="Times New Roman Bold"/>
          <w:b/>
          <w:sz w:val="22"/>
          <w:szCs w:val="22"/>
          <w:lang w:val="ru-RU" w:eastAsia="zh-CN"/>
        </w:rPr>
        <w:br w:type="page"/>
      </w:r>
    </w:p>
    <w:p w14:paraId="6C1CE3B9" w14:textId="5FA289F2" w:rsidR="004C18AD" w:rsidRDefault="004C18AD" w:rsidP="004C18AD">
      <w:pPr>
        <w:pStyle w:val="Annextitle"/>
        <w:rPr>
          <w:szCs w:val="24"/>
          <w:lang w:val="ru-RU" w:eastAsia="zh-CN"/>
        </w:rPr>
      </w:pPr>
      <w:r w:rsidRPr="00D60D99">
        <w:rPr>
          <w:rFonts w:hint="eastAsia"/>
          <w:szCs w:val="24"/>
          <w:lang w:val="ru-RU" w:eastAsia="zh-CN"/>
        </w:rPr>
        <w:lastRenderedPageBreak/>
        <w:t>信托</w:t>
      </w:r>
      <w:r w:rsidRPr="00D60D99">
        <w:rPr>
          <w:szCs w:val="24"/>
          <w:lang w:val="ru-RU" w:eastAsia="zh-CN"/>
        </w:rPr>
        <w:t>基金（未使用的拨款）（</w:t>
      </w:r>
      <w:r w:rsidRPr="00D60D99">
        <w:rPr>
          <w:rFonts w:ascii="STKaiti" w:eastAsia="STKaiti" w:hAnsi="STKaiti" w:hint="eastAsia"/>
          <w:szCs w:val="24"/>
          <w:lang w:val="ru-RU" w:eastAsia="zh-CN"/>
        </w:rPr>
        <w:t>续</w:t>
      </w:r>
      <w:r w:rsidRPr="00D60D99">
        <w:rPr>
          <w:szCs w:val="24"/>
          <w:lang w:val="ru-RU" w:eastAsia="zh-CN"/>
        </w:rPr>
        <w:t>）</w:t>
      </w:r>
    </w:p>
    <w:p w14:paraId="2B591597" w14:textId="2C7DEEB8" w:rsidR="004C18AD" w:rsidRDefault="00454FB1" w:rsidP="00454FB1">
      <w:pPr>
        <w:pStyle w:val="Annexref"/>
        <w:rPr>
          <w:rFonts w:ascii="Times New Roman Bold" w:hAnsi="Times New Roman Bold"/>
          <w:b/>
          <w:sz w:val="28"/>
          <w:szCs w:val="24"/>
          <w:lang w:val="ru-RU" w:eastAsia="zh-CN"/>
        </w:rPr>
      </w:pPr>
      <w:r w:rsidRPr="00454FB1">
        <w:rPr>
          <w:noProof/>
        </w:rPr>
        <w:drawing>
          <wp:inline distT="0" distB="0" distL="0" distR="0" wp14:anchorId="6559300F" wp14:editId="0030AAB0">
            <wp:extent cx="8317064" cy="5638587"/>
            <wp:effectExtent l="0" t="0" r="8255"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321568" cy="5641640"/>
                    </a:xfrm>
                    <a:prstGeom prst="rect">
                      <a:avLst/>
                    </a:prstGeom>
                    <a:noFill/>
                    <a:ln>
                      <a:noFill/>
                    </a:ln>
                  </pic:spPr>
                </pic:pic>
              </a:graphicData>
            </a:graphic>
          </wp:inline>
        </w:drawing>
      </w:r>
      <w:r w:rsidR="004C18AD" w:rsidRPr="000C156A">
        <w:rPr>
          <w:sz w:val="20"/>
          <w:lang w:val="ru-RU" w:eastAsia="zh-CN"/>
        </w:rPr>
        <w:br w:type="page"/>
      </w:r>
      <w:r w:rsidR="004C18AD" w:rsidRPr="00D60D99">
        <w:rPr>
          <w:rFonts w:ascii="Times New Roman Bold" w:hAnsi="Times New Roman Bold" w:hint="eastAsia"/>
          <w:b/>
          <w:sz w:val="28"/>
          <w:szCs w:val="24"/>
          <w:lang w:val="ru-RU" w:eastAsia="zh-CN"/>
        </w:rPr>
        <w:lastRenderedPageBreak/>
        <w:t>信托</w:t>
      </w:r>
      <w:r w:rsidR="004C18AD" w:rsidRPr="00D60D99">
        <w:rPr>
          <w:rFonts w:ascii="Times New Roman Bold" w:hAnsi="Times New Roman Bold"/>
          <w:b/>
          <w:sz w:val="28"/>
          <w:szCs w:val="24"/>
          <w:lang w:val="ru-RU" w:eastAsia="zh-CN"/>
        </w:rPr>
        <w:t>基金（未使用的拨款）（</w:t>
      </w:r>
      <w:r w:rsidR="004C18AD" w:rsidRPr="00E53245">
        <w:rPr>
          <w:rFonts w:ascii="STKaiti" w:eastAsia="STKaiti" w:hAnsi="STKaiti" w:hint="eastAsia"/>
          <w:b/>
          <w:sz w:val="28"/>
          <w:szCs w:val="24"/>
          <w:lang w:val="ru-RU" w:eastAsia="zh-CN"/>
        </w:rPr>
        <w:t>续</w:t>
      </w:r>
      <w:r w:rsidR="004C18AD" w:rsidRPr="00D60D99">
        <w:rPr>
          <w:rFonts w:ascii="Times New Roman Bold" w:hAnsi="Times New Roman Bold"/>
          <w:b/>
          <w:sz w:val="28"/>
          <w:szCs w:val="24"/>
          <w:lang w:val="ru-RU" w:eastAsia="zh-CN"/>
        </w:rPr>
        <w:t>）</w:t>
      </w:r>
    </w:p>
    <w:p w14:paraId="2FD61392" w14:textId="3FE00E48" w:rsidR="004C18AD" w:rsidRDefault="00D020C0" w:rsidP="00894DA4">
      <w:pPr>
        <w:overflowPunct/>
        <w:autoSpaceDE/>
        <w:autoSpaceDN/>
        <w:adjustRightInd/>
        <w:jc w:val="center"/>
        <w:textAlignment w:val="auto"/>
        <w:rPr>
          <w:rFonts w:ascii="Times New Roman Bold" w:hAnsi="Times New Roman Bold"/>
          <w:b/>
          <w:sz w:val="28"/>
          <w:szCs w:val="24"/>
          <w:lang w:val="ru-RU" w:eastAsia="zh-CN"/>
        </w:rPr>
      </w:pPr>
      <w:r w:rsidRPr="00D020C0">
        <w:rPr>
          <w:noProof/>
        </w:rPr>
        <w:drawing>
          <wp:inline distT="0" distB="0" distL="0" distR="0" wp14:anchorId="65CCDDFF" wp14:editId="089E4AC4">
            <wp:extent cx="8282474" cy="5605670"/>
            <wp:effectExtent l="0" t="0" r="444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315003" cy="5627686"/>
                    </a:xfrm>
                    <a:prstGeom prst="rect">
                      <a:avLst/>
                    </a:prstGeom>
                    <a:noFill/>
                    <a:ln>
                      <a:noFill/>
                    </a:ln>
                  </pic:spPr>
                </pic:pic>
              </a:graphicData>
            </a:graphic>
          </wp:inline>
        </w:drawing>
      </w:r>
    </w:p>
    <w:p w14:paraId="15A829F8" w14:textId="3121DE9C" w:rsidR="004C18AD" w:rsidRDefault="004C18AD" w:rsidP="00894DA4">
      <w:pPr>
        <w:keepNext/>
        <w:overflowPunct/>
        <w:adjustRightInd/>
        <w:spacing w:before="0"/>
        <w:jc w:val="center"/>
        <w:rPr>
          <w:rFonts w:ascii="Times New Roman Bold" w:hAnsi="Times New Roman Bold"/>
          <w:b/>
          <w:sz w:val="28"/>
          <w:szCs w:val="24"/>
          <w:lang w:val="ru-RU" w:eastAsia="zh-CN"/>
        </w:rPr>
      </w:pPr>
      <w:r w:rsidRPr="00184AD5">
        <w:rPr>
          <w:rFonts w:ascii="Times New Roman Bold" w:hAnsi="Times New Roman Bold" w:hint="eastAsia"/>
          <w:b/>
          <w:sz w:val="28"/>
          <w:szCs w:val="24"/>
          <w:lang w:val="ru-RU" w:eastAsia="zh-CN"/>
        </w:rPr>
        <w:lastRenderedPageBreak/>
        <w:t>信托</w:t>
      </w:r>
      <w:r w:rsidRPr="00184AD5">
        <w:rPr>
          <w:rFonts w:ascii="Times New Roman Bold" w:hAnsi="Times New Roman Bold"/>
          <w:b/>
          <w:sz w:val="28"/>
          <w:szCs w:val="24"/>
          <w:lang w:val="ru-RU" w:eastAsia="zh-CN"/>
        </w:rPr>
        <w:t>基金（未使用的拨款）（续）</w:t>
      </w:r>
    </w:p>
    <w:p w14:paraId="6F5ED23A" w14:textId="0922520D" w:rsidR="004C18AD" w:rsidRDefault="00D020C0" w:rsidP="004C18AD">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b/>
          <w:sz w:val="28"/>
          <w:szCs w:val="24"/>
          <w:lang w:val="ru-RU" w:eastAsia="zh-CN"/>
        </w:rPr>
      </w:pPr>
      <w:r w:rsidRPr="00D020C0">
        <w:rPr>
          <w:noProof/>
        </w:rPr>
        <w:drawing>
          <wp:inline distT="0" distB="0" distL="0" distR="0" wp14:anchorId="61FA5601" wp14:editId="46916ED3">
            <wp:extent cx="8888730" cy="5714365"/>
            <wp:effectExtent l="0" t="0" r="7620" b="63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888730" cy="5714365"/>
                    </a:xfrm>
                    <a:prstGeom prst="rect">
                      <a:avLst/>
                    </a:prstGeom>
                    <a:noFill/>
                    <a:ln>
                      <a:noFill/>
                    </a:ln>
                  </pic:spPr>
                </pic:pic>
              </a:graphicData>
            </a:graphic>
          </wp:inline>
        </w:drawing>
      </w:r>
    </w:p>
    <w:p w14:paraId="23B3F1AF" w14:textId="7B65C41C" w:rsidR="004C18AD" w:rsidRDefault="004C18AD" w:rsidP="00184AD5">
      <w:pPr>
        <w:overflowPunct/>
        <w:adjustRightInd/>
        <w:spacing w:before="0"/>
        <w:jc w:val="center"/>
        <w:rPr>
          <w:rFonts w:ascii="Times New Roman Bold" w:hAnsi="Times New Roman Bold"/>
          <w:b/>
          <w:sz w:val="28"/>
          <w:szCs w:val="24"/>
          <w:lang w:val="ru-RU" w:eastAsia="zh-CN"/>
        </w:rPr>
      </w:pPr>
      <w:r w:rsidRPr="00184AD5">
        <w:rPr>
          <w:rFonts w:ascii="Times New Roman Bold" w:hAnsi="Times New Roman Bold" w:hint="eastAsia"/>
          <w:b/>
          <w:sz w:val="28"/>
          <w:szCs w:val="24"/>
          <w:lang w:val="ru-RU" w:eastAsia="zh-CN"/>
        </w:rPr>
        <w:lastRenderedPageBreak/>
        <w:t>信托</w:t>
      </w:r>
      <w:r w:rsidRPr="00184AD5">
        <w:rPr>
          <w:rFonts w:ascii="Times New Roman Bold" w:hAnsi="Times New Roman Bold"/>
          <w:b/>
          <w:sz w:val="28"/>
          <w:szCs w:val="24"/>
          <w:lang w:val="ru-RU" w:eastAsia="zh-CN"/>
        </w:rPr>
        <w:t>基金（未使用的拨款）（续）</w:t>
      </w:r>
    </w:p>
    <w:p w14:paraId="494B8EBB" w14:textId="0FEB3097" w:rsidR="004C18AD" w:rsidRDefault="00D020C0" w:rsidP="004C18AD">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b/>
          <w:sz w:val="28"/>
          <w:szCs w:val="24"/>
          <w:lang w:val="ru-RU" w:eastAsia="zh-CN"/>
        </w:rPr>
      </w:pPr>
      <w:r w:rsidRPr="00D020C0">
        <w:rPr>
          <w:noProof/>
        </w:rPr>
        <w:drawing>
          <wp:inline distT="0" distB="0" distL="0" distR="0" wp14:anchorId="2E025409" wp14:editId="5FCEFF1F">
            <wp:extent cx="8888730" cy="3807460"/>
            <wp:effectExtent l="0" t="0" r="762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88730" cy="3807460"/>
                    </a:xfrm>
                    <a:prstGeom prst="rect">
                      <a:avLst/>
                    </a:prstGeom>
                    <a:noFill/>
                    <a:ln>
                      <a:noFill/>
                    </a:ln>
                  </pic:spPr>
                </pic:pic>
              </a:graphicData>
            </a:graphic>
          </wp:inline>
        </w:drawing>
      </w:r>
    </w:p>
    <w:p w14:paraId="72AF72B3" w14:textId="77777777" w:rsidR="004C18AD" w:rsidRPr="00197E57" w:rsidRDefault="004C18AD" w:rsidP="004C18AD">
      <w:pPr>
        <w:tabs>
          <w:tab w:val="clear" w:pos="794"/>
          <w:tab w:val="clear" w:pos="1191"/>
          <w:tab w:val="clear" w:pos="1588"/>
          <w:tab w:val="clear" w:pos="1985"/>
        </w:tabs>
        <w:overflowPunct/>
        <w:autoSpaceDE/>
        <w:autoSpaceDN/>
        <w:adjustRightInd/>
        <w:spacing w:before="0"/>
        <w:textAlignment w:val="auto"/>
        <w:rPr>
          <w:rFonts w:cs="Microsoft YaHei"/>
          <w:highlight w:val="lightGray"/>
          <w:lang w:val="ru-RU" w:eastAsia="zh-CN"/>
        </w:rPr>
      </w:pPr>
      <w:r w:rsidRPr="00197E57">
        <w:rPr>
          <w:rFonts w:cs="Microsoft YaHei"/>
          <w:highlight w:val="lightGray"/>
          <w:lang w:val="ru-RU" w:eastAsia="zh-CN"/>
        </w:rPr>
        <w:br w:type="page"/>
      </w:r>
    </w:p>
    <w:p w14:paraId="4FD023E7" w14:textId="25E06ECF" w:rsidR="004C18AD" w:rsidRPr="00184AD5" w:rsidRDefault="004C18AD" w:rsidP="00184AD5">
      <w:pPr>
        <w:overflowPunct/>
        <w:adjustRightInd/>
        <w:spacing w:before="0"/>
        <w:jc w:val="center"/>
        <w:rPr>
          <w:rFonts w:ascii="Times New Roman Bold" w:hAnsi="Times New Roman Bold"/>
          <w:b/>
          <w:sz w:val="28"/>
          <w:szCs w:val="24"/>
          <w:lang w:val="ru-RU" w:eastAsia="zh-CN"/>
        </w:rPr>
      </w:pPr>
      <w:r w:rsidRPr="00184AD5">
        <w:rPr>
          <w:rFonts w:ascii="Times New Roman Bold" w:hAnsi="Times New Roman Bold" w:hint="eastAsia"/>
          <w:b/>
          <w:sz w:val="28"/>
          <w:szCs w:val="24"/>
          <w:lang w:val="ru-RU" w:eastAsia="zh-CN"/>
        </w:rPr>
        <w:lastRenderedPageBreak/>
        <w:t>信托</w:t>
      </w:r>
      <w:r w:rsidRPr="00184AD5">
        <w:rPr>
          <w:rFonts w:ascii="Times New Roman Bold" w:hAnsi="Times New Roman Bold"/>
          <w:b/>
          <w:sz w:val="28"/>
          <w:szCs w:val="24"/>
          <w:lang w:val="ru-RU" w:eastAsia="zh-CN"/>
        </w:rPr>
        <w:t>基金（未使用的拨款）</w:t>
      </w:r>
      <w:r w:rsidR="00184AD5">
        <w:rPr>
          <w:rFonts w:ascii="Times New Roman Bold" w:hAnsi="Times New Roman Bold" w:hint="eastAsia"/>
          <w:b/>
          <w:sz w:val="28"/>
          <w:szCs w:val="24"/>
          <w:lang w:val="ru-RU" w:eastAsia="zh-CN"/>
        </w:rPr>
        <w:t>（完）</w:t>
      </w:r>
    </w:p>
    <w:p w14:paraId="7A994005" w14:textId="3F2A44E8" w:rsidR="004C18AD" w:rsidRDefault="00510964" w:rsidP="004C18AD">
      <w:pPr>
        <w:overflowPunct/>
        <w:autoSpaceDE/>
        <w:autoSpaceDN/>
        <w:adjustRightInd/>
        <w:textAlignment w:val="auto"/>
        <w:rPr>
          <w:rFonts w:ascii="Times New Roman Bold" w:hAnsi="Times New Roman Bold"/>
          <w:b/>
          <w:sz w:val="28"/>
          <w:szCs w:val="24"/>
          <w:lang w:val="ru-RU" w:eastAsia="zh-CN"/>
        </w:rPr>
      </w:pPr>
      <w:r w:rsidRPr="00510964">
        <w:rPr>
          <w:noProof/>
        </w:rPr>
        <w:drawing>
          <wp:inline distT="0" distB="0" distL="0" distR="0" wp14:anchorId="73249ADA" wp14:editId="2ACA9486">
            <wp:extent cx="8888730" cy="2893695"/>
            <wp:effectExtent l="0" t="0" r="7620"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88730" cy="2893695"/>
                    </a:xfrm>
                    <a:prstGeom prst="rect">
                      <a:avLst/>
                    </a:prstGeom>
                    <a:noFill/>
                    <a:ln>
                      <a:noFill/>
                    </a:ln>
                  </pic:spPr>
                </pic:pic>
              </a:graphicData>
            </a:graphic>
          </wp:inline>
        </w:drawing>
      </w:r>
    </w:p>
    <w:p w14:paraId="643A0B1B" w14:textId="77777777" w:rsidR="004C18AD" w:rsidRDefault="004C18AD" w:rsidP="004C18AD">
      <w:pPr>
        <w:overflowPunct/>
        <w:autoSpaceDE/>
        <w:autoSpaceDN/>
        <w:adjustRightInd/>
        <w:textAlignment w:val="auto"/>
        <w:rPr>
          <w:rFonts w:cs="Microsoft YaHei"/>
          <w:highlight w:val="lightGray"/>
          <w:lang w:val="en-US" w:eastAsia="zh-CN"/>
        </w:rPr>
      </w:pPr>
      <w:r>
        <w:rPr>
          <w:rFonts w:cs="Microsoft YaHei"/>
          <w:highlight w:val="lightGray"/>
          <w:lang w:val="en-US" w:eastAsia="zh-CN"/>
        </w:rPr>
        <w:br w:type="page"/>
      </w:r>
    </w:p>
    <w:p w14:paraId="1D192899" w14:textId="77777777" w:rsidR="004C18AD" w:rsidRPr="000C156A" w:rsidRDefault="004C18AD" w:rsidP="004C18AD">
      <w:pPr>
        <w:pStyle w:val="AnnexNo"/>
        <w:spacing w:before="0"/>
        <w:outlineLvl w:val="0"/>
        <w:rPr>
          <w:rFonts w:cs="Calibri"/>
          <w:caps w:val="0"/>
          <w:lang w:eastAsia="zh-CN"/>
        </w:rPr>
      </w:pPr>
      <w:bookmarkStart w:id="1430" w:name="_Toc482894275"/>
      <w:bookmarkStart w:id="1431" w:name="_Toc41908090"/>
      <w:bookmarkStart w:id="1432" w:name="_Toc73519307"/>
      <w:bookmarkStart w:id="1433" w:name="_Toc73636345"/>
      <w:bookmarkStart w:id="1434" w:name="_Toc110330301"/>
      <w:bookmarkStart w:id="1435" w:name="_Hlk110344301"/>
      <w:r w:rsidRPr="000C156A">
        <w:rPr>
          <w:rFonts w:hint="eastAsia"/>
          <w:lang w:eastAsia="zh-CN"/>
        </w:rPr>
        <w:lastRenderedPageBreak/>
        <w:t>附件</w:t>
      </w:r>
      <w:bookmarkEnd w:id="1430"/>
      <w:r w:rsidRPr="000C156A">
        <w:rPr>
          <w:caps w:val="0"/>
          <w:lang w:eastAsia="zh-CN"/>
        </w:rPr>
        <w:t>B5</w:t>
      </w:r>
      <w:bookmarkEnd w:id="1431"/>
      <w:bookmarkEnd w:id="1432"/>
      <w:bookmarkEnd w:id="1433"/>
      <w:bookmarkEnd w:id="1434"/>
    </w:p>
    <w:p w14:paraId="69372B27" w14:textId="7CB500F8" w:rsidR="004C18AD" w:rsidRPr="000E4B67" w:rsidRDefault="004C18AD" w:rsidP="004C18AD">
      <w:pPr>
        <w:pStyle w:val="Annextitle"/>
        <w:rPr>
          <w:rFonts w:ascii="Calibri" w:hAnsi="Calibri" w:cs="Calibri"/>
          <w:caps/>
          <w:szCs w:val="18"/>
          <w:lang w:eastAsia="zh-CN"/>
        </w:rPr>
      </w:pPr>
      <w:bookmarkStart w:id="1436" w:name="_Toc482894800"/>
      <w:bookmarkStart w:id="1437" w:name="_Toc482892591"/>
      <w:r w:rsidRPr="000E4B67">
        <w:rPr>
          <w:rFonts w:ascii="Calibri" w:hAnsi="Calibri" w:cs="Calibri" w:hint="eastAsia"/>
          <w:szCs w:val="18"/>
          <w:lang w:eastAsia="zh-CN"/>
        </w:rPr>
        <w:t>自愿捐款</w:t>
      </w:r>
      <w:r w:rsidRPr="000E4B67">
        <w:rPr>
          <w:rFonts w:ascii="Calibri" w:hAnsi="Calibri" w:cs="Calibri"/>
          <w:szCs w:val="18"/>
          <w:lang w:eastAsia="zh-CN"/>
        </w:rPr>
        <w:t xml:space="preserve"> – </w:t>
      </w:r>
      <w:r w:rsidRPr="000E4B67">
        <w:rPr>
          <w:rFonts w:ascii="Calibri" w:hAnsi="Calibri" w:cs="Calibri" w:hint="eastAsia"/>
          <w:szCs w:val="18"/>
          <w:lang w:eastAsia="zh-CN"/>
        </w:rPr>
        <w:t>瑞郎</w:t>
      </w:r>
      <w:r w:rsidRPr="000E4B67">
        <w:rPr>
          <w:rFonts w:ascii="Calibri" w:hAnsi="Calibri" w:cs="Calibri"/>
          <w:szCs w:val="18"/>
          <w:lang w:eastAsia="zh-CN"/>
        </w:rPr>
        <w:t xml:space="preserve"> – </w:t>
      </w:r>
      <w:r w:rsidRPr="000E4B67">
        <w:rPr>
          <w:rFonts w:ascii="Calibri" w:hAnsi="Calibri" w:cs="Calibri" w:hint="eastAsia"/>
          <w:szCs w:val="18"/>
          <w:lang w:eastAsia="zh-CN"/>
        </w:rPr>
        <w:t>见说明</w:t>
      </w:r>
      <w:r w:rsidRPr="000E4B67">
        <w:rPr>
          <w:rFonts w:ascii="Calibri" w:hAnsi="Calibri" w:cs="Calibri"/>
          <w:caps/>
          <w:szCs w:val="18"/>
          <w:lang w:eastAsia="zh-CN"/>
        </w:rPr>
        <w:t>20</w:t>
      </w:r>
      <w:bookmarkStart w:id="1438" w:name="_MON_1719673234"/>
      <w:bookmarkEnd w:id="1436"/>
      <w:bookmarkEnd w:id="1437"/>
      <w:bookmarkEnd w:id="1438"/>
    </w:p>
    <w:p w14:paraId="047F7281" w14:textId="07F3C93A" w:rsidR="004C18AD" w:rsidRDefault="000E4B67" w:rsidP="004C18AD">
      <w:pPr>
        <w:overflowPunct/>
        <w:autoSpaceDE/>
        <w:autoSpaceDN/>
        <w:adjustRightInd/>
        <w:spacing w:before="0"/>
        <w:textAlignment w:val="auto"/>
        <w:rPr>
          <w:lang w:eastAsia="zh-CN"/>
        </w:rPr>
      </w:pPr>
      <w:r w:rsidRPr="000E4B67">
        <w:rPr>
          <w:noProof/>
        </w:rPr>
        <w:drawing>
          <wp:inline distT="0" distB="0" distL="0" distR="0" wp14:anchorId="3B3C1696" wp14:editId="3771910A">
            <wp:extent cx="8888730" cy="4950460"/>
            <wp:effectExtent l="0" t="0" r="7620" b="254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888730" cy="4950460"/>
                    </a:xfrm>
                    <a:prstGeom prst="rect">
                      <a:avLst/>
                    </a:prstGeom>
                    <a:noFill/>
                    <a:ln>
                      <a:noFill/>
                    </a:ln>
                  </pic:spPr>
                </pic:pic>
              </a:graphicData>
            </a:graphic>
          </wp:inline>
        </w:drawing>
      </w:r>
    </w:p>
    <w:p w14:paraId="28587197" w14:textId="77777777" w:rsidR="004C18AD" w:rsidRPr="000C156A" w:rsidRDefault="004C18AD" w:rsidP="004C18AD">
      <w:pPr>
        <w:overflowPunct/>
        <w:autoSpaceDE/>
        <w:autoSpaceDN/>
        <w:adjustRightInd/>
        <w:spacing w:before="0"/>
        <w:textAlignment w:val="auto"/>
        <w:rPr>
          <w:lang w:eastAsia="zh-CN"/>
        </w:rPr>
      </w:pPr>
      <w:r w:rsidRPr="000C156A">
        <w:rPr>
          <w:lang w:eastAsia="zh-CN"/>
        </w:rPr>
        <w:br w:type="page"/>
      </w:r>
    </w:p>
    <w:p w14:paraId="640A8692" w14:textId="77777777" w:rsidR="004C18AD" w:rsidRPr="000C156A" w:rsidRDefault="004C18AD" w:rsidP="004C18AD">
      <w:pPr>
        <w:pStyle w:val="Annextitle"/>
        <w:rPr>
          <w:szCs w:val="24"/>
          <w:lang w:val="ru-RU" w:eastAsia="zh-CN"/>
        </w:rPr>
      </w:pPr>
      <w:r w:rsidRPr="00574C06">
        <w:rPr>
          <w:rFonts w:hint="eastAsia"/>
          <w:szCs w:val="24"/>
          <w:lang w:val="ru-RU" w:eastAsia="zh-CN"/>
        </w:rPr>
        <w:lastRenderedPageBreak/>
        <w:t>自愿捐款（</w:t>
      </w:r>
      <w:r w:rsidRPr="00574C06">
        <w:rPr>
          <w:rFonts w:eastAsia="STKaiti" w:hint="eastAsia"/>
          <w:szCs w:val="24"/>
          <w:lang w:val="ru-RU" w:eastAsia="zh-CN"/>
        </w:rPr>
        <w:t>续</w:t>
      </w:r>
      <w:r w:rsidRPr="00574C06">
        <w:rPr>
          <w:rFonts w:hint="eastAsia"/>
          <w:szCs w:val="24"/>
          <w:lang w:val="ru-RU" w:eastAsia="zh-CN"/>
        </w:rPr>
        <w:t>）</w:t>
      </w:r>
    </w:p>
    <w:p w14:paraId="02D96B48" w14:textId="250AEBD4" w:rsidR="004C18AD" w:rsidRDefault="0043065A" w:rsidP="004C18AD">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b/>
          <w:szCs w:val="18"/>
          <w:lang w:eastAsia="zh-CN"/>
        </w:rPr>
      </w:pPr>
      <w:r w:rsidRPr="0043065A">
        <w:rPr>
          <w:noProof/>
        </w:rPr>
        <w:drawing>
          <wp:inline distT="0" distB="0" distL="0" distR="0" wp14:anchorId="38A860F8" wp14:editId="3BF162F2">
            <wp:extent cx="8888730" cy="5513070"/>
            <wp:effectExtent l="0" t="0" r="762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888730" cy="5513070"/>
                    </a:xfrm>
                    <a:prstGeom prst="rect">
                      <a:avLst/>
                    </a:prstGeom>
                    <a:noFill/>
                    <a:ln>
                      <a:noFill/>
                    </a:ln>
                  </pic:spPr>
                </pic:pic>
              </a:graphicData>
            </a:graphic>
          </wp:inline>
        </w:drawing>
      </w:r>
    </w:p>
    <w:p w14:paraId="1BE7B9FC" w14:textId="23D6C1AE" w:rsidR="0043065A" w:rsidRDefault="0043065A" w:rsidP="0043065A">
      <w:pPr>
        <w:pStyle w:val="Annextitle"/>
        <w:rPr>
          <w:szCs w:val="24"/>
          <w:lang w:val="ru-RU" w:eastAsia="zh-CN"/>
        </w:rPr>
      </w:pPr>
      <w:r w:rsidRPr="00574C06">
        <w:rPr>
          <w:rFonts w:hint="eastAsia"/>
          <w:szCs w:val="24"/>
          <w:lang w:val="ru-RU" w:eastAsia="zh-CN"/>
        </w:rPr>
        <w:lastRenderedPageBreak/>
        <w:t>自愿捐款（</w:t>
      </w:r>
      <w:r w:rsidRPr="00574C06">
        <w:rPr>
          <w:rFonts w:eastAsia="STKaiti" w:hint="eastAsia"/>
          <w:szCs w:val="24"/>
          <w:lang w:val="ru-RU" w:eastAsia="zh-CN"/>
        </w:rPr>
        <w:t>续</w:t>
      </w:r>
      <w:r w:rsidRPr="00574C06">
        <w:rPr>
          <w:rFonts w:hint="eastAsia"/>
          <w:szCs w:val="24"/>
          <w:lang w:val="ru-RU" w:eastAsia="zh-CN"/>
        </w:rPr>
        <w:t>）</w:t>
      </w:r>
    </w:p>
    <w:p w14:paraId="00D0EE7B" w14:textId="602CF4CC" w:rsidR="0043065A" w:rsidRPr="0043065A" w:rsidRDefault="0043065A" w:rsidP="0043065A">
      <w:pPr>
        <w:pStyle w:val="Annexref"/>
        <w:rPr>
          <w:lang w:val="ru-RU" w:eastAsia="zh-CN"/>
        </w:rPr>
      </w:pPr>
      <w:r w:rsidRPr="0043065A">
        <w:rPr>
          <w:noProof/>
        </w:rPr>
        <w:drawing>
          <wp:inline distT="0" distB="0" distL="0" distR="0" wp14:anchorId="0A2BD2BE" wp14:editId="47B36F2F">
            <wp:extent cx="8888730" cy="4469130"/>
            <wp:effectExtent l="0" t="0" r="762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88730" cy="4469130"/>
                    </a:xfrm>
                    <a:prstGeom prst="rect">
                      <a:avLst/>
                    </a:prstGeom>
                    <a:noFill/>
                    <a:ln>
                      <a:noFill/>
                    </a:ln>
                  </pic:spPr>
                </pic:pic>
              </a:graphicData>
            </a:graphic>
          </wp:inline>
        </w:drawing>
      </w:r>
    </w:p>
    <w:p w14:paraId="02A23F0B" w14:textId="77777777" w:rsidR="004C18AD" w:rsidRPr="001952C0" w:rsidRDefault="004C18AD" w:rsidP="0043065A">
      <w:pPr>
        <w:pStyle w:val="Annextitle"/>
        <w:pageBreakBefore/>
        <w:spacing w:before="0" w:after="0"/>
        <w:rPr>
          <w:lang w:eastAsia="zh-CN"/>
        </w:rPr>
      </w:pPr>
      <w:r w:rsidRPr="000C156A">
        <w:rPr>
          <w:rFonts w:hint="eastAsia"/>
          <w:szCs w:val="18"/>
          <w:lang w:eastAsia="zh-CN"/>
        </w:rPr>
        <w:lastRenderedPageBreak/>
        <w:t>自愿捐款</w:t>
      </w:r>
      <w:r w:rsidRPr="001952C0">
        <w:rPr>
          <w:rFonts w:hint="eastAsia"/>
          <w:szCs w:val="18"/>
          <w:lang w:eastAsia="zh-CN"/>
        </w:rPr>
        <w:t>（</w:t>
      </w:r>
      <w:r>
        <w:rPr>
          <w:rFonts w:ascii="STKaiti" w:eastAsia="STKaiti" w:hAnsi="STKaiti" w:hint="eastAsia"/>
          <w:szCs w:val="18"/>
          <w:lang w:eastAsia="zh-CN"/>
        </w:rPr>
        <w:t>完</w:t>
      </w:r>
      <w:r w:rsidRPr="001952C0">
        <w:rPr>
          <w:rFonts w:hint="eastAsia"/>
          <w:szCs w:val="18"/>
          <w:lang w:eastAsia="zh-CN"/>
        </w:rPr>
        <w:t>）</w:t>
      </w:r>
    </w:p>
    <w:p w14:paraId="25592D7D" w14:textId="4CF50DFF" w:rsidR="004C18AD" w:rsidRDefault="0043065A" w:rsidP="0043065A">
      <w:pPr>
        <w:spacing w:before="0"/>
        <w:jc w:val="center"/>
        <w:rPr>
          <w:rFonts w:ascii="Times New Roman Bold" w:hAnsi="Times New Roman Bold"/>
          <w:b/>
          <w:szCs w:val="18"/>
          <w:lang w:eastAsia="zh-CN"/>
        </w:rPr>
      </w:pPr>
      <w:r w:rsidRPr="0043065A">
        <w:rPr>
          <w:noProof/>
        </w:rPr>
        <w:drawing>
          <wp:inline distT="0" distB="0" distL="0" distR="0" wp14:anchorId="74A655B8" wp14:editId="6C769CA4">
            <wp:extent cx="7279728" cy="5836257"/>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288751" cy="5843491"/>
                    </a:xfrm>
                    <a:prstGeom prst="rect">
                      <a:avLst/>
                    </a:prstGeom>
                    <a:noFill/>
                    <a:ln>
                      <a:noFill/>
                    </a:ln>
                  </pic:spPr>
                </pic:pic>
              </a:graphicData>
            </a:graphic>
          </wp:inline>
        </w:drawing>
      </w:r>
    </w:p>
    <w:p w14:paraId="6932D97F" w14:textId="77777777" w:rsidR="004C18AD" w:rsidRPr="007837E0" w:rsidRDefault="004C18AD" w:rsidP="004C18AD">
      <w:pPr>
        <w:pStyle w:val="AnnexNo"/>
        <w:spacing w:before="0"/>
        <w:rPr>
          <w:rFonts w:cs="Calibri"/>
          <w:caps w:val="0"/>
          <w:lang w:eastAsia="zh-CN"/>
        </w:rPr>
      </w:pPr>
      <w:bookmarkStart w:id="1439" w:name="_Toc482894276"/>
      <w:bookmarkStart w:id="1440" w:name="_Toc358364842"/>
      <w:bookmarkStart w:id="1441" w:name="_Toc41908091"/>
      <w:bookmarkStart w:id="1442" w:name="_Toc73519308"/>
      <w:bookmarkEnd w:id="1435"/>
      <w:r w:rsidRPr="007837E0">
        <w:rPr>
          <w:rFonts w:cs="Calibri" w:hint="eastAsia"/>
          <w:caps w:val="0"/>
          <w:lang w:eastAsia="zh-CN"/>
        </w:rPr>
        <w:lastRenderedPageBreak/>
        <w:t>附件</w:t>
      </w:r>
      <w:bookmarkEnd w:id="1439"/>
      <w:bookmarkEnd w:id="1440"/>
      <w:r w:rsidRPr="007837E0">
        <w:rPr>
          <w:rFonts w:cs="Calibri"/>
          <w:caps w:val="0"/>
          <w:lang w:eastAsia="zh-CN"/>
        </w:rPr>
        <w:t>B</w:t>
      </w:r>
      <w:r w:rsidRPr="007837E0">
        <w:rPr>
          <w:rFonts w:cs="Calibri" w:hint="eastAsia"/>
          <w:caps w:val="0"/>
          <w:lang w:eastAsia="zh-CN"/>
        </w:rPr>
        <w:t>6</w:t>
      </w:r>
      <w:bookmarkEnd w:id="1441"/>
      <w:bookmarkEnd w:id="1442"/>
    </w:p>
    <w:p w14:paraId="5ECEB9BF" w14:textId="77777777" w:rsidR="004C18AD" w:rsidRPr="007837E0" w:rsidRDefault="004C18AD" w:rsidP="004C18AD">
      <w:pPr>
        <w:pStyle w:val="Annextitle"/>
        <w:rPr>
          <w:rFonts w:ascii="Calibri" w:hAnsi="Calibri" w:cs="Calibri"/>
          <w:lang w:eastAsia="zh-CN"/>
        </w:rPr>
      </w:pPr>
      <w:r w:rsidRPr="007837E0">
        <w:rPr>
          <w:rFonts w:ascii="Calibri" w:hAnsi="Calibri" w:cs="Calibri" w:hint="eastAsia"/>
          <w:lang w:val="fr-CH" w:eastAsia="zh-CN"/>
        </w:rPr>
        <w:t>信息通信技术发展基金</w:t>
      </w:r>
      <w:r w:rsidRPr="007837E0">
        <w:rPr>
          <w:rFonts w:ascii="Calibri" w:hAnsi="Calibri" w:cs="Calibri" w:hint="eastAsia"/>
          <w:lang w:eastAsia="zh-CN"/>
        </w:rPr>
        <w:t>（</w:t>
      </w:r>
      <w:r w:rsidRPr="007837E0">
        <w:rPr>
          <w:rFonts w:ascii="Calibri" w:hAnsi="Calibri" w:cs="Calibri"/>
          <w:lang w:eastAsia="zh-CN"/>
        </w:rPr>
        <w:t>ICTDF</w:t>
      </w:r>
      <w:r w:rsidRPr="007837E0">
        <w:rPr>
          <w:rFonts w:ascii="Calibri" w:hAnsi="Calibri" w:cs="Calibri" w:hint="eastAsia"/>
          <w:lang w:eastAsia="zh-CN"/>
        </w:rPr>
        <w:t>）</w:t>
      </w:r>
      <w:r w:rsidRPr="007837E0">
        <w:rPr>
          <w:rFonts w:ascii="Calibri" w:hAnsi="Calibri" w:cs="Calibri"/>
          <w:lang w:eastAsia="zh-CN"/>
        </w:rPr>
        <w:t xml:space="preserve"> – </w:t>
      </w:r>
      <w:r w:rsidRPr="007837E0">
        <w:rPr>
          <w:rFonts w:ascii="Calibri" w:hAnsi="Calibri" w:cs="Calibri" w:hint="eastAsia"/>
          <w:lang w:val="fr-CH" w:eastAsia="zh-CN"/>
        </w:rPr>
        <w:t>瑞郎</w:t>
      </w:r>
      <w:r w:rsidRPr="007837E0">
        <w:rPr>
          <w:rFonts w:ascii="Calibri" w:hAnsi="Calibri" w:cs="Calibri"/>
          <w:lang w:eastAsia="zh-CN"/>
        </w:rPr>
        <w:t xml:space="preserve"> – </w:t>
      </w:r>
      <w:r w:rsidRPr="007837E0">
        <w:rPr>
          <w:rFonts w:ascii="Calibri" w:hAnsi="Calibri" w:cs="Calibri" w:hint="eastAsia"/>
          <w:lang w:val="fr-CH" w:eastAsia="zh-CN"/>
        </w:rPr>
        <w:t>见说明</w:t>
      </w:r>
      <w:r w:rsidRPr="007837E0">
        <w:rPr>
          <w:rFonts w:ascii="Calibri" w:hAnsi="Calibri" w:cs="Calibri"/>
          <w:lang w:eastAsia="zh-CN"/>
        </w:rPr>
        <w:t>20</w:t>
      </w:r>
    </w:p>
    <w:p w14:paraId="3BB8C1B5" w14:textId="77777777" w:rsidR="004C18AD" w:rsidRPr="007837E0" w:rsidRDefault="004C18AD" w:rsidP="004C18AD">
      <w:pPr>
        <w:keepNext/>
        <w:keepLines/>
        <w:spacing w:before="0" w:after="120"/>
        <w:jc w:val="center"/>
        <w:textAlignment w:val="auto"/>
        <w:rPr>
          <w:rFonts w:cs="Calibri"/>
          <w:b/>
          <w:lang w:eastAsia="zh-CN"/>
        </w:rPr>
      </w:pPr>
      <w:r w:rsidRPr="007837E0">
        <w:rPr>
          <w:rFonts w:cs="Calibri"/>
          <w:b/>
          <w:lang w:eastAsia="zh-CN"/>
        </w:rPr>
        <w:t>ICT</w:t>
      </w:r>
      <w:r w:rsidRPr="007837E0">
        <w:rPr>
          <w:rFonts w:cs="Calibri" w:hint="eastAsia"/>
          <w:b/>
          <w:lang w:eastAsia="zh-CN"/>
        </w:rPr>
        <w:t>资本基金的变更</w:t>
      </w:r>
    </w:p>
    <w:p w14:paraId="39EC171E" w14:textId="77777777" w:rsidR="004C18AD" w:rsidRDefault="004C18AD" w:rsidP="004C18AD">
      <w:pPr>
        <w:tabs>
          <w:tab w:val="left" w:pos="720"/>
        </w:tabs>
        <w:overflowPunct/>
        <w:adjustRightInd/>
        <w:spacing w:before="0"/>
      </w:pPr>
    </w:p>
    <w:tbl>
      <w:tblPr>
        <w:tblW w:w="9781" w:type="dxa"/>
        <w:jc w:val="center"/>
        <w:tblLook w:val="04A0" w:firstRow="1" w:lastRow="0" w:firstColumn="1" w:lastColumn="0" w:noHBand="0" w:noVBand="1"/>
      </w:tblPr>
      <w:tblGrid>
        <w:gridCol w:w="2849"/>
        <w:gridCol w:w="1394"/>
        <w:gridCol w:w="4144"/>
        <w:gridCol w:w="1394"/>
      </w:tblGrid>
      <w:tr w:rsidR="004C18AD" w:rsidRPr="00581ACF" w14:paraId="4BA333F0" w14:textId="77777777" w:rsidTr="00042C67">
        <w:trPr>
          <w:trHeight w:val="300"/>
          <w:jc w:val="center"/>
        </w:trPr>
        <w:tc>
          <w:tcPr>
            <w:tcW w:w="284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3FB5FD" w14:textId="77777777" w:rsidR="004C18AD" w:rsidRPr="00581ACF" w:rsidRDefault="004C18AD" w:rsidP="00042C67">
            <w:pPr>
              <w:overflowPunct/>
              <w:autoSpaceDE/>
              <w:autoSpaceDN/>
              <w:adjustRightInd/>
              <w:spacing w:before="0"/>
              <w:jc w:val="center"/>
              <w:textAlignment w:val="auto"/>
              <w:rPr>
                <w:rFonts w:cs="Calibri"/>
                <w:b/>
                <w:bCs/>
                <w:color w:val="000000"/>
                <w:sz w:val="22"/>
                <w:szCs w:val="22"/>
                <w:lang w:eastAsia="en-GB"/>
              </w:rPr>
            </w:pPr>
            <w:r w:rsidRPr="000C156A">
              <w:rPr>
                <w:rFonts w:hint="eastAsia"/>
                <w:b/>
                <w:bCs/>
                <w:color w:val="000000"/>
                <w:sz w:val="22"/>
                <w:szCs w:val="22"/>
                <w:lang w:val="en-US" w:eastAsia="zh-CN"/>
              </w:rPr>
              <w:t>减少</w:t>
            </w:r>
          </w:p>
        </w:tc>
        <w:tc>
          <w:tcPr>
            <w:tcW w:w="1394" w:type="dxa"/>
            <w:tcBorders>
              <w:top w:val="single" w:sz="4" w:space="0" w:color="auto"/>
              <w:left w:val="nil"/>
              <w:bottom w:val="single" w:sz="4" w:space="0" w:color="auto"/>
              <w:right w:val="single" w:sz="4" w:space="0" w:color="auto"/>
            </w:tcBorders>
            <w:shd w:val="clear" w:color="000000" w:fill="F2F2F2"/>
            <w:noWrap/>
            <w:vAlign w:val="bottom"/>
            <w:hideMark/>
          </w:tcPr>
          <w:p w14:paraId="74356773" w14:textId="28CFD7BD" w:rsidR="004C18AD" w:rsidRPr="00581ACF" w:rsidRDefault="004C18AD" w:rsidP="00042C67">
            <w:pPr>
              <w:overflowPunct/>
              <w:autoSpaceDE/>
              <w:autoSpaceDN/>
              <w:adjustRightInd/>
              <w:spacing w:before="0"/>
              <w:jc w:val="center"/>
              <w:textAlignment w:val="auto"/>
              <w:rPr>
                <w:rFonts w:cs="Calibri"/>
                <w:b/>
                <w:bCs/>
                <w:color w:val="000000"/>
                <w:sz w:val="22"/>
                <w:szCs w:val="22"/>
                <w:lang w:eastAsia="en-GB"/>
              </w:rPr>
            </w:pPr>
            <w:r w:rsidRPr="00581ACF">
              <w:rPr>
                <w:rFonts w:cs="Calibri"/>
                <w:b/>
                <w:bCs/>
                <w:color w:val="000000"/>
                <w:sz w:val="22"/>
                <w:szCs w:val="22"/>
                <w:lang w:eastAsia="en-GB"/>
              </w:rPr>
              <w:t>2021</w:t>
            </w:r>
            <w:r w:rsidR="00B1230C">
              <w:rPr>
                <w:rFonts w:cs="Calibri" w:hint="eastAsia"/>
                <w:b/>
                <w:bCs/>
                <w:color w:val="000000"/>
                <w:sz w:val="22"/>
                <w:szCs w:val="22"/>
                <w:lang w:eastAsia="zh-CN"/>
              </w:rPr>
              <w:t>年</w:t>
            </w:r>
          </w:p>
        </w:tc>
        <w:tc>
          <w:tcPr>
            <w:tcW w:w="4144" w:type="dxa"/>
            <w:tcBorders>
              <w:top w:val="single" w:sz="4" w:space="0" w:color="auto"/>
              <w:left w:val="nil"/>
              <w:bottom w:val="single" w:sz="4" w:space="0" w:color="auto"/>
              <w:right w:val="single" w:sz="4" w:space="0" w:color="auto"/>
            </w:tcBorders>
            <w:shd w:val="clear" w:color="000000" w:fill="F2F2F2"/>
            <w:noWrap/>
            <w:vAlign w:val="bottom"/>
            <w:hideMark/>
          </w:tcPr>
          <w:p w14:paraId="3FCE9DFD" w14:textId="77777777" w:rsidR="004C18AD" w:rsidRPr="00581ACF" w:rsidRDefault="004C18AD" w:rsidP="00042C67">
            <w:pPr>
              <w:overflowPunct/>
              <w:autoSpaceDE/>
              <w:autoSpaceDN/>
              <w:adjustRightInd/>
              <w:spacing w:before="0"/>
              <w:jc w:val="center"/>
              <w:textAlignment w:val="auto"/>
              <w:rPr>
                <w:rFonts w:cs="Calibri"/>
                <w:b/>
                <w:bCs/>
                <w:color w:val="000000"/>
                <w:sz w:val="22"/>
                <w:szCs w:val="22"/>
                <w:lang w:eastAsia="en-GB"/>
              </w:rPr>
            </w:pPr>
            <w:r w:rsidRPr="000C156A">
              <w:rPr>
                <w:rFonts w:cs="Calibri"/>
                <w:b/>
                <w:bCs/>
                <w:color w:val="000000"/>
                <w:sz w:val="22"/>
                <w:szCs w:val="22"/>
                <w:lang w:val="en-US" w:eastAsia="zh-CN"/>
              </w:rPr>
              <w:t>增加</w:t>
            </w:r>
          </w:p>
        </w:tc>
        <w:tc>
          <w:tcPr>
            <w:tcW w:w="1394" w:type="dxa"/>
            <w:tcBorders>
              <w:top w:val="single" w:sz="4" w:space="0" w:color="auto"/>
              <w:left w:val="nil"/>
              <w:bottom w:val="single" w:sz="4" w:space="0" w:color="auto"/>
              <w:right w:val="single" w:sz="4" w:space="0" w:color="auto"/>
            </w:tcBorders>
            <w:shd w:val="clear" w:color="000000" w:fill="F2F2F2"/>
            <w:noWrap/>
            <w:vAlign w:val="bottom"/>
            <w:hideMark/>
          </w:tcPr>
          <w:p w14:paraId="748FCC72" w14:textId="44134E32" w:rsidR="004C18AD" w:rsidRPr="00581ACF" w:rsidRDefault="004C18AD" w:rsidP="00042C67">
            <w:pPr>
              <w:overflowPunct/>
              <w:autoSpaceDE/>
              <w:autoSpaceDN/>
              <w:adjustRightInd/>
              <w:spacing w:before="0"/>
              <w:jc w:val="center"/>
              <w:textAlignment w:val="auto"/>
              <w:rPr>
                <w:rFonts w:cs="Calibri"/>
                <w:b/>
                <w:bCs/>
                <w:color w:val="000000"/>
                <w:sz w:val="22"/>
                <w:szCs w:val="22"/>
                <w:lang w:eastAsia="en-GB"/>
              </w:rPr>
            </w:pPr>
            <w:r w:rsidRPr="00581ACF">
              <w:rPr>
                <w:rFonts w:cs="Calibri"/>
                <w:b/>
                <w:bCs/>
                <w:color w:val="000000"/>
                <w:sz w:val="22"/>
                <w:szCs w:val="22"/>
                <w:lang w:eastAsia="en-GB"/>
              </w:rPr>
              <w:t>2021</w:t>
            </w:r>
            <w:r w:rsidR="00B1230C">
              <w:rPr>
                <w:rFonts w:cs="Calibri" w:hint="eastAsia"/>
                <w:b/>
                <w:bCs/>
                <w:color w:val="000000"/>
                <w:sz w:val="22"/>
                <w:szCs w:val="22"/>
                <w:lang w:eastAsia="zh-CN"/>
              </w:rPr>
              <w:t>年</w:t>
            </w:r>
          </w:p>
        </w:tc>
      </w:tr>
      <w:tr w:rsidR="004C18AD" w:rsidRPr="00581ACF" w14:paraId="64E8B51D" w14:textId="77777777" w:rsidTr="00042C67">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4F0C6836"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bottom"/>
            <w:hideMark/>
          </w:tcPr>
          <w:p w14:paraId="2A06BA48"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5F252DC0"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bottom"/>
            <w:hideMark/>
          </w:tcPr>
          <w:p w14:paraId="30591789"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r>
      <w:tr w:rsidR="004C18AD" w:rsidRPr="00581ACF" w14:paraId="396AFEC8" w14:textId="77777777" w:rsidTr="00042C67">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4E790B47"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0C156A">
              <w:rPr>
                <w:rFonts w:hint="eastAsia"/>
                <w:color w:val="000000"/>
                <w:sz w:val="22"/>
                <w:szCs w:val="22"/>
                <w:lang w:val="en-US" w:eastAsia="zh-CN"/>
              </w:rPr>
              <w:t>项目融资</w:t>
            </w:r>
          </w:p>
        </w:tc>
        <w:tc>
          <w:tcPr>
            <w:tcW w:w="1394" w:type="dxa"/>
            <w:tcBorders>
              <w:top w:val="nil"/>
              <w:left w:val="nil"/>
              <w:bottom w:val="nil"/>
              <w:right w:val="single" w:sz="4" w:space="0" w:color="auto"/>
            </w:tcBorders>
            <w:shd w:val="clear" w:color="auto" w:fill="auto"/>
            <w:noWrap/>
            <w:vAlign w:val="center"/>
            <w:hideMark/>
          </w:tcPr>
          <w:p w14:paraId="14B2724B"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798</w:t>
            </w:r>
            <w:r>
              <w:rPr>
                <w:rFonts w:cs="Calibri"/>
                <w:color w:val="000000"/>
                <w:sz w:val="22"/>
                <w:szCs w:val="22"/>
                <w:lang w:eastAsia="en-GB"/>
              </w:rPr>
              <w:t> </w:t>
            </w:r>
            <w:r w:rsidRPr="00581ACF">
              <w:rPr>
                <w:rFonts w:cs="Calibri"/>
                <w:color w:val="000000"/>
                <w:sz w:val="22"/>
                <w:szCs w:val="22"/>
                <w:lang w:eastAsia="en-GB"/>
              </w:rPr>
              <w:t xml:space="preserve">502.94 </w:t>
            </w:r>
          </w:p>
        </w:tc>
        <w:tc>
          <w:tcPr>
            <w:tcW w:w="4144" w:type="dxa"/>
            <w:tcBorders>
              <w:top w:val="nil"/>
              <w:left w:val="nil"/>
              <w:bottom w:val="nil"/>
              <w:right w:val="single" w:sz="4" w:space="0" w:color="auto"/>
            </w:tcBorders>
            <w:shd w:val="clear" w:color="auto" w:fill="auto"/>
            <w:noWrap/>
            <w:vAlign w:val="bottom"/>
            <w:hideMark/>
          </w:tcPr>
          <w:p w14:paraId="1CD7765F"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0C156A">
              <w:rPr>
                <w:rFonts w:hint="eastAsia"/>
                <w:color w:val="000000"/>
                <w:sz w:val="22"/>
                <w:szCs w:val="22"/>
                <w:lang w:val="en-US" w:eastAsia="zh-CN"/>
              </w:rPr>
              <w:t>捐款</w:t>
            </w:r>
            <w:r>
              <w:rPr>
                <w:color w:val="000000"/>
                <w:sz w:val="22"/>
                <w:szCs w:val="22"/>
                <w:lang w:val="en-US" w:eastAsia="zh-CN"/>
              </w:rPr>
              <w:t> </w:t>
            </w:r>
            <w:r w:rsidRPr="000C156A">
              <w:rPr>
                <w:rFonts w:cs="Calibri"/>
                <w:color w:val="000000"/>
                <w:sz w:val="22"/>
                <w:szCs w:val="22"/>
                <w:lang w:eastAsia="zh-CN"/>
              </w:rPr>
              <w:t>20</w:t>
            </w:r>
            <w:r>
              <w:rPr>
                <w:rFonts w:cs="Calibri" w:hint="eastAsia"/>
                <w:color w:val="000000"/>
                <w:sz w:val="22"/>
                <w:szCs w:val="22"/>
                <w:lang w:eastAsia="zh-CN"/>
              </w:rPr>
              <w:t>21</w:t>
            </w:r>
            <w:r w:rsidRPr="000C156A">
              <w:rPr>
                <w:rFonts w:asciiTheme="minorEastAsia" w:eastAsiaTheme="minorEastAsia" w:hAnsiTheme="minorEastAsia" w:cs="Calibri" w:hint="eastAsia"/>
                <w:color w:val="000000"/>
                <w:sz w:val="22"/>
                <w:szCs w:val="22"/>
                <w:lang w:eastAsia="zh-CN"/>
              </w:rPr>
              <w:t>年</w:t>
            </w:r>
          </w:p>
        </w:tc>
        <w:tc>
          <w:tcPr>
            <w:tcW w:w="1394" w:type="dxa"/>
            <w:tcBorders>
              <w:top w:val="nil"/>
              <w:left w:val="nil"/>
              <w:bottom w:val="nil"/>
              <w:right w:val="single" w:sz="4" w:space="0" w:color="auto"/>
            </w:tcBorders>
            <w:shd w:val="clear" w:color="auto" w:fill="auto"/>
            <w:noWrap/>
            <w:vAlign w:val="center"/>
            <w:hideMark/>
          </w:tcPr>
          <w:p w14:paraId="10E4ED29"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w:t>
            </w:r>
          </w:p>
        </w:tc>
      </w:tr>
      <w:tr w:rsidR="004C18AD" w:rsidRPr="00581ACF" w14:paraId="5BB4D613" w14:textId="77777777" w:rsidTr="00042C67">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58BD2408"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6B1C3DE4"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357F3EC0"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6D972D61"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4C18AD" w:rsidRPr="00581ACF" w14:paraId="174602AB" w14:textId="77777777" w:rsidTr="00042C67">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43859036"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Pr>
                <w:rFonts w:cs="Calibri" w:hint="eastAsia"/>
                <w:color w:val="000000"/>
                <w:sz w:val="22"/>
                <w:szCs w:val="22"/>
                <w:lang w:eastAsia="zh-CN"/>
              </w:rPr>
              <w:t>财务支出</w:t>
            </w:r>
          </w:p>
        </w:tc>
        <w:tc>
          <w:tcPr>
            <w:tcW w:w="1394" w:type="dxa"/>
            <w:tcBorders>
              <w:top w:val="nil"/>
              <w:left w:val="nil"/>
              <w:bottom w:val="nil"/>
              <w:right w:val="single" w:sz="4" w:space="0" w:color="auto"/>
            </w:tcBorders>
            <w:shd w:val="clear" w:color="auto" w:fill="auto"/>
            <w:noWrap/>
            <w:vAlign w:val="center"/>
            <w:hideMark/>
          </w:tcPr>
          <w:p w14:paraId="75FA4460"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73.93</w:t>
            </w:r>
          </w:p>
        </w:tc>
        <w:tc>
          <w:tcPr>
            <w:tcW w:w="4144" w:type="dxa"/>
            <w:tcBorders>
              <w:top w:val="nil"/>
              <w:left w:val="nil"/>
              <w:bottom w:val="nil"/>
              <w:right w:val="single" w:sz="4" w:space="0" w:color="auto"/>
            </w:tcBorders>
            <w:shd w:val="clear" w:color="auto" w:fill="auto"/>
            <w:noWrap/>
            <w:vAlign w:val="bottom"/>
            <w:hideMark/>
          </w:tcPr>
          <w:p w14:paraId="1D1E1222"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0C156A">
              <w:rPr>
                <w:rFonts w:hint="eastAsia"/>
                <w:color w:val="000000"/>
                <w:sz w:val="22"/>
                <w:szCs w:val="22"/>
                <w:lang w:val="en-US" w:eastAsia="zh-CN"/>
              </w:rPr>
              <w:t>利息</w:t>
            </w:r>
          </w:p>
        </w:tc>
        <w:tc>
          <w:tcPr>
            <w:tcW w:w="1394" w:type="dxa"/>
            <w:tcBorders>
              <w:top w:val="nil"/>
              <w:left w:val="nil"/>
              <w:bottom w:val="nil"/>
              <w:right w:val="single" w:sz="4" w:space="0" w:color="auto"/>
            </w:tcBorders>
            <w:shd w:val="clear" w:color="auto" w:fill="auto"/>
            <w:noWrap/>
            <w:vAlign w:val="center"/>
            <w:hideMark/>
          </w:tcPr>
          <w:p w14:paraId="25AA748D"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9</w:t>
            </w:r>
            <w:r>
              <w:rPr>
                <w:rFonts w:cs="Calibri"/>
                <w:color w:val="000000"/>
                <w:sz w:val="22"/>
                <w:szCs w:val="22"/>
                <w:lang w:eastAsia="en-GB"/>
              </w:rPr>
              <w:t> </w:t>
            </w:r>
            <w:r w:rsidRPr="00581ACF">
              <w:rPr>
                <w:rFonts w:cs="Calibri"/>
                <w:color w:val="000000"/>
                <w:sz w:val="22"/>
                <w:szCs w:val="22"/>
                <w:lang w:eastAsia="en-GB"/>
              </w:rPr>
              <w:t xml:space="preserve">319.80 </w:t>
            </w:r>
          </w:p>
        </w:tc>
      </w:tr>
      <w:tr w:rsidR="004C18AD" w:rsidRPr="00581ACF" w14:paraId="421E3D0F" w14:textId="77777777" w:rsidTr="00042C67">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73E10B7F"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1B82FBE1"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0B059A38"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70FA01A6"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4C18AD" w:rsidRPr="00581ACF" w14:paraId="6D208428" w14:textId="77777777" w:rsidTr="00042C67">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1D1936C0"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Pr>
                <w:rFonts w:cs="Calibri" w:hint="eastAsia"/>
                <w:color w:val="000000"/>
                <w:sz w:val="22"/>
                <w:szCs w:val="22"/>
                <w:lang w:eastAsia="zh-CN"/>
              </w:rPr>
              <w:t>2</w:t>
            </w:r>
            <w:r>
              <w:rPr>
                <w:rFonts w:cs="Calibri"/>
                <w:color w:val="000000"/>
                <w:sz w:val="22"/>
                <w:szCs w:val="22"/>
                <w:lang w:eastAsia="zh-CN"/>
              </w:rPr>
              <w:t>021</w:t>
            </w:r>
            <w:r>
              <w:rPr>
                <w:rFonts w:cs="Calibri" w:hint="eastAsia"/>
                <w:color w:val="000000"/>
                <w:sz w:val="22"/>
                <w:szCs w:val="22"/>
                <w:lang w:eastAsia="zh-CN"/>
              </w:rPr>
              <w:t>年</w:t>
            </w:r>
            <w:r w:rsidRPr="0089329A">
              <w:rPr>
                <w:rFonts w:cs="Calibri" w:hint="eastAsia"/>
                <w:color w:val="000000"/>
                <w:sz w:val="22"/>
                <w:szCs w:val="22"/>
                <w:lang w:eastAsia="en-GB"/>
              </w:rPr>
              <w:t>重新估值</w:t>
            </w:r>
          </w:p>
        </w:tc>
        <w:tc>
          <w:tcPr>
            <w:tcW w:w="1394" w:type="dxa"/>
            <w:tcBorders>
              <w:top w:val="nil"/>
              <w:left w:val="nil"/>
              <w:bottom w:val="nil"/>
              <w:right w:val="single" w:sz="4" w:space="0" w:color="auto"/>
            </w:tcBorders>
            <w:shd w:val="clear" w:color="auto" w:fill="auto"/>
            <w:noWrap/>
            <w:vAlign w:val="center"/>
            <w:hideMark/>
          </w:tcPr>
          <w:p w14:paraId="6B563678"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67</w:t>
            </w:r>
            <w:r>
              <w:rPr>
                <w:rFonts w:cs="Calibri"/>
                <w:color w:val="000000"/>
                <w:sz w:val="22"/>
                <w:szCs w:val="22"/>
                <w:lang w:eastAsia="en-GB"/>
              </w:rPr>
              <w:t> </w:t>
            </w:r>
            <w:r w:rsidRPr="00581ACF">
              <w:rPr>
                <w:rFonts w:cs="Calibri"/>
                <w:color w:val="000000"/>
                <w:sz w:val="22"/>
                <w:szCs w:val="22"/>
                <w:lang w:eastAsia="en-GB"/>
              </w:rPr>
              <w:t xml:space="preserve">184.21 </w:t>
            </w:r>
          </w:p>
        </w:tc>
        <w:tc>
          <w:tcPr>
            <w:tcW w:w="4144" w:type="dxa"/>
            <w:tcBorders>
              <w:top w:val="nil"/>
              <w:left w:val="nil"/>
              <w:bottom w:val="nil"/>
              <w:right w:val="single" w:sz="4" w:space="0" w:color="auto"/>
            </w:tcBorders>
            <w:shd w:val="clear" w:color="auto" w:fill="auto"/>
            <w:noWrap/>
            <w:vAlign w:val="bottom"/>
            <w:hideMark/>
          </w:tcPr>
          <w:p w14:paraId="657487D0" w14:textId="77777777" w:rsidR="004C18AD" w:rsidRPr="00581ACF" w:rsidRDefault="004C18AD" w:rsidP="00042C67">
            <w:pPr>
              <w:overflowPunct/>
              <w:autoSpaceDE/>
              <w:autoSpaceDN/>
              <w:adjustRightInd/>
              <w:spacing w:before="0"/>
              <w:textAlignment w:val="auto"/>
              <w:rPr>
                <w:rFonts w:cs="Calibri"/>
                <w:color w:val="000000"/>
                <w:sz w:val="22"/>
                <w:szCs w:val="22"/>
                <w:lang w:eastAsia="zh-CN"/>
              </w:rPr>
            </w:pPr>
            <w:r w:rsidRPr="000C156A">
              <w:rPr>
                <w:rFonts w:hint="eastAsia"/>
                <w:color w:val="000000"/>
                <w:sz w:val="22"/>
                <w:szCs w:val="22"/>
                <w:lang w:val="en-US" w:eastAsia="zh-CN"/>
              </w:rPr>
              <w:t>从信托基金转入的利息</w:t>
            </w:r>
          </w:p>
        </w:tc>
        <w:tc>
          <w:tcPr>
            <w:tcW w:w="1394" w:type="dxa"/>
            <w:tcBorders>
              <w:top w:val="nil"/>
              <w:left w:val="nil"/>
              <w:bottom w:val="nil"/>
              <w:right w:val="single" w:sz="4" w:space="0" w:color="auto"/>
            </w:tcBorders>
            <w:shd w:val="clear" w:color="auto" w:fill="auto"/>
            <w:noWrap/>
            <w:vAlign w:val="center"/>
            <w:hideMark/>
          </w:tcPr>
          <w:p w14:paraId="428B17E5"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zh-CN"/>
              </w:rPr>
              <w:t xml:space="preserve">            </w:t>
            </w:r>
            <w:r w:rsidRPr="00581ACF">
              <w:rPr>
                <w:rFonts w:cs="Calibri"/>
                <w:color w:val="000000"/>
                <w:sz w:val="22"/>
                <w:szCs w:val="22"/>
                <w:lang w:eastAsia="en-GB"/>
              </w:rPr>
              <w:t>5</w:t>
            </w:r>
            <w:r>
              <w:rPr>
                <w:rFonts w:cs="Calibri"/>
                <w:color w:val="000000"/>
                <w:sz w:val="22"/>
                <w:szCs w:val="22"/>
                <w:lang w:eastAsia="en-GB"/>
              </w:rPr>
              <w:t> </w:t>
            </w:r>
            <w:r w:rsidRPr="00581ACF">
              <w:rPr>
                <w:rFonts w:cs="Calibri"/>
                <w:color w:val="000000"/>
                <w:sz w:val="22"/>
                <w:szCs w:val="22"/>
                <w:lang w:eastAsia="en-GB"/>
              </w:rPr>
              <w:t xml:space="preserve">010.98 </w:t>
            </w:r>
          </w:p>
        </w:tc>
      </w:tr>
      <w:tr w:rsidR="004C18AD" w:rsidRPr="00581ACF" w14:paraId="59A5B1F4" w14:textId="77777777" w:rsidTr="00042C67">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137AD5D0"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6A6959F6"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66AD248E"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1B6054E6"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4C18AD" w:rsidRPr="00581ACF" w14:paraId="0F4D10C4" w14:textId="77777777" w:rsidTr="00042C67">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44A8B289"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16D603E5"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2B601EAA" w14:textId="77777777" w:rsidR="004C18AD" w:rsidRPr="00581ACF" w:rsidRDefault="004C18AD" w:rsidP="00042C67">
            <w:pPr>
              <w:overflowPunct/>
              <w:autoSpaceDE/>
              <w:autoSpaceDN/>
              <w:adjustRightInd/>
              <w:spacing w:before="0"/>
              <w:textAlignment w:val="auto"/>
              <w:rPr>
                <w:rFonts w:cs="Calibri"/>
                <w:color w:val="000000"/>
                <w:sz w:val="22"/>
                <w:szCs w:val="22"/>
                <w:lang w:eastAsia="zh-CN"/>
              </w:rPr>
            </w:pPr>
            <w:r w:rsidRPr="000C156A">
              <w:rPr>
                <w:rFonts w:hint="eastAsia"/>
                <w:color w:val="000000"/>
                <w:sz w:val="22"/>
                <w:szCs w:val="22"/>
                <w:lang w:val="en-US" w:eastAsia="zh-CN"/>
              </w:rPr>
              <w:t>从已结账的</w:t>
            </w:r>
            <w:r w:rsidRPr="000C156A">
              <w:rPr>
                <w:rFonts w:eastAsia="Times New Roman" w:cs="Calibri"/>
                <w:color w:val="000000"/>
                <w:sz w:val="22"/>
                <w:szCs w:val="22"/>
                <w:lang w:eastAsia="zh-CN"/>
              </w:rPr>
              <w:t>ICTDF</w:t>
            </w:r>
            <w:r w:rsidRPr="000C156A">
              <w:rPr>
                <w:rFonts w:hint="eastAsia"/>
                <w:color w:val="000000"/>
                <w:sz w:val="22"/>
                <w:szCs w:val="22"/>
                <w:lang w:val="en-US" w:eastAsia="zh-CN"/>
              </w:rPr>
              <w:t>项目转入的余额</w:t>
            </w:r>
          </w:p>
        </w:tc>
        <w:tc>
          <w:tcPr>
            <w:tcW w:w="1394" w:type="dxa"/>
            <w:tcBorders>
              <w:top w:val="nil"/>
              <w:left w:val="nil"/>
              <w:bottom w:val="nil"/>
              <w:right w:val="single" w:sz="4" w:space="0" w:color="auto"/>
            </w:tcBorders>
            <w:shd w:val="clear" w:color="auto" w:fill="auto"/>
            <w:noWrap/>
            <w:vAlign w:val="center"/>
            <w:hideMark/>
          </w:tcPr>
          <w:p w14:paraId="21853B9F"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zh-CN"/>
              </w:rPr>
              <w:t xml:space="preserve">    </w:t>
            </w:r>
            <w:r w:rsidRPr="00581ACF">
              <w:rPr>
                <w:rFonts w:cs="Calibri"/>
                <w:color w:val="000000"/>
                <w:sz w:val="22"/>
                <w:szCs w:val="22"/>
                <w:lang w:eastAsia="en-GB"/>
              </w:rPr>
              <w:t>1</w:t>
            </w:r>
            <w:r>
              <w:rPr>
                <w:rFonts w:cs="Calibri"/>
                <w:color w:val="000000"/>
                <w:sz w:val="22"/>
                <w:szCs w:val="22"/>
                <w:lang w:eastAsia="en-GB"/>
              </w:rPr>
              <w:t> </w:t>
            </w:r>
            <w:r w:rsidRPr="00581ACF">
              <w:rPr>
                <w:rFonts w:cs="Calibri"/>
                <w:color w:val="000000"/>
                <w:sz w:val="22"/>
                <w:szCs w:val="22"/>
                <w:lang w:eastAsia="en-GB"/>
              </w:rPr>
              <w:t>141</w:t>
            </w:r>
            <w:r>
              <w:rPr>
                <w:rFonts w:cs="Calibri"/>
                <w:color w:val="000000"/>
                <w:sz w:val="22"/>
                <w:szCs w:val="22"/>
                <w:lang w:eastAsia="en-GB"/>
              </w:rPr>
              <w:t> </w:t>
            </w:r>
            <w:r w:rsidRPr="00581ACF">
              <w:rPr>
                <w:rFonts w:cs="Calibri"/>
                <w:color w:val="000000"/>
                <w:sz w:val="22"/>
                <w:szCs w:val="22"/>
                <w:lang w:eastAsia="en-GB"/>
              </w:rPr>
              <w:t xml:space="preserve">978.57 </w:t>
            </w:r>
          </w:p>
        </w:tc>
      </w:tr>
      <w:tr w:rsidR="004C18AD" w:rsidRPr="00581ACF" w14:paraId="044F3C5C" w14:textId="77777777" w:rsidTr="00042C67">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1A88E60E"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10EE5911"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22DB9A93"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5DC5B21F"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4C18AD" w:rsidRPr="00581ACF" w14:paraId="11B618D1" w14:textId="77777777" w:rsidTr="00042C67">
        <w:trPr>
          <w:trHeight w:val="300"/>
          <w:jc w:val="center"/>
        </w:trPr>
        <w:tc>
          <w:tcPr>
            <w:tcW w:w="2849" w:type="dxa"/>
            <w:tcBorders>
              <w:top w:val="nil"/>
              <w:left w:val="single" w:sz="4" w:space="0" w:color="auto"/>
              <w:bottom w:val="nil"/>
              <w:right w:val="nil"/>
            </w:tcBorders>
            <w:shd w:val="clear" w:color="auto" w:fill="auto"/>
            <w:noWrap/>
            <w:vAlign w:val="bottom"/>
            <w:hideMark/>
          </w:tcPr>
          <w:p w14:paraId="6ECB5AE1"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single" w:sz="4" w:space="0" w:color="auto"/>
              <w:bottom w:val="nil"/>
              <w:right w:val="single" w:sz="4" w:space="0" w:color="auto"/>
            </w:tcBorders>
            <w:shd w:val="clear" w:color="auto" w:fill="auto"/>
            <w:noWrap/>
            <w:vAlign w:val="center"/>
            <w:hideMark/>
          </w:tcPr>
          <w:p w14:paraId="0A6A5231"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2BDFDD5F"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Pr>
                <w:rFonts w:cs="Calibri" w:hint="eastAsia"/>
                <w:color w:val="000000"/>
                <w:sz w:val="22"/>
                <w:szCs w:val="22"/>
                <w:lang w:eastAsia="zh-CN"/>
              </w:rPr>
              <w:t>2</w:t>
            </w:r>
            <w:r>
              <w:rPr>
                <w:rFonts w:cs="Calibri"/>
                <w:color w:val="000000"/>
                <w:sz w:val="22"/>
                <w:szCs w:val="22"/>
                <w:lang w:eastAsia="zh-CN"/>
              </w:rPr>
              <w:t>020</w:t>
            </w:r>
            <w:r>
              <w:rPr>
                <w:rFonts w:cs="Calibri" w:hint="eastAsia"/>
                <w:color w:val="000000"/>
                <w:sz w:val="22"/>
                <w:szCs w:val="22"/>
                <w:lang w:eastAsia="zh-CN"/>
              </w:rPr>
              <w:t>年</w:t>
            </w:r>
            <w:r w:rsidRPr="0089329A">
              <w:rPr>
                <w:rFonts w:cs="Calibri" w:hint="eastAsia"/>
                <w:color w:val="000000"/>
                <w:sz w:val="22"/>
                <w:szCs w:val="22"/>
                <w:lang w:eastAsia="en-GB"/>
              </w:rPr>
              <w:t>反向重新估值</w:t>
            </w:r>
          </w:p>
        </w:tc>
        <w:tc>
          <w:tcPr>
            <w:tcW w:w="1394" w:type="dxa"/>
            <w:tcBorders>
              <w:top w:val="nil"/>
              <w:left w:val="nil"/>
              <w:bottom w:val="nil"/>
              <w:right w:val="single" w:sz="4" w:space="0" w:color="auto"/>
            </w:tcBorders>
            <w:shd w:val="clear" w:color="auto" w:fill="auto"/>
            <w:noWrap/>
            <w:vAlign w:val="center"/>
            <w:hideMark/>
          </w:tcPr>
          <w:p w14:paraId="463C487F"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177</w:t>
            </w:r>
            <w:r>
              <w:rPr>
                <w:rFonts w:cs="Calibri"/>
                <w:color w:val="000000"/>
                <w:sz w:val="22"/>
                <w:szCs w:val="22"/>
                <w:lang w:eastAsia="en-GB"/>
              </w:rPr>
              <w:t> </w:t>
            </w:r>
            <w:r w:rsidRPr="00581ACF">
              <w:rPr>
                <w:rFonts w:cs="Calibri"/>
                <w:color w:val="000000"/>
                <w:sz w:val="22"/>
                <w:szCs w:val="22"/>
                <w:lang w:eastAsia="en-GB"/>
              </w:rPr>
              <w:t xml:space="preserve">755.95 </w:t>
            </w:r>
          </w:p>
        </w:tc>
      </w:tr>
      <w:tr w:rsidR="004C18AD" w:rsidRPr="00581ACF" w14:paraId="333A88ED" w14:textId="77777777" w:rsidTr="00042C67">
        <w:trPr>
          <w:trHeight w:val="300"/>
          <w:jc w:val="center"/>
        </w:trPr>
        <w:tc>
          <w:tcPr>
            <w:tcW w:w="2849" w:type="dxa"/>
            <w:tcBorders>
              <w:top w:val="nil"/>
              <w:left w:val="single" w:sz="4" w:space="0" w:color="auto"/>
              <w:bottom w:val="nil"/>
              <w:right w:val="nil"/>
            </w:tcBorders>
            <w:shd w:val="clear" w:color="auto" w:fill="auto"/>
            <w:noWrap/>
            <w:vAlign w:val="bottom"/>
            <w:hideMark/>
          </w:tcPr>
          <w:p w14:paraId="11E2B3E4"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single" w:sz="4" w:space="0" w:color="auto"/>
              <w:bottom w:val="nil"/>
              <w:right w:val="single" w:sz="4" w:space="0" w:color="auto"/>
            </w:tcBorders>
            <w:shd w:val="clear" w:color="auto" w:fill="auto"/>
            <w:noWrap/>
            <w:vAlign w:val="center"/>
            <w:hideMark/>
          </w:tcPr>
          <w:p w14:paraId="411BDA84"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649AC5A1"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209C9CDD"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4C18AD" w:rsidRPr="00581ACF" w14:paraId="5FEC8797" w14:textId="77777777" w:rsidTr="00042C67">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67A3C03D"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1012E3B1"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3FB5B69F"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392BC9E1"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4C18AD" w:rsidRPr="00581ACF" w14:paraId="46F3DDF5" w14:textId="77777777" w:rsidTr="00042C67">
        <w:trPr>
          <w:trHeight w:val="300"/>
          <w:jc w:val="center"/>
        </w:trPr>
        <w:tc>
          <w:tcPr>
            <w:tcW w:w="2849" w:type="dxa"/>
            <w:tcBorders>
              <w:top w:val="nil"/>
              <w:left w:val="single" w:sz="4" w:space="0" w:color="auto"/>
              <w:bottom w:val="nil"/>
              <w:right w:val="single" w:sz="4" w:space="0" w:color="auto"/>
            </w:tcBorders>
            <w:shd w:val="clear" w:color="auto" w:fill="auto"/>
            <w:noWrap/>
            <w:vAlign w:val="bottom"/>
            <w:hideMark/>
          </w:tcPr>
          <w:p w14:paraId="101A974E" w14:textId="77777777" w:rsidR="004C18AD" w:rsidRDefault="004C18AD" w:rsidP="00042C67">
            <w:pPr>
              <w:overflowPunct/>
              <w:autoSpaceDE/>
              <w:autoSpaceDN/>
              <w:adjustRightInd/>
              <w:spacing w:before="0"/>
              <w:textAlignment w:val="auto"/>
              <w:rPr>
                <w:rFonts w:cs="Calibri"/>
                <w:color w:val="000000"/>
                <w:sz w:val="22"/>
                <w:szCs w:val="22"/>
                <w:lang w:eastAsia="en-GB"/>
              </w:rPr>
            </w:pPr>
          </w:p>
          <w:p w14:paraId="672B50F1"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Pr>
                <w:rFonts w:cs="Calibri" w:hint="eastAsia"/>
                <w:color w:val="000000"/>
                <w:sz w:val="22"/>
                <w:szCs w:val="22"/>
                <w:lang w:eastAsia="zh-CN"/>
              </w:rPr>
              <w:t>2</w:t>
            </w:r>
            <w:r>
              <w:rPr>
                <w:rFonts w:cs="Calibri"/>
                <w:color w:val="000000"/>
                <w:sz w:val="22"/>
                <w:szCs w:val="22"/>
                <w:lang w:eastAsia="zh-CN"/>
              </w:rPr>
              <w:t>021</w:t>
            </w:r>
            <w:r>
              <w:rPr>
                <w:rFonts w:cs="Calibri" w:hint="eastAsia"/>
                <w:color w:val="000000"/>
                <w:sz w:val="22"/>
                <w:szCs w:val="22"/>
                <w:lang w:eastAsia="zh-CN"/>
              </w:rPr>
              <w:t>年</w:t>
            </w:r>
            <w:r w:rsidRPr="000C156A">
              <w:rPr>
                <w:rFonts w:cs="Calibri"/>
                <w:color w:val="000000"/>
                <w:sz w:val="22"/>
                <w:szCs w:val="22"/>
                <w:lang w:eastAsia="en-GB"/>
              </w:rPr>
              <w:t>收入盈余</w:t>
            </w:r>
          </w:p>
        </w:tc>
        <w:tc>
          <w:tcPr>
            <w:tcW w:w="1394" w:type="dxa"/>
            <w:tcBorders>
              <w:top w:val="nil"/>
              <w:left w:val="nil"/>
              <w:bottom w:val="nil"/>
              <w:right w:val="single" w:sz="4" w:space="0" w:color="auto"/>
            </w:tcBorders>
            <w:shd w:val="clear" w:color="auto" w:fill="auto"/>
            <w:noWrap/>
            <w:vAlign w:val="center"/>
            <w:hideMark/>
          </w:tcPr>
          <w:p w14:paraId="03CD23F1"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468</w:t>
            </w:r>
            <w:r>
              <w:rPr>
                <w:rFonts w:cs="Calibri"/>
                <w:color w:val="000000"/>
                <w:sz w:val="22"/>
                <w:szCs w:val="22"/>
                <w:lang w:eastAsia="en-GB"/>
              </w:rPr>
              <w:t> </w:t>
            </w:r>
            <w:r w:rsidRPr="00581ACF">
              <w:rPr>
                <w:rFonts w:cs="Calibri"/>
                <w:color w:val="000000"/>
                <w:sz w:val="22"/>
                <w:szCs w:val="22"/>
                <w:lang w:eastAsia="en-GB"/>
              </w:rPr>
              <w:t xml:space="preserve">304.22 </w:t>
            </w:r>
          </w:p>
        </w:tc>
        <w:tc>
          <w:tcPr>
            <w:tcW w:w="4144" w:type="dxa"/>
            <w:tcBorders>
              <w:top w:val="nil"/>
              <w:left w:val="nil"/>
              <w:bottom w:val="nil"/>
              <w:right w:val="single" w:sz="4" w:space="0" w:color="auto"/>
            </w:tcBorders>
            <w:shd w:val="clear" w:color="auto" w:fill="auto"/>
            <w:noWrap/>
            <w:vAlign w:val="bottom"/>
            <w:hideMark/>
          </w:tcPr>
          <w:p w14:paraId="6FE887B9"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center"/>
            <w:hideMark/>
          </w:tcPr>
          <w:p w14:paraId="46ABC6BB"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w:t>
            </w:r>
          </w:p>
        </w:tc>
      </w:tr>
      <w:tr w:rsidR="004C18AD" w:rsidRPr="00581ACF" w14:paraId="510B511A" w14:textId="77777777" w:rsidTr="00042C67">
        <w:trPr>
          <w:trHeight w:val="315"/>
          <w:jc w:val="center"/>
        </w:trPr>
        <w:tc>
          <w:tcPr>
            <w:tcW w:w="2849" w:type="dxa"/>
            <w:tcBorders>
              <w:top w:val="nil"/>
              <w:left w:val="single" w:sz="4" w:space="0" w:color="auto"/>
              <w:bottom w:val="nil"/>
              <w:right w:val="single" w:sz="4" w:space="0" w:color="auto"/>
            </w:tcBorders>
            <w:shd w:val="clear" w:color="auto" w:fill="auto"/>
            <w:noWrap/>
            <w:vAlign w:val="bottom"/>
            <w:hideMark/>
          </w:tcPr>
          <w:p w14:paraId="1496DAAC"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single" w:sz="4" w:space="0" w:color="auto"/>
              <w:left w:val="nil"/>
              <w:bottom w:val="double" w:sz="6" w:space="0" w:color="auto"/>
              <w:right w:val="single" w:sz="4" w:space="0" w:color="auto"/>
            </w:tcBorders>
            <w:shd w:val="clear" w:color="000000" w:fill="F2F2F2"/>
            <w:noWrap/>
            <w:vAlign w:val="center"/>
            <w:hideMark/>
          </w:tcPr>
          <w:p w14:paraId="7A4FA3B7"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1</w:t>
            </w:r>
            <w:r>
              <w:rPr>
                <w:rFonts w:cs="Calibri"/>
                <w:color w:val="000000"/>
                <w:sz w:val="22"/>
                <w:szCs w:val="22"/>
                <w:lang w:eastAsia="en-GB"/>
              </w:rPr>
              <w:t> </w:t>
            </w:r>
            <w:r w:rsidRPr="00581ACF">
              <w:rPr>
                <w:rFonts w:cs="Calibri"/>
                <w:color w:val="000000"/>
                <w:sz w:val="22"/>
                <w:szCs w:val="22"/>
                <w:lang w:eastAsia="en-GB"/>
              </w:rPr>
              <w:t>334</w:t>
            </w:r>
            <w:r>
              <w:rPr>
                <w:rFonts w:cs="Calibri"/>
                <w:color w:val="000000"/>
                <w:sz w:val="22"/>
                <w:szCs w:val="22"/>
                <w:lang w:eastAsia="en-GB"/>
              </w:rPr>
              <w:t> </w:t>
            </w:r>
            <w:r w:rsidRPr="00581ACF">
              <w:rPr>
                <w:rFonts w:cs="Calibri"/>
                <w:color w:val="000000"/>
                <w:sz w:val="22"/>
                <w:szCs w:val="22"/>
                <w:lang w:eastAsia="en-GB"/>
              </w:rPr>
              <w:t xml:space="preserve">065.30 </w:t>
            </w:r>
          </w:p>
        </w:tc>
        <w:tc>
          <w:tcPr>
            <w:tcW w:w="4144" w:type="dxa"/>
            <w:tcBorders>
              <w:top w:val="nil"/>
              <w:left w:val="nil"/>
              <w:bottom w:val="nil"/>
              <w:right w:val="single" w:sz="4" w:space="0" w:color="auto"/>
            </w:tcBorders>
            <w:shd w:val="clear" w:color="auto" w:fill="auto"/>
            <w:noWrap/>
            <w:vAlign w:val="bottom"/>
            <w:hideMark/>
          </w:tcPr>
          <w:p w14:paraId="5C489C43"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single" w:sz="4" w:space="0" w:color="auto"/>
              <w:left w:val="nil"/>
              <w:bottom w:val="double" w:sz="6" w:space="0" w:color="auto"/>
              <w:right w:val="single" w:sz="4" w:space="0" w:color="auto"/>
            </w:tcBorders>
            <w:shd w:val="clear" w:color="000000" w:fill="F2F2F2"/>
            <w:noWrap/>
            <w:vAlign w:val="center"/>
            <w:hideMark/>
          </w:tcPr>
          <w:p w14:paraId="689FAF0C" w14:textId="77777777" w:rsidR="004C18AD" w:rsidRPr="00581ACF" w:rsidRDefault="004C18AD" w:rsidP="00042C67">
            <w:pPr>
              <w:overflowPunct/>
              <w:autoSpaceDE/>
              <w:autoSpaceDN/>
              <w:adjustRightInd/>
              <w:spacing w:before="0"/>
              <w:jc w:val="right"/>
              <w:textAlignment w:val="auto"/>
              <w:rPr>
                <w:rFonts w:cs="Calibri"/>
                <w:color w:val="000000"/>
                <w:sz w:val="22"/>
                <w:szCs w:val="22"/>
                <w:lang w:eastAsia="en-GB"/>
              </w:rPr>
            </w:pPr>
            <w:r w:rsidRPr="00581ACF">
              <w:rPr>
                <w:rFonts w:cs="Calibri"/>
                <w:color w:val="000000"/>
                <w:sz w:val="22"/>
                <w:szCs w:val="22"/>
                <w:lang w:eastAsia="en-GB"/>
              </w:rPr>
              <w:t xml:space="preserve">    1</w:t>
            </w:r>
            <w:r>
              <w:rPr>
                <w:rFonts w:cs="Calibri"/>
                <w:color w:val="000000"/>
                <w:sz w:val="22"/>
                <w:szCs w:val="22"/>
                <w:lang w:eastAsia="en-GB"/>
              </w:rPr>
              <w:t> </w:t>
            </w:r>
            <w:r w:rsidRPr="00581ACF">
              <w:rPr>
                <w:rFonts w:cs="Calibri"/>
                <w:color w:val="000000"/>
                <w:sz w:val="22"/>
                <w:szCs w:val="22"/>
                <w:lang w:eastAsia="en-GB"/>
              </w:rPr>
              <w:t>334</w:t>
            </w:r>
            <w:r>
              <w:rPr>
                <w:rFonts w:cs="Calibri"/>
                <w:color w:val="000000"/>
                <w:sz w:val="22"/>
                <w:szCs w:val="22"/>
                <w:lang w:eastAsia="en-GB"/>
              </w:rPr>
              <w:t> </w:t>
            </w:r>
            <w:r w:rsidRPr="00581ACF">
              <w:rPr>
                <w:rFonts w:cs="Calibri"/>
                <w:color w:val="000000"/>
                <w:sz w:val="22"/>
                <w:szCs w:val="22"/>
                <w:lang w:eastAsia="en-GB"/>
              </w:rPr>
              <w:t xml:space="preserve">065.30 </w:t>
            </w:r>
          </w:p>
        </w:tc>
      </w:tr>
      <w:tr w:rsidR="004C18AD" w:rsidRPr="00581ACF" w14:paraId="2DD8BC60" w14:textId="77777777" w:rsidTr="00042C67">
        <w:trPr>
          <w:trHeight w:val="315"/>
          <w:jc w:val="center"/>
        </w:trPr>
        <w:tc>
          <w:tcPr>
            <w:tcW w:w="2849" w:type="dxa"/>
            <w:tcBorders>
              <w:top w:val="nil"/>
              <w:left w:val="single" w:sz="4" w:space="0" w:color="auto"/>
              <w:bottom w:val="nil"/>
              <w:right w:val="single" w:sz="4" w:space="0" w:color="auto"/>
            </w:tcBorders>
            <w:shd w:val="clear" w:color="auto" w:fill="auto"/>
            <w:noWrap/>
            <w:vAlign w:val="bottom"/>
            <w:hideMark/>
          </w:tcPr>
          <w:p w14:paraId="3A3321F2"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bottom"/>
            <w:hideMark/>
          </w:tcPr>
          <w:p w14:paraId="56AA100A"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nil"/>
              <w:right w:val="single" w:sz="4" w:space="0" w:color="auto"/>
            </w:tcBorders>
            <w:shd w:val="clear" w:color="auto" w:fill="auto"/>
            <w:noWrap/>
            <w:vAlign w:val="bottom"/>
            <w:hideMark/>
          </w:tcPr>
          <w:p w14:paraId="55362247"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nil"/>
              <w:right w:val="single" w:sz="4" w:space="0" w:color="auto"/>
            </w:tcBorders>
            <w:shd w:val="clear" w:color="auto" w:fill="auto"/>
            <w:noWrap/>
            <w:vAlign w:val="bottom"/>
            <w:hideMark/>
          </w:tcPr>
          <w:p w14:paraId="18CDE50C"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r>
      <w:tr w:rsidR="004C18AD" w:rsidRPr="00581ACF" w14:paraId="74137C9A" w14:textId="77777777" w:rsidTr="00042C67">
        <w:trPr>
          <w:trHeight w:val="315"/>
          <w:jc w:val="center"/>
        </w:trPr>
        <w:tc>
          <w:tcPr>
            <w:tcW w:w="2849" w:type="dxa"/>
            <w:tcBorders>
              <w:top w:val="nil"/>
              <w:left w:val="single" w:sz="4" w:space="0" w:color="auto"/>
              <w:bottom w:val="nil"/>
              <w:right w:val="single" w:sz="4" w:space="0" w:color="auto"/>
            </w:tcBorders>
            <w:shd w:val="clear" w:color="auto" w:fill="auto"/>
            <w:noWrap/>
            <w:vAlign w:val="bottom"/>
          </w:tcPr>
          <w:p w14:paraId="6EBF7F7F"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p>
        </w:tc>
        <w:tc>
          <w:tcPr>
            <w:tcW w:w="1394" w:type="dxa"/>
            <w:tcBorders>
              <w:top w:val="nil"/>
              <w:left w:val="nil"/>
              <w:bottom w:val="nil"/>
              <w:right w:val="single" w:sz="4" w:space="0" w:color="auto"/>
            </w:tcBorders>
            <w:shd w:val="clear" w:color="auto" w:fill="auto"/>
            <w:noWrap/>
            <w:vAlign w:val="bottom"/>
          </w:tcPr>
          <w:p w14:paraId="438B160F"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p>
        </w:tc>
        <w:tc>
          <w:tcPr>
            <w:tcW w:w="4144" w:type="dxa"/>
            <w:tcBorders>
              <w:top w:val="nil"/>
              <w:left w:val="nil"/>
              <w:bottom w:val="nil"/>
              <w:right w:val="single" w:sz="4" w:space="0" w:color="auto"/>
            </w:tcBorders>
            <w:shd w:val="clear" w:color="auto" w:fill="auto"/>
            <w:noWrap/>
            <w:vAlign w:val="bottom"/>
          </w:tcPr>
          <w:p w14:paraId="49DA1F15"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p>
        </w:tc>
        <w:tc>
          <w:tcPr>
            <w:tcW w:w="1394" w:type="dxa"/>
            <w:tcBorders>
              <w:top w:val="nil"/>
              <w:left w:val="nil"/>
              <w:bottom w:val="nil"/>
              <w:right w:val="single" w:sz="4" w:space="0" w:color="auto"/>
            </w:tcBorders>
            <w:shd w:val="clear" w:color="auto" w:fill="auto"/>
            <w:noWrap/>
            <w:vAlign w:val="bottom"/>
          </w:tcPr>
          <w:p w14:paraId="4FE7361B"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p>
        </w:tc>
      </w:tr>
      <w:tr w:rsidR="004C18AD" w:rsidRPr="00581ACF" w14:paraId="33622C8E" w14:textId="77777777" w:rsidTr="00042C67">
        <w:trPr>
          <w:trHeight w:val="300"/>
          <w:jc w:val="center"/>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14:paraId="2AA01523"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5A57967C"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4144" w:type="dxa"/>
            <w:tcBorders>
              <w:top w:val="nil"/>
              <w:left w:val="nil"/>
              <w:bottom w:val="single" w:sz="4" w:space="0" w:color="auto"/>
              <w:right w:val="single" w:sz="4" w:space="0" w:color="auto"/>
            </w:tcBorders>
            <w:shd w:val="clear" w:color="auto" w:fill="auto"/>
            <w:noWrap/>
            <w:vAlign w:val="bottom"/>
            <w:hideMark/>
          </w:tcPr>
          <w:p w14:paraId="6D350AC8"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c>
          <w:tcPr>
            <w:tcW w:w="1394" w:type="dxa"/>
            <w:tcBorders>
              <w:top w:val="nil"/>
              <w:left w:val="nil"/>
              <w:bottom w:val="single" w:sz="4" w:space="0" w:color="auto"/>
              <w:right w:val="single" w:sz="4" w:space="0" w:color="auto"/>
            </w:tcBorders>
            <w:shd w:val="clear" w:color="auto" w:fill="auto"/>
            <w:noWrap/>
            <w:vAlign w:val="bottom"/>
            <w:hideMark/>
          </w:tcPr>
          <w:p w14:paraId="26EB7E8A" w14:textId="77777777" w:rsidR="004C18AD" w:rsidRPr="00581ACF" w:rsidRDefault="004C18AD" w:rsidP="00042C67">
            <w:pPr>
              <w:overflowPunct/>
              <w:autoSpaceDE/>
              <w:autoSpaceDN/>
              <w:adjustRightInd/>
              <w:spacing w:before="0"/>
              <w:textAlignment w:val="auto"/>
              <w:rPr>
                <w:rFonts w:cs="Calibri"/>
                <w:color w:val="000000"/>
                <w:sz w:val="22"/>
                <w:szCs w:val="22"/>
                <w:lang w:eastAsia="en-GB"/>
              </w:rPr>
            </w:pPr>
            <w:r w:rsidRPr="00581ACF">
              <w:rPr>
                <w:rFonts w:cs="Calibri"/>
                <w:color w:val="000000"/>
                <w:sz w:val="22"/>
                <w:szCs w:val="22"/>
                <w:lang w:eastAsia="en-GB"/>
              </w:rPr>
              <w:t> </w:t>
            </w:r>
          </w:p>
        </w:tc>
      </w:tr>
    </w:tbl>
    <w:p w14:paraId="585414CF" w14:textId="77777777" w:rsidR="004C18AD" w:rsidRPr="000C156A" w:rsidRDefault="004C18AD" w:rsidP="004C18AD">
      <w:pPr>
        <w:tabs>
          <w:tab w:val="left" w:pos="720"/>
        </w:tabs>
        <w:overflowPunct/>
        <w:adjustRightInd/>
        <w:spacing w:before="0"/>
      </w:pPr>
      <w:r w:rsidRPr="000C156A">
        <w:br w:type="page"/>
      </w:r>
    </w:p>
    <w:p w14:paraId="2CAF1F25" w14:textId="77777777" w:rsidR="004C18AD" w:rsidRPr="00B1230C" w:rsidRDefault="004C18AD" w:rsidP="004C18AD">
      <w:pPr>
        <w:pStyle w:val="AnnexNo"/>
        <w:outlineLvl w:val="0"/>
        <w:rPr>
          <w:rFonts w:cs="Calibri"/>
          <w:w w:val="105"/>
          <w:szCs w:val="24"/>
          <w:lang w:val="en-US" w:eastAsia="zh-CN"/>
        </w:rPr>
      </w:pPr>
      <w:bookmarkStart w:id="1443" w:name="_Toc482894277"/>
      <w:bookmarkStart w:id="1444" w:name="_Toc41908092"/>
      <w:bookmarkStart w:id="1445" w:name="_Toc73519309"/>
      <w:bookmarkStart w:id="1446" w:name="_Toc73636346"/>
      <w:bookmarkStart w:id="1447" w:name="_Toc110330302"/>
      <w:r w:rsidRPr="00B1230C">
        <w:rPr>
          <w:rFonts w:cs="Calibri" w:hint="eastAsia"/>
          <w:lang w:eastAsia="zh-CN"/>
        </w:rPr>
        <w:lastRenderedPageBreak/>
        <w:t>附件</w:t>
      </w:r>
      <w:bookmarkEnd w:id="1443"/>
      <w:r w:rsidRPr="00B1230C">
        <w:rPr>
          <w:rFonts w:cs="Calibri"/>
          <w:lang w:eastAsia="zh-CN"/>
        </w:rPr>
        <w:t>B7</w:t>
      </w:r>
      <w:bookmarkEnd w:id="1444"/>
      <w:bookmarkEnd w:id="1445"/>
      <w:bookmarkEnd w:id="1446"/>
      <w:bookmarkEnd w:id="1447"/>
    </w:p>
    <w:p w14:paraId="554A8F07" w14:textId="64656BD6" w:rsidR="004C18AD" w:rsidRDefault="004C18AD" w:rsidP="004C18AD">
      <w:pPr>
        <w:pStyle w:val="Annextitle"/>
        <w:rPr>
          <w:rFonts w:ascii="Calibri" w:hAnsi="Calibri" w:cs="Calibri"/>
          <w:bCs/>
          <w:w w:val="105"/>
          <w:szCs w:val="28"/>
          <w:lang w:val="en-US" w:eastAsia="zh-CN"/>
        </w:rPr>
      </w:pPr>
      <w:r w:rsidRPr="00B1230C">
        <w:rPr>
          <w:rFonts w:ascii="Calibri" w:hAnsi="Calibri" w:cs="Calibri" w:hint="eastAsia"/>
          <w:bCs/>
          <w:w w:val="105"/>
          <w:szCs w:val="28"/>
          <w:lang w:val="en-US" w:eastAsia="zh-CN"/>
        </w:rPr>
        <w:t>国际电联</w:t>
      </w:r>
      <w:r w:rsidRPr="00B1230C">
        <w:rPr>
          <w:rFonts w:ascii="Calibri" w:hAnsi="Calibri" w:cs="Calibri" w:hint="eastAsia"/>
          <w:bCs/>
          <w:w w:val="105"/>
          <w:szCs w:val="28"/>
          <w:lang w:val="en-US" w:eastAsia="zh-CN"/>
        </w:rPr>
        <w:t>202</w:t>
      </w:r>
      <w:r w:rsidRPr="00B1230C">
        <w:rPr>
          <w:rFonts w:ascii="Calibri" w:hAnsi="Calibri" w:cs="Calibri"/>
          <w:bCs/>
          <w:w w:val="105"/>
          <w:szCs w:val="28"/>
          <w:lang w:val="en-US" w:eastAsia="zh-CN"/>
        </w:rPr>
        <w:t>1</w:t>
      </w:r>
      <w:r w:rsidRPr="00B1230C">
        <w:rPr>
          <w:rFonts w:ascii="Calibri" w:hAnsi="Calibri" w:cs="Calibri" w:hint="eastAsia"/>
          <w:bCs/>
          <w:w w:val="105"/>
          <w:szCs w:val="28"/>
          <w:lang w:val="en-US" w:eastAsia="zh-CN"/>
        </w:rPr>
        <w:t>年数字世界展</w:t>
      </w:r>
    </w:p>
    <w:p w14:paraId="21E6DDFD" w14:textId="30DF064E" w:rsidR="00A97A32" w:rsidRPr="00A97A32" w:rsidRDefault="00A97A32" w:rsidP="00A97A32">
      <w:pPr>
        <w:pStyle w:val="Annexref"/>
        <w:rPr>
          <w:lang w:val="en-US" w:eastAsia="zh-CN"/>
        </w:rPr>
      </w:pPr>
      <w:r w:rsidRPr="00382064">
        <w:drawing>
          <wp:inline distT="0" distB="0" distL="0" distR="0" wp14:anchorId="7701BE8A" wp14:editId="62819EBC">
            <wp:extent cx="8888730" cy="4601210"/>
            <wp:effectExtent l="0" t="0" r="762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888730" cy="4601210"/>
                    </a:xfrm>
                    <a:prstGeom prst="rect">
                      <a:avLst/>
                    </a:prstGeom>
                    <a:noFill/>
                    <a:ln>
                      <a:noFill/>
                    </a:ln>
                  </pic:spPr>
                </pic:pic>
              </a:graphicData>
            </a:graphic>
          </wp:inline>
        </w:drawing>
      </w:r>
    </w:p>
    <w:p w14:paraId="285DEF6A" w14:textId="5E068E14" w:rsidR="004C18AD" w:rsidRPr="00344099" w:rsidRDefault="004C18AD" w:rsidP="004C18AD">
      <w:pPr>
        <w:overflowPunct/>
        <w:autoSpaceDE/>
        <w:autoSpaceDN/>
        <w:adjustRightInd/>
        <w:spacing w:before="0"/>
        <w:textAlignment w:val="auto"/>
        <w:rPr>
          <w:lang w:eastAsia="zh-CN"/>
        </w:rPr>
      </w:pPr>
    </w:p>
    <w:p w14:paraId="36B67041" w14:textId="77777777" w:rsidR="004C18AD" w:rsidRPr="00005FE7" w:rsidRDefault="004C18AD" w:rsidP="004C18AD">
      <w:pPr>
        <w:pStyle w:val="Annextitle"/>
        <w:rPr>
          <w:w w:val="105"/>
          <w:szCs w:val="28"/>
          <w:lang w:val="en-US" w:eastAsia="zh-CN"/>
        </w:rPr>
        <w:sectPr w:rsidR="004C18AD" w:rsidRPr="00005FE7" w:rsidSect="003A64C9">
          <w:headerReference w:type="default" r:id="rId71"/>
          <w:footerReference w:type="default" r:id="rId72"/>
          <w:footerReference w:type="first" r:id="rId73"/>
          <w:pgSz w:w="16834" w:h="11907" w:orient="landscape"/>
          <w:pgMar w:top="1134" w:right="1418" w:bottom="1134" w:left="1418" w:header="720" w:footer="720" w:gutter="0"/>
          <w:paperSrc w:first="15" w:other="15"/>
          <w:cols w:space="720"/>
          <w:titlePg/>
          <w:docGrid w:linePitch="326"/>
        </w:sectPr>
      </w:pPr>
      <w:r w:rsidRPr="000C156A">
        <w:rPr>
          <w:sz w:val="12"/>
          <w:szCs w:val="12"/>
          <w:lang w:val="en-US" w:eastAsia="zh-CN"/>
        </w:rPr>
        <w:br w:type="page"/>
      </w:r>
    </w:p>
    <w:p w14:paraId="0FFD30AD" w14:textId="77777777" w:rsidR="004C18AD" w:rsidRPr="000C156A" w:rsidRDefault="004C18AD" w:rsidP="004C18AD">
      <w:pPr>
        <w:pStyle w:val="AnnexNo"/>
        <w:outlineLvl w:val="0"/>
        <w:rPr>
          <w:lang w:eastAsia="zh-CN"/>
        </w:rPr>
      </w:pPr>
      <w:bookmarkStart w:id="1448" w:name="_Toc482894803"/>
      <w:bookmarkStart w:id="1449" w:name="_Toc482894278"/>
      <w:bookmarkStart w:id="1450" w:name="_Toc41905918"/>
      <w:bookmarkStart w:id="1451" w:name="_Toc41908093"/>
      <w:bookmarkStart w:id="1452" w:name="_Toc73519310"/>
      <w:bookmarkStart w:id="1453" w:name="_Toc110330303"/>
      <w:r w:rsidRPr="000C156A">
        <w:rPr>
          <w:rFonts w:hint="eastAsia"/>
          <w:lang w:eastAsia="zh-CN"/>
        </w:rPr>
        <w:lastRenderedPageBreak/>
        <w:t>附件</w:t>
      </w:r>
      <w:bookmarkEnd w:id="1448"/>
      <w:bookmarkEnd w:id="1449"/>
      <w:r w:rsidRPr="000C156A">
        <w:rPr>
          <w:lang w:eastAsia="zh-CN"/>
        </w:rPr>
        <w:t>C</w:t>
      </w:r>
      <w:bookmarkEnd w:id="1450"/>
      <w:bookmarkEnd w:id="1451"/>
      <w:bookmarkEnd w:id="1452"/>
      <w:bookmarkEnd w:id="1453"/>
    </w:p>
    <w:p w14:paraId="7F412620" w14:textId="77777777" w:rsidR="004C18AD" w:rsidRPr="000C156A" w:rsidRDefault="004C18AD" w:rsidP="004C18AD">
      <w:pPr>
        <w:pStyle w:val="Annextitle"/>
        <w:rPr>
          <w:rFonts w:asciiTheme="minorHAnsi" w:hAnsiTheme="minorHAnsi"/>
          <w:lang w:eastAsia="zh-CN"/>
        </w:rPr>
      </w:pPr>
      <w:bookmarkStart w:id="1454" w:name="_Toc482894804"/>
      <w:bookmarkStart w:id="1455" w:name="_Toc482892592"/>
      <w:bookmarkStart w:id="1456" w:name="_Toc511768734"/>
      <w:bookmarkStart w:id="1457" w:name="_Toc10536311"/>
      <w:r w:rsidRPr="000C156A">
        <w:rPr>
          <w:rFonts w:asciiTheme="minorHAnsi" w:hAnsiTheme="minorHAnsi" w:hint="eastAsia"/>
          <w:lang w:eastAsia="zh-CN"/>
        </w:rPr>
        <w:t>截至</w:t>
      </w:r>
      <w:r>
        <w:rPr>
          <w:rFonts w:asciiTheme="minorHAnsi" w:hAnsiTheme="minorHAnsi"/>
          <w:lang w:eastAsia="zh-CN"/>
        </w:rPr>
        <w:t>2021</w:t>
      </w:r>
      <w:r w:rsidRPr="000C156A">
        <w:rPr>
          <w:rFonts w:asciiTheme="minorHAnsi" w:hAnsiTheme="minorHAnsi" w:hint="eastAsia"/>
          <w:lang w:eastAsia="zh-CN"/>
        </w:rPr>
        <w:t>年</w:t>
      </w:r>
      <w:r w:rsidRPr="000C156A">
        <w:rPr>
          <w:rFonts w:asciiTheme="minorHAnsi" w:hAnsiTheme="minorHAnsi"/>
          <w:lang w:eastAsia="zh-CN"/>
        </w:rPr>
        <w:t>12</w:t>
      </w:r>
      <w:r w:rsidRPr="000C156A">
        <w:rPr>
          <w:rFonts w:asciiTheme="minorHAnsi" w:hAnsiTheme="minorHAnsi" w:hint="eastAsia"/>
          <w:lang w:eastAsia="zh-CN"/>
        </w:rPr>
        <w:t>月</w:t>
      </w:r>
      <w:r w:rsidRPr="000C156A">
        <w:rPr>
          <w:rFonts w:asciiTheme="minorHAnsi" w:hAnsiTheme="minorHAnsi"/>
          <w:lang w:eastAsia="zh-CN"/>
        </w:rPr>
        <w:t>31</w:t>
      </w:r>
      <w:r w:rsidRPr="000C156A">
        <w:rPr>
          <w:rFonts w:asciiTheme="minorHAnsi" w:hAnsiTheme="minorHAnsi" w:hint="eastAsia"/>
          <w:lang w:eastAsia="zh-CN"/>
        </w:rPr>
        <w:t>日的欠款状况</w:t>
      </w:r>
      <w:bookmarkEnd w:id="1454"/>
      <w:bookmarkEnd w:id="1455"/>
      <w:bookmarkEnd w:id="1456"/>
      <w:bookmarkEnd w:id="1457"/>
    </w:p>
    <w:p w14:paraId="01608C32" w14:textId="77777777" w:rsidR="004C18AD" w:rsidRPr="000C156A" w:rsidRDefault="004C18AD" w:rsidP="004C18AD">
      <w:pPr>
        <w:pStyle w:val="Tabletitle"/>
        <w:rPr>
          <w:lang w:val="fr-FR" w:eastAsia="zh-CN"/>
        </w:rPr>
      </w:pPr>
      <w:r w:rsidRPr="000C156A">
        <w:rPr>
          <w:rFonts w:cs="Microsoft YaHei" w:hint="eastAsia"/>
          <w:lang w:val="fr-FR" w:eastAsia="zh-CN"/>
        </w:rPr>
        <w:t>会费和出版物欠款金额</w:t>
      </w:r>
    </w:p>
    <w:tbl>
      <w:tblPr>
        <w:tblW w:w="4862" w:type="pct"/>
        <w:tblLook w:val="04A0" w:firstRow="1" w:lastRow="0" w:firstColumn="1" w:lastColumn="0" w:noHBand="0" w:noVBand="1"/>
      </w:tblPr>
      <w:tblGrid>
        <w:gridCol w:w="3958"/>
        <w:gridCol w:w="1306"/>
        <w:gridCol w:w="1496"/>
        <w:gridCol w:w="1107"/>
        <w:gridCol w:w="1496"/>
      </w:tblGrid>
      <w:tr w:rsidR="004C18AD" w:rsidRPr="00483BE4" w14:paraId="69F0340B" w14:textId="77777777" w:rsidTr="00042C67">
        <w:trPr>
          <w:trHeight w:val="270"/>
        </w:trPr>
        <w:tc>
          <w:tcPr>
            <w:tcW w:w="21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F034C" w14:textId="77777777" w:rsidR="004C18AD" w:rsidRPr="00483BE4" w:rsidRDefault="004C18AD" w:rsidP="00042C67">
            <w:pPr>
              <w:overflowPunct/>
              <w:autoSpaceDE/>
              <w:autoSpaceDN/>
              <w:adjustRightInd/>
              <w:spacing w:before="0"/>
              <w:textAlignment w:val="auto"/>
              <w:rPr>
                <w:rFonts w:cs="Calibri"/>
                <w:b/>
                <w:bCs/>
                <w:sz w:val="22"/>
                <w:szCs w:val="22"/>
                <w:lang w:eastAsia="zh-CN"/>
              </w:rPr>
            </w:pPr>
            <w:r w:rsidRPr="00483BE4">
              <w:rPr>
                <w:b/>
                <w:bCs/>
                <w:sz w:val="22"/>
                <w:szCs w:val="22"/>
                <w:lang w:eastAsia="zh-CN"/>
              </w:rPr>
              <w:t>A.</w:t>
            </w:r>
            <w:r w:rsidRPr="00483BE4">
              <w:rPr>
                <w:rFonts w:hint="eastAsia"/>
                <w:b/>
                <w:bCs/>
                <w:sz w:val="22"/>
                <w:szCs w:val="22"/>
                <w:lang w:eastAsia="zh-CN"/>
              </w:rPr>
              <w:t>国际电联成员国</w:t>
            </w:r>
          </w:p>
        </w:tc>
        <w:tc>
          <w:tcPr>
            <w:tcW w:w="697" w:type="pct"/>
            <w:tcBorders>
              <w:top w:val="single" w:sz="4" w:space="0" w:color="auto"/>
              <w:left w:val="nil"/>
              <w:bottom w:val="single" w:sz="4" w:space="0" w:color="auto"/>
              <w:right w:val="single" w:sz="4" w:space="0" w:color="auto"/>
            </w:tcBorders>
            <w:shd w:val="clear" w:color="auto" w:fill="auto"/>
            <w:noWrap/>
            <w:vAlign w:val="bottom"/>
            <w:hideMark/>
          </w:tcPr>
          <w:p w14:paraId="3F5E7019" w14:textId="77777777" w:rsidR="004C18AD" w:rsidRPr="00483BE4" w:rsidRDefault="004C18AD" w:rsidP="00042C67">
            <w:pPr>
              <w:overflowPunct/>
              <w:autoSpaceDE/>
              <w:autoSpaceDN/>
              <w:adjustRightInd/>
              <w:spacing w:before="0"/>
              <w:jc w:val="center"/>
              <w:textAlignment w:val="auto"/>
              <w:rPr>
                <w:rFonts w:cs="Calibri"/>
                <w:b/>
                <w:bCs/>
                <w:sz w:val="22"/>
                <w:szCs w:val="22"/>
                <w:lang w:eastAsia="zh-CN"/>
              </w:rPr>
            </w:pPr>
            <w:r w:rsidRPr="00483BE4">
              <w:rPr>
                <w:rFonts w:hint="eastAsia"/>
                <w:b/>
                <w:bCs/>
                <w:sz w:val="22"/>
                <w:szCs w:val="22"/>
                <w:lang w:eastAsia="zh-CN"/>
              </w:rPr>
              <w:t>年份</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14:paraId="24FF4D45" w14:textId="77777777" w:rsidR="004C18AD" w:rsidRPr="00483BE4" w:rsidRDefault="004C18AD" w:rsidP="00042C67">
            <w:pPr>
              <w:overflowPunct/>
              <w:autoSpaceDE/>
              <w:autoSpaceDN/>
              <w:adjustRightInd/>
              <w:spacing w:before="0"/>
              <w:jc w:val="center"/>
              <w:textAlignment w:val="auto"/>
              <w:rPr>
                <w:rFonts w:cs="Calibri"/>
                <w:b/>
                <w:bCs/>
                <w:sz w:val="22"/>
                <w:szCs w:val="22"/>
                <w:lang w:eastAsia="zh-CN"/>
              </w:rPr>
            </w:pPr>
            <w:r w:rsidRPr="00483BE4">
              <w:rPr>
                <w:rFonts w:hint="eastAsia"/>
                <w:b/>
                <w:bCs/>
                <w:sz w:val="22"/>
                <w:szCs w:val="22"/>
                <w:lang w:eastAsia="zh-CN"/>
              </w:rPr>
              <w:t>会费</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14:paraId="71440FE7" w14:textId="77777777" w:rsidR="004C18AD" w:rsidRPr="00483BE4" w:rsidRDefault="004C18AD" w:rsidP="00042C67">
            <w:pPr>
              <w:overflowPunct/>
              <w:autoSpaceDE/>
              <w:autoSpaceDN/>
              <w:adjustRightInd/>
              <w:spacing w:before="0"/>
              <w:jc w:val="center"/>
              <w:textAlignment w:val="auto"/>
              <w:rPr>
                <w:rFonts w:cs="Calibri"/>
                <w:b/>
                <w:bCs/>
                <w:sz w:val="22"/>
                <w:szCs w:val="22"/>
                <w:lang w:eastAsia="zh-CN"/>
              </w:rPr>
            </w:pPr>
            <w:r w:rsidRPr="00483BE4">
              <w:rPr>
                <w:rFonts w:hint="eastAsia"/>
                <w:b/>
                <w:bCs/>
                <w:sz w:val="22"/>
                <w:szCs w:val="22"/>
                <w:lang w:eastAsia="zh-CN"/>
              </w:rPr>
              <w:t>出版物</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14:paraId="5B2307D4" w14:textId="77777777" w:rsidR="004C18AD" w:rsidRPr="00483BE4" w:rsidRDefault="004C18AD" w:rsidP="00042C67">
            <w:pPr>
              <w:overflowPunct/>
              <w:autoSpaceDE/>
              <w:autoSpaceDN/>
              <w:adjustRightInd/>
              <w:spacing w:before="0"/>
              <w:jc w:val="center"/>
              <w:textAlignment w:val="auto"/>
              <w:rPr>
                <w:rFonts w:cs="Calibri"/>
                <w:b/>
                <w:bCs/>
                <w:sz w:val="22"/>
                <w:szCs w:val="22"/>
                <w:lang w:eastAsia="zh-CN"/>
              </w:rPr>
            </w:pPr>
            <w:r w:rsidRPr="00483BE4">
              <w:rPr>
                <w:rFonts w:hint="eastAsia"/>
                <w:b/>
                <w:bCs/>
                <w:sz w:val="22"/>
                <w:szCs w:val="22"/>
                <w:lang w:eastAsia="zh-CN"/>
              </w:rPr>
              <w:t>合计</w:t>
            </w:r>
          </w:p>
        </w:tc>
      </w:tr>
      <w:tr w:rsidR="004C18AD" w:rsidRPr="00483BE4" w14:paraId="4C1623CA" w14:textId="77777777" w:rsidTr="00042C67">
        <w:trPr>
          <w:trHeight w:val="270"/>
        </w:trPr>
        <w:tc>
          <w:tcPr>
            <w:tcW w:w="2113" w:type="pct"/>
            <w:tcBorders>
              <w:top w:val="nil"/>
              <w:left w:val="single" w:sz="4" w:space="0" w:color="auto"/>
              <w:bottom w:val="nil"/>
              <w:right w:val="single" w:sz="4" w:space="0" w:color="auto"/>
            </w:tcBorders>
            <w:shd w:val="clear" w:color="auto" w:fill="auto"/>
            <w:noWrap/>
            <w:vAlign w:val="bottom"/>
            <w:hideMark/>
          </w:tcPr>
          <w:p w14:paraId="3F0976A4" w14:textId="77777777" w:rsidR="004C18AD" w:rsidRPr="00483BE4" w:rsidRDefault="004C18AD" w:rsidP="00042C67">
            <w:pPr>
              <w:overflowPunct/>
              <w:autoSpaceDE/>
              <w:autoSpaceDN/>
              <w:adjustRightInd/>
              <w:spacing w:before="0"/>
              <w:textAlignment w:val="auto"/>
              <w:rPr>
                <w:rFonts w:cs="Calibri"/>
                <w:sz w:val="22"/>
                <w:szCs w:val="22"/>
                <w:lang w:eastAsia="zh-CN"/>
              </w:rPr>
            </w:pPr>
          </w:p>
        </w:tc>
        <w:tc>
          <w:tcPr>
            <w:tcW w:w="697" w:type="pct"/>
            <w:tcBorders>
              <w:top w:val="nil"/>
              <w:left w:val="nil"/>
              <w:bottom w:val="nil"/>
              <w:right w:val="single" w:sz="4" w:space="0" w:color="auto"/>
            </w:tcBorders>
            <w:shd w:val="clear" w:color="auto" w:fill="auto"/>
            <w:noWrap/>
            <w:vAlign w:val="bottom"/>
            <w:hideMark/>
          </w:tcPr>
          <w:p w14:paraId="691959F3" w14:textId="77777777" w:rsidR="004C18AD" w:rsidRPr="00483BE4" w:rsidRDefault="004C18AD" w:rsidP="00042C67">
            <w:pPr>
              <w:overflowPunct/>
              <w:autoSpaceDE/>
              <w:autoSpaceDN/>
              <w:adjustRightInd/>
              <w:spacing w:before="0"/>
              <w:jc w:val="center"/>
              <w:textAlignment w:val="auto"/>
              <w:rPr>
                <w:rFonts w:cs="Calibri"/>
                <w:sz w:val="22"/>
                <w:szCs w:val="22"/>
                <w:lang w:eastAsia="zh-CN"/>
              </w:rPr>
            </w:pPr>
          </w:p>
        </w:tc>
        <w:tc>
          <w:tcPr>
            <w:tcW w:w="799" w:type="pct"/>
            <w:tcBorders>
              <w:top w:val="nil"/>
              <w:left w:val="nil"/>
              <w:bottom w:val="nil"/>
              <w:right w:val="single" w:sz="4" w:space="0" w:color="auto"/>
            </w:tcBorders>
            <w:shd w:val="clear" w:color="auto" w:fill="auto"/>
            <w:noWrap/>
            <w:vAlign w:val="bottom"/>
            <w:hideMark/>
          </w:tcPr>
          <w:p w14:paraId="0C9CC075" w14:textId="77777777" w:rsidR="004C18AD" w:rsidRPr="00483BE4" w:rsidRDefault="004C18AD" w:rsidP="00042C67">
            <w:pPr>
              <w:overflowPunct/>
              <w:autoSpaceDE/>
              <w:autoSpaceDN/>
              <w:adjustRightInd/>
              <w:spacing w:before="0"/>
              <w:jc w:val="right"/>
              <w:textAlignment w:val="auto"/>
              <w:rPr>
                <w:rFonts w:cs="Calibri"/>
                <w:sz w:val="22"/>
                <w:szCs w:val="22"/>
                <w:lang w:eastAsia="zh-CN"/>
              </w:rPr>
            </w:pPr>
          </w:p>
        </w:tc>
        <w:tc>
          <w:tcPr>
            <w:tcW w:w="591" w:type="pct"/>
            <w:tcBorders>
              <w:top w:val="nil"/>
              <w:left w:val="nil"/>
              <w:bottom w:val="nil"/>
              <w:right w:val="single" w:sz="4" w:space="0" w:color="auto"/>
            </w:tcBorders>
            <w:shd w:val="clear" w:color="auto" w:fill="auto"/>
            <w:noWrap/>
            <w:vAlign w:val="bottom"/>
            <w:hideMark/>
          </w:tcPr>
          <w:p w14:paraId="749001AC" w14:textId="77777777" w:rsidR="004C18AD" w:rsidRPr="00483BE4" w:rsidRDefault="004C18AD" w:rsidP="00042C67">
            <w:pPr>
              <w:overflowPunct/>
              <w:autoSpaceDE/>
              <w:autoSpaceDN/>
              <w:adjustRightInd/>
              <w:spacing w:before="0"/>
              <w:jc w:val="right"/>
              <w:textAlignment w:val="auto"/>
              <w:rPr>
                <w:rFonts w:cs="Calibri"/>
                <w:sz w:val="22"/>
                <w:szCs w:val="22"/>
                <w:lang w:eastAsia="zh-CN"/>
              </w:rPr>
            </w:pPr>
          </w:p>
        </w:tc>
        <w:tc>
          <w:tcPr>
            <w:tcW w:w="799" w:type="pct"/>
            <w:tcBorders>
              <w:top w:val="nil"/>
              <w:left w:val="nil"/>
              <w:bottom w:val="nil"/>
              <w:right w:val="single" w:sz="4" w:space="0" w:color="auto"/>
            </w:tcBorders>
            <w:shd w:val="clear" w:color="auto" w:fill="auto"/>
            <w:noWrap/>
            <w:vAlign w:val="bottom"/>
            <w:hideMark/>
          </w:tcPr>
          <w:p w14:paraId="539D1407" w14:textId="77777777" w:rsidR="004C18AD" w:rsidRPr="00483BE4" w:rsidRDefault="004C18AD" w:rsidP="00042C67">
            <w:pPr>
              <w:overflowPunct/>
              <w:autoSpaceDE/>
              <w:autoSpaceDN/>
              <w:adjustRightInd/>
              <w:spacing w:before="0"/>
              <w:jc w:val="right"/>
              <w:textAlignment w:val="auto"/>
              <w:rPr>
                <w:rFonts w:cs="Calibri"/>
                <w:sz w:val="22"/>
                <w:szCs w:val="22"/>
                <w:lang w:eastAsia="zh-CN"/>
              </w:rPr>
            </w:pPr>
          </w:p>
        </w:tc>
      </w:tr>
      <w:tr w:rsidR="004C18AD" w:rsidRPr="00483BE4" w14:paraId="6A34BE39"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0867CEA8" w14:textId="77777777" w:rsidR="004C18AD" w:rsidRPr="00483BE4" w:rsidRDefault="004C18AD" w:rsidP="00042C67">
            <w:pPr>
              <w:overflowPunct/>
              <w:autoSpaceDE/>
              <w:autoSpaceDN/>
              <w:adjustRightInd/>
              <w:spacing w:before="0"/>
              <w:textAlignment w:val="auto"/>
              <w:rPr>
                <w:rFonts w:cs="Calibri"/>
                <w:sz w:val="22"/>
                <w:szCs w:val="22"/>
                <w:lang w:eastAsia="zh-CN"/>
              </w:rPr>
            </w:pPr>
            <w:r w:rsidRPr="00483BE4">
              <w:rPr>
                <w:rFonts w:cs="Calibri"/>
                <w:sz w:val="22"/>
                <w:szCs w:val="22"/>
                <w:lang w:val="en-US" w:eastAsia="zh-CN"/>
              </w:rPr>
              <w:t>安提瓜和巴布达</w:t>
            </w:r>
          </w:p>
        </w:tc>
        <w:tc>
          <w:tcPr>
            <w:tcW w:w="697" w:type="pct"/>
            <w:tcBorders>
              <w:top w:val="nil"/>
              <w:left w:val="nil"/>
              <w:bottom w:val="nil"/>
              <w:right w:val="single" w:sz="4" w:space="0" w:color="auto"/>
            </w:tcBorders>
            <w:shd w:val="clear" w:color="auto" w:fill="auto"/>
            <w:noWrap/>
            <w:vAlign w:val="bottom"/>
            <w:hideMark/>
          </w:tcPr>
          <w:p w14:paraId="116FC772" w14:textId="77777777" w:rsidR="004C18AD" w:rsidRPr="00483BE4" w:rsidRDefault="004C18AD" w:rsidP="00042C67">
            <w:pPr>
              <w:jc w:val="center"/>
              <w:rPr>
                <w:rFonts w:asciiTheme="minorHAnsi" w:hAnsiTheme="minorHAnsi" w:cstheme="minorHAnsi"/>
                <w:sz w:val="22"/>
                <w:szCs w:val="22"/>
                <w:lang w:eastAsia="zh-CN"/>
              </w:rPr>
            </w:pPr>
            <w:r w:rsidRPr="00483BE4">
              <w:rPr>
                <w:rFonts w:cs="Calibri"/>
                <w:sz w:val="22"/>
                <w:szCs w:val="22"/>
                <w:lang w:eastAsia="zh-CN"/>
              </w:rPr>
              <w:t>1987-2020</w:t>
            </w:r>
          </w:p>
        </w:tc>
        <w:tc>
          <w:tcPr>
            <w:tcW w:w="799" w:type="pct"/>
            <w:tcBorders>
              <w:top w:val="nil"/>
              <w:left w:val="nil"/>
              <w:bottom w:val="nil"/>
              <w:right w:val="single" w:sz="4" w:space="0" w:color="auto"/>
            </w:tcBorders>
            <w:shd w:val="clear" w:color="auto" w:fill="auto"/>
            <w:noWrap/>
            <w:vAlign w:val="bottom"/>
            <w:hideMark/>
          </w:tcPr>
          <w:p w14:paraId="08430DAD" w14:textId="77777777" w:rsidR="004C18AD" w:rsidRPr="00483BE4" w:rsidRDefault="004C18AD" w:rsidP="00042C67">
            <w:pPr>
              <w:jc w:val="right"/>
              <w:rPr>
                <w:rFonts w:asciiTheme="minorHAnsi" w:hAnsiTheme="minorHAnsi" w:cstheme="minorHAnsi"/>
                <w:sz w:val="22"/>
                <w:szCs w:val="22"/>
                <w:lang w:eastAsia="zh-CN"/>
              </w:rPr>
            </w:pPr>
            <w:r w:rsidRPr="00483BE4">
              <w:rPr>
                <w:rFonts w:cs="Calibri"/>
                <w:sz w:val="22"/>
                <w:szCs w:val="22"/>
                <w:lang w:eastAsia="zh-CN"/>
              </w:rPr>
              <w:t>2 334 028.65</w:t>
            </w:r>
          </w:p>
        </w:tc>
        <w:tc>
          <w:tcPr>
            <w:tcW w:w="591" w:type="pct"/>
            <w:tcBorders>
              <w:top w:val="nil"/>
              <w:left w:val="nil"/>
              <w:bottom w:val="nil"/>
              <w:right w:val="single" w:sz="4" w:space="0" w:color="auto"/>
            </w:tcBorders>
            <w:shd w:val="clear" w:color="auto" w:fill="auto"/>
            <w:noWrap/>
            <w:vAlign w:val="bottom"/>
            <w:hideMark/>
          </w:tcPr>
          <w:p w14:paraId="0F704E3D" w14:textId="77777777" w:rsidR="004C18AD" w:rsidRPr="00483BE4" w:rsidRDefault="004C18AD" w:rsidP="00042C67">
            <w:pPr>
              <w:jc w:val="right"/>
              <w:rPr>
                <w:rFonts w:asciiTheme="minorHAnsi" w:hAnsiTheme="minorHAnsi" w:cstheme="minorHAnsi"/>
                <w:sz w:val="22"/>
                <w:szCs w:val="22"/>
                <w:lang w:eastAsia="zh-CN"/>
              </w:rPr>
            </w:pPr>
            <w:r w:rsidRPr="00483BE4">
              <w:rPr>
                <w:rFonts w:cs="Calibri"/>
                <w:sz w:val="22"/>
                <w:szCs w:val="22"/>
                <w:lang w:eastAsia="zh-CN"/>
              </w:rPr>
              <w:t>46 146.35</w:t>
            </w:r>
          </w:p>
        </w:tc>
        <w:tc>
          <w:tcPr>
            <w:tcW w:w="799" w:type="pct"/>
            <w:tcBorders>
              <w:top w:val="nil"/>
              <w:left w:val="nil"/>
              <w:bottom w:val="nil"/>
              <w:right w:val="single" w:sz="4" w:space="0" w:color="auto"/>
            </w:tcBorders>
            <w:shd w:val="clear" w:color="auto" w:fill="auto"/>
            <w:noWrap/>
            <w:vAlign w:val="bottom"/>
            <w:hideMark/>
          </w:tcPr>
          <w:p w14:paraId="627629F6" w14:textId="77777777" w:rsidR="004C18AD" w:rsidRPr="00483BE4" w:rsidRDefault="004C18AD" w:rsidP="00042C67">
            <w:pPr>
              <w:jc w:val="right"/>
              <w:rPr>
                <w:rFonts w:asciiTheme="minorHAnsi" w:hAnsiTheme="minorHAnsi" w:cstheme="minorHAnsi"/>
                <w:sz w:val="22"/>
                <w:szCs w:val="22"/>
                <w:lang w:eastAsia="zh-CN"/>
              </w:rPr>
            </w:pPr>
            <w:r w:rsidRPr="00483BE4">
              <w:rPr>
                <w:rFonts w:cs="Calibri"/>
                <w:sz w:val="22"/>
                <w:szCs w:val="22"/>
                <w:lang w:eastAsia="zh-CN"/>
              </w:rPr>
              <w:t>2 380 175.00</w:t>
            </w:r>
          </w:p>
        </w:tc>
      </w:tr>
      <w:tr w:rsidR="004C18AD" w:rsidRPr="00483BE4" w14:paraId="74371F8B"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04727437" w14:textId="77777777" w:rsidR="004C18AD" w:rsidRPr="00483BE4" w:rsidRDefault="004C18AD" w:rsidP="00042C67">
            <w:pPr>
              <w:rPr>
                <w:rFonts w:asciiTheme="minorHAnsi" w:hAnsiTheme="minorHAnsi"/>
                <w:sz w:val="22"/>
                <w:szCs w:val="22"/>
                <w:lang w:eastAsia="zh-CN"/>
              </w:rPr>
            </w:pPr>
            <w:r w:rsidRPr="00483BE4">
              <w:rPr>
                <w:rFonts w:asciiTheme="minorHAnsi" w:hAnsiTheme="minorHAnsi" w:cstheme="minorHAnsi" w:hint="eastAsia"/>
                <w:sz w:val="22"/>
                <w:szCs w:val="22"/>
                <w:lang w:eastAsia="zh-CN"/>
              </w:rPr>
              <w:t>巴西</w:t>
            </w:r>
          </w:p>
        </w:tc>
        <w:tc>
          <w:tcPr>
            <w:tcW w:w="697" w:type="pct"/>
            <w:tcBorders>
              <w:top w:val="nil"/>
              <w:left w:val="nil"/>
              <w:bottom w:val="nil"/>
              <w:right w:val="single" w:sz="4" w:space="0" w:color="auto"/>
            </w:tcBorders>
            <w:shd w:val="clear" w:color="auto" w:fill="auto"/>
            <w:noWrap/>
            <w:vAlign w:val="bottom"/>
            <w:hideMark/>
          </w:tcPr>
          <w:p w14:paraId="35E11DD9"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zh-CN"/>
              </w:rPr>
              <w:t>20</w:t>
            </w:r>
            <w:r w:rsidRPr="00483BE4">
              <w:rPr>
                <w:rFonts w:cs="Calibri"/>
                <w:sz w:val="22"/>
                <w:szCs w:val="22"/>
                <w:lang w:eastAsia="en-GB"/>
              </w:rPr>
              <w:t>19-2020</w:t>
            </w:r>
          </w:p>
        </w:tc>
        <w:tc>
          <w:tcPr>
            <w:tcW w:w="799" w:type="pct"/>
            <w:tcBorders>
              <w:top w:val="nil"/>
              <w:left w:val="nil"/>
              <w:bottom w:val="nil"/>
              <w:right w:val="single" w:sz="4" w:space="0" w:color="auto"/>
            </w:tcBorders>
            <w:shd w:val="clear" w:color="auto" w:fill="auto"/>
            <w:noWrap/>
            <w:vAlign w:val="bottom"/>
            <w:hideMark/>
          </w:tcPr>
          <w:p w14:paraId="1842ECB2"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6 791.65</w:t>
            </w:r>
          </w:p>
        </w:tc>
        <w:tc>
          <w:tcPr>
            <w:tcW w:w="591" w:type="pct"/>
            <w:tcBorders>
              <w:top w:val="nil"/>
              <w:left w:val="nil"/>
              <w:bottom w:val="nil"/>
              <w:right w:val="single" w:sz="4" w:space="0" w:color="auto"/>
            </w:tcBorders>
            <w:shd w:val="clear" w:color="auto" w:fill="auto"/>
            <w:noWrap/>
            <w:vAlign w:val="bottom"/>
            <w:hideMark/>
          </w:tcPr>
          <w:p w14:paraId="5A7F1A7D"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59282598"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6 791.65</w:t>
            </w:r>
          </w:p>
        </w:tc>
      </w:tr>
      <w:tr w:rsidR="004C18AD" w:rsidRPr="00483BE4" w14:paraId="622BF575"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01C203D9"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hint="eastAsia"/>
                <w:sz w:val="22"/>
                <w:szCs w:val="22"/>
                <w:lang w:eastAsia="zh-CN"/>
              </w:rPr>
              <w:t>中非共和国</w:t>
            </w:r>
          </w:p>
        </w:tc>
        <w:tc>
          <w:tcPr>
            <w:tcW w:w="697" w:type="pct"/>
            <w:tcBorders>
              <w:top w:val="nil"/>
              <w:left w:val="nil"/>
              <w:bottom w:val="nil"/>
              <w:right w:val="single" w:sz="4" w:space="0" w:color="auto"/>
            </w:tcBorders>
            <w:shd w:val="clear" w:color="auto" w:fill="auto"/>
            <w:noWrap/>
            <w:vAlign w:val="bottom"/>
            <w:hideMark/>
          </w:tcPr>
          <w:p w14:paraId="0B1A4220"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2015-2020</w:t>
            </w:r>
          </w:p>
        </w:tc>
        <w:tc>
          <w:tcPr>
            <w:tcW w:w="799" w:type="pct"/>
            <w:tcBorders>
              <w:top w:val="nil"/>
              <w:left w:val="nil"/>
              <w:bottom w:val="nil"/>
              <w:right w:val="single" w:sz="4" w:space="0" w:color="auto"/>
            </w:tcBorders>
            <w:shd w:val="clear" w:color="auto" w:fill="auto"/>
            <w:noWrap/>
            <w:vAlign w:val="bottom"/>
            <w:hideMark/>
          </w:tcPr>
          <w:p w14:paraId="0967722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23 456.96</w:t>
            </w:r>
          </w:p>
        </w:tc>
        <w:tc>
          <w:tcPr>
            <w:tcW w:w="591" w:type="pct"/>
            <w:tcBorders>
              <w:top w:val="nil"/>
              <w:left w:val="nil"/>
              <w:bottom w:val="nil"/>
              <w:right w:val="single" w:sz="4" w:space="0" w:color="auto"/>
            </w:tcBorders>
            <w:shd w:val="clear" w:color="auto" w:fill="auto"/>
            <w:noWrap/>
            <w:vAlign w:val="bottom"/>
            <w:hideMark/>
          </w:tcPr>
          <w:p w14:paraId="60926F2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6CBE78C4"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23 456.96</w:t>
            </w:r>
          </w:p>
        </w:tc>
      </w:tr>
      <w:tr w:rsidR="004C18AD" w:rsidRPr="00483BE4" w14:paraId="2C7B3009"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4B7465E4"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乍得</w:t>
            </w:r>
          </w:p>
        </w:tc>
        <w:tc>
          <w:tcPr>
            <w:tcW w:w="697" w:type="pct"/>
            <w:tcBorders>
              <w:top w:val="nil"/>
              <w:left w:val="nil"/>
              <w:bottom w:val="nil"/>
              <w:right w:val="single" w:sz="4" w:space="0" w:color="auto"/>
            </w:tcBorders>
            <w:shd w:val="clear" w:color="auto" w:fill="auto"/>
            <w:noWrap/>
            <w:vAlign w:val="bottom"/>
            <w:hideMark/>
          </w:tcPr>
          <w:p w14:paraId="4B75B43E"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2017-2020</w:t>
            </w:r>
          </w:p>
        </w:tc>
        <w:tc>
          <w:tcPr>
            <w:tcW w:w="799" w:type="pct"/>
            <w:tcBorders>
              <w:top w:val="nil"/>
              <w:left w:val="nil"/>
              <w:bottom w:val="nil"/>
              <w:right w:val="single" w:sz="4" w:space="0" w:color="auto"/>
            </w:tcBorders>
            <w:shd w:val="clear" w:color="auto" w:fill="auto"/>
            <w:noWrap/>
            <w:vAlign w:val="bottom"/>
            <w:hideMark/>
          </w:tcPr>
          <w:p w14:paraId="7D90953F"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63 821.40</w:t>
            </w:r>
          </w:p>
        </w:tc>
        <w:tc>
          <w:tcPr>
            <w:tcW w:w="591" w:type="pct"/>
            <w:tcBorders>
              <w:top w:val="nil"/>
              <w:left w:val="nil"/>
              <w:bottom w:val="nil"/>
              <w:right w:val="single" w:sz="4" w:space="0" w:color="auto"/>
            </w:tcBorders>
            <w:shd w:val="clear" w:color="auto" w:fill="auto"/>
            <w:noWrap/>
            <w:vAlign w:val="bottom"/>
            <w:hideMark/>
          </w:tcPr>
          <w:p w14:paraId="2EBA9337"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46AE6C3D"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63 821.40</w:t>
            </w:r>
          </w:p>
        </w:tc>
      </w:tr>
      <w:tr w:rsidR="004C18AD" w:rsidRPr="00483BE4" w14:paraId="5333DDB4"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tcPr>
          <w:p w14:paraId="0CEE94E0"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hint="eastAsia"/>
                <w:sz w:val="22"/>
                <w:szCs w:val="22"/>
                <w:lang w:eastAsia="zh-CN"/>
              </w:rPr>
              <w:t>智利</w:t>
            </w:r>
          </w:p>
        </w:tc>
        <w:tc>
          <w:tcPr>
            <w:tcW w:w="697" w:type="pct"/>
            <w:tcBorders>
              <w:top w:val="nil"/>
              <w:left w:val="nil"/>
              <w:bottom w:val="nil"/>
              <w:right w:val="single" w:sz="4" w:space="0" w:color="auto"/>
            </w:tcBorders>
            <w:shd w:val="clear" w:color="auto" w:fill="auto"/>
            <w:noWrap/>
            <w:vAlign w:val="bottom"/>
          </w:tcPr>
          <w:p w14:paraId="37D2136B"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2020</w:t>
            </w:r>
          </w:p>
        </w:tc>
        <w:tc>
          <w:tcPr>
            <w:tcW w:w="799" w:type="pct"/>
            <w:tcBorders>
              <w:top w:val="nil"/>
              <w:left w:val="nil"/>
              <w:bottom w:val="nil"/>
              <w:right w:val="single" w:sz="4" w:space="0" w:color="auto"/>
            </w:tcBorders>
            <w:shd w:val="clear" w:color="auto" w:fill="auto"/>
            <w:noWrap/>
            <w:vAlign w:val="bottom"/>
          </w:tcPr>
          <w:p w14:paraId="113FB2A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339 608.10</w:t>
            </w:r>
          </w:p>
        </w:tc>
        <w:tc>
          <w:tcPr>
            <w:tcW w:w="591" w:type="pct"/>
            <w:tcBorders>
              <w:top w:val="nil"/>
              <w:left w:val="nil"/>
              <w:bottom w:val="nil"/>
              <w:right w:val="single" w:sz="4" w:space="0" w:color="auto"/>
            </w:tcBorders>
            <w:shd w:val="clear" w:color="auto" w:fill="auto"/>
            <w:noWrap/>
            <w:vAlign w:val="bottom"/>
          </w:tcPr>
          <w:p w14:paraId="53B4C49F"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tcPr>
          <w:p w14:paraId="58E7E472"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339 608.10</w:t>
            </w:r>
          </w:p>
        </w:tc>
      </w:tr>
      <w:tr w:rsidR="004C18AD" w:rsidRPr="00483BE4" w14:paraId="4EE7E01E"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tcPr>
          <w:p w14:paraId="07CD18A3" w14:textId="77777777" w:rsidR="004C18AD" w:rsidRPr="00483BE4" w:rsidRDefault="004C18AD" w:rsidP="00042C67">
            <w:pPr>
              <w:rPr>
                <w:rFonts w:asciiTheme="minorHAnsi" w:hAnsiTheme="minorHAnsi" w:cstheme="minorHAnsi"/>
                <w:sz w:val="22"/>
                <w:szCs w:val="22"/>
              </w:rPr>
            </w:pPr>
            <w:r w:rsidRPr="00483BE4">
              <w:rPr>
                <w:rFonts w:asciiTheme="minorHAnsi" w:hAnsiTheme="minorHAnsi" w:cstheme="minorHAnsi"/>
                <w:sz w:val="22"/>
                <w:szCs w:val="22"/>
              </w:rPr>
              <w:t>科摩罗</w:t>
            </w:r>
          </w:p>
        </w:tc>
        <w:tc>
          <w:tcPr>
            <w:tcW w:w="697" w:type="pct"/>
            <w:tcBorders>
              <w:top w:val="nil"/>
              <w:left w:val="nil"/>
              <w:bottom w:val="nil"/>
              <w:right w:val="single" w:sz="4" w:space="0" w:color="auto"/>
            </w:tcBorders>
            <w:shd w:val="clear" w:color="auto" w:fill="auto"/>
            <w:noWrap/>
            <w:vAlign w:val="bottom"/>
          </w:tcPr>
          <w:p w14:paraId="6236DB50"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2019-2020</w:t>
            </w:r>
          </w:p>
        </w:tc>
        <w:tc>
          <w:tcPr>
            <w:tcW w:w="799" w:type="pct"/>
            <w:tcBorders>
              <w:top w:val="nil"/>
              <w:left w:val="nil"/>
              <w:bottom w:val="nil"/>
              <w:right w:val="single" w:sz="4" w:space="0" w:color="auto"/>
            </w:tcBorders>
            <w:shd w:val="clear" w:color="auto" w:fill="auto"/>
            <w:noWrap/>
            <w:vAlign w:val="bottom"/>
          </w:tcPr>
          <w:p w14:paraId="6D886B72"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44 394.45</w:t>
            </w:r>
          </w:p>
        </w:tc>
        <w:tc>
          <w:tcPr>
            <w:tcW w:w="591" w:type="pct"/>
            <w:tcBorders>
              <w:top w:val="nil"/>
              <w:left w:val="nil"/>
              <w:bottom w:val="nil"/>
              <w:right w:val="single" w:sz="4" w:space="0" w:color="auto"/>
            </w:tcBorders>
            <w:shd w:val="clear" w:color="auto" w:fill="auto"/>
            <w:noWrap/>
            <w:vAlign w:val="bottom"/>
          </w:tcPr>
          <w:p w14:paraId="258ED706"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tcPr>
          <w:p w14:paraId="73DBB627"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44 394.45</w:t>
            </w:r>
          </w:p>
        </w:tc>
      </w:tr>
      <w:tr w:rsidR="004C18AD" w:rsidRPr="00483BE4" w14:paraId="51BBDF76"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308DB2BF"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hint="eastAsia"/>
                <w:sz w:val="22"/>
                <w:szCs w:val="22"/>
                <w:lang w:eastAsia="zh-CN"/>
              </w:rPr>
              <w:t>科特迪瓦</w:t>
            </w:r>
          </w:p>
        </w:tc>
        <w:tc>
          <w:tcPr>
            <w:tcW w:w="697" w:type="pct"/>
            <w:tcBorders>
              <w:top w:val="nil"/>
              <w:left w:val="nil"/>
              <w:bottom w:val="nil"/>
              <w:right w:val="single" w:sz="4" w:space="0" w:color="auto"/>
            </w:tcBorders>
            <w:shd w:val="clear" w:color="auto" w:fill="auto"/>
            <w:noWrap/>
            <w:vAlign w:val="bottom"/>
            <w:hideMark/>
          </w:tcPr>
          <w:p w14:paraId="470F06AE"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2020</w:t>
            </w:r>
          </w:p>
        </w:tc>
        <w:tc>
          <w:tcPr>
            <w:tcW w:w="799" w:type="pct"/>
            <w:tcBorders>
              <w:top w:val="nil"/>
              <w:left w:val="nil"/>
              <w:bottom w:val="nil"/>
              <w:right w:val="single" w:sz="4" w:space="0" w:color="auto"/>
            </w:tcBorders>
            <w:shd w:val="clear" w:color="auto" w:fill="auto"/>
            <w:noWrap/>
            <w:vAlign w:val="bottom"/>
            <w:hideMark/>
          </w:tcPr>
          <w:p w14:paraId="26800B04"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101 488.61</w:t>
            </w:r>
          </w:p>
        </w:tc>
        <w:tc>
          <w:tcPr>
            <w:tcW w:w="591" w:type="pct"/>
            <w:tcBorders>
              <w:top w:val="nil"/>
              <w:left w:val="nil"/>
              <w:bottom w:val="nil"/>
              <w:right w:val="single" w:sz="4" w:space="0" w:color="auto"/>
            </w:tcBorders>
            <w:shd w:val="clear" w:color="auto" w:fill="auto"/>
            <w:noWrap/>
            <w:vAlign w:val="bottom"/>
            <w:hideMark/>
          </w:tcPr>
          <w:p w14:paraId="19336F1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6538DE7A"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101 488.61</w:t>
            </w:r>
          </w:p>
        </w:tc>
      </w:tr>
      <w:tr w:rsidR="004C18AD" w:rsidRPr="00483BE4" w14:paraId="694D5449"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2F789659"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val="en-US" w:eastAsia="en-GB"/>
              </w:rPr>
              <w:t>刚果民主共和国</w:t>
            </w:r>
          </w:p>
        </w:tc>
        <w:tc>
          <w:tcPr>
            <w:tcW w:w="697" w:type="pct"/>
            <w:tcBorders>
              <w:top w:val="nil"/>
              <w:left w:val="nil"/>
              <w:bottom w:val="nil"/>
              <w:right w:val="single" w:sz="4" w:space="0" w:color="auto"/>
            </w:tcBorders>
            <w:shd w:val="clear" w:color="auto" w:fill="auto"/>
            <w:noWrap/>
            <w:vAlign w:val="bottom"/>
            <w:hideMark/>
          </w:tcPr>
          <w:p w14:paraId="402C9E10"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2017-2020</w:t>
            </w:r>
          </w:p>
        </w:tc>
        <w:tc>
          <w:tcPr>
            <w:tcW w:w="799" w:type="pct"/>
            <w:tcBorders>
              <w:top w:val="nil"/>
              <w:left w:val="nil"/>
              <w:bottom w:val="nil"/>
              <w:right w:val="single" w:sz="4" w:space="0" w:color="auto"/>
            </w:tcBorders>
            <w:shd w:val="clear" w:color="auto" w:fill="auto"/>
            <w:noWrap/>
            <w:vAlign w:val="bottom"/>
            <w:hideMark/>
          </w:tcPr>
          <w:p w14:paraId="0AB89B77"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71 084.25</w:t>
            </w:r>
          </w:p>
        </w:tc>
        <w:tc>
          <w:tcPr>
            <w:tcW w:w="591" w:type="pct"/>
            <w:tcBorders>
              <w:top w:val="nil"/>
              <w:left w:val="nil"/>
              <w:bottom w:val="nil"/>
              <w:right w:val="single" w:sz="4" w:space="0" w:color="auto"/>
            </w:tcBorders>
            <w:shd w:val="clear" w:color="auto" w:fill="auto"/>
            <w:noWrap/>
            <w:vAlign w:val="bottom"/>
            <w:hideMark/>
          </w:tcPr>
          <w:p w14:paraId="6730DAED"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584BA6DD"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71 084.25</w:t>
            </w:r>
          </w:p>
        </w:tc>
      </w:tr>
      <w:tr w:rsidR="004C18AD" w:rsidRPr="00483BE4" w14:paraId="78940852"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56A752DA"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多米尼克</w:t>
            </w:r>
          </w:p>
        </w:tc>
        <w:tc>
          <w:tcPr>
            <w:tcW w:w="697" w:type="pct"/>
            <w:tcBorders>
              <w:top w:val="nil"/>
              <w:left w:val="nil"/>
              <w:bottom w:val="nil"/>
              <w:right w:val="single" w:sz="4" w:space="0" w:color="auto"/>
            </w:tcBorders>
            <w:shd w:val="clear" w:color="auto" w:fill="auto"/>
            <w:noWrap/>
            <w:vAlign w:val="bottom"/>
            <w:hideMark/>
          </w:tcPr>
          <w:p w14:paraId="6C226955"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2001-2020</w:t>
            </w:r>
          </w:p>
        </w:tc>
        <w:tc>
          <w:tcPr>
            <w:tcW w:w="799" w:type="pct"/>
            <w:tcBorders>
              <w:top w:val="nil"/>
              <w:left w:val="nil"/>
              <w:bottom w:val="nil"/>
              <w:right w:val="single" w:sz="4" w:space="0" w:color="auto"/>
            </w:tcBorders>
            <w:shd w:val="clear" w:color="auto" w:fill="auto"/>
            <w:noWrap/>
            <w:vAlign w:val="bottom"/>
            <w:hideMark/>
          </w:tcPr>
          <w:p w14:paraId="7F2FD08B"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609 983.65</w:t>
            </w:r>
          </w:p>
        </w:tc>
        <w:tc>
          <w:tcPr>
            <w:tcW w:w="591" w:type="pct"/>
            <w:tcBorders>
              <w:top w:val="nil"/>
              <w:left w:val="nil"/>
              <w:bottom w:val="nil"/>
              <w:right w:val="single" w:sz="4" w:space="0" w:color="auto"/>
            </w:tcBorders>
            <w:shd w:val="clear" w:color="auto" w:fill="auto"/>
            <w:noWrap/>
            <w:vAlign w:val="bottom"/>
            <w:hideMark/>
          </w:tcPr>
          <w:p w14:paraId="68606FA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56A7A5E4"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609 983.65</w:t>
            </w:r>
          </w:p>
        </w:tc>
      </w:tr>
      <w:tr w:rsidR="004C18AD" w:rsidRPr="00483BE4" w14:paraId="4D8A93A5"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62103297"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val="en-US" w:eastAsia="en-GB"/>
              </w:rPr>
              <w:t>赤道几内亚</w:t>
            </w:r>
          </w:p>
        </w:tc>
        <w:tc>
          <w:tcPr>
            <w:tcW w:w="697" w:type="pct"/>
            <w:tcBorders>
              <w:top w:val="nil"/>
              <w:left w:val="nil"/>
              <w:bottom w:val="nil"/>
              <w:right w:val="single" w:sz="4" w:space="0" w:color="auto"/>
            </w:tcBorders>
            <w:shd w:val="clear" w:color="auto" w:fill="auto"/>
            <w:noWrap/>
            <w:vAlign w:val="bottom"/>
            <w:hideMark/>
          </w:tcPr>
          <w:p w14:paraId="2271ADFD"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2018-2020</w:t>
            </w:r>
          </w:p>
        </w:tc>
        <w:tc>
          <w:tcPr>
            <w:tcW w:w="799" w:type="pct"/>
            <w:tcBorders>
              <w:top w:val="nil"/>
              <w:left w:val="nil"/>
              <w:bottom w:val="nil"/>
              <w:right w:val="single" w:sz="4" w:space="0" w:color="auto"/>
            </w:tcBorders>
            <w:shd w:val="clear" w:color="auto" w:fill="auto"/>
            <w:noWrap/>
            <w:vAlign w:val="bottom"/>
            <w:hideMark/>
          </w:tcPr>
          <w:p w14:paraId="7E2C824C"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137 907.35</w:t>
            </w:r>
          </w:p>
        </w:tc>
        <w:tc>
          <w:tcPr>
            <w:tcW w:w="591" w:type="pct"/>
            <w:tcBorders>
              <w:top w:val="nil"/>
              <w:left w:val="nil"/>
              <w:bottom w:val="nil"/>
              <w:right w:val="single" w:sz="4" w:space="0" w:color="auto"/>
            </w:tcBorders>
            <w:shd w:val="clear" w:color="auto" w:fill="auto"/>
            <w:noWrap/>
            <w:vAlign w:val="bottom"/>
            <w:hideMark/>
          </w:tcPr>
          <w:p w14:paraId="0C8F9114"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7ABD5C4B"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137 907.35</w:t>
            </w:r>
          </w:p>
        </w:tc>
      </w:tr>
      <w:tr w:rsidR="004C18AD" w:rsidRPr="00483BE4" w14:paraId="2C339788"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584EF815"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hint="eastAsia"/>
                <w:sz w:val="22"/>
                <w:szCs w:val="22"/>
                <w:lang w:eastAsia="zh-CN"/>
              </w:rPr>
              <w:t>加蓬</w:t>
            </w:r>
          </w:p>
        </w:tc>
        <w:tc>
          <w:tcPr>
            <w:tcW w:w="697" w:type="pct"/>
            <w:tcBorders>
              <w:top w:val="nil"/>
              <w:left w:val="nil"/>
              <w:bottom w:val="nil"/>
              <w:right w:val="single" w:sz="4" w:space="0" w:color="auto"/>
            </w:tcBorders>
            <w:shd w:val="clear" w:color="auto" w:fill="auto"/>
            <w:noWrap/>
            <w:vAlign w:val="bottom"/>
            <w:hideMark/>
          </w:tcPr>
          <w:p w14:paraId="689020FB"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2020</w:t>
            </w:r>
          </w:p>
        </w:tc>
        <w:tc>
          <w:tcPr>
            <w:tcW w:w="799" w:type="pct"/>
            <w:tcBorders>
              <w:top w:val="nil"/>
              <w:left w:val="nil"/>
              <w:bottom w:val="nil"/>
              <w:right w:val="single" w:sz="4" w:space="0" w:color="auto"/>
            </w:tcBorders>
            <w:shd w:val="clear" w:color="auto" w:fill="auto"/>
            <w:noWrap/>
            <w:vAlign w:val="bottom"/>
            <w:hideMark/>
          </w:tcPr>
          <w:p w14:paraId="7C4E37D6"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74 945.09</w:t>
            </w:r>
          </w:p>
        </w:tc>
        <w:tc>
          <w:tcPr>
            <w:tcW w:w="591" w:type="pct"/>
            <w:tcBorders>
              <w:top w:val="nil"/>
              <w:left w:val="nil"/>
              <w:bottom w:val="nil"/>
              <w:right w:val="single" w:sz="4" w:space="0" w:color="auto"/>
            </w:tcBorders>
            <w:shd w:val="clear" w:color="auto" w:fill="auto"/>
            <w:noWrap/>
            <w:vAlign w:val="bottom"/>
            <w:hideMark/>
          </w:tcPr>
          <w:p w14:paraId="5FC11A35"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0E173AB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74 945.09</w:t>
            </w:r>
          </w:p>
        </w:tc>
      </w:tr>
      <w:tr w:rsidR="004C18AD" w:rsidRPr="00483BE4" w14:paraId="2FBCFAD6"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tcPr>
          <w:p w14:paraId="52490037" w14:textId="77777777" w:rsidR="004C18AD" w:rsidRPr="00483BE4" w:rsidRDefault="004C18AD" w:rsidP="00042C67">
            <w:pPr>
              <w:rPr>
                <w:rFonts w:asciiTheme="minorHAnsi" w:hAnsiTheme="minorHAnsi" w:cstheme="minorHAnsi"/>
                <w:sz w:val="22"/>
                <w:szCs w:val="22"/>
              </w:rPr>
            </w:pPr>
            <w:r w:rsidRPr="00483BE4">
              <w:rPr>
                <w:rFonts w:asciiTheme="minorHAnsi" w:hAnsiTheme="minorHAnsi" w:cstheme="minorHAnsi"/>
                <w:sz w:val="22"/>
                <w:szCs w:val="22"/>
              </w:rPr>
              <w:t>冈比亚</w:t>
            </w:r>
          </w:p>
        </w:tc>
        <w:tc>
          <w:tcPr>
            <w:tcW w:w="697" w:type="pct"/>
            <w:tcBorders>
              <w:top w:val="nil"/>
              <w:left w:val="nil"/>
              <w:bottom w:val="nil"/>
              <w:right w:val="single" w:sz="4" w:space="0" w:color="auto"/>
            </w:tcBorders>
            <w:shd w:val="clear" w:color="auto" w:fill="auto"/>
            <w:noWrap/>
            <w:vAlign w:val="bottom"/>
          </w:tcPr>
          <w:p w14:paraId="559A2694"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2019-2020</w:t>
            </w:r>
          </w:p>
        </w:tc>
        <w:tc>
          <w:tcPr>
            <w:tcW w:w="799" w:type="pct"/>
            <w:tcBorders>
              <w:top w:val="nil"/>
              <w:left w:val="nil"/>
              <w:bottom w:val="nil"/>
              <w:right w:val="single" w:sz="4" w:space="0" w:color="auto"/>
            </w:tcBorders>
            <w:shd w:val="clear" w:color="auto" w:fill="auto"/>
            <w:noWrap/>
            <w:vAlign w:val="bottom"/>
          </w:tcPr>
          <w:p w14:paraId="15C6EB7D"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88 789.05</w:t>
            </w:r>
          </w:p>
        </w:tc>
        <w:tc>
          <w:tcPr>
            <w:tcW w:w="591" w:type="pct"/>
            <w:tcBorders>
              <w:top w:val="nil"/>
              <w:left w:val="nil"/>
              <w:bottom w:val="nil"/>
              <w:right w:val="single" w:sz="4" w:space="0" w:color="auto"/>
            </w:tcBorders>
            <w:shd w:val="clear" w:color="auto" w:fill="auto"/>
            <w:noWrap/>
            <w:vAlign w:val="bottom"/>
          </w:tcPr>
          <w:p w14:paraId="0B44C739"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tcPr>
          <w:p w14:paraId="689B7AA5"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88 789.05</w:t>
            </w:r>
          </w:p>
        </w:tc>
      </w:tr>
      <w:tr w:rsidR="004C18AD" w:rsidRPr="00483BE4" w14:paraId="313F8496"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7FEFB6FC"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几内亚</w:t>
            </w:r>
          </w:p>
        </w:tc>
        <w:tc>
          <w:tcPr>
            <w:tcW w:w="697" w:type="pct"/>
            <w:tcBorders>
              <w:top w:val="nil"/>
              <w:left w:val="nil"/>
              <w:bottom w:val="nil"/>
              <w:right w:val="single" w:sz="4" w:space="0" w:color="auto"/>
            </w:tcBorders>
            <w:shd w:val="clear" w:color="auto" w:fill="auto"/>
            <w:noWrap/>
            <w:vAlign w:val="bottom"/>
            <w:hideMark/>
          </w:tcPr>
          <w:p w14:paraId="2A4BDA2F"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2014-2020</w:t>
            </w:r>
          </w:p>
        </w:tc>
        <w:tc>
          <w:tcPr>
            <w:tcW w:w="799" w:type="pct"/>
            <w:tcBorders>
              <w:top w:val="nil"/>
              <w:left w:val="nil"/>
              <w:bottom w:val="nil"/>
              <w:right w:val="single" w:sz="4" w:space="0" w:color="auto"/>
            </w:tcBorders>
            <w:shd w:val="clear" w:color="auto" w:fill="auto"/>
            <w:noWrap/>
            <w:vAlign w:val="bottom"/>
            <w:hideMark/>
          </w:tcPr>
          <w:p w14:paraId="3AFE01A2"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329 049.47</w:t>
            </w:r>
          </w:p>
        </w:tc>
        <w:tc>
          <w:tcPr>
            <w:tcW w:w="591" w:type="pct"/>
            <w:tcBorders>
              <w:top w:val="nil"/>
              <w:left w:val="nil"/>
              <w:bottom w:val="nil"/>
              <w:right w:val="single" w:sz="4" w:space="0" w:color="auto"/>
            </w:tcBorders>
            <w:shd w:val="clear" w:color="auto" w:fill="auto"/>
            <w:noWrap/>
            <w:vAlign w:val="bottom"/>
            <w:hideMark/>
          </w:tcPr>
          <w:p w14:paraId="3D918569"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90.20</w:t>
            </w:r>
          </w:p>
        </w:tc>
        <w:tc>
          <w:tcPr>
            <w:tcW w:w="799" w:type="pct"/>
            <w:tcBorders>
              <w:top w:val="nil"/>
              <w:left w:val="nil"/>
              <w:bottom w:val="nil"/>
              <w:right w:val="single" w:sz="4" w:space="0" w:color="auto"/>
            </w:tcBorders>
            <w:shd w:val="clear" w:color="auto" w:fill="auto"/>
            <w:noWrap/>
            <w:vAlign w:val="bottom"/>
            <w:hideMark/>
          </w:tcPr>
          <w:p w14:paraId="12B7D3A8"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329 139.67</w:t>
            </w:r>
          </w:p>
        </w:tc>
      </w:tr>
      <w:tr w:rsidR="004C18AD" w:rsidRPr="00483BE4" w14:paraId="5E1A3E52"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tcPr>
          <w:p w14:paraId="6CCE3CF1"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hint="eastAsia"/>
                <w:sz w:val="22"/>
                <w:szCs w:val="22"/>
                <w:lang w:eastAsia="zh-CN"/>
              </w:rPr>
              <w:t>几内亚比绍</w:t>
            </w:r>
          </w:p>
        </w:tc>
        <w:tc>
          <w:tcPr>
            <w:tcW w:w="697" w:type="pct"/>
            <w:tcBorders>
              <w:top w:val="nil"/>
              <w:left w:val="nil"/>
              <w:bottom w:val="nil"/>
              <w:right w:val="single" w:sz="4" w:space="0" w:color="auto"/>
            </w:tcBorders>
            <w:shd w:val="clear" w:color="auto" w:fill="auto"/>
            <w:noWrap/>
            <w:vAlign w:val="bottom"/>
          </w:tcPr>
          <w:p w14:paraId="3F04CA35"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2020</w:t>
            </w:r>
          </w:p>
        </w:tc>
        <w:tc>
          <w:tcPr>
            <w:tcW w:w="799" w:type="pct"/>
            <w:tcBorders>
              <w:top w:val="nil"/>
              <w:left w:val="nil"/>
              <w:bottom w:val="nil"/>
              <w:right w:val="single" w:sz="4" w:space="0" w:color="auto"/>
            </w:tcBorders>
            <w:shd w:val="clear" w:color="auto" w:fill="auto"/>
            <w:noWrap/>
            <w:vAlign w:val="bottom"/>
          </w:tcPr>
          <w:p w14:paraId="35CE3962"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21 225.50</w:t>
            </w:r>
          </w:p>
        </w:tc>
        <w:tc>
          <w:tcPr>
            <w:tcW w:w="591" w:type="pct"/>
            <w:tcBorders>
              <w:top w:val="nil"/>
              <w:left w:val="nil"/>
              <w:bottom w:val="nil"/>
              <w:right w:val="single" w:sz="4" w:space="0" w:color="auto"/>
            </w:tcBorders>
            <w:shd w:val="clear" w:color="auto" w:fill="auto"/>
            <w:noWrap/>
            <w:vAlign w:val="bottom"/>
          </w:tcPr>
          <w:p w14:paraId="437C2E2E"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tcPr>
          <w:p w14:paraId="0E0482CA"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21 225.50</w:t>
            </w:r>
          </w:p>
        </w:tc>
      </w:tr>
      <w:tr w:rsidR="004C18AD" w:rsidRPr="00483BE4" w14:paraId="7167975C"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tcPr>
          <w:p w14:paraId="2FD5BFCF"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hint="eastAsia"/>
                <w:sz w:val="22"/>
                <w:szCs w:val="22"/>
                <w:lang w:eastAsia="zh-CN"/>
              </w:rPr>
              <w:t>圭亚那</w:t>
            </w:r>
          </w:p>
        </w:tc>
        <w:tc>
          <w:tcPr>
            <w:tcW w:w="697" w:type="pct"/>
            <w:tcBorders>
              <w:top w:val="nil"/>
              <w:left w:val="nil"/>
              <w:bottom w:val="nil"/>
              <w:right w:val="single" w:sz="4" w:space="0" w:color="auto"/>
            </w:tcBorders>
            <w:shd w:val="clear" w:color="auto" w:fill="auto"/>
            <w:noWrap/>
            <w:vAlign w:val="bottom"/>
          </w:tcPr>
          <w:p w14:paraId="362C30E1"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2020</w:t>
            </w:r>
          </w:p>
        </w:tc>
        <w:tc>
          <w:tcPr>
            <w:tcW w:w="799" w:type="pct"/>
            <w:tcBorders>
              <w:top w:val="nil"/>
              <w:left w:val="nil"/>
              <w:bottom w:val="nil"/>
              <w:right w:val="single" w:sz="4" w:space="0" w:color="auto"/>
            </w:tcBorders>
            <w:shd w:val="clear" w:color="auto" w:fill="auto"/>
            <w:noWrap/>
            <w:vAlign w:val="bottom"/>
          </w:tcPr>
          <w:p w14:paraId="585C08EB"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84 902.05</w:t>
            </w:r>
          </w:p>
        </w:tc>
        <w:tc>
          <w:tcPr>
            <w:tcW w:w="591" w:type="pct"/>
            <w:tcBorders>
              <w:top w:val="nil"/>
              <w:left w:val="nil"/>
              <w:bottom w:val="nil"/>
              <w:right w:val="single" w:sz="4" w:space="0" w:color="auto"/>
            </w:tcBorders>
            <w:shd w:val="clear" w:color="auto" w:fill="auto"/>
            <w:noWrap/>
            <w:vAlign w:val="bottom"/>
          </w:tcPr>
          <w:p w14:paraId="5DCF0FC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85.00</w:t>
            </w:r>
          </w:p>
        </w:tc>
        <w:tc>
          <w:tcPr>
            <w:tcW w:w="799" w:type="pct"/>
            <w:tcBorders>
              <w:top w:val="nil"/>
              <w:left w:val="nil"/>
              <w:bottom w:val="nil"/>
              <w:right w:val="single" w:sz="4" w:space="0" w:color="auto"/>
            </w:tcBorders>
            <w:shd w:val="clear" w:color="auto" w:fill="auto"/>
            <w:noWrap/>
            <w:vAlign w:val="bottom"/>
          </w:tcPr>
          <w:p w14:paraId="6B9C975C"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84 987.05</w:t>
            </w:r>
          </w:p>
        </w:tc>
      </w:tr>
      <w:tr w:rsidR="004C18AD" w:rsidRPr="00483BE4" w14:paraId="79E89DB6"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tcPr>
          <w:p w14:paraId="2E2696D7"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洪都拉斯</w:t>
            </w:r>
          </w:p>
        </w:tc>
        <w:tc>
          <w:tcPr>
            <w:tcW w:w="697" w:type="pct"/>
            <w:tcBorders>
              <w:top w:val="nil"/>
              <w:left w:val="nil"/>
              <w:bottom w:val="nil"/>
              <w:right w:val="single" w:sz="4" w:space="0" w:color="auto"/>
            </w:tcBorders>
            <w:shd w:val="clear" w:color="auto" w:fill="auto"/>
            <w:noWrap/>
            <w:vAlign w:val="bottom"/>
          </w:tcPr>
          <w:p w14:paraId="197577AC"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2019-2020</w:t>
            </w:r>
          </w:p>
        </w:tc>
        <w:tc>
          <w:tcPr>
            <w:tcW w:w="799" w:type="pct"/>
            <w:tcBorders>
              <w:top w:val="nil"/>
              <w:left w:val="nil"/>
              <w:bottom w:val="nil"/>
              <w:right w:val="single" w:sz="4" w:space="0" w:color="auto"/>
            </w:tcBorders>
            <w:shd w:val="clear" w:color="auto" w:fill="auto"/>
            <w:noWrap/>
            <w:vAlign w:val="bottom"/>
          </w:tcPr>
          <w:p w14:paraId="4A7CB27D"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8 110.76</w:t>
            </w:r>
          </w:p>
        </w:tc>
        <w:tc>
          <w:tcPr>
            <w:tcW w:w="591" w:type="pct"/>
            <w:tcBorders>
              <w:top w:val="nil"/>
              <w:left w:val="nil"/>
              <w:bottom w:val="nil"/>
              <w:right w:val="single" w:sz="4" w:space="0" w:color="auto"/>
            </w:tcBorders>
            <w:shd w:val="clear" w:color="auto" w:fill="auto"/>
            <w:noWrap/>
            <w:vAlign w:val="bottom"/>
          </w:tcPr>
          <w:p w14:paraId="2CD8374F"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tcPr>
          <w:p w14:paraId="7DCE99A0"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8 110.76</w:t>
            </w:r>
          </w:p>
        </w:tc>
      </w:tr>
      <w:tr w:rsidR="004C18AD" w:rsidRPr="00483BE4" w14:paraId="1084CF96"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6BF7426E"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伊朗</w:t>
            </w:r>
          </w:p>
        </w:tc>
        <w:tc>
          <w:tcPr>
            <w:tcW w:w="697" w:type="pct"/>
            <w:tcBorders>
              <w:top w:val="nil"/>
              <w:left w:val="nil"/>
              <w:bottom w:val="nil"/>
              <w:right w:val="single" w:sz="4" w:space="0" w:color="auto"/>
            </w:tcBorders>
            <w:shd w:val="clear" w:color="auto" w:fill="auto"/>
            <w:noWrap/>
            <w:vAlign w:val="bottom"/>
            <w:hideMark/>
          </w:tcPr>
          <w:p w14:paraId="07BC64C9"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2020</w:t>
            </w:r>
          </w:p>
        </w:tc>
        <w:tc>
          <w:tcPr>
            <w:tcW w:w="799" w:type="pct"/>
            <w:tcBorders>
              <w:top w:val="nil"/>
              <w:left w:val="nil"/>
              <w:bottom w:val="nil"/>
              <w:right w:val="single" w:sz="4" w:space="0" w:color="auto"/>
            </w:tcBorders>
            <w:shd w:val="clear" w:color="auto" w:fill="auto"/>
            <w:noWrap/>
            <w:vAlign w:val="bottom"/>
            <w:hideMark/>
          </w:tcPr>
          <w:p w14:paraId="61731902"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25 663.39</w:t>
            </w:r>
          </w:p>
        </w:tc>
        <w:tc>
          <w:tcPr>
            <w:tcW w:w="591" w:type="pct"/>
            <w:tcBorders>
              <w:top w:val="nil"/>
              <w:left w:val="nil"/>
              <w:bottom w:val="nil"/>
              <w:right w:val="single" w:sz="4" w:space="0" w:color="auto"/>
            </w:tcBorders>
            <w:shd w:val="clear" w:color="auto" w:fill="auto"/>
            <w:noWrap/>
            <w:vAlign w:val="bottom"/>
            <w:hideMark/>
          </w:tcPr>
          <w:p w14:paraId="17933F17"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06E81546"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25 663.39</w:t>
            </w:r>
          </w:p>
        </w:tc>
      </w:tr>
      <w:tr w:rsidR="004C18AD" w:rsidRPr="00483BE4" w14:paraId="395CC31D"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tcPr>
          <w:p w14:paraId="521C66F6"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hint="eastAsia"/>
                <w:sz w:val="22"/>
                <w:szCs w:val="22"/>
                <w:lang w:eastAsia="zh-CN"/>
              </w:rPr>
              <w:t>伊拉克</w:t>
            </w:r>
          </w:p>
        </w:tc>
        <w:tc>
          <w:tcPr>
            <w:tcW w:w="697" w:type="pct"/>
            <w:tcBorders>
              <w:top w:val="nil"/>
              <w:left w:val="nil"/>
              <w:bottom w:val="nil"/>
              <w:right w:val="single" w:sz="4" w:space="0" w:color="auto"/>
            </w:tcBorders>
            <w:shd w:val="clear" w:color="auto" w:fill="auto"/>
            <w:noWrap/>
            <w:vAlign w:val="bottom"/>
          </w:tcPr>
          <w:p w14:paraId="26A6D16C"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2018-2020</w:t>
            </w:r>
          </w:p>
        </w:tc>
        <w:tc>
          <w:tcPr>
            <w:tcW w:w="799" w:type="pct"/>
            <w:tcBorders>
              <w:top w:val="nil"/>
              <w:left w:val="nil"/>
              <w:bottom w:val="nil"/>
              <w:right w:val="single" w:sz="4" w:space="0" w:color="auto"/>
            </w:tcBorders>
            <w:shd w:val="clear" w:color="auto" w:fill="auto"/>
            <w:noWrap/>
            <w:vAlign w:val="bottom"/>
          </w:tcPr>
          <w:p w14:paraId="68BCDED8"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255 904.20</w:t>
            </w:r>
          </w:p>
        </w:tc>
        <w:tc>
          <w:tcPr>
            <w:tcW w:w="591" w:type="pct"/>
            <w:tcBorders>
              <w:top w:val="nil"/>
              <w:left w:val="nil"/>
              <w:bottom w:val="nil"/>
              <w:right w:val="single" w:sz="4" w:space="0" w:color="auto"/>
            </w:tcBorders>
            <w:shd w:val="clear" w:color="auto" w:fill="auto"/>
            <w:noWrap/>
            <w:vAlign w:val="bottom"/>
          </w:tcPr>
          <w:p w14:paraId="30BDF0AB"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tcPr>
          <w:p w14:paraId="01C68EB1"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255 904.20</w:t>
            </w:r>
          </w:p>
        </w:tc>
      </w:tr>
      <w:tr w:rsidR="004C18AD" w:rsidRPr="00483BE4" w14:paraId="68FF3B12"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36B60CD3"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利比亚</w:t>
            </w:r>
          </w:p>
        </w:tc>
        <w:tc>
          <w:tcPr>
            <w:tcW w:w="697" w:type="pct"/>
            <w:tcBorders>
              <w:top w:val="nil"/>
              <w:left w:val="nil"/>
              <w:bottom w:val="nil"/>
              <w:right w:val="single" w:sz="4" w:space="0" w:color="auto"/>
            </w:tcBorders>
            <w:shd w:val="clear" w:color="auto" w:fill="auto"/>
            <w:noWrap/>
            <w:vAlign w:val="bottom"/>
            <w:hideMark/>
          </w:tcPr>
          <w:p w14:paraId="0116CA9B"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2014-2020</w:t>
            </w:r>
          </w:p>
        </w:tc>
        <w:tc>
          <w:tcPr>
            <w:tcW w:w="799" w:type="pct"/>
            <w:tcBorders>
              <w:top w:val="nil"/>
              <w:left w:val="nil"/>
              <w:bottom w:val="nil"/>
              <w:right w:val="single" w:sz="4" w:space="0" w:color="auto"/>
            </w:tcBorders>
            <w:shd w:val="clear" w:color="auto" w:fill="auto"/>
            <w:noWrap/>
            <w:vAlign w:val="bottom"/>
            <w:hideMark/>
          </w:tcPr>
          <w:p w14:paraId="62674884"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2 553 422.50</w:t>
            </w:r>
          </w:p>
        </w:tc>
        <w:tc>
          <w:tcPr>
            <w:tcW w:w="591" w:type="pct"/>
            <w:tcBorders>
              <w:top w:val="nil"/>
              <w:left w:val="nil"/>
              <w:bottom w:val="nil"/>
              <w:right w:val="single" w:sz="4" w:space="0" w:color="auto"/>
            </w:tcBorders>
            <w:shd w:val="clear" w:color="auto" w:fill="auto"/>
            <w:noWrap/>
            <w:vAlign w:val="bottom"/>
            <w:hideMark/>
          </w:tcPr>
          <w:p w14:paraId="2F55D03D"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0A2282C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2 553 422.50</w:t>
            </w:r>
          </w:p>
        </w:tc>
      </w:tr>
      <w:tr w:rsidR="004C18AD" w:rsidRPr="00483BE4" w14:paraId="5D6880F0"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2289FF47" w14:textId="77777777" w:rsidR="004C18AD" w:rsidRPr="00483BE4" w:rsidRDefault="004C18AD" w:rsidP="00042C67">
            <w:pPr>
              <w:overflowPunct/>
              <w:autoSpaceDE/>
              <w:autoSpaceDN/>
              <w:adjustRightInd/>
              <w:spacing w:before="0"/>
              <w:textAlignment w:val="auto"/>
              <w:rPr>
                <w:rFonts w:cs="Calibri"/>
                <w:sz w:val="22"/>
                <w:szCs w:val="22"/>
                <w:lang w:val="en-US" w:eastAsia="en-GB"/>
              </w:rPr>
            </w:pPr>
            <w:r w:rsidRPr="00483BE4">
              <w:rPr>
                <w:rFonts w:cs="Calibri"/>
                <w:sz w:val="22"/>
                <w:szCs w:val="22"/>
                <w:lang w:val="en-US" w:eastAsia="en-GB"/>
              </w:rPr>
              <w:t>马绍尔群岛</w:t>
            </w:r>
          </w:p>
        </w:tc>
        <w:tc>
          <w:tcPr>
            <w:tcW w:w="697" w:type="pct"/>
            <w:tcBorders>
              <w:top w:val="nil"/>
              <w:left w:val="nil"/>
              <w:bottom w:val="nil"/>
              <w:right w:val="single" w:sz="4" w:space="0" w:color="auto"/>
            </w:tcBorders>
            <w:shd w:val="clear" w:color="auto" w:fill="auto"/>
            <w:noWrap/>
            <w:vAlign w:val="bottom"/>
            <w:hideMark/>
          </w:tcPr>
          <w:p w14:paraId="23130330"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2017-2020</w:t>
            </w:r>
          </w:p>
        </w:tc>
        <w:tc>
          <w:tcPr>
            <w:tcW w:w="799" w:type="pct"/>
            <w:tcBorders>
              <w:top w:val="nil"/>
              <w:left w:val="nil"/>
              <w:bottom w:val="nil"/>
              <w:right w:val="single" w:sz="4" w:space="0" w:color="auto"/>
            </w:tcBorders>
            <w:shd w:val="clear" w:color="auto" w:fill="auto"/>
            <w:noWrap/>
            <w:vAlign w:val="bottom"/>
            <w:hideMark/>
          </w:tcPr>
          <w:p w14:paraId="2B6E0B5A"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55 674.03</w:t>
            </w:r>
          </w:p>
        </w:tc>
        <w:tc>
          <w:tcPr>
            <w:tcW w:w="591" w:type="pct"/>
            <w:tcBorders>
              <w:top w:val="nil"/>
              <w:left w:val="nil"/>
              <w:bottom w:val="nil"/>
              <w:right w:val="single" w:sz="4" w:space="0" w:color="auto"/>
            </w:tcBorders>
            <w:shd w:val="clear" w:color="auto" w:fill="auto"/>
            <w:noWrap/>
            <w:vAlign w:val="bottom"/>
            <w:hideMark/>
          </w:tcPr>
          <w:p w14:paraId="37B6370A"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646A4F1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55 674.03</w:t>
            </w:r>
          </w:p>
        </w:tc>
      </w:tr>
      <w:tr w:rsidR="004C18AD" w:rsidRPr="00483BE4" w14:paraId="67D1CFDE"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0D276CC1"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瑙鲁</w:t>
            </w:r>
          </w:p>
        </w:tc>
        <w:tc>
          <w:tcPr>
            <w:tcW w:w="697" w:type="pct"/>
            <w:tcBorders>
              <w:top w:val="nil"/>
              <w:left w:val="nil"/>
              <w:bottom w:val="nil"/>
              <w:right w:val="single" w:sz="4" w:space="0" w:color="auto"/>
            </w:tcBorders>
            <w:shd w:val="clear" w:color="auto" w:fill="auto"/>
            <w:noWrap/>
            <w:vAlign w:val="bottom"/>
            <w:hideMark/>
          </w:tcPr>
          <w:p w14:paraId="3C83DB5D"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1991-2020</w:t>
            </w:r>
          </w:p>
        </w:tc>
        <w:tc>
          <w:tcPr>
            <w:tcW w:w="799" w:type="pct"/>
            <w:tcBorders>
              <w:top w:val="nil"/>
              <w:left w:val="nil"/>
              <w:bottom w:val="nil"/>
              <w:right w:val="single" w:sz="4" w:space="0" w:color="auto"/>
            </w:tcBorders>
            <w:shd w:val="clear" w:color="auto" w:fill="auto"/>
            <w:noWrap/>
            <w:vAlign w:val="bottom"/>
            <w:hideMark/>
          </w:tcPr>
          <w:p w14:paraId="298361EB"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1 944 365.50</w:t>
            </w:r>
          </w:p>
        </w:tc>
        <w:tc>
          <w:tcPr>
            <w:tcW w:w="591" w:type="pct"/>
            <w:tcBorders>
              <w:top w:val="nil"/>
              <w:left w:val="nil"/>
              <w:bottom w:val="nil"/>
              <w:right w:val="single" w:sz="4" w:space="0" w:color="auto"/>
            </w:tcBorders>
            <w:shd w:val="clear" w:color="auto" w:fill="auto"/>
            <w:noWrap/>
            <w:vAlign w:val="bottom"/>
            <w:hideMark/>
          </w:tcPr>
          <w:p w14:paraId="305033C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0FDE8CF2"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1 944 365.50</w:t>
            </w:r>
          </w:p>
        </w:tc>
      </w:tr>
      <w:tr w:rsidR="004C18AD" w:rsidRPr="00483BE4" w14:paraId="3BCF4628"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77205B13"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尼泊尔</w:t>
            </w:r>
          </w:p>
        </w:tc>
        <w:tc>
          <w:tcPr>
            <w:tcW w:w="697" w:type="pct"/>
            <w:tcBorders>
              <w:top w:val="nil"/>
              <w:left w:val="nil"/>
              <w:bottom w:val="nil"/>
              <w:right w:val="single" w:sz="4" w:space="0" w:color="auto"/>
            </w:tcBorders>
            <w:shd w:val="clear" w:color="auto" w:fill="auto"/>
            <w:noWrap/>
            <w:vAlign w:val="bottom"/>
            <w:hideMark/>
          </w:tcPr>
          <w:p w14:paraId="2F52E988"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2013-2020</w:t>
            </w:r>
          </w:p>
        </w:tc>
        <w:tc>
          <w:tcPr>
            <w:tcW w:w="799" w:type="pct"/>
            <w:tcBorders>
              <w:top w:val="nil"/>
              <w:left w:val="nil"/>
              <w:bottom w:val="nil"/>
              <w:right w:val="single" w:sz="4" w:space="0" w:color="auto"/>
            </w:tcBorders>
            <w:shd w:val="clear" w:color="auto" w:fill="auto"/>
            <w:noWrap/>
            <w:vAlign w:val="bottom"/>
            <w:hideMark/>
          </w:tcPr>
          <w:p w14:paraId="1AD5C32D"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11 483.05</w:t>
            </w:r>
          </w:p>
        </w:tc>
        <w:tc>
          <w:tcPr>
            <w:tcW w:w="591" w:type="pct"/>
            <w:tcBorders>
              <w:top w:val="nil"/>
              <w:left w:val="nil"/>
              <w:bottom w:val="nil"/>
              <w:right w:val="single" w:sz="4" w:space="0" w:color="auto"/>
            </w:tcBorders>
            <w:shd w:val="clear" w:color="auto" w:fill="auto"/>
            <w:noWrap/>
            <w:vAlign w:val="bottom"/>
            <w:hideMark/>
          </w:tcPr>
          <w:p w14:paraId="15AD54BD"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42.00</w:t>
            </w:r>
          </w:p>
        </w:tc>
        <w:tc>
          <w:tcPr>
            <w:tcW w:w="799" w:type="pct"/>
            <w:tcBorders>
              <w:top w:val="nil"/>
              <w:left w:val="nil"/>
              <w:bottom w:val="nil"/>
              <w:right w:val="single" w:sz="4" w:space="0" w:color="auto"/>
            </w:tcBorders>
            <w:shd w:val="clear" w:color="auto" w:fill="auto"/>
            <w:noWrap/>
            <w:vAlign w:val="bottom"/>
            <w:hideMark/>
          </w:tcPr>
          <w:p w14:paraId="3598A3C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11 525.05</w:t>
            </w:r>
          </w:p>
        </w:tc>
      </w:tr>
      <w:tr w:rsidR="004C18AD" w:rsidRPr="00483BE4" w14:paraId="33CBBCDF"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19C34FF7"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尼加拉瓜</w:t>
            </w:r>
          </w:p>
        </w:tc>
        <w:tc>
          <w:tcPr>
            <w:tcW w:w="697" w:type="pct"/>
            <w:tcBorders>
              <w:top w:val="nil"/>
              <w:left w:val="nil"/>
              <w:bottom w:val="nil"/>
              <w:right w:val="single" w:sz="4" w:space="0" w:color="auto"/>
            </w:tcBorders>
            <w:shd w:val="clear" w:color="auto" w:fill="auto"/>
            <w:noWrap/>
            <w:vAlign w:val="bottom"/>
            <w:hideMark/>
          </w:tcPr>
          <w:p w14:paraId="74DF6BA0"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2015-2020</w:t>
            </w:r>
          </w:p>
        </w:tc>
        <w:tc>
          <w:tcPr>
            <w:tcW w:w="799" w:type="pct"/>
            <w:tcBorders>
              <w:top w:val="nil"/>
              <w:left w:val="nil"/>
              <w:bottom w:val="nil"/>
              <w:right w:val="single" w:sz="4" w:space="0" w:color="auto"/>
            </w:tcBorders>
            <w:shd w:val="clear" w:color="auto" w:fill="auto"/>
            <w:noWrap/>
            <w:vAlign w:val="bottom"/>
            <w:hideMark/>
          </w:tcPr>
          <w:p w14:paraId="3A30E278"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605 527.90</w:t>
            </w:r>
          </w:p>
        </w:tc>
        <w:tc>
          <w:tcPr>
            <w:tcW w:w="591" w:type="pct"/>
            <w:tcBorders>
              <w:top w:val="nil"/>
              <w:left w:val="nil"/>
              <w:bottom w:val="nil"/>
              <w:right w:val="single" w:sz="4" w:space="0" w:color="auto"/>
            </w:tcBorders>
            <w:shd w:val="clear" w:color="auto" w:fill="auto"/>
            <w:noWrap/>
            <w:vAlign w:val="bottom"/>
            <w:hideMark/>
          </w:tcPr>
          <w:p w14:paraId="006CED7D"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6DDF8A5B"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605 527.90</w:t>
            </w:r>
          </w:p>
        </w:tc>
      </w:tr>
      <w:tr w:rsidR="004C18AD" w:rsidRPr="00483BE4" w14:paraId="27A52CFD"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2A19871D"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巴基斯坦</w:t>
            </w:r>
          </w:p>
        </w:tc>
        <w:tc>
          <w:tcPr>
            <w:tcW w:w="697" w:type="pct"/>
            <w:tcBorders>
              <w:top w:val="nil"/>
              <w:left w:val="nil"/>
              <w:bottom w:val="nil"/>
              <w:right w:val="single" w:sz="4" w:space="0" w:color="auto"/>
            </w:tcBorders>
            <w:shd w:val="clear" w:color="auto" w:fill="auto"/>
            <w:noWrap/>
            <w:vAlign w:val="bottom"/>
            <w:hideMark/>
          </w:tcPr>
          <w:p w14:paraId="30611DAE"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2017-2020</w:t>
            </w:r>
          </w:p>
        </w:tc>
        <w:tc>
          <w:tcPr>
            <w:tcW w:w="799" w:type="pct"/>
            <w:tcBorders>
              <w:top w:val="nil"/>
              <w:left w:val="nil"/>
              <w:bottom w:val="nil"/>
              <w:right w:val="single" w:sz="4" w:space="0" w:color="auto"/>
            </w:tcBorders>
            <w:shd w:val="clear" w:color="auto" w:fill="auto"/>
            <w:noWrap/>
            <w:vAlign w:val="bottom"/>
            <w:hideMark/>
          </w:tcPr>
          <w:p w14:paraId="18BC7441"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257 631.83</w:t>
            </w:r>
          </w:p>
        </w:tc>
        <w:tc>
          <w:tcPr>
            <w:tcW w:w="591" w:type="pct"/>
            <w:tcBorders>
              <w:top w:val="nil"/>
              <w:left w:val="nil"/>
              <w:bottom w:val="nil"/>
              <w:right w:val="single" w:sz="4" w:space="0" w:color="auto"/>
            </w:tcBorders>
            <w:shd w:val="clear" w:color="auto" w:fill="auto"/>
            <w:noWrap/>
            <w:vAlign w:val="bottom"/>
            <w:hideMark/>
          </w:tcPr>
          <w:p w14:paraId="10C4A580"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630DE8B4"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257 631.83</w:t>
            </w:r>
          </w:p>
        </w:tc>
      </w:tr>
      <w:tr w:rsidR="004C18AD" w:rsidRPr="00483BE4" w14:paraId="3B35EF81"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06BBB976"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秘鲁</w:t>
            </w:r>
          </w:p>
        </w:tc>
        <w:tc>
          <w:tcPr>
            <w:tcW w:w="697" w:type="pct"/>
            <w:tcBorders>
              <w:top w:val="nil"/>
              <w:left w:val="nil"/>
              <w:bottom w:val="nil"/>
              <w:right w:val="single" w:sz="4" w:space="0" w:color="auto"/>
            </w:tcBorders>
            <w:shd w:val="clear" w:color="auto" w:fill="auto"/>
            <w:noWrap/>
            <w:vAlign w:val="bottom"/>
            <w:hideMark/>
          </w:tcPr>
          <w:p w14:paraId="6AC68548"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2014-2017</w:t>
            </w:r>
          </w:p>
        </w:tc>
        <w:tc>
          <w:tcPr>
            <w:tcW w:w="799" w:type="pct"/>
            <w:tcBorders>
              <w:top w:val="nil"/>
              <w:left w:val="nil"/>
              <w:bottom w:val="nil"/>
              <w:right w:val="single" w:sz="4" w:space="0" w:color="auto"/>
            </w:tcBorders>
            <w:shd w:val="clear" w:color="auto" w:fill="auto"/>
            <w:noWrap/>
            <w:vAlign w:val="bottom"/>
            <w:hideMark/>
          </w:tcPr>
          <w:p w14:paraId="5CF41BCF"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7 572.35</w:t>
            </w:r>
          </w:p>
        </w:tc>
        <w:tc>
          <w:tcPr>
            <w:tcW w:w="591" w:type="pct"/>
            <w:tcBorders>
              <w:top w:val="nil"/>
              <w:left w:val="nil"/>
              <w:bottom w:val="nil"/>
              <w:right w:val="single" w:sz="4" w:space="0" w:color="auto"/>
            </w:tcBorders>
            <w:shd w:val="clear" w:color="auto" w:fill="auto"/>
            <w:noWrap/>
            <w:vAlign w:val="bottom"/>
            <w:hideMark/>
          </w:tcPr>
          <w:p w14:paraId="1BDBA965"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54FE4F52"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7 572.35</w:t>
            </w:r>
          </w:p>
        </w:tc>
      </w:tr>
      <w:tr w:rsidR="004C18AD" w:rsidRPr="00483BE4" w14:paraId="1F060166"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tcPr>
          <w:p w14:paraId="1F32053A"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hint="eastAsia"/>
                <w:sz w:val="22"/>
                <w:szCs w:val="22"/>
                <w:lang w:eastAsia="zh-CN"/>
              </w:rPr>
              <w:t>塞拉利昂</w:t>
            </w:r>
          </w:p>
        </w:tc>
        <w:tc>
          <w:tcPr>
            <w:tcW w:w="697" w:type="pct"/>
            <w:tcBorders>
              <w:top w:val="nil"/>
              <w:left w:val="nil"/>
              <w:bottom w:val="nil"/>
              <w:right w:val="single" w:sz="4" w:space="0" w:color="auto"/>
            </w:tcBorders>
            <w:shd w:val="clear" w:color="auto" w:fill="auto"/>
            <w:noWrap/>
            <w:vAlign w:val="bottom"/>
          </w:tcPr>
          <w:p w14:paraId="5CFF41FC"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2020</w:t>
            </w:r>
          </w:p>
        </w:tc>
        <w:tc>
          <w:tcPr>
            <w:tcW w:w="799" w:type="pct"/>
            <w:tcBorders>
              <w:top w:val="nil"/>
              <w:left w:val="nil"/>
              <w:bottom w:val="nil"/>
              <w:right w:val="single" w:sz="4" w:space="0" w:color="auto"/>
            </w:tcBorders>
            <w:shd w:val="clear" w:color="auto" w:fill="auto"/>
            <w:noWrap/>
            <w:vAlign w:val="bottom"/>
          </w:tcPr>
          <w:p w14:paraId="47933810"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42 451.05</w:t>
            </w:r>
          </w:p>
        </w:tc>
        <w:tc>
          <w:tcPr>
            <w:tcW w:w="591" w:type="pct"/>
            <w:tcBorders>
              <w:top w:val="nil"/>
              <w:left w:val="nil"/>
              <w:bottom w:val="nil"/>
              <w:right w:val="single" w:sz="4" w:space="0" w:color="auto"/>
            </w:tcBorders>
            <w:shd w:val="clear" w:color="auto" w:fill="auto"/>
            <w:noWrap/>
            <w:vAlign w:val="bottom"/>
          </w:tcPr>
          <w:p w14:paraId="75DA9DA5"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tcPr>
          <w:p w14:paraId="5EDEA8FE"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42 451.05</w:t>
            </w:r>
          </w:p>
        </w:tc>
      </w:tr>
      <w:tr w:rsidR="004C18AD" w:rsidRPr="00483BE4" w14:paraId="01B95C97"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tcPr>
          <w:p w14:paraId="447079D3"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hint="eastAsia"/>
                <w:sz w:val="22"/>
                <w:szCs w:val="22"/>
                <w:lang w:eastAsia="en-GB"/>
              </w:rPr>
              <w:t>阿拉伯叙利亚共和国</w:t>
            </w:r>
          </w:p>
        </w:tc>
        <w:tc>
          <w:tcPr>
            <w:tcW w:w="697" w:type="pct"/>
            <w:tcBorders>
              <w:top w:val="nil"/>
              <w:left w:val="nil"/>
              <w:bottom w:val="nil"/>
              <w:right w:val="single" w:sz="4" w:space="0" w:color="auto"/>
            </w:tcBorders>
            <w:shd w:val="clear" w:color="auto" w:fill="auto"/>
            <w:noWrap/>
            <w:vAlign w:val="bottom"/>
          </w:tcPr>
          <w:p w14:paraId="29FE7057"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2020</w:t>
            </w:r>
          </w:p>
        </w:tc>
        <w:tc>
          <w:tcPr>
            <w:tcW w:w="799" w:type="pct"/>
            <w:tcBorders>
              <w:top w:val="nil"/>
              <w:left w:val="nil"/>
              <w:bottom w:val="nil"/>
              <w:right w:val="single" w:sz="4" w:space="0" w:color="auto"/>
            </w:tcBorders>
            <w:shd w:val="clear" w:color="auto" w:fill="auto"/>
            <w:noWrap/>
            <w:vAlign w:val="bottom"/>
          </w:tcPr>
          <w:p w14:paraId="21288788"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13 878.88</w:t>
            </w:r>
          </w:p>
        </w:tc>
        <w:tc>
          <w:tcPr>
            <w:tcW w:w="591" w:type="pct"/>
            <w:tcBorders>
              <w:top w:val="nil"/>
              <w:left w:val="nil"/>
              <w:bottom w:val="nil"/>
              <w:right w:val="single" w:sz="4" w:space="0" w:color="auto"/>
            </w:tcBorders>
            <w:shd w:val="clear" w:color="auto" w:fill="auto"/>
            <w:noWrap/>
            <w:vAlign w:val="bottom"/>
          </w:tcPr>
          <w:p w14:paraId="2AE442A6"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tcPr>
          <w:p w14:paraId="11DDB6C5"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13 878.88</w:t>
            </w:r>
          </w:p>
        </w:tc>
      </w:tr>
      <w:tr w:rsidR="004C18AD" w:rsidRPr="00483BE4" w14:paraId="72E03212"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tcPr>
          <w:p w14:paraId="3F21C919"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hint="eastAsia"/>
                <w:sz w:val="22"/>
                <w:szCs w:val="22"/>
                <w:lang w:eastAsia="zh-CN"/>
              </w:rPr>
              <w:t>塔吉克斯坦</w:t>
            </w:r>
          </w:p>
        </w:tc>
        <w:tc>
          <w:tcPr>
            <w:tcW w:w="697" w:type="pct"/>
            <w:tcBorders>
              <w:top w:val="nil"/>
              <w:left w:val="nil"/>
              <w:bottom w:val="nil"/>
              <w:right w:val="single" w:sz="4" w:space="0" w:color="auto"/>
            </w:tcBorders>
            <w:shd w:val="clear" w:color="auto" w:fill="auto"/>
            <w:noWrap/>
            <w:vAlign w:val="bottom"/>
          </w:tcPr>
          <w:p w14:paraId="0E2C9F6D"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2018-2020</w:t>
            </w:r>
          </w:p>
        </w:tc>
        <w:tc>
          <w:tcPr>
            <w:tcW w:w="799" w:type="pct"/>
            <w:tcBorders>
              <w:top w:val="nil"/>
              <w:left w:val="nil"/>
              <w:bottom w:val="nil"/>
              <w:right w:val="single" w:sz="4" w:space="0" w:color="auto"/>
            </w:tcBorders>
            <w:shd w:val="clear" w:color="auto" w:fill="auto"/>
            <w:noWrap/>
            <w:vAlign w:val="bottom"/>
          </w:tcPr>
          <w:p w14:paraId="60ECCCD2"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88 638.55</w:t>
            </w:r>
          </w:p>
        </w:tc>
        <w:tc>
          <w:tcPr>
            <w:tcW w:w="591" w:type="pct"/>
            <w:tcBorders>
              <w:top w:val="nil"/>
              <w:left w:val="nil"/>
              <w:bottom w:val="nil"/>
              <w:right w:val="single" w:sz="4" w:space="0" w:color="auto"/>
            </w:tcBorders>
            <w:shd w:val="clear" w:color="auto" w:fill="auto"/>
            <w:noWrap/>
            <w:vAlign w:val="bottom"/>
          </w:tcPr>
          <w:p w14:paraId="777A8547"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tcPr>
          <w:p w14:paraId="3257F1B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88 638.55</w:t>
            </w:r>
          </w:p>
        </w:tc>
      </w:tr>
      <w:tr w:rsidR="004C18AD" w:rsidRPr="00483BE4" w14:paraId="17E6AD9A"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1DEDD8C6"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突尼斯</w:t>
            </w:r>
          </w:p>
        </w:tc>
        <w:tc>
          <w:tcPr>
            <w:tcW w:w="697" w:type="pct"/>
            <w:tcBorders>
              <w:top w:val="nil"/>
              <w:left w:val="nil"/>
              <w:bottom w:val="nil"/>
              <w:right w:val="single" w:sz="4" w:space="0" w:color="auto"/>
            </w:tcBorders>
            <w:shd w:val="clear" w:color="auto" w:fill="auto"/>
            <w:noWrap/>
            <w:vAlign w:val="bottom"/>
            <w:hideMark/>
          </w:tcPr>
          <w:p w14:paraId="48A1DDB3"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2015-2020</w:t>
            </w:r>
          </w:p>
        </w:tc>
        <w:tc>
          <w:tcPr>
            <w:tcW w:w="799" w:type="pct"/>
            <w:tcBorders>
              <w:top w:val="nil"/>
              <w:left w:val="nil"/>
              <w:bottom w:val="nil"/>
              <w:right w:val="single" w:sz="4" w:space="0" w:color="auto"/>
            </w:tcBorders>
            <w:shd w:val="clear" w:color="auto" w:fill="auto"/>
            <w:noWrap/>
            <w:vAlign w:val="bottom"/>
            <w:hideMark/>
          </w:tcPr>
          <w:p w14:paraId="04C2F798"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23 008.10</w:t>
            </w:r>
          </w:p>
        </w:tc>
        <w:tc>
          <w:tcPr>
            <w:tcW w:w="591" w:type="pct"/>
            <w:tcBorders>
              <w:top w:val="nil"/>
              <w:left w:val="nil"/>
              <w:bottom w:val="nil"/>
              <w:right w:val="single" w:sz="4" w:space="0" w:color="auto"/>
            </w:tcBorders>
            <w:shd w:val="clear" w:color="auto" w:fill="auto"/>
            <w:noWrap/>
            <w:vAlign w:val="bottom"/>
            <w:hideMark/>
          </w:tcPr>
          <w:p w14:paraId="46A13458"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316201AA"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23 008.10</w:t>
            </w:r>
          </w:p>
        </w:tc>
      </w:tr>
      <w:tr w:rsidR="004C18AD" w:rsidRPr="00483BE4" w14:paraId="61159102"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079EB46E"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lastRenderedPageBreak/>
              <w:t>瓦努阿图</w:t>
            </w:r>
          </w:p>
        </w:tc>
        <w:tc>
          <w:tcPr>
            <w:tcW w:w="697" w:type="pct"/>
            <w:tcBorders>
              <w:top w:val="nil"/>
              <w:left w:val="nil"/>
              <w:bottom w:val="nil"/>
              <w:right w:val="single" w:sz="4" w:space="0" w:color="auto"/>
            </w:tcBorders>
            <w:shd w:val="clear" w:color="auto" w:fill="auto"/>
            <w:noWrap/>
            <w:vAlign w:val="bottom"/>
            <w:hideMark/>
          </w:tcPr>
          <w:p w14:paraId="6E7C9E60"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2014-2020</w:t>
            </w:r>
          </w:p>
        </w:tc>
        <w:tc>
          <w:tcPr>
            <w:tcW w:w="799" w:type="pct"/>
            <w:tcBorders>
              <w:top w:val="nil"/>
              <w:left w:val="nil"/>
              <w:bottom w:val="nil"/>
              <w:right w:val="single" w:sz="4" w:space="0" w:color="auto"/>
            </w:tcBorders>
            <w:shd w:val="clear" w:color="auto" w:fill="auto"/>
            <w:noWrap/>
            <w:vAlign w:val="bottom"/>
            <w:hideMark/>
          </w:tcPr>
          <w:p w14:paraId="3DD4AE7A"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70 016.86</w:t>
            </w:r>
          </w:p>
        </w:tc>
        <w:tc>
          <w:tcPr>
            <w:tcW w:w="591" w:type="pct"/>
            <w:tcBorders>
              <w:top w:val="nil"/>
              <w:left w:val="nil"/>
              <w:bottom w:val="nil"/>
              <w:right w:val="single" w:sz="4" w:space="0" w:color="auto"/>
            </w:tcBorders>
            <w:shd w:val="clear" w:color="auto" w:fill="auto"/>
            <w:noWrap/>
            <w:vAlign w:val="bottom"/>
            <w:hideMark/>
          </w:tcPr>
          <w:p w14:paraId="233663DA"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78A15A6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70 016.86</w:t>
            </w:r>
          </w:p>
        </w:tc>
      </w:tr>
      <w:tr w:rsidR="004C18AD" w:rsidRPr="00483BE4" w14:paraId="2BDE1994"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hideMark/>
          </w:tcPr>
          <w:p w14:paraId="1368DC1C"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委内瑞拉</w:t>
            </w:r>
          </w:p>
        </w:tc>
        <w:tc>
          <w:tcPr>
            <w:tcW w:w="697" w:type="pct"/>
            <w:tcBorders>
              <w:top w:val="nil"/>
              <w:left w:val="nil"/>
              <w:bottom w:val="nil"/>
              <w:right w:val="single" w:sz="4" w:space="0" w:color="auto"/>
            </w:tcBorders>
            <w:shd w:val="clear" w:color="auto" w:fill="auto"/>
            <w:noWrap/>
            <w:vAlign w:val="bottom"/>
            <w:hideMark/>
          </w:tcPr>
          <w:p w14:paraId="38D0E49B"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2013-2020</w:t>
            </w:r>
          </w:p>
        </w:tc>
        <w:tc>
          <w:tcPr>
            <w:tcW w:w="799" w:type="pct"/>
            <w:tcBorders>
              <w:top w:val="nil"/>
              <w:left w:val="nil"/>
              <w:bottom w:val="nil"/>
              <w:right w:val="single" w:sz="4" w:space="0" w:color="auto"/>
            </w:tcBorders>
            <w:shd w:val="clear" w:color="auto" w:fill="auto"/>
            <w:noWrap/>
            <w:vAlign w:val="bottom"/>
            <w:hideMark/>
          </w:tcPr>
          <w:p w14:paraId="40DEDE42"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1 991 494.49</w:t>
            </w:r>
          </w:p>
        </w:tc>
        <w:tc>
          <w:tcPr>
            <w:tcW w:w="591" w:type="pct"/>
            <w:tcBorders>
              <w:top w:val="nil"/>
              <w:left w:val="nil"/>
              <w:bottom w:val="nil"/>
              <w:right w:val="single" w:sz="4" w:space="0" w:color="auto"/>
            </w:tcBorders>
            <w:shd w:val="clear" w:color="auto" w:fill="auto"/>
            <w:noWrap/>
            <w:vAlign w:val="bottom"/>
            <w:hideMark/>
          </w:tcPr>
          <w:p w14:paraId="41015C8C"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hideMark/>
          </w:tcPr>
          <w:p w14:paraId="6C484724"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1 991 494.49</w:t>
            </w:r>
          </w:p>
        </w:tc>
      </w:tr>
      <w:tr w:rsidR="004C18AD" w:rsidRPr="00483BE4" w14:paraId="0209CD10" w14:textId="77777777" w:rsidTr="00042C67">
        <w:trPr>
          <w:trHeight w:val="270"/>
        </w:trPr>
        <w:tc>
          <w:tcPr>
            <w:tcW w:w="2113" w:type="pct"/>
            <w:tcBorders>
              <w:top w:val="nil"/>
              <w:left w:val="single" w:sz="4" w:space="0" w:color="auto"/>
              <w:bottom w:val="nil"/>
              <w:right w:val="single" w:sz="4" w:space="0" w:color="auto"/>
            </w:tcBorders>
            <w:shd w:val="clear" w:color="auto" w:fill="auto"/>
            <w:vAlign w:val="bottom"/>
          </w:tcPr>
          <w:p w14:paraId="02881305"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hint="eastAsia"/>
                <w:sz w:val="22"/>
                <w:szCs w:val="22"/>
                <w:lang w:eastAsia="zh-CN"/>
              </w:rPr>
              <w:t>也门</w:t>
            </w:r>
          </w:p>
        </w:tc>
        <w:tc>
          <w:tcPr>
            <w:tcW w:w="697" w:type="pct"/>
            <w:tcBorders>
              <w:top w:val="nil"/>
              <w:left w:val="nil"/>
              <w:bottom w:val="nil"/>
              <w:right w:val="single" w:sz="4" w:space="0" w:color="auto"/>
            </w:tcBorders>
            <w:shd w:val="clear" w:color="auto" w:fill="auto"/>
            <w:noWrap/>
            <w:vAlign w:val="bottom"/>
          </w:tcPr>
          <w:p w14:paraId="394E4889" w14:textId="77777777" w:rsidR="004C18AD" w:rsidRPr="00483BE4" w:rsidRDefault="004C18AD" w:rsidP="00042C67">
            <w:pPr>
              <w:jc w:val="center"/>
              <w:rPr>
                <w:rFonts w:asciiTheme="minorHAnsi" w:hAnsiTheme="minorHAnsi" w:cstheme="minorHAnsi"/>
                <w:sz w:val="22"/>
                <w:szCs w:val="22"/>
              </w:rPr>
            </w:pPr>
            <w:r w:rsidRPr="00483BE4">
              <w:rPr>
                <w:rFonts w:cs="Calibri"/>
                <w:sz w:val="22"/>
                <w:szCs w:val="22"/>
                <w:lang w:eastAsia="en-GB"/>
              </w:rPr>
              <w:t>2016-2020</w:t>
            </w:r>
          </w:p>
        </w:tc>
        <w:tc>
          <w:tcPr>
            <w:tcW w:w="799" w:type="pct"/>
            <w:tcBorders>
              <w:top w:val="nil"/>
              <w:left w:val="nil"/>
              <w:bottom w:val="nil"/>
              <w:right w:val="single" w:sz="4" w:space="0" w:color="auto"/>
            </w:tcBorders>
            <w:shd w:val="clear" w:color="auto" w:fill="auto"/>
            <w:noWrap/>
            <w:vAlign w:val="bottom"/>
          </w:tcPr>
          <w:p w14:paraId="0B417F9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45 342.90</w:t>
            </w:r>
          </w:p>
        </w:tc>
        <w:tc>
          <w:tcPr>
            <w:tcW w:w="591" w:type="pct"/>
            <w:tcBorders>
              <w:top w:val="nil"/>
              <w:left w:val="nil"/>
              <w:bottom w:val="nil"/>
              <w:right w:val="single" w:sz="4" w:space="0" w:color="auto"/>
            </w:tcBorders>
            <w:shd w:val="clear" w:color="auto" w:fill="auto"/>
            <w:noWrap/>
            <w:vAlign w:val="bottom"/>
          </w:tcPr>
          <w:p w14:paraId="6AC7DFAD"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0.00</w:t>
            </w:r>
          </w:p>
        </w:tc>
        <w:tc>
          <w:tcPr>
            <w:tcW w:w="799" w:type="pct"/>
            <w:tcBorders>
              <w:top w:val="nil"/>
              <w:left w:val="nil"/>
              <w:bottom w:val="nil"/>
              <w:right w:val="single" w:sz="4" w:space="0" w:color="auto"/>
            </w:tcBorders>
            <w:shd w:val="clear" w:color="auto" w:fill="auto"/>
            <w:noWrap/>
            <w:vAlign w:val="bottom"/>
          </w:tcPr>
          <w:p w14:paraId="10DCCF4F"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45 342.90</w:t>
            </w:r>
          </w:p>
        </w:tc>
      </w:tr>
      <w:tr w:rsidR="004C18AD" w:rsidRPr="00483BE4" w14:paraId="3CD5CA87" w14:textId="77777777" w:rsidTr="00042C67">
        <w:trPr>
          <w:trHeight w:val="218"/>
        </w:trPr>
        <w:tc>
          <w:tcPr>
            <w:tcW w:w="2113" w:type="pct"/>
            <w:tcBorders>
              <w:top w:val="nil"/>
              <w:left w:val="single" w:sz="4" w:space="0" w:color="auto"/>
              <w:bottom w:val="single" w:sz="4" w:space="0" w:color="auto"/>
              <w:right w:val="single" w:sz="4" w:space="0" w:color="auto"/>
            </w:tcBorders>
            <w:shd w:val="clear" w:color="auto" w:fill="auto"/>
            <w:vAlign w:val="bottom"/>
            <w:hideMark/>
          </w:tcPr>
          <w:p w14:paraId="4D0C9D9A" w14:textId="77777777" w:rsidR="004C18AD" w:rsidRPr="00483BE4" w:rsidRDefault="004C18AD" w:rsidP="00042C67">
            <w:pPr>
              <w:overflowPunct/>
              <w:autoSpaceDE/>
              <w:autoSpaceDN/>
              <w:adjustRightInd/>
              <w:spacing w:before="0"/>
              <w:textAlignment w:val="auto"/>
              <w:rPr>
                <w:rFonts w:cs="Calibri"/>
                <w:sz w:val="22"/>
                <w:szCs w:val="22"/>
                <w:lang w:eastAsia="en-GB"/>
              </w:rPr>
            </w:pPr>
            <w:r w:rsidRPr="00483BE4">
              <w:rPr>
                <w:rFonts w:cs="Calibri"/>
                <w:sz w:val="22"/>
                <w:szCs w:val="22"/>
                <w:lang w:eastAsia="en-GB"/>
              </w:rPr>
              <w:t xml:space="preserve">   </w:t>
            </w:r>
          </w:p>
        </w:tc>
        <w:tc>
          <w:tcPr>
            <w:tcW w:w="697" w:type="pct"/>
            <w:tcBorders>
              <w:top w:val="nil"/>
              <w:left w:val="nil"/>
              <w:bottom w:val="single" w:sz="4" w:space="0" w:color="auto"/>
              <w:right w:val="single" w:sz="4" w:space="0" w:color="auto"/>
            </w:tcBorders>
            <w:shd w:val="clear" w:color="auto" w:fill="auto"/>
            <w:noWrap/>
            <w:vAlign w:val="bottom"/>
            <w:hideMark/>
          </w:tcPr>
          <w:p w14:paraId="7806FF07" w14:textId="77777777" w:rsidR="004C18AD" w:rsidRPr="00483BE4" w:rsidRDefault="004C18AD" w:rsidP="00042C67">
            <w:pPr>
              <w:jc w:val="center"/>
              <w:rPr>
                <w:rFonts w:asciiTheme="minorHAnsi" w:hAnsiTheme="minorHAnsi" w:cstheme="minorHAnsi"/>
                <w:sz w:val="22"/>
                <w:szCs w:val="22"/>
              </w:rPr>
            </w:pP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14:paraId="3F729778"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12 331 662.57</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14:paraId="2A29AE09"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46 363.55</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14:paraId="1C066823" w14:textId="77777777" w:rsidR="004C18AD" w:rsidRPr="00483BE4" w:rsidRDefault="004C18AD" w:rsidP="00042C67">
            <w:pPr>
              <w:jc w:val="right"/>
              <w:rPr>
                <w:rFonts w:asciiTheme="minorHAnsi" w:hAnsiTheme="minorHAnsi" w:cstheme="minorHAnsi"/>
                <w:sz w:val="22"/>
                <w:szCs w:val="22"/>
              </w:rPr>
            </w:pPr>
            <w:r w:rsidRPr="00483BE4">
              <w:rPr>
                <w:rFonts w:cs="Calibri"/>
                <w:sz w:val="22"/>
                <w:szCs w:val="22"/>
                <w:lang w:eastAsia="en-GB"/>
              </w:rPr>
              <w:t>12 378 026.12</w:t>
            </w:r>
          </w:p>
        </w:tc>
      </w:tr>
    </w:tbl>
    <w:p w14:paraId="70C75F47" w14:textId="77777777" w:rsidR="004C18AD" w:rsidRPr="000C156A" w:rsidRDefault="004C18AD" w:rsidP="004C18AD">
      <w:r w:rsidRPr="000C156A">
        <w:br w:type="page"/>
      </w:r>
    </w:p>
    <w:tbl>
      <w:tblPr>
        <w:tblW w:w="10399" w:type="dxa"/>
        <w:jc w:val="center"/>
        <w:tblLook w:val="04A0" w:firstRow="1" w:lastRow="0" w:firstColumn="1" w:lastColumn="0" w:noHBand="0" w:noVBand="1"/>
      </w:tblPr>
      <w:tblGrid>
        <w:gridCol w:w="4137"/>
        <w:gridCol w:w="324"/>
        <w:gridCol w:w="1253"/>
        <w:gridCol w:w="348"/>
        <w:gridCol w:w="1234"/>
        <w:gridCol w:w="264"/>
        <w:gridCol w:w="1170"/>
        <w:gridCol w:w="171"/>
        <w:gridCol w:w="1333"/>
        <w:gridCol w:w="165"/>
      </w:tblGrid>
      <w:tr w:rsidR="004C18AD" w:rsidRPr="000C156A" w14:paraId="2F67AB0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F1683" w14:textId="77777777" w:rsidR="004C18AD" w:rsidRPr="000C156A" w:rsidRDefault="004C18AD" w:rsidP="00042C67">
            <w:pPr>
              <w:pStyle w:val="Tablehead"/>
              <w:jc w:val="left"/>
              <w:rPr>
                <w:szCs w:val="22"/>
                <w:lang w:eastAsia="zh-CN"/>
              </w:rPr>
            </w:pPr>
            <w:r w:rsidRPr="000C156A">
              <w:rPr>
                <w:szCs w:val="22"/>
                <w:lang w:eastAsia="zh-CN"/>
              </w:rPr>
              <w:lastRenderedPageBreak/>
              <w:t>B.</w:t>
            </w:r>
            <w:r w:rsidRPr="000C156A">
              <w:rPr>
                <w:rFonts w:hint="eastAsia"/>
                <w:szCs w:val="22"/>
                <w:lang w:eastAsia="zh-CN"/>
              </w:rPr>
              <w:t>部门成员及其他实体</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72D7" w14:textId="77777777" w:rsidR="004C18AD" w:rsidRPr="000C156A" w:rsidRDefault="004C18AD" w:rsidP="00042C67">
            <w:pPr>
              <w:pStyle w:val="Tablehead"/>
              <w:rPr>
                <w:szCs w:val="22"/>
                <w:lang w:eastAsia="zh-CN"/>
              </w:rPr>
            </w:pPr>
            <w:r w:rsidRPr="000C156A">
              <w:rPr>
                <w:rFonts w:hint="eastAsia"/>
                <w:szCs w:val="22"/>
              </w:rPr>
              <w:t>年份</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54E03" w14:textId="77777777" w:rsidR="004C18AD" w:rsidRPr="000C156A" w:rsidRDefault="004C18AD" w:rsidP="00042C67">
            <w:pPr>
              <w:pStyle w:val="Tablehead"/>
              <w:rPr>
                <w:szCs w:val="22"/>
                <w:lang w:eastAsia="zh-CN"/>
              </w:rPr>
            </w:pPr>
            <w:r w:rsidRPr="000C156A">
              <w:rPr>
                <w:rFonts w:hint="eastAsia"/>
                <w:szCs w:val="22"/>
              </w:rPr>
              <w:t>会费</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EB3DD" w14:textId="77777777" w:rsidR="004C18AD" w:rsidRPr="000C156A" w:rsidRDefault="004C18AD" w:rsidP="00042C67">
            <w:pPr>
              <w:pStyle w:val="Tablehead"/>
              <w:rPr>
                <w:szCs w:val="22"/>
                <w:lang w:eastAsia="zh-CN"/>
              </w:rPr>
            </w:pPr>
            <w:r w:rsidRPr="000C156A">
              <w:rPr>
                <w:rFonts w:hint="eastAsia"/>
                <w:szCs w:val="22"/>
              </w:rPr>
              <w:t>出版物</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F8E7" w14:textId="77777777" w:rsidR="004C18AD" w:rsidRPr="000C156A" w:rsidRDefault="004C18AD" w:rsidP="00042C67">
            <w:pPr>
              <w:pStyle w:val="Tablehead"/>
              <w:rPr>
                <w:szCs w:val="22"/>
                <w:lang w:eastAsia="zh-CN"/>
              </w:rPr>
            </w:pPr>
            <w:r w:rsidRPr="000C156A">
              <w:rPr>
                <w:rFonts w:hint="eastAsia"/>
                <w:szCs w:val="22"/>
              </w:rPr>
              <w:t>合计</w:t>
            </w:r>
          </w:p>
        </w:tc>
      </w:tr>
      <w:tr w:rsidR="004C18AD" w:rsidRPr="00910F82" w14:paraId="3B0BCA5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92813" w14:textId="77777777" w:rsidR="004C18AD" w:rsidRPr="00F842E9" w:rsidRDefault="004C18AD" w:rsidP="00042C67">
            <w:pPr>
              <w:pStyle w:val="Tablehead"/>
              <w:rPr>
                <w:szCs w:val="22"/>
                <w:lang w:eastAsia="zh-CN"/>
              </w:rPr>
            </w:pPr>
            <w:r w:rsidRPr="00F842E9">
              <w:rPr>
                <w:rFonts w:hint="eastAsia"/>
                <w:szCs w:val="22"/>
                <w:lang w:eastAsia="zh-CN"/>
              </w:rPr>
              <w:t>c</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33665"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AA432"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9F464"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1A5A0" w14:textId="77777777" w:rsidR="004C18AD" w:rsidRPr="00F842E9" w:rsidRDefault="004C18AD" w:rsidP="00042C67">
            <w:pPr>
              <w:pStyle w:val="Tablehead"/>
              <w:jc w:val="right"/>
              <w:rPr>
                <w:szCs w:val="22"/>
              </w:rPr>
            </w:pPr>
          </w:p>
        </w:tc>
      </w:tr>
      <w:tr w:rsidR="004C18AD" w:rsidRPr="00910F82" w14:paraId="462AFF7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F0017" w14:textId="77777777" w:rsidR="004C18AD" w:rsidRPr="00F842E9" w:rsidRDefault="004C18AD" w:rsidP="00042C67">
            <w:pPr>
              <w:pStyle w:val="Tablehead"/>
              <w:jc w:val="left"/>
              <w:rPr>
                <w:szCs w:val="22"/>
                <w:lang w:eastAsia="zh-CN"/>
              </w:rPr>
            </w:pPr>
            <w:r>
              <w:rPr>
                <w:rFonts w:hint="eastAsia"/>
                <w:szCs w:val="22"/>
                <w:lang w:eastAsia="zh-CN"/>
              </w:rPr>
              <w:t>阿富汗</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355F0"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9B07"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C0FEB"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82F0" w14:textId="77777777" w:rsidR="004C18AD" w:rsidRPr="00F842E9" w:rsidRDefault="004C18AD" w:rsidP="00042C67">
            <w:pPr>
              <w:pStyle w:val="Tablehead"/>
              <w:jc w:val="right"/>
              <w:rPr>
                <w:szCs w:val="22"/>
              </w:rPr>
            </w:pPr>
          </w:p>
        </w:tc>
      </w:tr>
      <w:tr w:rsidR="004C18AD" w:rsidRPr="00910F82" w14:paraId="4670845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83121" w14:textId="77777777" w:rsidR="004C18AD" w:rsidRPr="00F842E9" w:rsidRDefault="004C18AD" w:rsidP="00042C67">
            <w:pPr>
              <w:pStyle w:val="Tablehead"/>
              <w:jc w:val="left"/>
              <w:rPr>
                <w:b w:val="0"/>
                <w:szCs w:val="22"/>
                <w:lang w:eastAsia="zh-CN"/>
              </w:rPr>
            </w:pPr>
            <w:r w:rsidRPr="002C1EFF">
              <w:rPr>
                <w:b w:val="0"/>
                <w:szCs w:val="22"/>
                <w:lang w:val="fr-FR" w:eastAsia="zh-CN"/>
              </w:rPr>
              <w:t>–</w:t>
            </w:r>
            <w:r w:rsidRPr="002C1EFF">
              <w:rPr>
                <w:b w:val="0"/>
                <w:szCs w:val="22"/>
                <w:lang w:val="fr-FR" w:eastAsia="zh-CN"/>
              </w:rPr>
              <w:tab/>
            </w:r>
            <w:r>
              <w:rPr>
                <w:rFonts w:hint="eastAsia"/>
                <w:b w:val="0"/>
                <w:szCs w:val="22"/>
                <w:lang w:eastAsia="zh-CN"/>
              </w:rPr>
              <w:t>阿富汗无线通信公司，喀布尔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1AD35" w14:textId="77777777" w:rsidR="004C18AD" w:rsidRPr="00211303" w:rsidRDefault="004C18AD" w:rsidP="00042C67">
            <w:pPr>
              <w:pStyle w:val="Tablehead"/>
              <w:rPr>
                <w:b w:val="0"/>
                <w:szCs w:val="22"/>
              </w:rPr>
            </w:pPr>
            <w:r w:rsidRPr="00211303">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EAB96" w14:textId="77777777" w:rsidR="004C18AD" w:rsidRPr="00211303" w:rsidRDefault="004C18AD" w:rsidP="00042C67">
            <w:pPr>
              <w:pStyle w:val="Tablehead"/>
              <w:jc w:val="right"/>
              <w:rPr>
                <w:b w:val="0"/>
                <w:szCs w:val="22"/>
              </w:rPr>
            </w:pPr>
            <w:r w:rsidRPr="00211303">
              <w:rPr>
                <w:b w:val="0"/>
                <w:szCs w:val="22"/>
              </w:rPr>
              <w:t>8</w:t>
            </w:r>
            <w:r>
              <w:rPr>
                <w:b w:val="0"/>
                <w:szCs w:val="22"/>
              </w:rPr>
              <w:t> </w:t>
            </w:r>
            <w:r w:rsidRPr="00211303">
              <w:rPr>
                <w:b w:val="0"/>
                <w:szCs w:val="22"/>
              </w:rPr>
              <w:t>490.25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97175" w14:textId="77777777" w:rsidR="004C18AD" w:rsidRPr="00211303" w:rsidRDefault="004C18AD" w:rsidP="00042C67">
            <w:pPr>
              <w:pStyle w:val="Tablehead"/>
              <w:jc w:val="right"/>
              <w:rPr>
                <w:b w:val="0"/>
                <w:szCs w:val="22"/>
              </w:rPr>
            </w:pPr>
            <w:r w:rsidRPr="00211303">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278C9" w14:textId="77777777" w:rsidR="004C18AD" w:rsidRPr="00211303" w:rsidRDefault="004C18AD" w:rsidP="00042C67">
            <w:pPr>
              <w:pStyle w:val="Tablehead"/>
              <w:jc w:val="right"/>
              <w:rPr>
                <w:b w:val="0"/>
                <w:szCs w:val="22"/>
              </w:rPr>
            </w:pPr>
            <w:r w:rsidRPr="00211303">
              <w:rPr>
                <w:b w:val="0"/>
                <w:szCs w:val="22"/>
              </w:rPr>
              <w:t>8</w:t>
            </w:r>
            <w:r>
              <w:rPr>
                <w:b w:val="0"/>
                <w:szCs w:val="22"/>
              </w:rPr>
              <w:t> </w:t>
            </w:r>
            <w:r w:rsidRPr="00211303">
              <w:rPr>
                <w:b w:val="0"/>
                <w:szCs w:val="22"/>
              </w:rPr>
              <w:t>490.25</w:t>
            </w:r>
          </w:p>
        </w:tc>
      </w:tr>
      <w:tr w:rsidR="004C18AD" w:rsidRPr="00910F82" w14:paraId="4A4693E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hideMark/>
          </w:tcPr>
          <w:p w14:paraId="65920F30" w14:textId="77777777" w:rsidR="004C18AD" w:rsidRPr="00F842E9" w:rsidRDefault="004C18AD" w:rsidP="00042C67">
            <w:pPr>
              <w:pStyle w:val="Tablehead"/>
              <w:jc w:val="left"/>
              <w:rPr>
                <w:szCs w:val="22"/>
                <w:lang w:eastAsia="zh-CN"/>
              </w:rPr>
            </w:pPr>
            <w:r w:rsidRPr="00D96C14">
              <w:rPr>
                <w:rFonts w:hint="eastAsia"/>
              </w:rPr>
              <w:t>阿尔及利亚</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DA1DE"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79E09"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697AF"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5FB4D" w14:textId="77777777" w:rsidR="004C18AD" w:rsidRPr="00F842E9" w:rsidRDefault="004C18AD" w:rsidP="00042C67">
            <w:pPr>
              <w:pStyle w:val="Tablehead"/>
              <w:jc w:val="right"/>
              <w:rPr>
                <w:szCs w:val="22"/>
              </w:rPr>
            </w:pPr>
          </w:p>
        </w:tc>
      </w:tr>
      <w:tr w:rsidR="004C18AD" w:rsidRPr="00910F82" w14:paraId="0047A0E1"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6254C" w14:textId="77777777" w:rsidR="004C18AD" w:rsidRPr="0032437D" w:rsidRDefault="004C18AD" w:rsidP="00042C67">
            <w:pPr>
              <w:pStyle w:val="Tablehead"/>
              <w:jc w:val="left"/>
              <w:rPr>
                <w:b w:val="0"/>
                <w:szCs w:val="22"/>
                <w:lang w:val="fr-CH" w:eastAsia="zh-CN"/>
              </w:rPr>
            </w:pPr>
            <w:r w:rsidRPr="0032437D">
              <w:rPr>
                <w:rFonts w:cs="Calibri"/>
                <w:b w:val="0"/>
                <w:szCs w:val="22"/>
                <w:lang w:val="fr-FR" w:eastAsia="zh-CN"/>
              </w:rPr>
              <w:t>–</w:t>
            </w:r>
            <w:r w:rsidRPr="0032437D">
              <w:rPr>
                <w:rFonts w:cs="Calibri"/>
                <w:b w:val="0"/>
                <w:szCs w:val="22"/>
                <w:lang w:val="fr-FR" w:eastAsia="zh-CN"/>
              </w:rPr>
              <w:tab/>
            </w:r>
            <w:r w:rsidRPr="0032437D">
              <w:rPr>
                <w:rFonts w:cs="Microsoft YaHei" w:hint="eastAsia"/>
                <w:b w:val="0"/>
                <w:szCs w:val="22"/>
                <w:lang w:val="fr-FR" w:eastAsia="zh-CN"/>
              </w:rPr>
              <w:t>先进技术开发中心，阿尔及尔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1968C" w14:textId="77777777" w:rsidR="004C18AD" w:rsidRPr="00F842E9" w:rsidRDefault="004C18AD" w:rsidP="00042C67">
            <w:pPr>
              <w:pStyle w:val="Tablehead"/>
              <w:rPr>
                <w:b w:val="0"/>
                <w:szCs w:val="22"/>
              </w:rPr>
            </w:pPr>
            <w:r w:rsidRPr="00F842E9">
              <w:rPr>
                <w:b w:val="0"/>
                <w:szCs w:val="22"/>
              </w:rPr>
              <w:t>2015</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4CB4" w14:textId="77777777" w:rsidR="004C18AD" w:rsidRPr="00F842E9" w:rsidRDefault="004C18AD" w:rsidP="00042C67">
            <w:pPr>
              <w:pStyle w:val="Tablehead"/>
              <w:jc w:val="right"/>
              <w:rPr>
                <w:b w:val="0"/>
                <w:szCs w:val="22"/>
              </w:rPr>
            </w:pPr>
            <w:r w:rsidRPr="00F842E9">
              <w:rPr>
                <w:b w:val="0"/>
                <w:szCs w:val="22"/>
              </w:rPr>
              <w:t>2</w:t>
            </w:r>
            <w:r>
              <w:rPr>
                <w:b w:val="0"/>
                <w:szCs w:val="22"/>
              </w:rPr>
              <w:t> </w:t>
            </w:r>
            <w:r w:rsidRPr="00F842E9">
              <w:rPr>
                <w:b w:val="0"/>
                <w:szCs w:val="22"/>
              </w:rPr>
              <w:t>925.00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790B"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08B2A" w14:textId="77777777" w:rsidR="004C18AD" w:rsidRPr="00F842E9" w:rsidRDefault="004C18AD" w:rsidP="00042C67">
            <w:pPr>
              <w:pStyle w:val="Tablehead"/>
              <w:jc w:val="right"/>
              <w:rPr>
                <w:b w:val="0"/>
                <w:szCs w:val="22"/>
              </w:rPr>
            </w:pPr>
            <w:r w:rsidRPr="00F842E9">
              <w:rPr>
                <w:b w:val="0"/>
                <w:szCs w:val="22"/>
              </w:rPr>
              <w:t>2</w:t>
            </w:r>
            <w:r>
              <w:rPr>
                <w:b w:val="0"/>
                <w:szCs w:val="22"/>
              </w:rPr>
              <w:t> </w:t>
            </w:r>
            <w:r w:rsidRPr="00F842E9">
              <w:rPr>
                <w:b w:val="0"/>
                <w:szCs w:val="22"/>
              </w:rPr>
              <w:t>925.00</w:t>
            </w:r>
          </w:p>
        </w:tc>
      </w:tr>
      <w:tr w:rsidR="004C18AD" w:rsidRPr="00F842E9" w14:paraId="61E33F0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F38A50" w14:textId="77777777" w:rsidR="004C18AD" w:rsidRPr="0032437D" w:rsidRDefault="004C18AD" w:rsidP="00042C67">
            <w:pPr>
              <w:pStyle w:val="Tablehead"/>
              <w:jc w:val="left"/>
              <w:rPr>
                <w:b w:val="0"/>
                <w:szCs w:val="22"/>
                <w:lang w:val="fr-CH" w:eastAsia="zh-CN"/>
              </w:rPr>
            </w:pPr>
            <w:r w:rsidRPr="0032437D">
              <w:rPr>
                <w:rFonts w:cs="Calibri"/>
                <w:b w:val="0"/>
                <w:szCs w:val="22"/>
                <w:lang w:val="fr-FR" w:eastAsia="zh-CN"/>
              </w:rPr>
              <w:t>–</w:t>
            </w:r>
            <w:r w:rsidRPr="0032437D">
              <w:rPr>
                <w:rFonts w:cs="Calibri"/>
                <w:b w:val="0"/>
                <w:szCs w:val="22"/>
                <w:lang w:val="fr-FR" w:eastAsia="zh-CN"/>
              </w:rPr>
              <w:tab/>
            </w:r>
            <w:r w:rsidRPr="0032437D">
              <w:rPr>
                <w:rFonts w:cs="Microsoft YaHei" w:hint="eastAsia"/>
                <w:b w:val="0"/>
                <w:szCs w:val="22"/>
                <w:lang w:val="fr-FR" w:eastAsia="zh-CN"/>
              </w:rPr>
              <w:t>国家邮政及信息和通信技术研究所，阿尔及尔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E1034" w14:textId="77777777" w:rsidR="004C18AD" w:rsidRPr="00F842E9" w:rsidRDefault="004C18AD" w:rsidP="00042C67">
            <w:pPr>
              <w:pStyle w:val="Tablehead"/>
              <w:rPr>
                <w:b w:val="0"/>
                <w:szCs w:val="22"/>
              </w:rPr>
            </w:pPr>
            <w:r w:rsidRPr="00F842E9">
              <w:rPr>
                <w:b w:val="0"/>
                <w:szCs w:val="22"/>
              </w:rPr>
              <w:t>2012-2013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08DC2" w14:textId="77777777" w:rsidR="004C18AD" w:rsidRPr="00F842E9" w:rsidRDefault="004C18AD" w:rsidP="00042C67">
            <w:pPr>
              <w:pStyle w:val="Tablehead"/>
              <w:jc w:val="right"/>
              <w:rPr>
                <w:b w:val="0"/>
                <w:szCs w:val="22"/>
              </w:rPr>
            </w:pPr>
            <w:r w:rsidRPr="00F842E9">
              <w:rPr>
                <w:b w:val="0"/>
                <w:szCs w:val="22"/>
              </w:rPr>
              <w:t>3</w:t>
            </w:r>
            <w:r>
              <w:rPr>
                <w:b w:val="0"/>
                <w:szCs w:val="22"/>
              </w:rPr>
              <w:t> </w:t>
            </w:r>
            <w:r w:rsidRPr="00F842E9">
              <w:rPr>
                <w:b w:val="0"/>
                <w:szCs w:val="22"/>
              </w:rPr>
              <w:t>881.15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1068"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A2E" w14:textId="77777777" w:rsidR="004C18AD" w:rsidRPr="00F842E9" w:rsidRDefault="004C18AD" w:rsidP="00042C67">
            <w:pPr>
              <w:pStyle w:val="Tablehead"/>
              <w:jc w:val="right"/>
              <w:rPr>
                <w:b w:val="0"/>
                <w:szCs w:val="22"/>
              </w:rPr>
            </w:pPr>
            <w:r w:rsidRPr="00F842E9">
              <w:rPr>
                <w:b w:val="0"/>
                <w:szCs w:val="22"/>
              </w:rPr>
              <w:t>3</w:t>
            </w:r>
            <w:r>
              <w:rPr>
                <w:b w:val="0"/>
                <w:szCs w:val="22"/>
              </w:rPr>
              <w:t> </w:t>
            </w:r>
            <w:r w:rsidRPr="00F842E9">
              <w:rPr>
                <w:b w:val="0"/>
                <w:szCs w:val="22"/>
              </w:rPr>
              <w:t>881.15</w:t>
            </w:r>
          </w:p>
        </w:tc>
      </w:tr>
      <w:tr w:rsidR="004C18AD" w:rsidRPr="00910F82" w14:paraId="2718E2E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F6B57B" w14:textId="77777777" w:rsidR="004C18AD" w:rsidRPr="00F842E9" w:rsidRDefault="004C18AD" w:rsidP="00042C67">
            <w:pPr>
              <w:pStyle w:val="Tablehead"/>
              <w:jc w:val="left"/>
              <w:rPr>
                <w:szCs w:val="22"/>
                <w:lang w:eastAsia="zh-CN"/>
              </w:rPr>
            </w:pPr>
            <w:r>
              <w:rPr>
                <w:rFonts w:hint="eastAsia"/>
                <w:szCs w:val="22"/>
                <w:lang w:eastAsia="zh-CN"/>
              </w:rPr>
              <w:t>澳大利亚</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D0EC5"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C624C"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3E96F"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0969" w14:textId="77777777" w:rsidR="004C18AD" w:rsidRPr="00F842E9" w:rsidRDefault="004C18AD" w:rsidP="00042C67">
            <w:pPr>
              <w:pStyle w:val="Tablehead"/>
              <w:jc w:val="right"/>
              <w:rPr>
                <w:szCs w:val="22"/>
              </w:rPr>
            </w:pPr>
          </w:p>
        </w:tc>
      </w:tr>
      <w:tr w:rsidR="004C18AD" w:rsidRPr="00F842E9" w14:paraId="22C60480"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67984" w14:textId="77777777" w:rsidR="004C18AD" w:rsidRPr="0032437D" w:rsidRDefault="004C18AD" w:rsidP="00042C67">
            <w:pPr>
              <w:pStyle w:val="Tablehead"/>
              <w:jc w:val="left"/>
              <w:rPr>
                <w:b w:val="0"/>
                <w:szCs w:val="22"/>
                <w:lang w:eastAsia="zh-CN"/>
              </w:rPr>
            </w:pPr>
            <w:r w:rsidRPr="0032437D">
              <w:rPr>
                <w:rFonts w:cs="Calibri"/>
                <w:b w:val="0"/>
                <w:szCs w:val="22"/>
                <w:lang w:val="fr-FR"/>
              </w:rPr>
              <w:t>–</w:t>
            </w:r>
            <w:r w:rsidRPr="0032437D">
              <w:rPr>
                <w:rFonts w:cs="Calibri"/>
                <w:b w:val="0"/>
                <w:szCs w:val="22"/>
                <w:lang w:val="fr-FR"/>
              </w:rPr>
              <w:tab/>
              <w:t>NewSat</w:t>
            </w:r>
            <w:r w:rsidRPr="0032437D">
              <w:rPr>
                <w:rFonts w:cs="Calibri" w:hint="eastAsia"/>
                <w:b w:val="0"/>
                <w:szCs w:val="22"/>
                <w:lang w:val="fr-FR"/>
              </w:rPr>
              <w:t>有限公司，悉尼</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06124" w14:textId="77777777" w:rsidR="004C18AD" w:rsidRPr="00F842E9" w:rsidRDefault="004C18AD" w:rsidP="00042C67">
            <w:pPr>
              <w:pStyle w:val="Tablehead"/>
              <w:rPr>
                <w:b w:val="0"/>
                <w:szCs w:val="22"/>
              </w:rPr>
            </w:pPr>
            <w:r w:rsidRPr="00F842E9">
              <w:rPr>
                <w:b w:val="0"/>
                <w:szCs w:val="22"/>
              </w:rPr>
              <w:t>2015</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9805" w14:textId="77777777" w:rsidR="004C18AD" w:rsidRPr="00F842E9" w:rsidRDefault="004C18AD" w:rsidP="00042C67">
            <w:pPr>
              <w:pStyle w:val="Tablehead"/>
              <w:jc w:val="right"/>
              <w:rPr>
                <w:b w:val="0"/>
                <w:szCs w:val="22"/>
              </w:rPr>
            </w:pPr>
            <w:r w:rsidRPr="00F842E9">
              <w:rPr>
                <w:b w:val="0"/>
                <w:szCs w:val="22"/>
              </w:rPr>
              <w:t>5</w:t>
            </w:r>
            <w:r>
              <w:rPr>
                <w:b w:val="0"/>
                <w:szCs w:val="22"/>
              </w:rPr>
              <w:t> </w:t>
            </w:r>
            <w:r w:rsidRPr="00F842E9">
              <w:rPr>
                <w:b w:val="0"/>
                <w:szCs w:val="22"/>
              </w:rPr>
              <w:t>300.10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3B302"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7409A" w14:textId="77777777" w:rsidR="004C18AD" w:rsidRPr="00F842E9" w:rsidRDefault="004C18AD" w:rsidP="00042C67">
            <w:pPr>
              <w:pStyle w:val="Tablehead"/>
              <w:jc w:val="right"/>
              <w:rPr>
                <w:b w:val="0"/>
                <w:szCs w:val="22"/>
              </w:rPr>
            </w:pPr>
            <w:r w:rsidRPr="00F842E9">
              <w:rPr>
                <w:b w:val="0"/>
                <w:szCs w:val="22"/>
              </w:rPr>
              <w:t>5</w:t>
            </w:r>
            <w:r>
              <w:rPr>
                <w:b w:val="0"/>
                <w:szCs w:val="22"/>
              </w:rPr>
              <w:t> </w:t>
            </w:r>
            <w:r w:rsidRPr="00F842E9">
              <w:rPr>
                <w:b w:val="0"/>
                <w:szCs w:val="22"/>
              </w:rPr>
              <w:t>300.10</w:t>
            </w:r>
          </w:p>
        </w:tc>
      </w:tr>
      <w:tr w:rsidR="004C18AD" w:rsidRPr="00910F82" w14:paraId="22243BD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770F4" w14:textId="77777777" w:rsidR="004C18AD" w:rsidRPr="00F842E9" w:rsidRDefault="004C18AD" w:rsidP="00042C67">
            <w:pPr>
              <w:pStyle w:val="Tablehead"/>
              <w:jc w:val="left"/>
              <w:rPr>
                <w:szCs w:val="22"/>
                <w:lang w:eastAsia="zh-CN"/>
              </w:rPr>
            </w:pPr>
            <w:r>
              <w:rPr>
                <w:rFonts w:hint="eastAsia"/>
                <w:szCs w:val="22"/>
                <w:lang w:eastAsia="zh-CN"/>
              </w:rPr>
              <w:t>巴林</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4FAF0" w14:textId="77777777" w:rsidR="004C18AD" w:rsidRPr="00F842E9" w:rsidRDefault="004C18AD" w:rsidP="00042C67">
            <w:pPr>
              <w:pStyle w:val="Tablehead"/>
              <w:rPr>
                <w:szCs w:val="22"/>
              </w:rPr>
            </w:pPr>
            <w:r w:rsidRPr="00F842E9">
              <w:rPr>
                <w:szCs w:val="22"/>
              </w:rPr>
              <w:t> </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B88CD"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027A"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7F2A3" w14:textId="77777777" w:rsidR="004C18AD" w:rsidRPr="00F842E9" w:rsidRDefault="004C18AD" w:rsidP="00042C67">
            <w:pPr>
              <w:pStyle w:val="Tablehead"/>
              <w:jc w:val="right"/>
              <w:rPr>
                <w:szCs w:val="22"/>
              </w:rPr>
            </w:pPr>
          </w:p>
        </w:tc>
      </w:tr>
      <w:tr w:rsidR="004C18AD" w:rsidRPr="00F842E9" w14:paraId="118F8BC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8A535" w14:textId="77777777" w:rsidR="004C18AD" w:rsidRPr="00F842E9" w:rsidRDefault="004C18AD" w:rsidP="00042C67">
            <w:pPr>
              <w:pStyle w:val="Tablehead"/>
              <w:jc w:val="left"/>
              <w:rPr>
                <w:b w:val="0"/>
                <w:szCs w:val="22"/>
                <w:lang w:eastAsia="zh-CN"/>
              </w:rPr>
            </w:pPr>
            <w:r w:rsidRPr="002C1EFF">
              <w:rPr>
                <w:b w:val="0"/>
                <w:szCs w:val="22"/>
                <w:lang w:val="fr-FR" w:eastAsia="zh-CN"/>
              </w:rPr>
              <w:t>–</w:t>
            </w:r>
            <w:r w:rsidRPr="002C1EFF">
              <w:rPr>
                <w:b w:val="0"/>
                <w:szCs w:val="22"/>
                <w:lang w:val="fr-FR" w:eastAsia="zh-CN"/>
              </w:rPr>
              <w:tab/>
            </w:r>
            <w:r>
              <w:rPr>
                <w:b w:val="0"/>
                <w:szCs w:val="22"/>
                <w:lang w:eastAsia="zh-CN"/>
              </w:rPr>
              <w:t>Gateway Gulf LLC</w:t>
            </w:r>
            <w:r>
              <w:rPr>
                <w:rFonts w:hint="eastAsia"/>
                <w:b w:val="0"/>
                <w:szCs w:val="22"/>
                <w:lang w:eastAsia="zh-CN"/>
              </w:rPr>
              <w:t>，麦纳麦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D6FE" w14:textId="77777777" w:rsidR="004C18AD" w:rsidRPr="00F842E9" w:rsidRDefault="004C18AD" w:rsidP="00042C67">
            <w:pPr>
              <w:pStyle w:val="Tablehead"/>
              <w:rPr>
                <w:b w:val="0"/>
                <w:szCs w:val="22"/>
              </w:rPr>
            </w:pPr>
            <w:r w:rsidRPr="00F842E9">
              <w:rPr>
                <w:b w:val="0"/>
                <w:szCs w:val="22"/>
              </w:rPr>
              <w:t>2010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A7F7" w14:textId="77777777" w:rsidR="004C18AD" w:rsidRPr="00F842E9" w:rsidRDefault="004C18AD" w:rsidP="00042C67">
            <w:pPr>
              <w:pStyle w:val="Tablehead"/>
              <w:jc w:val="right"/>
              <w:rPr>
                <w:b w:val="0"/>
                <w:szCs w:val="22"/>
              </w:rPr>
            </w:pPr>
            <w:r w:rsidRPr="00F842E9">
              <w:rPr>
                <w:b w:val="0"/>
                <w:szCs w:val="22"/>
              </w:rPr>
              <w:t>7</w:t>
            </w:r>
            <w:r>
              <w:rPr>
                <w:b w:val="0"/>
                <w:szCs w:val="22"/>
              </w:rPr>
              <w:t> </w:t>
            </w:r>
            <w:r w:rsidRPr="00F842E9">
              <w:rPr>
                <w:b w:val="0"/>
                <w:szCs w:val="22"/>
              </w:rPr>
              <w:t>828.75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27277"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E20DD" w14:textId="77777777" w:rsidR="004C18AD" w:rsidRPr="00F842E9" w:rsidRDefault="004C18AD" w:rsidP="00042C67">
            <w:pPr>
              <w:pStyle w:val="Tablehead"/>
              <w:jc w:val="right"/>
              <w:rPr>
                <w:b w:val="0"/>
                <w:szCs w:val="22"/>
              </w:rPr>
            </w:pPr>
            <w:r w:rsidRPr="00F842E9">
              <w:rPr>
                <w:b w:val="0"/>
                <w:szCs w:val="22"/>
              </w:rPr>
              <w:t>7</w:t>
            </w:r>
            <w:r>
              <w:rPr>
                <w:b w:val="0"/>
                <w:szCs w:val="22"/>
              </w:rPr>
              <w:t> </w:t>
            </w:r>
            <w:r w:rsidRPr="00F842E9">
              <w:rPr>
                <w:b w:val="0"/>
                <w:szCs w:val="22"/>
              </w:rPr>
              <w:t>828.75</w:t>
            </w:r>
          </w:p>
        </w:tc>
      </w:tr>
      <w:tr w:rsidR="004C18AD" w:rsidRPr="00910F82" w14:paraId="42B309E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18AA3" w14:textId="77777777" w:rsidR="004C18AD" w:rsidRPr="00F842E9" w:rsidRDefault="004C18AD" w:rsidP="00042C67">
            <w:pPr>
              <w:pStyle w:val="Tablehead"/>
              <w:jc w:val="left"/>
              <w:rPr>
                <w:szCs w:val="22"/>
                <w:lang w:eastAsia="zh-CN"/>
              </w:rPr>
            </w:pPr>
            <w:r>
              <w:rPr>
                <w:rFonts w:hint="eastAsia"/>
                <w:szCs w:val="22"/>
                <w:lang w:eastAsia="zh-CN"/>
              </w:rPr>
              <w:t>博茨瓦纳</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5E0A"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82C5"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990F1"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A2B10" w14:textId="77777777" w:rsidR="004C18AD" w:rsidRPr="00F842E9" w:rsidRDefault="004C18AD" w:rsidP="00042C67">
            <w:pPr>
              <w:pStyle w:val="Tablehead"/>
              <w:jc w:val="right"/>
              <w:rPr>
                <w:szCs w:val="22"/>
              </w:rPr>
            </w:pPr>
          </w:p>
        </w:tc>
      </w:tr>
      <w:tr w:rsidR="004C18AD" w:rsidRPr="00F842E9" w14:paraId="2EBA8FA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F13B7" w14:textId="77777777" w:rsidR="004C18AD" w:rsidRPr="00F842E9" w:rsidRDefault="004C18AD" w:rsidP="00042C67">
            <w:pPr>
              <w:pStyle w:val="Tablehead"/>
              <w:jc w:val="left"/>
              <w:rPr>
                <w:b w:val="0"/>
                <w:szCs w:val="22"/>
                <w:lang w:eastAsia="zh-CN"/>
              </w:rPr>
            </w:pPr>
            <w:r w:rsidRPr="002C1EFF">
              <w:rPr>
                <w:b w:val="0"/>
                <w:szCs w:val="22"/>
                <w:lang w:val="fr-FR" w:eastAsia="zh-CN"/>
              </w:rPr>
              <w:t>–</w:t>
            </w:r>
            <w:r w:rsidRPr="002C1EFF">
              <w:rPr>
                <w:b w:val="0"/>
                <w:szCs w:val="22"/>
                <w:lang w:val="fr-FR" w:eastAsia="zh-CN"/>
              </w:rPr>
              <w:tab/>
            </w:r>
            <w:r>
              <w:rPr>
                <w:rFonts w:hint="eastAsia"/>
                <w:b w:val="0"/>
                <w:szCs w:val="22"/>
                <w:lang w:eastAsia="zh-CN"/>
              </w:rPr>
              <w:t>博茨瓦纳无线网络公司，</w:t>
            </w:r>
            <w:r w:rsidRPr="00755845">
              <w:rPr>
                <w:rFonts w:hint="eastAsia"/>
                <w:b w:val="0"/>
                <w:szCs w:val="22"/>
                <w:lang w:eastAsia="zh-CN"/>
              </w:rPr>
              <w:t>哈博罗内</w:t>
            </w:r>
            <w:r>
              <w:rPr>
                <w:b w:val="0"/>
                <w:szCs w:val="22"/>
                <w:lang w:eastAsia="zh-CN"/>
              </w:rPr>
              <w:t xml:space="preserve"> </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453E9" w14:textId="77777777" w:rsidR="004C18AD" w:rsidRPr="00F842E9" w:rsidRDefault="004C18AD" w:rsidP="00042C67">
            <w:pPr>
              <w:pStyle w:val="Tablehead"/>
              <w:rPr>
                <w:b w:val="0"/>
                <w:szCs w:val="22"/>
              </w:rPr>
            </w:pPr>
            <w:r w:rsidRPr="00F842E9">
              <w:rPr>
                <w:b w:val="0"/>
                <w:szCs w:val="22"/>
              </w:rPr>
              <w:t>2019-2020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D1DC" w14:textId="77777777" w:rsidR="004C18AD" w:rsidRPr="00F842E9" w:rsidRDefault="004C18AD" w:rsidP="00042C67">
            <w:pPr>
              <w:pStyle w:val="Tablehead"/>
              <w:jc w:val="right"/>
              <w:rPr>
                <w:b w:val="0"/>
                <w:szCs w:val="22"/>
              </w:rPr>
            </w:pPr>
            <w:r w:rsidRPr="00F842E9">
              <w:rPr>
                <w:b w:val="0"/>
                <w:szCs w:val="22"/>
              </w:rPr>
              <w:t>11</w:t>
            </w:r>
            <w:r>
              <w:rPr>
                <w:b w:val="0"/>
                <w:szCs w:val="22"/>
              </w:rPr>
              <w:t> </w:t>
            </w:r>
            <w:r w:rsidRPr="00F842E9">
              <w:rPr>
                <w:b w:val="0"/>
                <w:szCs w:val="22"/>
              </w:rPr>
              <w:t>590.55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6B1F3"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586A0" w14:textId="77777777" w:rsidR="004C18AD" w:rsidRPr="00F842E9" w:rsidRDefault="004C18AD" w:rsidP="00042C67">
            <w:pPr>
              <w:pStyle w:val="Tablehead"/>
              <w:jc w:val="right"/>
              <w:rPr>
                <w:b w:val="0"/>
                <w:szCs w:val="22"/>
              </w:rPr>
            </w:pPr>
            <w:r w:rsidRPr="00F842E9">
              <w:rPr>
                <w:b w:val="0"/>
                <w:szCs w:val="22"/>
              </w:rPr>
              <w:t>11</w:t>
            </w:r>
            <w:r>
              <w:rPr>
                <w:b w:val="0"/>
                <w:szCs w:val="22"/>
              </w:rPr>
              <w:t> </w:t>
            </w:r>
            <w:r w:rsidRPr="00F842E9">
              <w:rPr>
                <w:b w:val="0"/>
                <w:szCs w:val="22"/>
              </w:rPr>
              <w:t>590.55</w:t>
            </w:r>
          </w:p>
        </w:tc>
      </w:tr>
      <w:tr w:rsidR="004C18AD" w:rsidRPr="00910F82" w14:paraId="1ACAC5B6"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6BABC" w14:textId="77777777" w:rsidR="004C18AD" w:rsidRPr="00F842E9" w:rsidRDefault="004C18AD" w:rsidP="00042C67">
            <w:pPr>
              <w:pStyle w:val="Tablehead"/>
              <w:jc w:val="left"/>
              <w:rPr>
                <w:szCs w:val="22"/>
                <w:lang w:eastAsia="zh-CN"/>
              </w:rPr>
            </w:pPr>
            <w:r>
              <w:rPr>
                <w:rFonts w:hint="eastAsia"/>
                <w:szCs w:val="22"/>
                <w:lang w:eastAsia="zh-CN"/>
              </w:rPr>
              <w:t>巴西</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A4CC"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D1289"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CBEE0"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37E8D" w14:textId="77777777" w:rsidR="004C18AD" w:rsidRPr="00F842E9" w:rsidRDefault="004C18AD" w:rsidP="00042C67">
            <w:pPr>
              <w:pStyle w:val="Tablehead"/>
              <w:jc w:val="right"/>
              <w:rPr>
                <w:szCs w:val="22"/>
              </w:rPr>
            </w:pPr>
          </w:p>
        </w:tc>
      </w:tr>
      <w:tr w:rsidR="004C18AD" w:rsidRPr="00F842E9" w14:paraId="66257C5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0F8C77" w14:textId="77777777" w:rsidR="004C18AD" w:rsidRPr="00F842E9" w:rsidRDefault="004C18AD" w:rsidP="00042C67">
            <w:pPr>
              <w:pStyle w:val="Tablehead"/>
              <w:jc w:val="left"/>
              <w:rPr>
                <w:b w:val="0"/>
                <w:szCs w:val="22"/>
                <w:lang w:eastAsia="zh-CN"/>
              </w:rPr>
            </w:pPr>
            <w:r w:rsidRPr="002C1EFF">
              <w:rPr>
                <w:b w:val="0"/>
                <w:szCs w:val="22"/>
                <w:lang w:val="fr-FR" w:eastAsia="zh-CN"/>
              </w:rPr>
              <w:t>–</w:t>
            </w:r>
            <w:r w:rsidRPr="002C1EFF">
              <w:rPr>
                <w:b w:val="0"/>
                <w:szCs w:val="22"/>
                <w:lang w:val="fr-FR" w:eastAsia="zh-CN"/>
              </w:rPr>
              <w:tab/>
            </w:r>
            <w:r w:rsidRPr="00755845">
              <w:rPr>
                <w:rFonts w:hint="eastAsia"/>
                <w:b w:val="0"/>
                <w:szCs w:val="22"/>
                <w:lang w:eastAsia="zh-CN"/>
              </w:rPr>
              <w:t>巴西国家电信研究院（</w:t>
            </w:r>
            <w:r w:rsidRPr="00755845">
              <w:rPr>
                <w:rFonts w:hint="eastAsia"/>
                <w:b w:val="0"/>
                <w:szCs w:val="22"/>
                <w:lang w:eastAsia="zh-CN"/>
              </w:rPr>
              <w:t>FINATEL</w:t>
            </w:r>
            <w:r w:rsidRPr="00755845">
              <w:rPr>
                <w:rFonts w:hint="eastAsia"/>
                <w:b w:val="0"/>
                <w:szCs w:val="22"/>
                <w:lang w:eastAsia="zh-CN"/>
              </w:rPr>
              <w:t>）</w:t>
            </w:r>
            <w:r>
              <w:rPr>
                <w:rFonts w:hint="eastAsia"/>
                <w:b w:val="0"/>
                <w:szCs w:val="22"/>
                <w:lang w:eastAsia="zh-CN"/>
              </w:rPr>
              <w:t>，</w:t>
            </w:r>
            <w:r w:rsidRPr="00755845">
              <w:rPr>
                <w:rFonts w:hint="eastAsia"/>
                <w:b w:val="0"/>
                <w:szCs w:val="22"/>
                <w:lang w:eastAsia="zh-CN"/>
              </w:rPr>
              <w:t>圣丽塔</w:t>
            </w:r>
            <w:r w:rsidRPr="00755845">
              <w:rPr>
                <w:rFonts w:hint="eastAsia"/>
                <w:b w:val="0"/>
                <w:szCs w:val="22"/>
                <w:lang w:eastAsia="zh-CN"/>
              </w:rPr>
              <w:t>-</w:t>
            </w:r>
            <w:r w:rsidRPr="00755845">
              <w:rPr>
                <w:rFonts w:hint="eastAsia"/>
                <w:b w:val="0"/>
                <w:szCs w:val="22"/>
                <w:lang w:eastAsia="zh-CN"/>
              </w:rPr>
              <w:t>杜萨普卡伊</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C97A9" w14:textId="77777777" w:rsidR="004C18AD" w:rsidRPr="00F842E9" w:rsidRDefault="004C18AD" w:rsidP="00042C67">
            <w:pPr>
              <w:pStyle w:val="Tablehead"/>
              <w:rPr>
                <w:b w:val="0"/>
                <w:szCs w:val="22"/>
              </w:rPr>
            </w:pPr>
            <w:r w:rsidRPr="00F842E9">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2ED8E" w14:textId="77777777" w:rsidR="004C18AD" w:rsidRPr="00F842E9" w:rsidRDefault="004C18AD" w:rsidP="00042C67">
            <w:pPr>
              <w:pStyle w:val="Tablehead"/>
              <w:jc w:val="right"/>
              <w:rPr>
                <w:b w:val="0"/>
                <w:szCs w:val="22"/>
              </w:rPr>
            </w:pPr>
            <w:r w:rsidRPr="00F842E9">
              <w:rPr>
                <w:b w:val="0"/>
                <w:szCs w:val="22"/>
              </w:rPr>
              <w:t>4</w:t>
            </w:r>
            <w:r>
              <w:rPr>
                <w:b w:val="0"/>
                <w:szCs w:val="22"/>
              </w:rPr>
              <w:t> </w:t>
            </w:r>
            <w:r w:rsidRPr="00F842E9">
              <w:rPr>
                <w:b w:val="0"/>
                <w:szCs w:val="22"/>
              </w:rPr>
              <w:t>213.50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06582"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30F0E" w14:textId="77777777" w:rsidR="004C18AD" w:rsidRPr="00F842E9" w:rsidRDefault="004C18AD" w:rsidP="00042C67">
            <w:pPr>
              <w:pStyle w:val="Tablehead"/>
              <w:jc w:val="right"/>
              <w:rPr>
                <w:b w:val="0"/>
                <w:szCs w:val="22"/>
              </w:rPr>
            </w:pPr>
            <w:r w:rsidRPr="00F842E9">
              <w:rPr>
                <w:b w:val="0"/>
                <w:szCs w:val="22"/>
              </w:rPr>
              <w:t>4</w:t>
            </w:r>
            <w:r>
              <w:rPr>
                <w:b w:val="0"/>
                <w:szCs w:val="22"/>
              </w:rPr>
              <w:t> </w:t>
            </w:r>
            <w:r w:rsidRPr="00F842E9">
              <w:rPr>
                <w:b w:val="0"/>
                <w:szCs w:val="22"/>
              </w:rPr>
              <w:t>213.50</w:t>
            </w:r>
          </w:p>
        </w:tc>
      </w:tr>
      <w:tr w:rsidR="004C18AD" w:rsidRPr="00910F82" w14:paraId="19A7FA9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F801A" w14:textId="77777777" w:rsidR="004C18AD" w:rsidRPr="00F842E9" w:rsidRDefault="004C18AD" w:rsidP="00042C67">
            <w:pPr>
              <w:pStyle w:val="Tablehead"/>
              <w:jc w:val="left"/>
              <w:rPr>
                <w:szCs w:val="22"/>
                <w:lang w:eastAsia="zh-CN"/>
              </w:rPr>
            </w:pPr>
            <w:r>
              <w:rPr>
                <w:rFonts w:hint="eastAsia"/>
                <w:szCs w:val="22"/>
                <w:lang w:eastAsia="zh-CN"/>
              </w:rPr>
              <w:t>布基纳法索</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23A44"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20DDC"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A6B84"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B8270" w14:textId="77777777" w:rsidR="004C18AD" w:rsidRPr="00F842E9" w:rsidRDefault="004C18AD" w:rsidP="00042C67">
            <w:pPr>
              <w:pStyle w:val="Tablehead"/>
              <w:jc w:val="right"/>
              <w:rPr>
                <w:szCs w:val="22"/>
              </w:rPr>
            </w:pPr>
          </w:p>
        </w:tc>
      </w:tr>
      <w:tr w:rsidR="004C18AD" w:rsidRPr="00F842E9" w14:paraId="02093F7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4A4DB" w14:textId="77777777" w:rsidR="004C18AD" w:rsidRPr="0032437D" w:rsidRDefault="004C18AD" w:rsidP="00042C67">
            <w:pPr>
              <w:pStyle w:val="Tablehead"/>
              <w:jc w:val="left"/>
              <w:rPr>
                <w:b w:val="0"/>
                <w:szCs w:val="22"/>
                <w:lang w:eastAsia="zh-CN"/>
              </w:rPr>
            </w:pPr>
            <w:r w:rsidRPr="0032437D">
              <w:rPr>
                <w:rFonts w:cs="Calibri"/>
                <w:b w:val="0"/>
                <w:szCs w:val="22"/>
              </w:rPr>
              <w:t>–</w:t>
            </w:r>
            <w:r w:rsidRPr="0032437D">
              <w:rPr>
                <w:rFonts w:cs="Calibri"/>
                <w:b w:val="0"/>
                <w:szCs w:val="22"/>
              </w:rPr>
              <w:tab/>
            </w:r>
            <w:r w:rsidRPr="0032437D">
              <w:rPr>
                <w:rFonts w:cs="Calibri" w:hint="eastAsia"/>
                <w:b w:val="0"/>
                <w:szCs w:val="22"/>
              </w:rPr>
              <w:t>ONATEL</w:t>
            </w:r>
            <w:r w:rsidRPr="0032437D">
              <w:rPr>
                <w:rFonts w:cs="Calibri" w:hint="eastAsia"/>
                <w:b w:val="0"/>
                <w:szCs w:val="22"/>
                <w:lang w:eastAsia="zh-CN"/>
              </w:rPr>
              <w:t>，</w:t>
            </w:r>
            <w:r w:rsidRPr="0032437D">
              <w:rPr>
                <w:rFonts w:cs="Calibri" w:hint="eastAsia"/>
                <w:b w:val="0"/>
                <w:szCs w:val="22"/>
              </w:rPr>
              <w:t>瓦加杜古</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53C06" w14:textId="77777777" w:rsidR="004C18AD" w:rsidRPr="00F842E9" w:rsidRDefault="004C18AD" w:rsidP="00042C67">
            <w:pPr>
              <w:pStyle w:val="Tablehead"/>
              <w:rPr>
                <w:b w:val="0"/>
                <w:szCs w:val="22"/>
              </w:rPr>
            </w:pPr>
            <w:r w:rsidRPr="00F842E9">
              <w:rPr>
                <w:b w:val="0"/>
                <w:szCs w:val="22"/>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CA38C" w14:textId="77777777" w:rsidR="004C18AD" w:rsidRPr="00F842E9" w:rsidRDefault="004C18AD" w:rsidP="00042C67">
            <w:pPr>
              <w:pStyle w:val="Tablehead"/>
              <w:jc w:val="right"/>
              <w:rPr>
                <w:b w:val="0"/>
                <w:szCs w:val="22"/>
              </w:rPr>
            </w:pPr>
            <w:r w:rsidRPr="00F842E9">
              <w:rPr>
                <w:b w:val="0"/>
                <w:szCs w:val="22"/>
              </w:rPr>
              <w:t>4</w:t>
            </w:r>
            <w:r>
              <w:rPr>
                <w:b w:val="0"/>
                <w:szCs w:val="22"/>
              </w:rPr>
              <w:t> </w:t>
            </w:r>
            <w:r w:rsidRPr="00F842E9">
              <w:rPr>
                <w:b w:val="0"/>
                <w:szCs w:val="22"/>
              </w:rPr>
              <w:t>633.80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04E0"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70F77" w14:textId="77777777" w:rsidR="004C18AD" w:rsidRPr="00F842E9" w:rsidRDefault="004C18AD" w:rsidP="00042C67">
            <w:pPr>
              <w:pStyle w:val="Tablehead"/>
              <w:jc w:val="right"/>
              <w:rPr>
                <w:b w:val="0"/>
                <w:szCs w:val="22"/>
              </w:rPr>
            </w:pPr>
            <w:r w:rsidRPr="00F842E9">
              <w:rPr>
                <w:b w:val="0"/>
                <w:szCs w:val="22"/>
              </w:rPr>
              <w:t>4</w:t>
            </w:r>
            <w:r>
              <w:rPr>
                <w:b w:val="0"/>
                <w:szCs w:val="22"/>
              </w:rPr>
              <w:t> </w:t>
            </w:r>
            <w:r w:rsidRPr="00F842E9">
              <w:rPr>
                <w:b w:val="0"/>
                <w:szCs w:val="22"/>
              </w:rPr>
              <w:t>633.80</w:t>
            </w:r>
          </w:p>
        </w:tc>
      </w:tr>
      <w:tr w:rsidR="004C18AD" w:rsidRPr="00910F82" w14:paraId="0A738995"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3AB97" w14:textId="77777777" w:rsidR="004C18AD" w:rsidRPr="00F842E9" w:rsidRDefault="004C18AD" w:rsidP="00042C67">
            <w:pPr>
              <w:pStyle w:val="Tablehead"/>
              <w:jc w:val="left"/>
              <w:rPr>
                <w:szCs w:val="22"/>
                <w:lang w:eastAsia="zh-CN"/>
              </w:rPr>
            </w:pPr>
            <w:r>
              <w:rPr>
                <w:rFonts w:hint="eastAsia"/>
                <w:szCs w:val="22"/>
                <w:lang w:eastAsia="zh-CN"/>
              </w:rPr>
              <w:t>柬埔寨</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A9C05"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04654"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6EE8B"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9FEDF" w14:textId="77777777" w:rsidR="004C18AD" w:rsidRPr="00F842E9" w:rsidRDefault="004C18AD" w:rsidP="00042C67">
            <w:pPr>
              <w:pStyle w:val="Tablehead"/>
              <w:jc w:val="right"/>
              <w:rPr>
                <w:szCs w:val="22"/>
              </w:rPr>
            </w:pPr>
          </w:p>
        </w:tc>
      </w:tr>
      <w:tr w:rsidR="004C18AD" w:rsidRPr="00F842E9" w14:paraId="40CDF4F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1C112" w14:textId="77777777" w:rsidR="004C18AD" w:rsidRPr="00F842E9" w:rsidRDefault="004C18AD" w:rsidP="00042C67">
            <w:pPr>
              <w:pStyle w:val="Tablehead"/>
              <w:jc w:val="left"/>
              <w:rPr>
                <w:b w:val="0"/>
                <w:szCs w:val="22"/>
                <w:lang w:eastAsia="zh-CN"/>
              </w:rPr>
            </w:pPr>
            <w:r w:rsidRPr="002C1EFF">
              <w:rPr>
                <w:b w:val="0"/>
                <w:szCs w:val="22"/>
                <w:lang w:val="fr-FR" w:eastAsia="zh-CN"/>
              </w:rPr>
              <w:t>–</w:t>
            </w:r>
            <w:r w:rsidRPr="002C1EFF">
              <w:rPr>
                <w:b w:val="0"/>
                <w:szCs w:val="22"/>
                <w:lang w:val="fr-FR" w:eastAsia="zh-CN"/>
              </w:rPr>
              <w:tab/>
            </w:r>
            <w:r w:rsidRPr="001800F7">
              <w:rPr>
                <w:rFonts w:hint="eastAsia"/>
                <w:b w:val="0"/>
                <w:szCs w:val="22"/>
                <w:lang w:eastAsia="zh-CN"/>
              </w:rPr>
              <w:t>全威电子有限公司</w:t>
            </w:r>
            <w:r>
              <w:rPr>
                <w:rFonts w:hint="eastAsia"/>
                <w:b w:val="0"/>
                <w:szCs w:val="22"/>
                <w:lang w:eastAsia="zh-CN"/>
              </w:rPr>
              <w:t>，金边</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87BE5" w14:textId="77777777" w:rsidR="004C18AD" w:rsidRPr="00F842E9" w:rsidRDefault="004C18AD" w:rsidP="00042C67">
            <w:pPr>
              <w:pStyle w:val="Tablehead"/>
              <w:rPr>
                <w:b w:val="0"/>
                <w:szCs w:val="22"/>
              </w:rPr>
            </w:pPr>
            <w:r w:rsidRPr="00F842E9">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5EE69" w14:textId="77777777" w:rsidR="004C18AD" w:rsidRPr="00F842E9" w:rsidRDefault="004C18AD" w:rsidP="00042C67">
            <w:pPr>
              <w:pStyle w:val="Tablehead"/>
              <w:jc w:val="right"/>
              <w:rPr>
                <w:b w:val="0"/>
                <w:szCs w:val="22"/>
              </w:rPr>
            </w:pPr>
            <w:r w:rsidRPr="00F842E9">
              <w:rPr>
                <w:b w:val="0"/>
                <w:szCs w:val="22"/>
              </w:rPr>
              <w:t>8</w:t>
            </w:r>
            <w:r>
              <w:rPr>
                <w:b w:val="0"/>
                <w:szCs w:val="22"/>
              </w:rPr>
              <w:t> </w:t>
            </w:r>
            <w:r w:rsidRPr="00F842E9">
              <w:rPr>
                <w:b w:val="0"/>
                <w:szCs w:val="22"/>
              </w:rPr>
              <w:t>490.25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81366"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D276A" w14:textId="77777777" w:rsidR="004C18AD" w:rsidRPr="00F842E9" w:rsidRDefault="004C18AD" w:rsidP="00042C67">
            <w:pPr>
              <w:pStyle w:val="Tablehead"/>
              <w:jc w:val="right"/>
              <w:rPr>
                <w:b w:val="0"/>
                <w:szCs w:val="22"/>
              </w:rPr>
            </w:pPr>
            <w:r w:rsidRPr="00F842E9">
              <w:rPr>
                <w:b w:val="0"/>
                <w:szCs w:val="22"/>
              </w:rPr>
              <w:t>8</w:t>
            </w:r>
            <w:r>
              <w:rPr>
                <w:b w:val="0"/>
                <w:szCs w:val="22"/>
              </w:rPr>
              <w:t> </w:t>
            </w:r>
            <w:r w:rsidRPr="00F842E9">
              <w:rPr>
                <w:b w:val="0"/>
                <w:szCs w:val="22"/>
              </w:rPr>
              <w:t>490.25</w:t>
            </w:r>
          </w:p>
        </w:tc>
      </w:tr>
      <w:tr w:rsidR="004C18AD" w:rsidRPr="00910F82" w14:paraId="46715FD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C3B78" w14:textId="77777777" w:rsidR="004C18AD" w:rsidRPr="00F842E9" w:rsidRDefault="004C18AD" w:rsidP="00042C67">
            <w:pPr>
              <w:pStyle w:val="Tablehead"/>
              <w:jc w:val="left"/>
              <w:rPr>
                <w:szCs w:val="22"/>
                <w:lang w:eastAsia="zh-CN"/>
              </w:rPr>
            </w:pPr>
            <w:r>
              <w:rPr>
                <w:rFonts w:hint="eastAsia"/>
                <w:szCs w:val="22"/>
                <w:lang w:eastAsia="zh-CN"/>
              </w:rPr>
              <w:t>中国</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2EDA"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C4D3E"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C1AAB"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7CF1C" w14:textId="77777777" w:rsidR="004C18AD" w:rsidRPr="00F842E9" w:rsidRDefault="004C18AD" w:rsidP="00042C67">
            <w:pPr>
              <w:pStyle w:val="Tablehead"/>
              <w:jc w:val="right"/>
              <w:rPr>
                <w:szCs w:val="22"/>
              </w:rPr>
            </w:pPr>
          </w:p>
        </w:tc>
      </w:tr>
      <w:tr w:rsidR="004C18AD" w:rsidRPr="00F842E9" w14:paraId="22B136F9"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762F1F" w14:textId="77777777" w:rsidR="004C18AD" w:rsidRPr="00F842E9" w:rsidRDefault="004C18AD" w:rsidP="00042C67">
            <w:pPr>
              <w:pStyle w:val="Tablehead"/>
              <w:jc w:val="left"/>
              <w:rPr>
                <w:b w:val="0"/>
                <w:szCs w:val="22"/>
                <w:lang w:eastAsia="zh-CN"/>
              </w:rPr>
            </w:pPr>
            <w:r w:rsidRPr="000C156A">
              <w:rPr>
                <w:szCs w:val="22"/>
                <w:lang w:eastAsia="zh-CN"/>
              </w:rPr>
              <w:t>–</w:t>
            </w:r>
            <w:r w:rsidRPr="000C156A">
              <w:rPr>
                <w:szCs w:val="22"/>
                <w:lang w:eastAsia="zh-CN"/>
              </w:rPr>
              <w:tab/>
            </w:r>
            <w:r w:rsidRPr="00941759">
              <w:rPr>
                <w:rFonts w:cs="Calibri" w:hint="eastAsia"/>
                <w:b w:val="0"/>
                <w:bCs/>
                <w:szCs w:val="22"/>
                <w:lang w:val="fr-FR" w:eastAsia="zh-CN"/>
              </w:rPr>
              <w:t>电讯盈科有限公司</w:t>
            </w:r>
            <w:r w:rsidRPr="00941759">
              <w:rPr>
                <w:rFonts w:hint="eastAsia"/>
                <w:b w:val="0"/>
                <w:bCs/>
                <w:szCs w:val="22"/>
                <w:lang w:eastAsia="zh-CN"/>
              </w:rPr>
              <w:t>，香港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A6956" w14:textId="77777777" w:rsidR="004C18AD" w:rsidRPr="00F842E9" w:rsidRDefault="004C18AD" w:rsidP="00042C67">
            <w:pPr>
              <w:pStyle w:val="Tablehead"/>
              <w:rPr>
                <w:b w:val="0"/>
                <w:szCs w:val="22"/>
              </w:rPr>
            </w:pPr>
            <w:r w:rsidRPr="00F842E9">
              <w:rPr>
                <w:b w:val="0"/>
                <w:szCs w:val="22"/>
              </w:rPr>
              <w:t>2002-2006</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80778" w14:textId="77777777" w:rsidR="004C18AD" w:rsidRPr="00F842E9" w:rsidRDefault="004C18AD" w:rsidP="00042C67">
            <w:pPr>
              <w:pStyle w:val="Tablehead"/>
              <w:jc w:val="right"/>
              <w:rPr>
                <w:b w:val="0"/>
                <w:szCs w:val="22"/>
              </w:rPr>
            </w:pPr>
            <w:r w:rsidRPr="00F842E9">
              <w:rPr>
                <w:b w:val="0"/>
                <w:szCs w:val="22"/>
              </w:rPr>
              <w:t>1</w:t>
            </w:r>
            <w:r>
              <w:rPr>
                <w:b w:val="0"/>
                <w:szCs w:val="22"/>
              </w:rPr>
              <w:t> </w:t>
            </w:r>
            <w:r w:rsidRPr="00F842E9">
              <w:rPr>
                <w:b w:val="0"/>
                <w:szCs w:val="22"/>
              </w:rPr>
              <w:t>207</w:t>
            </w:r>
            <w:r>
              <w:rPr>
                <w:b w:val="0"/>
                <w:szCs w:val="22"/>
              </w:rPr>
              <w:t> </w:t>
            </w:r>
            <w:r w:rsidRPr="00F842E9">
              <w:rPr>
                <w:b w:val="0"/>
                <w:szCs w:val="22"/>
              </w:rPr>
              <w:t>679.35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370EB"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FB78C" w14:textId="77777777" w:rsidR="004C18AD" w:rsidRPr="00F842E9" w:rsidRDefault="004C18AD" w:rsidP="00042C67">
            <w:pPr>
              <w:pStyle w:val="Tablehead"/>
              <w:jc w:val="right"/>
              <w:rPr>
                <w:b w:val="0"/>
                <w:szCs w:val="22"/>
              </w:rPr>
            </w:pPr>
            <w:r w:rsidRPr="00F842E9">
              <w:rPr>
                <w:b w:val="0"/>
                <w:szCs w:val="22"/>
              </w:rPr>
              <w:t>1</w:t>
            </w:r>
            <w:r>
              <w:rPr>
                <w:b w:val="0"/>
                <w:szCs w:val="22"/>
              </w:rPr>
              <w:t> </w:t>
            </w:r>
            <w:r w:rsidRPr="00F842E9">
              <w:rPr>
                <w:b w:val="0"/>
                <w:szCs w:val="22"/>
              </w:rPr>
              <w:t>207</w:t>
            </w:r>
            <w:r>
              <w:rPr>
                <w:b w:val="0"/>
                <w:szCs w:val="22"/>
              </w:rPr>
              <w:t> </w:t>
            </w:r>
            <w:r w:rsidRPr="00F842E9">
              <w:rPr>
                <w:b w:val="0"/>
                <w:szCs w:val="22"/>
              </w:rPr>
              <w:t>679.35</w:t>
            </w:r>
          </w:p>
        </w:tc>
      </w:tr>
      <w:tr w:rsidR="004C18AD" w:rsidRPr="00F842E9" w14:paraId="03248DC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6C261" w14:textId="77777777" w:rsidR="004C18AD" w:rsidRPr="00F842E9" w:rsidRDefault="004C18AD" w:rsidP="00042C67">
            <w:pPr>
              <w:pStyle w:val="Tablehead"/>
              <w:jc w:val="left"/>
              <w:rPr>
                <w:b w:val="0"/>
                <w:szCs w:val="22"/>
                <w:lang w:eastAsia="zh-CN"/>
              </w:rPr>
            </w:pPr>
            <w:r w:rsidRPr="002C1EFF">
              <w:rPr>
                <w:b w:val="0"/>
                <w:szCs w:val="22"/>
                <w:lang w:val="fr-FR" w:eastAsia="zh-CN"/>
              </w:rPr>
              <w:t>–</w:t>
            </w:r>
            <w:r w:rsidRPr="002C1EFF">
              <w:rPr>
                <w:b w:val="0"/>
                <w:szCs w:val="22"/>
                <w:lang w:val="fr-FR" w:eastAsia="zh-CN"/>
              </w:rPr>
              <w:tab/>
            </w:r>
            <w:r w:rsidRPr="001800F7">
              <w:rPr>
                <w:rFonts w:hint="eastAsia"/>
                <w:b w:val="0"/>
                <w:szCs w:val="22"/>
                <w:lang w:eastAsia="zh-CN"/>
              </w:rPr>
              <w:t>永新华运文化发展公司</w:t>
            </w:r>
            <w:r>
              <w:rPr>
                <w:rFonts w:hint="eastAsia"/>
                <w:b w:val="0"/>
                <w:szCs w:val="22"/>
                <w:lang w:eastAsia="zh-CN"/>
              </w:rPr>
              <w:t>，北京</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BC77F" w14:textId="77777777" w:rsidR="004C18AD" w:rsidRPr="00F842E9" w:rsidRDefault="004C18AD" w:rsidP="00042C67">
            <w:pPr>
              <w:pStyle w:val="Tablehead"/>
              <w:rPr>
                <w:b w:val="0"/>
                <w:szCs w:val="22"/>
              </w:rPr>
            </w:pPr>
            <w:r w:rsidRPr="00F842E9">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3F2F" w14:textId="77777777" w:rsidR="004C18AD" w:rsidRPr="00F842E9" w:rsidRDefault="004C18AD" w:rsidP="00042C67">
            <w:pPr>
              <w:pStyle w:val="Tablehead"/>
              <w:jc w:val="right"/>
              <w:rPr>
                <w:b w:val="0"/>
                <w:szCs w:val="22"/>
              </w:rPr>
            </w:pPr>
            <w:r w:rsidRPr="00F842E9">
              <w:rPr>
                <w:b w:val="0"/>
                <w:szCs w:val="22"/>
              </w:rPr>
              <w:t>33</w:t>
            </w:r>
            <w:r>
              <w:rPr>
                <w:b w:val="0"/>
                <w:szCs w:val="22"/>
              </w:rPr>
              <w:t> </w:t>
            </w:r>
            <w:r w:rsidRPr="00F842E9">
              <w:rPr>
                <w:b w:val="0"/>
                <w:szCs w:val="22"/>
              </w:rPr>
              <w:t>960.80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1C511"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F297" w14:textId="77777777" w:rsidR="004C18AD" w:rsidRPr="00F842E9" w:rsidRDefault="004C18AD" w:rsidP="00042C67">
            <w:pPr>
              <w:pStyle w:val="Tablehead"/>
              <w:jc w:val="right"/>
              <w:rPr>
                <w:b w:val="0"/>
                <w:szCs w:val="22"/>
              </w:rPr>
            </w:pPr>
            <w:r w:rsidRPr="00F842E9">
              <w:rPr>
                <w:b w:val="0"/>
                <w:szCs w:val="22"/>
              </w:rPr>
              <w:t>33</w:t>
            </w:r>
            <w:r>
              <w:rPr>
                <w:b w:val="0"/>
                <w:szCs w:val="22"/>
              </w:rPr>
              <w:t> </w:t>
            </w:r>
            <w:r w:rsidRPr="00F842E9">
              <w:rPr>
                <w:b w:val="0"/>
                <w:szCs w:val="22"/>
              </w:rPr>
              <w:t>960.80</w:t>
            </w:r>
          </w:p>
        </w:tc>
      </w:tr>
      <w:tr w:rsidR="004C18AD" w:rsidRPr="00910F82" w14:paraId="6A01436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F0B8B" w14:textId="77777777" w:rsidR="004C18AD" w:rsidRPr="00F842E9" w:rsidRDefault="004C18AD" w:rsidP="00042C67">
            <w:pPr>
              <w:pStyle w:val="Tablehead"/>
              <w:jc w:val="left"/>
              <w:rPr>
                <w:szCs w:val="22"/>
                <w:lang w:eastAsia="zh-CN"/>
              </w:rPr>
            </w:pPr>
            <w:r>
              <w:rPr>
                <w:rFonts w:hint="eastAsia"/>
                <w:szCs w:val="22"/>
                <w:lang w:eastAsia="zh-CN"/>
              </w:rPr>
              <w:t>哥伦比亚</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A9296"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7317"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9F0BB"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F253" w14:textId="77777777" w:rsidR="004C18AD" w:rsidRPr="00F842E9" w:rsidRDefault="004C18AD" w:rsidP="00042C67">
            <w:pPr>
              <w:pStyle w:val="Tablehead"/>
              <w:jc w:val="right"/>
              <w:rPr>
                <w:szCs w:val="22"/>
              </w:rPr>
            </w:pPr>
          </w:p>
        </w:tc>
      </w:tr>
      <w:tr w:rsidR="004C18AD" w:rsidRPr="00F842E9" w14:paraId="5264EFA6"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48E4E" w14:textId="77777777" w:rsidR="004C18AD" w:rsidRPr="00F842E9" w:rsidRDefault="004C18AD" w:rsidP="00042C67">
            <w:pPr>
              <w:pStyle w:val="Tablehead"/>
              <w:jc w:val="left"/>
              <w:rPr>
                <w:b w:val="0"/>
                <w:szCs w:val="22"/>
                <w:lang w:eastAsia="zh-CN"/>
              </w:rPr>
            </w:pPr>
            <w:r w:rsidRPr="000C156A">
              <w:rPr>
                <w:rFonts w:cs="Calibri"/>
                <w:szCs w:val="22"/>
              </w:rPr>
              <w:t>–</w:t>
            </w:r>
            <w:r w:rsidRPr="00941759">
              <w:rPr>
                <w:rFonts w:cs="Calibri"/>
                <w:b w:val="0"/>
                <w:bCs/>
                <w:szCs w:val="22"/>
              </w:rPr>
              <w:tab/>
            </w:r>
            <w:r w:rsidRPr="00941759">
              <w:rPr>
                <w:rFonts w:cs="Calibri" w:hint="eastAsia"/>
                <w:b w:val="0"/>
                <w:bCs/>
                <w:szCs w:val="22"/>
              </w:rPr>
              <w:t>ICESI</w:t>
            </w:r>
            <w:r w:rsidRPr="00941759">
              <w:rPr>
                <w:rFonts w:cs="Calibri" w:hint="eastAsia"/>
                <w:b w:val="0"/>
                <w:bCs/>
                <w:szCs w:val="22"/>
                <w:lang w:val="fr-FR"/>
              </w:rPr>
              <w:t>大学</w:t>
            </w:r>
            <w:r w:rsidRPr="00941759">
              <w:rPr>
                <w:rFonts w:cs="Calibri" w:hint="eastAsia"/>
                <w:b w:val="0"/>
                <w:bCs/>
                <w:szCs w:val="22"/>
              </w:rPr>
              <w:t>，卡利</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41AC7" w14:textId="77777777" w:rsidR="004C18AD" w:rsidRPr="00F842E9" w:rsidRDefault="004C18AD" w:rsidP="00042C67">
            <w:pPr>
              <w:pStyle w:val="Tablehead"/>
              <w:rPr>
                <w:b w:val="0"/>
                <w:szCs w:val="22"/>
              </w:rPr>
            </w:pPr>
            <w:r w:rsidRPr="00F842E9">
              <w:rPr>
                <w:b w:val="0"/>
                <w:szCs w:val="22"/>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43955" w14:textId="77777777" w:rsidR="004C18AD" w:rsidRPr="00F842E9" w:rsidRDefault="004C18AD" w:rsidP="00042C67">
            <w:pPr>
              <w:pStyle w:val="Tablehead"/>
              <w:jc w:val="right"/>
              <w:rPr>
                <w:b w:val="0"/>
                <w:szCs w:val="22"/>
              </w:rPr>
            </w:pPr>
            <w:r w:rsidRPr="00F842E9">
              <w:rPr>
                <w:b w:val="0"/>
                <w:szCs w:val="22"/>
              </w:rPr>
              <w:t>2</w:t>
            </w:r>
            <w:r>
              <w:rPr>
                <w:b w:val="0"/>
                <w:szCs w:val="22"/>
              </w:rPr>
              <w:t> </w:t>
            </w:r>
            <w:r w:rsidRPr="00F842E9">
              <w:rPr>
                <w:b w:val="0"/>
                <w:szCs w:val="22"/>
              </w:rPr>
              <w:t>316.90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8413A"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359E" w14:textId="77777777" w:rsidR="004C18AD" w:rsidRPr="00F842E9" w:rsidRDefault="004C18AD" w:rsidP="00042C67">
            <w:pPr>
              <w:pStyle w:val="Tablehead"/>
              <w:jc w:val="right"/>
              <w:rPr>
                <w:b w:val="0"/>
                <w:szCs w:val="22"/>
              </w:rPr>
            </w:pPr>
            <w:r w:rsidRPr="00F842E9">
              <w:rPr>
                <w:b w:val="0"/>
                <w:szCs w:val="22"/>
              </w:rPr>
              <w:t>2</w:t>
            </w:r>
            <w:r>
              <w:rPr>
                <w:b w:val="0"/>
                <w:szCs w:val="22"/>
              </w:rPr>
              <w:t> </w:t>
            </w:r>
            <w:r w:rsidRPr="00F842E9">
              <w:rPr>
                <w:b w:val="0"/>
                <w:szCs w:val="22"/>
              </w:rPr>
              <w:t>316.90</w:t>
            </w:r>
          </w:p>
        </w:tc>
      </w:tr>
      <w:tr w:rsidR="004C18AD" w:rsidRPr="00910F82" w14:paraId="6B163A6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A99E3" w14:textId="77777777" w:rsidR="004C18AD" w:rsidRPr="00F842E9" w:rsidRDefault="004C18AD" w:rsidP="00042C67">
            <w:pPr>
              <w:pStyle w:val="Tablehead"/>
              <w:jc w:val="left"/>
              <w:rPr>
                <w:szCs w:val="22"/>
                <w:lang w:eastAsia="zh-CN"/>
              </w:rPr>
            </w:pPr>
            <w:r>
              <w:rPr>
                <w:rFonts w:hint="eastAsia"/>
                <w:szCs w:val="22"/>
                <w:lang w:eastAsia="zh-CN"/>
              </w:rPr>
              <w:t>科特迪瓦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E4021"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F0156"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327CA"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A71A3" w14:textId="77777777" w:rsidR="004C18AD" w:rsidRPr="00F842E9" w:rsidRDefault="004C18AD" w:rsidP="00042C67">
            <w:pPr>
              <w:pStyle w:val="Tablehead"/>
              <w:jc w:val="right"/>
              <w:rPr>
                <w:szCs w:val="22"/>
              </w:rPr>
            </w:pPr>
          </w:p>
        </w:tc>
      </w:tr>
      <w:tr w:rsidR="004C18AD" w:rsidRPr="00F842E9" w14:paraId="2AD9E8C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C5AFD" w14:textId="77777777" w:rsidR="004C18AD" w:rsidRPr="00F842E9" w:rsidRDefault="004C18AD" w:rsidP="00042C67">
            <w:pPr>
              <w:pStyle w:val="Tablehead"/>
              <w:jc w:val="left"/>
              <w:rPr>
                <w:b w:val="0"/>
                <w:szCs w:val="22"/>
                <w:lang w:val="fr-CH" w:eastAsia="zh-CN"/>
              </w:rPr>
            </w:pPr>
            <w:r w:rsidRPr="000C156A">
              <w:rPr>
                <w:rFonts w:cs="Calibri"/>
                <w:szCs w:val="22"/>
                <w:lang w:val="fr-FR" w:eastAsia="zh-CN"/>
              </w:rPr>
              <w:t>–</w:t>
            </w:r>
            <w:r w:rsidRPr="000C156A">
              <w:rPr>
                <w:rFonts w:cs="Calibri"/>
                <w:szCs w:val="22"/>
                <w:lang w:val="fr-FR" w:eastAsia="zh-CN"/>
              </w:rPr>
              <w:tab/>
            </w:r>
            <w:r w:rsidRPr="00941759">
              <w:rPr>
                <w:rFonts w:cs="Calibri" w:hint="eastAsia"/>
                <w:b w:val="0"/>
                <w:bCs/>
                <w:szCs w:val="22"/>
                <w:lang w:val="fr-FR" w:eastAsia="zh-CN"/>
              </w:rPr>
              <w:t>电信消费者协会，阿比让</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B6B43" w14:textId="77777777" w:rsidR="004C18AD" w:rsidRPr="00F842E9" w:rsidRDefault="004C18AD" w:rsidP="00042C67">
            <w:pPr>
              <w:pStyle w:val="Tablehead"/>
              <w:rPr>
                <w:b w:val="0"/>
                <w:szCs w:val="22"/>
              </w:rPr>
            </w:pPr>
            <w:r w:rsidRPr="00F842E9">
              <w:rPr>
                <w:b w:val="0"/>
                <w:szCs w:val="22"/>
              </w:rPr>
              <w:t>2007-2008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EAA87" w14:textId="77777777" w:rsidR="004C18AD" w:rsidRPr="00F842E9" w:rsidRDefault="004C18AD" w:rsidP="00042C67">
            <w:pPr>
              <w:pStyle w:val="Tablehead"/>
              <w:jc w:val="right"/>
              <w:rPr>
                <w:b w:val="0"/>
                <w:szCs w:val="22"/>
              </w:rPr>
            </w:pPr>
            <w:r w:rsidRPr="00F842E9">
              <w:rPr>
                <w:b w:val="0"/>
                <w:szCs w:val="22"/>
              </w:rPr>
              <w:t>9</w:t>
            </w:r>
            <w:r>
              <w:rPr>
                <w:b w:val="0"/>
                <w:szCs w:val="22"/>
              </w:rPr>
              <w:t> </w:t>
            </w:r>
            <w:r w:rsidRPr="00F842E9">
              <w:rPr>
                <w:b w:val="0"/>
                <w:szCs w:val="22"/>
              </w:rPr>
              <w:t>777.40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0D7EF"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8ABF6" w14:textId="77777777" w:rsidR="004C18AD" w:rsidRPr="00F842E9" w:rsidRDefault="004C18AD" w:rsidP="00042C67">
            <w:pPr>
              <w:pStyle w:val="Tablehead"/>
              <w:jc w:val="right"/>
              <w:rPr>
                <w:b w:val="0"/>
                <w:szCs w:val="22"/>
              </w:rPr>
            </w:pPr>
            <w:r w:rsidRPr="00F842E9">
              <w:rPr>
                <w:b w:val="0"/>
                <w:szCs w:val="22"/>
              </w:rPr>
              <w:t>9</w:t>
            </w:r>
            <w:r>
              <w:rPr>
                <w:b w:val="0"/>
                <w:szCs w:val="22"/>
              </w:rPr>
              <w:t> </w:t>
            </w:r>
            <w:r w:rsidRPr="00F842E9">
              <w:rPr>
                <w:b w:val="0"/>
                <w:szCs w:val="22"/>
              </w:rPr>
              <w:t>777.40</w:t>
            </w:r>
          </w:p>
        </w:tc>
      </w:tr>
      <w:tr w:rsidR="004C18AD" w:rsidRPr="00F842E9" w14:paraId="1AC729B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C460DB" w14:textId="77777777" w:rsidR="004C18AD" w:rsidRPr="00F842E9" w:rsidRDefault="004C18AD" w:rsidP="00042C67">
            <w:pPr>
              <w:pStyle w:val="Tablehead"/>
              <w:jc w:val="left"/>
              <w:rPr>
                <w:b w:val="0"/>
                <w:szCs w:val="22"/>
                <w:lang w:eastAsia="zh-CN"/>
              </w:rPr>
            </w:pPr>
            <w:r w:rsidRPr="000C156A">
              <w:rPr>
                <w:rFonts w:cs="Calibri"/>
                <w:szCs w:val="22"/>
                <w:lang w:val="fr-FR" w:eastAsia="zh-CN"/>
              </w:rPr>
              <w:t>–</w:t>
            </w:r>
            <w:r w:rsidRPr="000C156A">
              <w:rPr>
                <w:rFonts w:cs="Calibri"/>
                <w:szCs w:val="22"/>
                <w:lang w:val="fr-FR" w:eastAsia="zh-CN"/>
              </w:rPr>
              <w:tab/>
            </w:r>
            <w:r w:rsidRPr="00941759">
              <w:rPr>
                <w:rFonts w:cs="Calibri"/>
                <w:b w:val="0"/>
                <w:bCs/>
                <w:szCs w:val="22"/>
                <w:lang w:val="fr-FR" w:eastAsia="zh-CN"/>
              </w:rPr>
              <w:t>科特迪瓦</w:t>
            </w:r>
            <w:r w:rsidRPr="00941759">
              <w:rPr>
                <w:rFonts w:cs="Calibri" w:hint="eastAsia"/>
                <w:b w:val="0"/>
                <w:bCs/>
                <w:szCs w:val="22"/>
                <w:lang w:val="fr-FR" w:eastAsia="zh-CN"/>
              </w:rPr>
              <w:t>电信，阿比让</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4725E" w14:textId="77777777" w:rsidR="004C18AD" w:rsidRPr="00F842E9" w:rsidRDefault="004C18AD" w:rsidP="00042C67">
            <w:pPr>
              <w:pStyle w:val="Tablehead"/>
              <w:rPr>
                <w:b w:val="0"/>
                <w:szCs w:val="22"/>
              </w:rPr>
            </w:pPr>
            <w:r w:rsidRPr="00F842E9">
              <w:rPr>
                <w:b w:val="0"/>
                <w:szCs w:val="22"/>
              </w:rPr>
              <w:t>2002-2006</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484ED" w14:textId="77777777" w:rsidR="004C18AD" w:rsidRPr="00F842E9" w:rsidRDefault="004C18AD" w:rsidP="00042C67">
            <w:pPr>
              <w:pStyle w:val="Tablehead"/>
              <w:jc w:val="right"/>
              <w:rPr>
                <w:b w:val="0"/>
                <w:szCs w:val="22"/>
              </w:rPr>
            </w:pPr>
            <w:r w:rsidRPr="00F842E9">
              <w:rPr>
                <w:b w:val="0"/>
                <w:szCs w:val="22"/>
              </w:rPr>
              <w:t>928</w:t>
            </w:r>
            <w:r>
              <w:rPr>
                <w:b w:val="0"/>
                <w:szCs w:val="22"/>
              </w:rPr>
              <w:t> </w:t>
            </w:r>
            <w:r w:rsidRPr="00F842E9">
              <w:rPr>
                <w:b w:val="0"/>
                <w:szCs w:val="22"/>
              </w:rPr>
              <w:t>422.20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C267B"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D00DF" w14:textId="77777777" w:rsidR="004C18AD" w:rsidRPr="00F842E9" w:rsidRDefault="004C18AD" w:rsidP="00042C67">
            <w:pPr>
              <w:pStyle w:val="Tablehead"/>
              <w:jc w:val="right"/>
              <w:rPr>
                <w:b w:val="0"/>
                <w:szCs w:val="22"/>
              </w:rPr>
            </w:pPr>
            <w:r w:rsidRPr="00F842E9">
              <w:rPr>
                <w:b w:val="0"/>
                <w:szCs w:val="22"/>
              </w:rPr>
              <w:t>928</w:t>
            </w:r>
            <w:r>
              <w:rPr>
                <w:b w:val="0"/>
                <w:szCs w:val="22"/>
              </w:rPr>
              <w:t> </w:t>
            </w:r>
            <w:r w:rsidRPr="00F842E9">
              <w:rPr>
                <w:b w:val="0"/>
                <w:szCs w:val="22"/>
              </w:rPr>
              <w:t>422.20</w:t>
            </w:r>
          </w:p>
        </w:tc>
      </w:tr>
      <w:tr w:rsidR="004C18AD" w:rsidRPr="00910F82" w14:paraId="232429A0"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89FAE" w14:textId="77777777" w:rsidR="004C18AD" w:rsidRPr="00F842E9" w:rsidRDefault="004C18AD" w:rsidP="00042C67">
            <w:pPr>
              <w:pStyle w:val="Tablehead"/>
              <w:jc w:val="left"/>
              <w:rPr>
                <w:szCs w:val="22"/>
                <w:lang w:eastAsia="zh-CN"/>
              </w:rPr>
            </w:pPr>
            <w:r w:rsidRPr="00903359">
              <w:rPr>
                <w:rFonts w:hint="eastAsia"/>
                <w:szCs w:val="22"/>
                <w:lang w:eastAsia="zh-CN"/>
              </w:rPr>
              <w:t>多米尼加共和国</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D19F"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07A75"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6AF19"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82EB2" w14:textId="77777777" w:rsidR="004C18AD" w:rsidRPr="00F842E9" w:rsidRDefault="004C18AD" w:rsidP="00042C67">
            <w:pPr>
              <w:pStyle w:val="Tablehead"/>
              <w:jc w:val="right"/>
              <w:rPr>
                <w:szCs w:val="22"/>
              </w:rPr>
            </w:pPr>
          </w:p>
        </w:tc>
      </w:tr>
      <w:tr w:rsidR="004C18AD" w:rsidRPr="00F842E9" w14:paraId="1E1DA84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5D9320" w14:textId="77777777" w:rsidR="004C18AD" w:rsidRPr="00F842E9" w:rsidRDefault="004C18AD" w:rsidP="00042C67">
            <w:pPr>
              <w:pStyle w:val="Tablehead"/>
              <w:jc w:val="left"/>
              <w:rPr>
                <w:b w:val="0"/>
                <w:szCs w:val="22"/>
                <w:lang w:eastAsia="zh-CN"/>
              </w:rPr>
            </w:pPr>
            <w:r w:rsidRPr="00D44AC1">
              <w:rPr>
                <w:b w:val="0"/>
                <w:szCs w:val="22"/>
                <w:lang w:val="fr-FR" w:eastAsia="zh-CN"/>
              </w:rPr>
              <w:t>–</w:t>
            </w:r>
            <w:r w:rsidRPr="00D44AC1">
              <w:rPr>
                <w:b w:val="0"/>
                <w:szCs w:val="22"/>
                <w:lang w:val="fr-FR" w:eastAsia="zh-CN"/>
              </w:rPr>
              <w:tab/>
            </w:r>
            <w:r w:rsidRPr="00D44AC1">
              <w:rPr>
                <w:rFonts w:hint="eastAsia"/>
                <w:b w:val="0"/>
                <w:szCs w:val="22"/>
                <w:lang w:eastAsia="zh-CN"/>
              </w:rPr>
              <w:t>圣多明各自治大学</w:t>
            </w:r>
            <w:r>
              <w:rPr>
                <w:rFonts w:hint="eastAsia"/>
                <w:b w:val="0"/>
                <w:szCs w:val="22"/>
                <w:lang w:eastAsia="zh-CN"/>
              </w:rPr>
              <w:t>，</w:t>
            </w:r>
            <w:r w:rsidRPr="00D44AC1">
              <w:rPr>
                <w:rFonts w:hint="eastAsia"/>
                <w:b w:val="0"/>
                <w:szCs w:val="22"/>
                <w:lang w:eastAsia="zh-CN"/>
              </w:rPr>
              <w:t>圣多明各</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20EB6" w14:textId="77777777" w:rsidR="004C18AD" w:rsidRPr="00F842E9" w:rsidRDefault="004C18AD" w:rsidP="00042C67">
            <w:pPr>
              <w:pStyle w:val="Tablehead"/>
              <w:rPr>
                <w:b w:val="0"/>
                <w:szCs w:val="22"/>
              </w:rPr>
            </w:pPr>
            <w:r w:rsidRPr="00F842E9">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B3F07" w14:textId="77777777" w:rsidR="004C18AD" w:rsidRPr="00F842E9" w:rsidRDefault="004C18AD" w:rsidP="00042C67">
            <w:pPr>
              <w:pStyle w:val="Tablehead"/>
              <w:jc w:val="right"/>
              <w:rPr>
                <w:b w:val="0"/>
                <w:szCs w:val="22"/>
              </w:rPr>
            </w:pPr>
            <w:r w:rsidRPr="00F842E9">
              <w:rPr>
                <w:b w:val="0"/>
                <w:szCs w:val="22"/>
              </w:rPr>
              <w:t>2</w:t>
            </w:r>
            <w:r>
              <w:rPr>
                <w:b w:val="0"/>
                <w:szCs w:val="22"/>
              </w:rPr>
              <w:t> </w:t>
            </w:r>
            <w:r w:rsidRPr="00F842E9">
              <w:rPr>
                <w:b w:val="0"/>
                <w:szCs w:val="22"/>
              </w:rPr>
              <w:t>106.75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D9A07"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AD803" w14:textId="77777777" w:rsidR="004C18AD" w:rsidRPr="00F842E9" w:rsidRDefault="004C18AD" w:rsidP="00042C67">
            <w:pPr>
              <w:pStyle w:val="Tablehead"/>
              <w:jc w:val="right"/>
              <w:rPr>
                <w:b w:val="0"/>
                <w:szCs w:val="22"/>
              </w:rPr>
            </w:pPr>
            <w:r w:rsidRPr="00F842E9">
              <w:rPr>
                <w:b w:val="0"/>
                <w:szCs w:val="22"/>
              </w:rPr>
              <w:t>2</w:t>
            </w:r>
            <w:r>
              <w:rPr>
                <w:b w:val="0"/>
                <w:szCs w:val="22"/>
              </w:rPr>
              <w:t> </w:t>
            </w:r>
            <w:r w:rsidRPr="00F842E9">
              <w:rPr>
                <w:b w:val="0"/>
                <w:szCs w:val="22"/>
              </w:rPr>
              <w:t>106.75</w:t>
            </w:r>
          </w:p>
        </w:tc>
      </w:tr>
      <w:tr w:rsidR="004C18AD" w:rsidRPr="00BC4748" w14:paraId="0CFEA295"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EA188" w14:textId="77777777" w:rsidR="004C18AD" w:rsidRPr="00BC4748" w:rsidRDefault="004C18AD" w:rsidP="00042C67">
            <w:pPr>
              <w:pStyle w:val="Tablehead"/>
              <w:jc w:val="left"/>
              <w:rPr>
                <w:szCs w:val="22"/>
                <w:lang w:eastAsia="zh-CN"/>
              </w:rPr>
            </w:pPr>
            <w:r w:rsidRPr="00BC4748">
              <w:rPr>
                <w:rFonts w:hint="eastAsia"/>
                <w:szCs w:val="22"/>
                <w:lang w:eastAsia="zh-CN"/>
              </w:rPr>
              <w:lastRenderedPageBreak/>
              <w:t>埃及</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7DF81" w14:textId="77777777" w:rsidR="004C18AD" w:rsidRPr="00BC4748"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656DE" w14:textId="77777777" w:rsidR="004C18AD" w:rsidRPr="00BC4748"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F57FE" w14:textId="77777777" w:rsidR="004C18AD" w:rsidRPr="00BC4748"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F80D7" w14:textId="77777777" w:rsidR="004C18AD" w:rsidRPr="00BC4748" w:rsidRDefault="004C18AD" w:rsidP="00042C67">
            <w:pPr>
              <w:pStyle w:val="Tablehead"/>
              <w:jc w:val="right"/>
              <w:rPr>
                <w:szCs w:val="22"/>
              </w:rPr>
            </w:pPr>
          </w:p>
        </w:tc>
      </w:tr>
      <w:tr w:rsidR="004C18AD" w:rsidRPr="00BC4748" w14:paraId="2DFF6B0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FE5E1" w14:textId="77777777" w:rsidR="004C18AD" w:rsidRPr="00BC4748" w:rsidRDefault="004C18AD" w:rsidP="00042C67">
            <w:pPr>
              <w:pStyle w:val="Tablehead"/>
              <w:jc w:val="left"/>
              <w:rPr>
                <w:b w:val="0"/>
                <w:szCs w:val="22"/>
                <w:lang w:eastAsia="zh-CN"/>
              </w:rPr>
            </w:pPr>
            <w:r w:rsidRPr="00BC4748">
              <w:rPr>
                <w:rFonts w:cs="Calibri"/>
                <w:b w:val="0"/>
                <w:szCs w:val="22"/>
                <w:lang w:val="fr-FR" w:eastAsia="zh-CN"/>
              </w:rPr>
              <w:t>–</w:t>
            </w:r>
            <w:r w:rsidRPr="00BC4748">
              <w:rPr>
                <w:rFonts w:cs="Calibri"/>
                <w:b w:val="0"/>
                <w:szCs w:val="22"/>
                <w:lang w:val="fr-FR" w:eastAsia="zh-CN"/>
              </w:rPr>
              <w:tab/>
            </w:r>
            <w:r w:rsidRPr="00BC4748">
              <w:rPr>
                <w:rFonts w:cs="Calibri" w:hint="eastAsia"/>
                <w:b w:val="0"/>
                <w:szCs w:val="22"/>
                <w:lang w:val="fr-FR" w:eastAsia="zh-CN"/>
              </w:rPr>
              <w:t>埃及</w:t>
            </w:r>
            <w:r w:rsidRPr="00BC4748">
              <w:rPr>
                <w:rFonts w:cs="Calibri" w:hint="eastAsia"/>
                <w:b w:val="0"/>
                <w:szCs w:val="22"/>
                <w:lang w:val="fr-FR" w:eastAsia="zh-CN"/>
              </w:rPr>
              <w:t>-</w:t>
            </w:r>
            <w:r w:rsidRPr="00BC4748">
              <w:rPr>
                <w:rFonts w:cs="Calibri" w:hint="eastAsia"/>
                <w:b w:val="0"/>
                <w:szCs w:val="22"/>
                <w:lang w:val="fr-FR" w:eastAsia="zh-CN"/>
              </w:rPr>
              <w:t>日本科学和技术大学，亚历山大</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A19C" w14:textId="77777777" w:rsidR="004C18AD" w:rsidRPr="00BC4748" w:rsidRDefault="004C18AD" w:rsidP="00042C67">
            <w:pPr>
              <w:pStyle w:val="Tablehead"/>
              <w:rPr>
                <w:b w:val="0"/>
                <w:szCs w:val="22"/>
              </w:rPr>
            </w:pPr>
            <w:r w:rsidRPr="00BC4748">
              <w:rPr>
                <w:b w:val="0"/>
                <w:szCs w:val="22"/>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EB256" w14:textId="77777777" w:rsidR="004C18AD" w:rsidRPr="00BC4748" w:rsidRDefault="004C18AD" w:rsidP="00042C67">
            <w:pPr>
              <w:pStyle w:val="Tablehead"/>
              <w:jc w:val="right"/>
              <w:rPr>
                <w:b w:val="0"/>
                <w:szCs w:val="22"/>
              </w:rPr>
            </w:pPr>
            <w:r w:rsidRPr="00BC4748">
              <w:rPr>
                <w:b w:val="0"/>
                <w:szCs w:val="22"/>
              </w:rPr>
              <w:t>2</w:t>
            </w:r>
            <w:r>
              <w:rPr>
                <w:b w:val="0"/>
                <w:szCs w:val="22"/>
              </w:rPr>
              <w:t> </w:t>
            </w:r>
            <w:r w:rsidRPr="00BC4748">
              <w:rPr>
                <w:b w:val="0"/>
                <w:szCs w:val="22"/>
              </w:rPr>
              <w:t>316.90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C972F" w14:textId="77777777" w:rsidR="004C18AD" w:rsidRPr="00BC4748" w:rsidRDefault="004C18AD" w:rsidP="00042C67">
            <w:pPr>
              <w:pStyle w:val="Tablehead"/>
              <w:jc w:val="right"/>
              <w:rPr>
                <w:b w:val="0"/>
                <w:szCs w:val="22"/>
              </w:rPr>
            </w:pPr>
            <w:r w:rsidRPr="00BC4748">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0CF59" w14:textId="77777777" w:rsidR="004C18AD" w:rsidRPr="00BC4748" w:rsidRDefault="004C18AD" w:rsidP="00042C67">
            <w:pPr>
              <w:pStyle w:val="Tablehead"/>
              <w:jc w:val="right"/>
              <w:rPr>
                <w:b w:val="0"/>
                <w:szCs w:val="22"/>
              </w:rPr>
            </w:pPr>
            <w:r w:rsidRPr="00BC4748">
              <w:rPr>
                <w:b w:val="0"/>
                <w:szCs w:val="22"/>
              </w:rPr>
              <w:t>2</w:t>
            </w:r>
            <w:r>
              <w:rPr>
                <w:b w:val="0"/>
                <w:szCs w:val="22"/>
              </w:rPr>
              <w:t> </w:t>
            </w:r>
            <w:r w:rsidRPr="00BC4748">
              <w:rPr>
                <w:b w:val="0"/>
                <w:szCs w:val="22"/>
              </w:rPr>
              <w:t>316.90</w:t>
            </w:r>
          </w:p>
        </w:tc>
      </w:tr>
      <w:tr w:rsidR="004C18AD" w:rsidRPr="00BC4748" w14:paraId="3BB647C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BA3314" w14:textId="77777777" w:rsidR="004C18AD" w:rsidRPr="00BC4748" w:rsidRDefault="004C18AD" w:rsidP="00042C67">
            <w:pPr>
              <w:pStyle w:val="Tablehead"/>
              <w:jc w:val="left"/>
              <w:rPr>
                <w:b w:val="0"/>
                <w:szCs w:val="22"/>
                <w:lang w:eastAsia="zh-CN"/>
              </w:rPr>
            </w:pPr>
            <w:r w:rsidRPr="00BC4748">
              <w:rPr>
                <w:rFonts w:cs="Calibri"/>
                <w:b w:val="0"/>
                <w:szCs w:val="22"/>
                <w:lang w:val="fr-FR"/>
              </w:rPr>
              <w:t>–</w:t>
            </w:r>
            <w:r w:rsidRPr="00BC4748">
              <w:rPr>
                <w:rFonts w:cs="Calibri"/>
                <w:b w:val="0"/>
                <w:szCs w:val="22"/>
                <w:lang w:val="fr-FR"/>
              </w:rPr>
              <w:tab/>
            </w:r>
            <w:r w:rsidRPr="00BC4748">
              <w:rPr>
                <w:rFonts w:cs="Calibri"/>
                <w:b w:val="0"/>
                <w:szCs w:val="22"/>
                <w:lang w:val="fr-FR"/>
              </w:rPr>
              <w:t>埃及</w:t>
            </w:r>
            <w:r w:rsidRPr="00BC4748">
              <w:rPr>
                <w:rFonts w:cs="Calibri"/>
                <w:b w:val="0"/>
                <w:szCs w:val="22"/>
                <w:lang w:val="fr-FR"/>
              </w:rPr>
              <w:t>Orange</w:t>
            </w:r>
            <w:r w:rsidRPr="00BC4748">
              <w:rPr>
                <w:rFonts w:cs="Calibri" w:hint="eastAsia"/>
                <w:b w:val="0"/>
                <w:szCs w:val="22"/>
                <w:lang w:val="fr-FR"/>
              </w:rPr>
              <w:t>公司，开罗</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654F1" w14:textId="77777777" w:rsidR="004C18AD" w:rsidRPr="00BC4748" w:rsidRDefault="004C18AD" w:rsidP="00042C67">
            <w:pPr>
              <w:pStyle w:val="Tablehead"/>
              <w:rPr>
                <w:b w:val="0"/>
                <w:szCs w:val="22"/>
              </w:rPr>
            </w:pPr>
            <w:r w:rsidRPr="00BC4748">
              <w:rPr>
                <w:b w:val="0"/>
                <w:szCs w:val="22"/>
              </w:rPr>
              <w:t>2018-2019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570BF" w14:textId="77777777" w:rsidR="004C18AD" w:rsidRPr="00BC4748" w:rsidRDefault="004C18AD" w:rsidP="00042C67">
            <w:pPr>
              <w:pStyle w:val="Tablehead"/>
              <w:jc w:val="right"/>
              <w:rPr>
                <w:b w:val="0"/>
                <w:szCs w:val="22"/>
              </w:rPr>
            </w:pPr>
            <w:r w:rsidRPr="00BC4748">
              <w:rPr>
                <w:b w:val="0"/>
                <w:szCs w:val="22"/>
              </w:rPr>
              <w:t>2</w:t>
            </w:r>
            <w:r>
              <w:rPr>
                <w:b w:val="0"/>
                <w:szCs w:val="22"/>
              </w:rPr>
              <w:t> </w:t>
            </w:r>
            <w:r w:rsidRPr="00BC4748">
              <w:rPr>
                <w:b w:val="0"/>
                <w:szCs w:val="22"/>
              </w:rPr>
              <w:t>390.75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34F5D" w14:textId="77777777" w:rsidR="004C18AD" w:rsidRPr="00BC4748" w:rsidRDefault="004C18AD" w:rsidP="00042C67">
            <w:pPr>
              <w:pStyle w:val="Tablehead"/>
              <w:jc w:val="right"/>
              <w:rPr>
                <w:b w:val="0"/>
                <w:szCs w:val="22"/>
              </w:rPr>
            </w:pPr>
            <w:r w:rsidRPr="00BC4748">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885EA" w14:textId="77777777" w:rsidR="004C18AD" w:rsidRPr="00BC4748" w:rsidRDefault="004C18AD" w:rsidP="00042C67">
            <w:pPr>
              <w:pStyle w:val="Tablehead"/>
              <w:jc w:val="right"/>
              <w:rPr>
                <w:b w:val="0"/>
                <w:szCs w:val="22"/>
              </w:rPr>
            </w:pPr>
            <w:r w:rsidRPr="00BC4748">
              <w:rPr>
                <w:b w:val="0"/>
                <w:szCs w:val="22"/>
              </w:rPr>
              <w:t>2</w:t>
            </w:r>
            <w:r>
              <w:rPr>
                <w:b w:val="0"/>
                <w:szCs w:val="22"/>
              </w:rPr>
              <w:t> </w:t>
            </w:r>
            <w:r w:rsidRPr="00BC4748">
              <w:rPr>
                <w:b w:val="0"/>
                <w:szCs w:val="22"/>
              </w:rPr>
              <w:t>390.75</w:t>
            </w:r>
          </w:p>
        </w:tc>
      </w:tr>
      <w:tr w:rsidR="004C18AD" w:rsidRPr="003D2122" w14:paraId="06E548B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BD0F1" w14:textId="77777777" w:rsidR="004C18AD" w:rsidRPr="003D2122" w:rsidRDefault="004C18AD" w:rsidP="00042C67">
            <w:pPr>
              <w:pStyle w:val="Tablehead"/>
              <w:jc w:val="left"/>
              <w:rPr>
                <w:szCs w:val="22"/>
                <w:lang w:eastAsia="zh-CN"/>
              </w:rPr>
            </w:pPr>
            <w:r w:rsidRPr="000C156A">
              <w:rPr>
                <w:rFonts w:cs="Calibri"/>
                <w:bCs/>
                <w:szCs w:val="22"/>
              </w:rPr>
              <w:t>赤道几内亚</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B83DF" w14:textId="77777777" w:rsidR="004C18AD" w:rsidRPr="003D2122"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BF13" w14:textId="77777777" w:rsidR="004C18AD" w:rsidRPr="003D2122"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53D88" w14:textId="77777777" w:rsidR="004C18AD" w:rsidRPr="003D2122"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472D" w14:textId="77777777" w:rsidR="004C18AD" w:rsidRPr="003D2122" w:rsidRDefault="004C18AD" w:rsidP="00042C67">
            <w:pPr>
              <w:pStyle w:val="Tablehead"/>
              <w:jc w:val="right"/>
              <w:rPr>
                <w:szCs w:val="22"/>
              </w:rPr>
            </w:pPr>
          </w:p>
        </w:tc>
      </w:tr>
      <w:tr w:rsidR="004C18AD" w:rsidRPr="00BC4748" w14:paraId="376A2B4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2447C3" w14:textId="77777777" w:rsidR="004C18AD" w:rsidRPr="00BC4748" w:rsidRDefault="004C18AD" w:rsidP="00042C67">
            <w:pPr>
              <w:pStyle w:val="Tablehead"/>
              <w:jc w:val="left"/>
              <w:rPr>
                <w:b w:val="0"/>
                <w:szCs w:val="22"/>
                <w:lang w:eastAsia="zh-CN"/>
              </w:rPr>
            </w:pPr>
            <w:r w:rsidRPr="00BC4748">
              <w:rPr>
                <w:rFonts w:cs="Calibri"/>
                <w:b w:val="0"/>
                <w:szCs w:val="22"/>
              </w:rPr>
              <w:t>–</w:t>
            </w:r>
            <w:r w:rsidRPr="00BC4748">
              <w:rPr>
                <w:rFonts w:cs="Calibri"/>
                <w:b w:val="0"/>
                <w:szCs w:val="22"/>
              </w:rPr>
              <w:tab/>
            </w:r>
            <w:r w:rsidRPr="00BC4748">
              <w:rPr>
                <w:rFonts w:cs="Calibri" w:hint="eastAsia"/>
                <w:b w:val="0"/>
                <w:szCs w:val="22"/>
                <w:lang w:val="fr-FR"/>
              </w:rPr>
              <w:t>GETESA</w:t>
            </w:r>
            <w:r w:rsidRPr="00BC4748">
              <w:rPr>
                <w:rFonts w:cs="Calibri" w:hint="eastAsia"/>
                <w:b w:val="0"/>
                <w:szCs w:val="22"/>
              </w:rPr>
              <w:t>，马拉博</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1DA27" w14:textId="77777777" w:rsidR="004C18AD" w:rsidRPr="00BC4748" w:rsidRDefault="004C18AD" w:rsidP="00042C67">
            <w:pPr>
              <w:pStyle w:val="Tablehead"/>
              <w:rPr>
                <w:b w:val="0"/>
                <w:szCs w:val="22"/>
              </w:rPr>
            </w:pPr>
            <w:r w:rsidRPr="00BC4748">
              <w:rPr>
                <w:b w:val="0"/>
                <w:szCs w:val="22"/>
              </w:rPr>
              <w:t>2016-2018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B13F7" w14:textId="77777777" w:rsidR="004C18AD" w:rsidRPr="00BC4748" w:rsidRDefault="004C18AD" w:rsidP="00042C67">
            <w:pPr>
              <w:pStyle w:val="Tablehead"/>
              <w:jc w:val="right"/>
              <w:rPr>
                <w:b w:val="0"/>
                <w:szCs w:val="22"/>
              </w:rPr>
            </w:pPr>
            <w:r w:rsidRPr="00BC4748">
              <w:rPr>
                <w:b w:val="0"/>
                <w:szCs w:val="22"/>
              </w:rPr>
              <w:t>2</w:t>
            </w:r>
            <w:r>
              <w:rPr>
                <w:b w:val="0"/>
                <w:szCs w:val="22"/>
              </w:rPr>
              <w:t> </w:t>
            </w:r>
            <w:r w:rsidRPr="00BC4748">
              <w:rPr>
                <w:b w:val="0"/>
                <w:szCs w:val="22"/>
              </w:rPr>
              <w:t>138.72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99FB4" w14:textId="77777777" w:rsidR="004C18AD" w:rsidRPr="00BC4748" w:rsidRDefault="004C18AD" w:rsidP="00042C67">
            <w:pPr>
              <w:pStyle w:val="Tablehead"/>
              <w:jc w:val="right"/>
              <w:rPr>
                <w:b w:val="0"/>
                <w:szCs w:val="22"/>
              </w:rPr>
            </w:pPr>
            <w:r w:rsidRPr="00BC4748">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0A656" w14:textId="77777777" w:rsidR="004C18AD" w:rsidRPr="00BC4748" w:rsidRDefault="004C18AD" w:rsidP="00042C67">
            <w:pPr>
              <w:pStyle w:val="Tablehead"/>
              <w:jc w:val="right"/>
              <w:rPr>
                <w:b w:val="0"/>
                <w:szCs w:val="22"/>
              </w:rPr>
            </w:pPr>
            <w:r w:rsidRPr="00BC4748">
              <w:rPr>
                <w:b w:val="0"/>
                <w:szCs w:val="22"/>
              </w:rPr>
              <w:t>2</w:t>
            </w:r>
            <w:r>
              <w:rPr>
                <w:b w:val="0"/>
                <w:szCs w:val="22"/>
              </w:rPr>
              <w:t> </w:t>
            </w:r>
            <w:r w:rsidRPr="00BC4748">
              <w:rPr>
                <w:b w:val="0"/>
                <w:szCs w:val="22"/>
              </w:rPr>
              <w:t>138.72</w:t>
            </w:r>
          </w:p>
        </w:tc>
      </w:tr>
      <w:tr w:rsidR="004C18AD" w:rsidRPr="00910F82" w14:paraId="4159329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BFEC3" w14:textId="77777777" w:rsidR="004C18AD" w:rsidRPr="00F842E9" w:rsidRDefault="004C18AD" w:rsidP="00042C67">
            <w:pPr>
              <w:pStyle w:val="Tablehead"/>
              <w:jc w:val="left"/>
              <w:rPr>
                <w:szCs w:val="22"/>
                <w:lang w:eastAsia="zh-CN"/>
              </w:rPr>
            </w:pPr>
            <w:r>
              <w:rPr>
                <w:rFonts w:hint="eastAsia"/>
                <w:szCs w:val="22"/>
                <w:lang w:eastAsia="zh-CN"/>
              </w:rPr>
              <w:t>爱沙尼亚</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97E39"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FC17"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2DEB7"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6DC97" w14:textId="77777777" w:rsidR="004C18AD" w:rsidRPr="00F842E9" w:rsidRDefault="004C18AD" w:rsidP="00042C67">
            <w:pPr>
              <w:pStyle w:val="Tablehead"/>
              <w:jc w:val="right"/>
              <w:rPr>
                <w:szCs w:val="22"/>
              </w:rPr>
            </w:pPr>
          </w:p>
        </w:tc>
      </w:tr>
      <w:tr w:rsidR="004C18AD" w:rsidRPr="00F842E9" w14:paraId="3E23044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F7C638" w14:textId="77777777" w:rsidR="004C18AD" w:rsidRPr="00F842E9" w:rsidRDefault="004C18AD" w:rsidP="00042C67">
            <w:pPr>
              <w:pStyle w:val="Tablehead"/>
              <w:jc w:val="left"/>
              <w:rPr>
                <w:b w:val="0"/>
                <w:szCs w:val="22"/>
                <w:lang w:eastAsia="zh-CN"/>
              </w:rPr>
            </w:pPr>
            <w:r w:rsidRPr="002C1EFF">
              <w:rPr>
                <w:b w:val="0"/>
                <w:szCs w:val="22"/>
                <w:lang w:val="fr-FR" w:eastAsia="zh-CN"/>
              </w:rPr>
              <w:t>–</w:t>
            </w:r>
            <w:r w:rsidRPr="002C1EFF">
              <w:rPr>
                <w:b w:val="0"/>
                <w:szCs w:val="22"/>
                <w:lang w:val="fr-FR" w:eastAsia="zh-CN"/>
              </w:rPr>
              <w:tab/>
            </w:r>
            <w:r w:rsidRPr="00F842E9">
              <w:rPr>
                <w:b w:val="0"/>
                <w:szCs w:val="22"/>
                <w:lang w:eastAsia="zh-CN"/>
              </w:rPr>
              <w:t xml:space="preserve">Clementvale Baltic, </w:t>
            </w:r>
            <w:r>
              <w:rPr>
                <w:rFonts w:hint="eastAsia"/>
                <w:b w:val="0"/>
                <w:szCs w:val="22"/>
                <w:lang w:eastAsia="zh-CN"/>
              </w:rPr>
              <w:t>塔林</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C1E9F" w14:textId="77777777" w:rsidR="004C18AD" w:rsidRPr="00F842E9" w:rsidRDefault="004C18AD" w:rsidP="00042C67">
            <w:pPr>
              <w:pStyle w:val="Tablehead"/>
              <w:rPr>
                <w:b w:val="0"/>
                <w:szCs w:val="22"/>
              </w:rPr>
            </w:pPr>
            <w:r w:rsidRPr="00F842E9">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9027" w14:textId="77777777" w:rsidR="004C18AD" w:rsidRPr="00F842E9" w:rsidRDefault="004C18AD" w:rsidP="00042C67">
            <w:pPr>
              <w:pStyle w:val="Tablehead"/>
              <w:jc w:val="right"/>
              <w:rPr>
                <w:b w:val="0"/>
                <w:szCs w:val="22"/>
              </w:rPr>
            </w:pPr>
            <w:r w:rsidRPr="00F842E9">
              <w:rPr>
                <w:b w:val="0"/>
                <w:szCs w:val="22"/>
              </w:rPr>
              <w:t>10</w:t>
            </w:r>
            <w:r>
              <w:rPr>
                <w:b w:val="0"/>
                <w:szCs w:val="22"/>
              </w:rPr>
              <w:t> </w:t>
            </w:r>
            <w:r w:rsidRPr="00F842E9">
              <w:rPr>
                <w:b w:val="0"/>
                <w:szCs w:val="22"/>
              </w:rPr>
              <w:t>377.14</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A1291"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71BD0" w14:textId="77777777" w:rsidR="004C18AD" w:rsidRPr="00F842E9" w:rsidRDefault="004C18AD" w:rsidP="00042C67">
            <w:pPr>
              <w:pStyle w:val="Tablehead"/>
              <w:jc w:val="right"/>
              <w:rPr>
                <w:b w:val="0"/>
                <w:szCs w:val="22"/>
              </w:rPr>
            </w:pPr>
            <w:r w:rsidRPr="00F842E9">
              <w:rPr>
                <w:b w:val="0"/>
                <w:szCs w:val="22"/>
              </w:rPr>
              <w:t>10</w:t>
            </w:r>
            <w:r>
              <w:rPr>
                <w:b w:val="0"/>
                <w:szCs w:val="22"/>
              </w:rPr>
              <w:t> </w:t>
            </w:r>
            <w:r w:rsidRPr="00F842E9">
              <w:rPr>
                <w:b w:val="0"/>
                <w:szCs w:val="22"/>
              </w:rPr>
              <w:t>377.14</w:t>
            </w:r>
          </w:p>
        </w:tc>
      </w:tr>
      <w:tr w:rsidR="004C18AD" w:rsidRPr="00910F82" w14:paraId="40E89ED1"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81299" w14:textId="77777777" w:rsidR="004C18AD" w:rsidRPr="00F842E9" w:rsidRDefault="004C18AD" w:rsidP="00042C67">
            <w:pPr>
              <w:pStyle w:val="Tablehead"/>
              <w:jc w:val="left"/>
              <w:rPr>
                <w:szCs w:val="22"/>
                <w:lang w:eastAsia="zh-CN"/>
              </w:rPr>
            </w:pPr>
            <w:r>
              <w:rPr>
                <w:rFonts w:hint="eastAsia"/>
                <w:szCs w:val="22"/>
                <w:lang w:eastAsia="zh-CN"/>
              </w:rPr>
              <w:t>斐济</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E6CA0"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9DEF6"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B5CFB"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AEC50" w14:textId="77777777" w:rsidR="004C18AD" w:rsidRPr="00F842E9" w:rsidRDefault="004C18AD" w:rsidP="00042C67">
            <w:pPr>
              <w:pStyle w:val="Tablehead"/>
              <w:jc w:val="right"/>
              <w:rPr>
                <w:szCs w:val="22"/>
              </w:rPr>
            </w:pPr>
          </w:p>
        </w:tc>
      </w:tr>
      <w:tr w:rsidR="004C18AD" w:rsidRPr="00F842E9" w14:paraId="51CB695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18507" w14:textId="77777777" w:rsidR="004C18AD" w:rsidRPr="00F842E9" w:rsidRDefault="004C18AD" w:rsidP="00042C67">
            <w:pPr>
              <w:pStyle w:val="Tablehead"/>
              <w:jc w:val="left"/>
              <w:rPr>
                <w:b w:val="0"/>
                <w:szCs w:val="22"/>
                <w:lang w:eastAsia="zh-CN"/>
              </w:rPr>
            </w:pPr>
            <w:r w:rsidRPr="000C156A">
              <w:rPr>
                <w:rFonts w:cs="Calibri"/>
                <w:szCs w:val="22"/>
                <w:lang w:val="en-US" w:eastAsia="zh-CN"/>
              </w:rPr>
              <w:t>–</w:t>
            </w:r>
            <w:r w:rsidRPr="000C156A">
              <w:rPr>
                <w:rFonts w:cs="Calibri"/>
                <w:szCs w:val="22"/>
                <w:lang w:val="en-US" w:eastAsia="zh-CN"/>
              </w:rPr>
              <w:tab/>
            </w:r>
            <w:r w:rsidRPr="00941759">
              <w:rPr>
                <w:rFonts w:hint="eastAsia"/>
                <w:b w:val="0"/>
                <w:bCs/>
                <w:szCs w:val="22"/>
                <w:lang w:eastAsia="zh-CN"/>
              </w:rPr>
              <w:t>南太平洋委员会，苏瓦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933DD" w14:textId="77777777" w:rsidR="004C18AD" w:rsidRPr="00F842E9" w:rsidRDefault="004C18AD" w:rsidP="00042C67">
            <w:pPr>
              <w:pStyle w:val="Tablehead"/>
              <w:rPr>
                <w:b w:val="0"/>
                <w:szCs w:val="22"/>
              </w:rPr>
            </w:pPr>
            <w:r w:rsidRPr="00F842E9">
              <w:rPr>
                <w:b w:val="0"/>
                <w:szCs w:val="22"/>
              </w:rPr>
              <w:t>2012-2013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7625A" w14:textId="77777777" w:rsidR="004C18AD" w:rsidRPr="00F842E9" w:rsidRDefault="004C18AD" w:rsidP="00042C67">
            <w:pPr>
              <w:pStyle w:val="Tablehead"/>
              <w:jc w:val="right"/>
              <w:rPr>
                <w:b w:val="0"/>
                <w:szCs w:val="22"/>
              </w:rPr>
            </w:pPr>
            <w:r w:rsidRPr="00F842E9">
              <w:rPr>
                <w:b w:val="0"/>
                <w:szCs w:val="22"/>
              </w:rPr>
              <w:t>6</w:t>
            </w:r>
            <w:r>
              <w:rPr>
                <w:b w:val="0"/>
                <w:szCs w:val="22"/>
              </w:rPr>
              <w:t> </w:t>
            </w:r>
            <w:r w:rsidRPr="00F842E9">
              <w:rPr>
                <w:b w:val="0"/>
                <w:szCs w:val="22"/>
              </w:rPr>
              <w:t>605.60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F1F5" w14:textId="77777777" w:rsidR="004C18AD" w:rsidRPr="00F842E9" w:rsidRDefault="004C18AD" w:rsidP="00042C67">
            <w:pPr>
              <w:pStyle w:val="Tablehead"/>
              <w:jc w:val="right"/>
              <w:rPr>
                <w:b w:val="0"/>
                <w:szCs w:val="22"/>
              </w:rPr>
            </w:pPr>
            <w:r w:rsidRPr="00F842E9">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326FC" w14:textId="77777777" w:rsidR="004C18AD" w:rsidRPr="00F842E9" w:rsidRDefault="004C18AD" w:rsidP="00042C67">
            <w:pPr>
              <w:pStyle w:val="Tablehead"/>
              <w:jc w:val="right"/>
              <w:rPr>
                <w:b w:val="0"/>
                <w:szCs w:val="22"/>
              </w:rPr>
            </w:pPr>
            <w:r w:rsidRPr="00F842E9">
              <w:rPr>
                <w:b w:val="0"/>
                <w:szCs w:val="22"/>
              </w:rPr>
              <w:t>6</w:t>
            </w:r>
            <w:r>
              <w:rPr>
                <w:b w:val="0"/>
                <w:szCs w:val="22"/>
              </w:rPr>
              <w:t> </w:t>
            </w:r>
            <w:r w:rsidRPr="00F842E9">
              <w:rPr>
                <w:b w:val="0"/>
                <w:szCs w:val="22"/>
              </w:rPr>
              <w:t>605.60</w:t>
            </w:r>
          </w:p>
        </w:tc>
      </w:tr>
      <w:tr w:rsidR="004C18AD" w:rsidRPr="00910F82" w14:paraId="232FB0D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95EA22" w14:textId="77777777" w:rsidR="004C18AD" w:rsidRPr="00F842E9" w:rsidRDefault="004C18AD" w:rsidP="00042C67">
            <w:pPr>
              <w:pStyle w:val="Tablehead"/>
              <w:jc w:val="left"/>
              <w:rPr>
                <w:szCs w:val="22"/>
                <w:lang w:eastAsia="zh-CN"/>
              </w:rPr>
            </w:pPr>
            <w:r>
              <w:rPr>
                <w:rFonts w:hint="eastAsia"/>
                <w:szCs w:val="22"/>
                <w:lang w:eastAsia="zh-CN"/>
              </w:rPr>
              <w:t>芬兰</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3C98F"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3710"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5188E"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C052E" w14:textId="77777777" w:rsidR="004C18AD" w:rsidRPr="00F842E9" w:rsidRDefault="004C18AD" w:rsidP="00042C67">
            <w:pPr>
              <w:pStyle w:val="Tablehead"/>
              <w:jc w:val="right"/>
              <w:rPr>
                <w:szCs w:val="22"/>
              </w:rPr>
            </w:pPr>
          </w:p>
        </w:tc>
      </w:tr>
      <w:tr w:rsidR="004C18AD" w:rsidRPr="00BC4748" w14:paraId="7757C4F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F2C8C" w14:textId="77777777" w:rsidR="004C18AD" w:rsidRPr="00BC4748" w:rsidRDefault="004C18AD" w:rsidP="00042C67">
            <w:pPr>
              <w:pStyle w:val="Tablehead"/>
              <w:jc w:val="left"/>
              <w:rPr>
                <w:b w:val="0"/>
                <w:szCs w:val="22"/>
                <w:lang w:eastAsia="zh-CN"/>
              </w:rPr>
            </w:pPr>
            <w:r w:rsidRPr="00BC4748">
              <w:rPr>
                <w:b w:val="0"/>
                <w:szCs w:val="22"/>
              </w:rPr>
              <w:t>–</w:t>
            </w:r>
            <w:r w:rsidRPr="00BC4748">
              <w:rPr>
                <w:b w:val="0"/>
                <w:szCs w:val="22"/>
              </w:rPr>
              <w:tab/>
              <w:t>Octagon</w:t>
            </w:r>
            <w:r w:rsidRPr="00BC4748">
              <w:rPr>
                <w:rFonts w:hint="eastAsia"/>
                <w:b w:val="0"/>
                <w:szCs w:val="22"/>
                <w:lang w:eastAsia="zh-CN"/>
              </w:rPr>
              <w:t>通信公司（原</w:t>
            </w:r>
            <w:r w:rsidRPr="00BC4748">
              <w:rPr>
                <w:b w:val="0"/>
                <w:szCs w:val="22"/>
              </w:rPr>
              <w:t>Oy Cubio</w:t>
            </w:r>
            <w:r w:rsidRPr="00BC4748">
              <w:rPr>
                <w:rFonts w:hint="eastAsia"/>
                <w:b w:val="0"/>
                <w:szCs w:val="22"/>
                <w:lang w:eastAsia="zh-CN"/>
              </w:rPr>
              <w:t>通信公司），赫尔辛基</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CE2E8" w14:textId="77777777" w:rsidR="004C18AD" w:rsidRPr="00BC4748" w:rsidRDefault="004C18AD" w:rsidP="00042C67">
            <w:pPr>
              <w:pStyle w:val="Tablehead"/>
              <w:rPr>
                <w:b w:val="0"/>
                <w:szCs w:val="22"/>
              </w:rPr>
            </w:pPr>
            <w:r w:rsidRPr="00BC4748">
              <w:rPr>
                <w:b w:val="0"/>
                <w:szCs w:val="22"/>
              </w:rPr>
              <w:t>2012-2013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9B56C" w14:textId="77777777" w:rsidR="004C18AD" w:rsidRPr="00BC4748" w:rsidRDefault="004C18AD" w:rsidP="00042C67">
            <w:pPr>
              <w:pStyle w:val="Tablehead"/>
              <w:jc w:val="right"/>
              <w:rPr>
                <w:b w:val="0"/>
                <w:szCs w:val="22"/>
              </w:rPr>
            </w:pPr>
            <w:r w:rsidRPr="00BC4748">
              <w:rPr>
                <w:b w:val="0"/>
                <w:szCs w:val="22"/>
              </w:rPr>
              <w:t>14</w:t>
            </w:r>
            <w:r>
              <w:rPr>
                <w:b w:val="0"/>
                <w:szCs w:val="22"/>
              </w:rPr>
              <w:t> </w:t>
            </w:r>
            <w:r w:rsidRPr="00BC4748">
              <w:rPr>
                <w:b w:val="0"/>
                <w:szCs w:val="22"/>
              </w:rPr>
              <w:t>223.42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1D396" w14:textId="77777777" w:rsidR="004C18AD" w:rsidRPr="00BC4748" w:rsidRDefault="004C18AD" w:rsidP="00042C67">
            <w:pPr>
              <w:pStyle w:val="Tablehead"/>
              <w:jc w:val="right"/>
              <w:rPr>
                <w:b w:val="0"/>
                <w:szCs w:val="22"/>
              </w:rPr>
            </w:pPr>
            <w:r w:rsidRPr="00BC4748">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F1C27" w14:textId="77777777" w:rsidR="004C18AD" w:rsidRPr="00BC4748" w:rsidRDefault="004C18AD" w:rsidP="00042C67">
            <w:pPr>
              <w:pStyle w:val="Tablehead"/>
              <w:jc w:val="right"/>
              <w:rPr>
                <w:b w:val="0"/>
                <w:szCs w:val="22"/>
              </w:rPr>
            </w:pPr>
            <w:r w:rsidRPr="00BC4748">
              <w:rPr>
                <w:b w:val="0"/>
                <w:szCs w:val="22"/>
              </w:rPr>
              <w:t>14</w:t>
            </w:r>
            <w:r>
              <w:rPr>
                <w:b w:val="0"/>
                <w:szCs w:val="22"/>
              </w:rPr>
              <w:t> </w:t>
            </w:r>
            <w:r w:rsidRPr="00BC4748">
              <w:rPr>
                <w:b w:val="0"/>
                <w:szCs w:val="22"/>
              </w:rPr>
              <w:t>223.42</w:t>
            </w:r>
          </w:p>
        </w:tc>
      </w:tr>
      <w:tr w:rsidR="004C18AD" w:rsidRPr="00910F82" w14:paraId="150CF30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CAF97" w14:textId="77777777" w:rsidR="004C18AD" w:rsidRPr="00F842E9" w:rsidRDefault="004C18AD" w:rsidP="00042C67">
            <w:pPr>
              <w:pStyle w:val="Tablehead"/>
              <w:jc w:val="left"/>
              <w:rPr>
                <w:szCs w:val="22"/>
                <w:lang w:eastAsia="zh-CN"/>
              </w:rPr>
            </w:pPr>
            <w:r>
              <w:rPr>
                <w:rFonts w:hint="eastAsia"/>
                <w:szCs w:val="22"/>
                <w:lang w:eastAsia="zh-CN"/>
              </w:rPr>
              <w:t>法国</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92EF7" w14:textId="77777777" w:rsidR="004C18AD" w:rsidRPr="00F842E9"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B7DFE" w14:textId="77777777" w:rsidR="004C18AD" w:rsidRPr="00F842E9"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3EF5" w14:textId="77777777" w:rsidR="004C18AD" w:rsidRPr="00F842E9"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513FF" w14:textId="77777777" w:rsidR="004C18AD" w:rsidRPr="00F842E9" w:rsidRDefault="004C18AD" w:rsidP="00042C67">
            <w:pPr>
              <w:pStyle w:val="Tablehead"/>
              <w:jc w:val="right"/>
              <w:rPr>
                <w:szCs w:val="22"/>
              </w:rPr>
            </w:pPr>
          </w:p>
        </w:tc>
      </w:tr>
      <w:tr w:rsidR="004C18AD" w:rsidRPr="00BC4748" w14:paraId="2FC40A0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53CA0" w14:textId="77777777" w:rsidR="004C18AD" w:rsidRPr="00BC4748" w:rsidRDefault="004C18AD" w:rsidP="00042C67">
            <w:pPr>
              <w:pStyle w:val="Tablehead"/>
              <w:jc w:val="left"/>
              <w:rPr>
                <w:b w:val="0"/>
                <w:szCs w:val="22"/>
                <w:lang w:eastAsia="zh-CN"/>
              </w:rPr>
            </w:pPr>
            <w:r w:rsidRPr="00BC4748">
              <w:rPr>
                <w:rFonts w:cs="Calibri"/>
                <w:b w:val="0"/>
                <w:szCs w:val="22"/>
                <w:lang w:val="fr-FR"/>
              </w:rPr>
              <w:t>–</w:t>
            </w:r>
            <w:r w:rsidRPr="00BC4748">
              <w:rPr>
                <w:rFonts w:cs="Calibri"/>
                <w:b w:val="0"/>
                <w:szCs w:val="22"/>
                <w:lang w:val="fr-FR"/>
              </w:rPr>
              <w:tab/>
              <w:t>LegalBox</w:t>
            </w:r>
            <w:r w:rsidRPr="00BC4748">
              <w:rPr>
                <w:rFonts w:cs="Calibri" w:hint="eastAsia"/>
                <w:b w:val="0"/>
                <w:szCs w:val="22"/>
                <w:lang w:val="fr-FR"/>
              </w:rPr>
              <w:t>，巴黎</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3861E" w14:textId="77777777" w:rsidR="004C18AD" w:rsidRPr="00BC4748" w:rsidRDefault="004C18AD" w:rsidP="00042C67">
            <w:pPr>
              <w:pStyle w:val="Tablehead"/>
              <w:rPr>
                <w:b w:val="0"/>
                <w:szCs w:val="22"/>
              </w:rPr>
            </w:pPr>
            <w:r w:rsidRPr="00BC4748">
              <w:rPr>
                <w:b w:val="0"/>
                <w:szCs w:val="22"/>
              </w:rPr>
              <w:t>2016-2017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CE505" w14:textId="77777777" w:rsidR="004C18AD" w:rsidRPr="00BC4748" w:rsidRDefault="004C18AD" w:rsidP="00042C67">
            <w:pPr>
              <w:pStyle w:val="Tablehead"/>
              <w:jc w:val="right"/>
              <w:rPr>
                <w:b w:val="0"/>
                <w:szCs w:val="22"/>
              </w:rPr>
            </w:pPr>
            <w:r w:rsidRPr="00BC4748">
              <w:rPr>
                <w:b w:val="0"/>
                <w:szCs w:val="22"/>
              </w:rPr>
              <w:t>17</w:t>
            </w:r>
            <w:r>
              <w:rPr>
                <w:b w:val="0"/>
                <w:szCs w:val="22"/>
              </w:rPr>
              <w:t> </w:t>
            </w:r>
            <w:r w:rsidRPr="00BC4748">
              <w:rPr>
                <w:b w:val="0"/>
                <w:szCs w:val="22"/>
              </w:rPr>
              <w:t>217.13</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ACC88" w14:textId="77777777" w:rsidR="004C18AD" w:rsidRPr="00BC4748" w:rsidRDefault="004C18AD" w:rsidP="00042C67">
            <w:pPr>
              <w:pStyle w:val="Tablehead"/>
              <w:jc w:val="right"/>
              <w:rPr>
                <w:b w:val="0"/>
                <w:szCs w:val="22"/>
              </w:rPr>
            </w:pPr>
            <w:r w:rsidRPr="00BC4748">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53D78" w14:textId="77777777" w:rsidR="004C18AD" w:rsidRPr="00BC4748" w:rsidRDefault="004C18AD" w:rsidP="00042C67">
            <w:pPr>
              <w:pStyle w:val="Tablehead"/>
              <w:jc w:val="right"/>
              <w:rPr>
                <w:b w:val="0"/>
                <w:szCs w:val="22"/>
              </w:rPr>
            </w:pPr>
            <w:r w:rsidRPr="00BC4748">
              <w:rPr>
                <w:b w:val="0"/>
                <w:szCs w:val="22"/>
              </w:rPr>
              <w:t>17</w:t>
            </w:r>
            <w:r>
              <w:rPr>
                <w:b w:val="0"/>
                <w:szCs w:val="22"/>
              </w:rPr>
              <w:t> </w:t>
            </w:r>
            <w:r w:rsidRPr="00BC4748">
              <w:rPr>
                <w:b w:val="0"/>
                <w:szCs w:val="22"/>
              </w:rPr>
              <w:t>217.13</w:t>
            </w:r>
          </w:p>
        </w:tc>
      </w:tr>
      <w:tr w:rsidR="004C18AD" w:rsidRPr="00BC4748" w14:paraId="3DEC691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245F4" w14:textId="77777777" w:rsidR="004C18AD" w:rsidRPr="00BC4748" w:rsidRDefault="004C18AD" w:rsidP="00042C67">
            <w:pPr>
              <w:pStyle w:val="Tablehead"/>
              <w:jc w:val="left"/>
              <w:rPr>
                <w:b w:val="0"/>
                <w:szCs w:val="22"/>
                <w:lang w:eastAsia="zh-CN"/>
              </w:rPr>
            </w:pPr>
            <w:r w:rsidRPr="00BC4748">
              <w:rPr>
                <w:rFonts w:cs="Calibri"/>
                <w:b w:val="0"/>
                <w:szCs w:val="22"/>
                <w:lang w:val="fr-FR"/>
              </w:rPr>
              <w:t>–</w:t>
            </w:r>
            <w:r w:rsidRPr="00BC4748">
              <w:rPr>
                <w:rFonts w:cs="Calibri"/>
                <w:b w:val="0"/>
                <w:szCs w:val="22"/>
                <w:lang w:val="fr-FR"/>
              </w:rPr>
              <w:tab/>
              <w:t>PMI Conseil</w:t>
            </w:r>
            <w:r w:rsidRPr="00BC4748">
              <w:rPr>
                <w:rFonts w:cs="Calibri" w:hint="eastAsia"/>
                <w:b w:val="0"/>
                <w:szCs w:val="22"/>
                <w:lang w:val="fr-FR"/>
              </w:rPr>
              <w:t>，</w:t>
            </w:r>
            <w:r w:rsidRPr="006C1E99">
              <w:rPr>
                <w:rFonts w:cs="Calibri" w:hint="eastAsia"/>
                <w:b w:val="0"/>
                <w:szCs w:val="22"/>
                <w:lang w:val="fr-FR"/>
              </w:rPr>
              <w:t>吕讷</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26214" w14:textId="77777777" w:rsidR="004C18AD" w:rsidRPr="00BC4748" w:rsidRDefault="004C18AD" w:rsidP="00042C67">
            <w:pPr>
              <w:pStyle w:val="Tablehead"/>
              <w:rPr>
                <w:b w:val="0"/>
                <w:szCs w:val="22"/>
              </w:rPr>
            </w:pPr>
            <w:r w:rsidRPr="00BC4748">
              <w:rPr>
                <w:b w:val="0"/>
                <w:szCs w:val="22"/>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97B32" w14:textId="77777777" w:rsidR="004C18AD" w:rsidRPr="00BC4748" w:rsidRDefault="004C18AD" w:rsidP="00042C67">
            <w:pPr>
              <w:pStyle w:val="Tablehead"/>
              <w:jc w:val="right"/>
              <w:rPr>
                <w:b w:val="0"/>
                <w:szCs w:val="22"/>
              </w:rPr>
            </w:pPr>
            <w:r w:rsidRPr="00BC4748">
              <w:rPr>
                <w:b w:val="0"/>
                <w:szCs w:val="22"/>
              </w:rPr>
              <w:t>7</w:t>
            </w:r>
            <w:r>
              <w:rPr>
                <w:b w:val="0"/>
                <w:szCs w:val="22"/>
              </w:rPr>
              <w:t> </w:t>
            </w:r>
            <w:r w:rsidRPr="00BC4748">
              <w:rPr>
                <w:b w:val="0"/>
                <w:szCs w:val="22"/>
              </w:rPr>
              <w:t>280.15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81683" w14:textId="77777777" w:rsidR="004C18AD" w:rsidRPr="00BC4748" w:rsidRDefault="004C18AD" w:rsidP="00042C67">
            <w:pPr>
              <w:pStyle w:val="Tablehead"/>
              <w:jc w:val="right"/>
              <w:rPr>
                <w:b w:val="0"/>
                <w:szCs w:val="22"/>
              </w:rPr>
            </w:pPr>
            <w:r w:rsidRPr="00BC4748">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8843" w14:textId="77777777" w:rsidR="004C18AD" w:rsidRPr="00BC4748" w:rsidRDefault="004C18AD" w:rsidP="00042C67">
            <w:pPr>
              <w:pStyle w:val="Tablehead"/>
              <w:jc w:val="right"/>
              <w:rPr>
                <w:b w:val="0"/>
                <w:szCs w:val="22"/>
              </w:rPr>
            </w:pPr>
            <w:r w:rsidRPr="00BC4748">
              <w:rPr>
                <w:b w:val="0"/>
                <w:szCs w:val="22"/>
              </w:rPr>
              <w:t>7</w:t>
            </w:r>
            <w:r>
              <w:rPr>
                <w:b w:val="0"/>
                <w:szCs w:val="22"/>
              </w:rPr>
              <w:t> </w:t>
            </w:r>
            <w:r w:rsidRPr="00BC4748">
              <w:rPr>
                <w:b w:val="0"/>
                <w:szCs w:val="22"/>
              </w:rPr>
              <w:t>280.15</w:t>
            </w:r>
          </w:p>
        </w:tc>
      </w:tr>
      <w:tr w:rsidR="004C18AD" w:rsidRPr="00B04ABF" w14:paraId="3DA84CA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88E08A" w14:textId="77777777" w:rsidR="004C18AD" w:rsidRPr="003D110D" w:rsidRDefault="004C18AD" w:rsidP="00042C67">
            <w:pPr>
              <w:pStyle w:val="Tablehead"/>
              <w:jc w:val="left"/>
              <w:rPr>
                <w:b w:val="0"/>
                <w:szCs w:val="22"/>
                <w:lang w:eastAsia="zh-CN"/>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ADCA8" w14:textId="77777777" w:rsidR="004C18AD" w:rsidRPr="003D110D" w:rsidRDefault="004C18AD" w:rsidP="00042C67">
            <w:pPr>
              <w:pStyle w:val="Tablehead"/>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000A9" w14:textId="77777777" w:rsidR="004C18AD" w:rsidRPr="003D110D"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0EF7" w14:textId="77777777" w:rsidR="004C18AD" w:rsidRPr="003D110D"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8DCB7" w14:textId="77777777" w:rsidR="004C18AD" w:rsidRPr="003D110D" w:rsidRDefault="004C18AD" w:rsidP="00042C67">
            <w:pPr>
              <w:pStyle w:val="Tablehead"/>
              <w:jc w:val="right"/>
              <w:rPr>
                <w:b w:val="0"/>
                <w:szCs w:val="22"/>
              </w:rPr>
            </w:pPr>
          </w:p>
        </w:tc>
      </w:tr>
      <w:tr w:rsidR="004C18AD" w:rsidRPr="003D110D" w14:paraId="6B804417"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1A809" w14:textId="77777777" w:rsidR="004C18AD" w:rsidRPr="003D110D" w:rsidRDefault="004C18AD" w:rsidP="00042C67">
            <w:pPr>
              <w:pStyle w:val="Tablehead"/>
              <w:jc w:val="left"/>
              <w:rPr>
                <w:szCs w:val="22"/>
                <w:lang w:eastAsia="zh-CN"/>
              </w:rPr>
            </w:pPr>
            <w:r w:rsidRPr="000C156A">
              <w:rPr>
                <w:rFonts w:cs="Calibri" w:hint="eastAsia"/>
                <w:bCs/>
                <w:szCs w:val="22"/>
                <w:lang w:val="en-US" w:eastAsia="zh-CN"/>
              </w:rPr>
              <w:t>加纳</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86DC2" w14:textId="77777777" w:rsidR="004C18AD" w:rsidRPr="003D110D"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79B7F" w14:textId="77777777" w:rsidR="004C18AD" w:rsidRPr="003D110D"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51FE5" w14:textId="77777777" w:rsidR="004C18AD" w:rsidRPr="003D110D"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555FA" w14:textId="77777777" w:rsidR="004C18AD" w:rsidRPr="003D110D" w:rsidRDefault="004C18AD" w:rsidP="00042C67">
            <w:pPr>
              <w:pStyle w:val="Tablehead"/>
              <w:jc w:val="right"/>
              <w:rPr>
                <w:szCs w:val="22"/>
              </w:rPr>
            </w:pPr>
          </w:p>
        </w:tc>
      </w:tr>
      <w:tr w:rsidR="004C18AD" w:rsidRPr="00BC4748" w14:paraId="126ED7C0"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11241" w14:textId="77777777" w:rsidR="004C18AD" w:rsidRPr="00BC4748" w:rsidRDefault="004C18AD" w:rsidP="00042C67">
            <w:pPr>
              <w:pStyle w:val="Tablehead"/>
              <w:jc w:val="left"/>
              <w:rPr>
                <w:b w:val="0"/>
                <w:szCs w:val="22"/>
                <w:lang w:eastAsia="zh-CN"/>
              </w:rPr>
            </w:pPr>
            <w:r w:rsidRPr="00BC4748">
              <w:rPr>
                <w:b w:val="0"/>
                <w:szCs w:val="22"/>
                <w:lang w:eastAsia="zh-CN"/>
              </w:rPr>
              <w:t>–</w:t>
            </w:r>
            <w:r w:rsidRPr="00BC4748">
              <w:rPr>
                <w:b w:val="0"/>
                <w:szCs w:val="22"/>
                <w:lang w:eastAsia="zh-CN"/>
              </w:rPr>
              <w:tab/>
            </w:r>
            <w:r w:rsidRPr="00BC4748">
              <w:rPr>
                <w:rFonts w:hint="eastAsia"/>
                <w:b w:val="0"/>
                <w:szCs w:val="22"/>
                <w:lang w:eastAsia="zh-CN"/>
              </w:rPr>
              <w:t>区域海事大学，阿克拉</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610AB" w14:textId="77777777" w:rsidR="004C18AD" w:rsidRPr="00BC4748" w:rsidRDefault="004C18AD" w:rsidP="00042C67">
            <w:pPr>
              <w:pStyle w:val="Tablehead"/>
              <w:rPr>
                <w:b w:val="0"/>
                <w:szCs w:val="22"/>
              </w:rPr>
            </w:pPr>
            <w:r w:rsidRPr="00BC4748">
              <w:rPr>
                <w:b w:val="0"/>
                <w:szCs w:val="22"/>
              </w:rPr>
              <w:t>2012</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A4DC9" w14:textId="77777777" w:rsidR="004C18AD" w:rsidRPr="00BC4748" w:rsidRDefault="004C18AD" w:rsidP="00042C67">
            <w:pPr>
              <w:pStyle w:val="Tablehead"/>
              <w:jc w:val="right"/>
              <w:rPr>
                <w:b w:val="0"/>
                <w:szCs w:val="22"/>
              </w:rPr>
            </w:pPr>
            <w:r w:rsidRPr="00BC4748">
              <w:rPr>
                <w:b w:val="0"/>
                <w:szCs w:val="22"/>
              </w:rPr>
              <w:t>2</w:t>
            </w:r>
            <w:r>
              <w:rPr>
                <w:b w:val="0"/>
                <w:szCs w:val="22"/>
              </w:rPr>
              <w:t> </w:t>
            </w:r>
            <w:r w:rsidRPr="00BC4748">
              <w:rPr>
                <w:b w:val="0"/>
                <w:szCs w:val="22"/>
              </w:rPr>
              <w:t>644.86</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6CD72" w14:textId="77777777" w:rsidR="004C18AD" w:rsidRPr="00BC4748" w:rsidRDefault="004C18AD" w:rsidP="00042C67">
            <w:pPr>
              <w:pStyle w:val="Tablehead"/>
              <w:jc w:val="right"/>
              <w:rPr>
                <w:b w:val="0"/>
                <w:szCs w:val="22"/>
              </w:rPr>
            </w:pPr>
            <w:r w:rsidRPr="00BC4748">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45572" w14:textId="77777777" w:rsidR="004C18AD" w:rsidRPr="00BC4748" w:rsidRDefault="004C18AD" w:rsidP="00042C67">
            <w:pPr>
              <w:pStyle w:val="Tablehead"/>
              <w:jc w:val="right"/>
              <w:rPr>
                <w:b w:val="0"/>
                <w:szCs w:val="22"/>
              </w:rPr>
            </w:pPr>
            <w:r w:rsidRPr="00BC4748">
              <w:rPr>
                <w:b w:val="0"/>
                <w:szCs w:val="22"/>
              </w:rPr>
              <w:t>2</w:t>
            </w:r>
            <w:r>
              <w:rPr>
                <w:b w:val="0"/>
                <w:szCs w:val="22"/>
              </w:rPr>
              <w:t> </w:t>
            </w:r>
            <w:r w:rsidRPr="00BC4748">
              <w:rPr>
                <w:b w:val="0"/>
                <w:szCs w:val="22"/>
              </w:rPr>
              <w:t>644.86</w:t>
            </w:r>
          </w:p>
        </w:tc>
      </w:tr>
      <w:tr w:rsidR="004C18AD" w:rsidRPr="00910F82" w14:paraId="13BA3E0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7925A" w14:textId="77777777" w:rsidR="004C18AD" w:rsidRPr="003D110D" w:rsidRDefault="004C18AD" w:rsidP="00042C67">
            <w:pPr>
              <w:pStyle w:val="Tablehead"/>
              <w:jc w:val="left"/>
              <w:rPr>
                <w:b w:val="0"/>
                <w:szCs w:val="22"/>
                <w:lang w:eastAsia="zh-CN"/>
              </w:rPr>
            </w:pPr>
            <w:r w:rsidRPr="003D110D">
              <w:rPr>
                <w:b w:val="0"/>
                <w:szCs w:val="22"/>
                <w:lang w:eastAsia="zh-CN"/>
              </w:rPr>
              <w:t xml:space="preserve"> - Subah Infosolutions Ghana Limited, </w:t>
            </w:r>
            <w:r w:rsidRPr="006C1E99">
              <w:rPr>
                <w:rFonts w:hint="eastAsia"/>
                <w:b w:val="0"/>
                <w:szCs w:val="22"/>
                <w:lang w:eastAsia="zh-CN"/>
              </w:rPr>
              <w:t>阿克拉</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669F9" w14:textId="77777777" w:rsidR="004C18AD" w:rsidRPr="003D110D" w:rsidRDefault="004C18AD" w:rsidP="00042C67">
            <w:pPr>
              <w:pStyle w:val="Tablehead"/>
              <w:rPr>
                <w:b w:val="0"/>
                <w:szCs w:val="22"/>
              </w:rPr>
            </w:pPr>
            <w:r w:rsidRPr="003D110D">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C6926" w14:textId="77777777" w:rsidR="004C18AD" w:rsidRPr="003D110D" w:rsidRDefault="004C18AD" w:rsidP="00042C67">
            <w:pPr>
              <w:pStyle w:val="Tablehead"/>
              <w:jc w:val="right"/>
              <w:rPr>
                <w:b w:val="0"/>
                <w:szCs w:val="22"/>
              </w:rPr>
            </w:pPr>
            <w:r w:rsidRPr="003D110D">
              <w:rPr>
                <w:b w:val="0"/>
                <w:szCs w:val="22"/>
              </w:rPr>
              <w:t>7</w:t>
            </w:r>
            <w:r>
              <w:rPr>
                <w:b w:val="0"/>
                <w:szCs w:val="22"/>
              </w:rPr>
              <w:t> </w:t>
            </w:r>
            <w:r w:rsidRPr="003D110D">
              <w:rPr>
                <w:b w:val="0"/>
                <w:szCs w:val="22"/>
              </w:rPr>
              <w:t>022.50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A9BAB"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29FD4" w14:textId="77777777" w:rsidR="004C18AD" w:rsidRPr="003D110D" w:rsidRDefault="004C18AD" w:rsidP="00042C67">
            <w:pPr>
              <w:pStyle w:val="Tablehead"/>
              <w:jc w:val="right"/>
              <w:rPr>
                <w:b w:val="0"/>
                <w:szCs w:val="22"/>
              </w:rPr>
            </w:pPr>
            <w:r w:rsidRPr="003D110D">
              <w:rPr>
                <w:b w:val="0"/>
                <w:szCs w:val="22"/>
              </w:rPr>
              <w:t>7</w:t>
            </w:r>
            <w:r>
              <w:rPr>
                <w:b w:val="0"/>
                <w:szCs w:val="22"/>
              </w:rPr>
              <w:t> </w:t>
            </w:r>
            <w:r w:rsidRPr="003D110D">
              <w:rPr>
                <w:b w:val="0"/>
                <w:szCs w:val="22"/>
              </w:rPr>
              <w:t>022.50</w:t>
            </w:r>
          </w:p>
        </w:tc>
      </w:tr>
      <w:tr w:rsidR="004C18AD" w:rsidRPr="003D110D" w14:paraId="15DD0D0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EADE0C" w14:textId="77777777" w:rsidR="004C18AD" w:rsidRPr="003D110D" w:rsidRDefault="004C18AD" w:rsidP="00042C67">
            <w:pPr>
              <w:pStyle w:val="Tablehead"/>
              <w:jc w:val="left"/>
              <w:rPr>
                <w:szCs w:val="22"/>
                <w:lang w:eastAsia="zh-CN"/>
              </w:rPr>
            </w:pPr>
            <w:r w:rsidRPr="000C156A">
              <w:rPr>
                <w:rFonts w:cs="Calibri" w:hint="eastAsia"/>
                <w:bCs/>
                <w:szCs w:val="22"/>
                <w:lang w:val="en-US" w:eastAsia="zh-CN"/>
              </w:rPr>
              <w:t>洪都拉斯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55916" w14:textId="77777777" w:rsidR="004C18AD" w:rsidRPr="003D110D"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77C08" w14:textId="77777777" w:rsidR="004C18AD" w:rsidRPr="003D110D"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E0CFC" w14:textId="77777777" w:rsidR="004C18AD" w:rsidRPr="003D110D"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4DD5C" w14:textId="77777777" w:rsidR="004C18AD" w:rsidRPr="003D110D" w:rsidRDefault="004C18AD" w:rsidP="00042C67">
            <w:pPr>
              <w:pStyle w:val="Tablehead"/>
              <w:jc w:val="right"/>
              <w:rPr>
                <w:szCs w:val="22"/>
              </w:rPr>
            </w:pPr>
          </w:p>
        </w:tc>
      </w:tr>
      <w:tr w:rsidR="004C18AD" w:rsidRPr="00BC4748" w14:paraId="79DDF82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8BF7F" w14:textId="77777777" w:rsidR="004C18AD" w:rsidRPr="00BC4748" w:rsidRDefault="004C18AD" w:rsidP="00042C67">
            <w:pPr>
              <w:pStyle w:val="Tablehead"/>
              <w:jc w:val="left"/>
              <w:rPr>
                <w:b w:val="0"/>
                <w:szCs w:val="22"/>
                <w:lang w:eastAsia="zh-CN"/>
              </w:rPr>
            </w:pPr>
            <w:r w:rsidRPr="00BC4748">
              <w:rPr>
                <w:b w:val="0"/>
                <w:szCs w:val="22"/>
              </w:rPr>
              <w:t>–</w:t>
            </w:r>
            <w:r w:rsidRPr="00BC4748">
              <w:rPr>
                <w:b w:val="0"/>
                <w:szCs w:val="22"/>
              </w:rPr>
              <w:tab/>
              <w:t>UNITEC</w:t>
            </w:r>
            <w:r w:rsidRPr="00BC4748">
              <w:rPr>
                <w:rFonts w:hint="eastAsia"/>
                <w:b w:val="0"/>
                <w:szCs w:val="22"/>
                <w:lang w:eastAsia="zh-CN"/>
              </w:rPr>
              <w:t>，</w:t>
            </w:r>
            <w:r w:rsidRPr="00BC4748">
              <w:rPr>
                <w:rFonts w:hint="eastAsia"/>
                <w:b w:val="0"/>
                <w:szCs w:val="22"/>
              </w:rPr>
              <w:t>特古西加尔巴</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746B2" w14:textId="77777777" w:rsidR="004C18AD" w:rsidRPr="00BC4748" w:rsidRDefault="004C18AD" w:rsidP="00042C67">
            <w:pPr>
              <w:pStyle w:val="Tablehead"/>
              <w:rPr>
                <w:b w:val="0"/>
                <w:szCs w:val="22"/>
              </w:rPr>
            </w:pPr>
            <w:r w:rsidRPr="00BC4748">
              <w:rPr>
                <w:b w:val="0"/>
                <w:szCs w:val="22"/>
              </w:rPr>
              <w:t>2012</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1984" w14:textId="77777777" w:rsidR="004C18AD" w:rsidRPr="00BC4748" w:rsidRDefault="004C18AD" w:rsidP="00042C67">
            <w:pPr>
              <w:pStyle w:val="Tablehead"/>
              <w:jc w:val="right"/>
              <w:rPr>
                <w:b w:val="0"/>
                <w:szCs w:val="22"/>
              </w:rPr>
            </w:pPr>
            <w:r w:rsidRPr="00BC4748">
              <w:rPr>
                <w:b w:val="0"/>
                <w:szCs w:val="22"/>
              </w:rPr>
              <w:t>3</w:t>
            </w:r>
            <w:r>
              <w:rPr>
                <w:b w:val="0"/>
                <w:szCs w:val="22"/>
              </w:rPr>
              <w:t> </w:t>
            </w:r>
            <w:r w:rsidRPr="00BC4748">
              <w:rPr>
                <w:b w:val="0"/>
                <w:szCs w:val="22"/>
              </w:rPr>
              <w:t>483.75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FCABA" w14:textId="77777777" w:rsidR="004C18AD" w:rsidRPr="00BC4748" w:rsidRDefault="004C18AD" w:rsidP="00042C67">
            <w:pPr>
              <w:pStyle w:val="Tablehead"/>
              <w:jc w:val="right"/>
              <w:rPr>
                <w:b w:val="0"/>
                <w:szCs w:val="22"/>
              </w:rPr>
            </w:pPr>
            <w:r w:rsidRPr="00BC4748">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0F905" w14:textId="77777777" w:rsidR="004C18AD" w:rsidRPr="00BC4748" w:rsidRDefault="004C18AD" w:rsidP="00042C67">
            <w:pPr>
              <w:pStyle w:val="Tablehead"/>
              <w:jc w:val="right"/>
              <w:rPr>
                <w:b w:val="0"/>
                <w:szCs w:val="22"/>
              </w:rPr>
            </w:pPr>
            <w:r w:rsidRPr="00BC4748">
              <w:rPr>
                <w:b w:val="0"/>
                <w:szCs w:val="22"/>
              </w:rPr>
              <w:t>3</w:t>
            </w:r>
            <w:r>
              <w:rPr>
                <w:b w:val="0"/>
                <w:szCs w:val="22"/>
              </w:rPr>
              <w:t> </w:t>
            </w:r>
            <w:r w:rsidRPr="00BC4748">
              <w:rPr>
                <w:b w:val="0"/>
                <w:szCs w:val="22"/>
              </w:rPr>
              <w:t>483.75</w:t>
            </w:r>
          </w:p>
        </w:tc>
      </w:tr>
      <w:tr w:rsidR="004C18AD" w:rsidRPr="003D110D" w14:paraId="29304AF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86BB80" w14:textId="77777777" w:rsidR="004C18AD" w:rsidRPr="003D110D" w:rsidRDefault="004C18AD" w:rsidP="00042C67">
            <w:pPr>
              <w:pStyle w:val="Tablehead"/>
              <w:jc w:val="left"/>
              <w:rPr>
                <w:szCs w:val="22"/>
                <w:lang w:eastAsia="zh-CN"/>
              </w:rPr>
            </w:pPr>
            <w:r w:rsidRPr="000C156A">
              <w:rPr>
                <w:rFonts w:cs="Calibri" w:hint="eastAsia"/>
                <w:bCs/>
                <w:szCs w:val="22"/>
                <w:lang w:val="en-US" w:eastAsia="zh-CN"/>
              </w:rPr>
              <w:t>匈牙利</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3FFBA" w14:textId="77777777" w:rsidR="004C18AD" w:rsidRPr="003D110D"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87CB" w14:textId="77777777" w:rsidR="004C18AD" w:rsidRPr="003D110D"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44F15" w14:textId="77777777" w:rsidR="004C18AD" w:rsidRPr="003D110D"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ADEC1" w14:textId="77777777" w:rsidR="004C18AD" w:rsidRPr="003D110D" w:rsidRDefault="004C18AD" w:rsidP="00042C67">
            <w:pPr>
              <w:pStyle w:val="Tablehead"/>
              <w:jc w:val="right"/>
              <w:rPr>
                <w:szCs w:val="22"/>
              </w:rPr>
            </w:pPr>
          </w:p>
        </w:tc>
      </w:tr>
      <w:tr w:rsidR="004C18AD" w:rsidRPr="001E4B8F" w14:paraId="035D8F1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97A37" w14:textId="77777777" w:rsidR="004C18AD" w:rsidRPr="001E4B8F" w:rsidRDefault="004C18AD" w:rsidP="00042C67">
            <w:pPr>
              <w:pStyle w:val="Tablehead"/>
              <w:jc w:val="left"/>
              <w:rPr>
                <w:b w:val="0"/>
                <w:szCs w:val="22"/>
                <w:lang w:eastAsia="zh-CN"/>
              </w:rPr>
            </w:pPr>
            <w:r w:rsidRPr="001E4B8F">
              <w:rPr>
                <w:rFonts w:cs="Calibri"/>
                <w:b w:val="0"/>
                <w:szCs w:val="22"/>
                <w:lang w:eastAsia="zh-CN"/>
              </w:rPr>
              <w:t>–</w:t>
            </w:r>
            <w:r w:rsidRPr="001E4B8F">
              <w:rPr>
                <w:rFonts w:cs="Calibri"/>
                <w:b w:val="0"/>
                <w:szCs w:val="22"/>
                <w:lang w:eastAsia="zh-CN"/>
              </w:rPr>
              <w:tab/>
            </w:r>
            <w:r w:rsidRPr="001E4B8F">
              <w:rPr>
                <w:rFonts w:cs="Calibri" w:hint="eastAsia"/>
                <w:b w:val="0"/>
                <w:szCs w:val="22"/>
                <w:lang w:val="fr-FR" w:eastAsia="zh-CN"/>
              </w:rPr>
              <w:t>布达佩斯技术经济大学</w:t>
            </w:r>
            <w:r w:rsidRPr="001E4B8F">
              <w:rPr>
                <w:rFonts w:cs="Calibri" w:hint="eastAsia"/>
                <w:b w:val="0"/>
                <w:szCs w:val="22"/>
                <w:lang w:eastAsia="zh-CN"/>
              </w:rPr>
              <w:t>，布达佩斯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7390" w14:textId="77777777" w:rsidR="004C18AD" w:rsidRPr="001E4B8F" w:rsidRDefault="004C18AD" w:rsidP="00042C67">
            <w:pPr>
              <w:pStyle w:val="Tablehead"/>
              <w:rPr>
                <w:b w:val="0"/>
                <w:szCs w:val="22"/>
              </w:rPr>
            </w:pPr>
            <w:r w:rsidRPr="001E4B8F">
              <w:rPr>
                <w:b w:val="0"/>
                <w:szCs w:val="22"/>
              </w:rPr>
              <w:t>2017-2019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81E26" w14:textId="77777777" w:rsidR="004C18AD" w:rsidRPr="001E4B8F" w:rsidRDefault="004C18AD" w:rsidP="00042C67">
            <w:pPr>
              <w:pStyle w:val="Tablehead"/>
              <w:jc w:val="right"/>
              <w:rPr>
                <w:b w:val="0"/>
                <w:szCs w:val="22"/>
              </w:rPr>
            </w:pPr>
            <w:r w:rsidRPr="001E4B8F">
              <w:rPr>
                <w:b w:val="0"/>
                <w:szCs w:val="22"/>
              </w:rPr>
              <w:t>4</w:t>
            </w:r>
            <w:r>
              <w:rPr>
                <w:b w:val="0"/>
                <w:szCs w:val="22"/>
              </w:rPr>
              <w:t> </w:t>
            </w:r>
            <w:r w:rsidRPr="001E4B8F">
              <w:rPr>
                <w:b w:val="0"/>
                <w:szCs w:val="22"/>
              </w:rPr>
              <w:t>867.65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9728B" w14:textId="77777777" w:rsidR="004C18AD" w:rsidRPr="001E4B8F" w:rsidRDefault="004C18AD" w:rsidP="00042C67">
            <w:pPr>
              <w:pStyle w:val="Tablehead"/>
              <w:jc w:val="right"/>
              <w:rPr>
                <w:b w:val="0"/>
                <w:szCs w:val="22"/>
              </w:rPr>
            </w:pPr>
            <w:r w:rsidRPr="001E4B8F">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C170F" w14:textId="77777777" w:rsidR="004C18AD" w:rsidRPr="001E4B8F" w:rsidRDefault="004C18AD" w:rsidP="00042C67">
            <w:pPr>
              <w:pStyle w:val="Tablehead"/>
              <w:jc w:val="right"/>
              <w:rPr>
                <w:b w:val="0"/>
                <w:szCs w:val="22"/>
              </w:rPr>
            </w:pPr>
            <w:r w:rsidRPr="001E4B8F">
              <w:rPr>
                <w:b w:val="0"/>
                <w:szCs w:val="22"/>
              </w:rPr>
              <w:t>4</w:t>
            </w:r>
            <w:r>
              <w:rPr>
                <w:b w:val="0"/>
                <w:szCs w:val="22"/>
              </w:rPr>
              <w:t> </w:t>
            </w:r>
            <w:r w:rsidRPr="001E4B8F">
              <w:rPr>
                <w:b w:val="0"/>
                <w:szCs w:val="22"/>
              </w:rPr>
              <w:t>867.65</w:t>
            </w:r>
          </w:p>
        </w:tc>
      </w:tr>
      <w:tr w:rsidR="004C18AD" w:rsidRPr="00910F82" w14:paraId="384C7DA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481E55" w14:textId="77777777" w:rsidR="004C18AD" w:rsidRPr="003D110D" w:rsidRDefault="004C18AD" w:rsidP="00042C67">
            <w:pPr>
              <w:pStyle w:val="Tablehead"/>
              <w:jc w:val="left"/>
              <w:rPr>
                <w:b w:val="0"/>
                <w:szCs w:val="22"/>
                <w:lang w:eastAsia="zh-CN"/>
              </w:rPr>
            </w:pPr>
            <w:r w:rsidRPr="000C156A">
              <w:rPr>
                <w:rFonts w:cs="Calibri"/>
                <w:szCs w:val="22"/>
                <w:lang w:val="en-US" w:eastAsia="zh-CN"/>
              </w:rPr>
              <w:t>–</w:t>
            </w:r>
            <w:r w:rsidRPr="000C156A">
              <w:rPr>
                <w:rFonts w:cs="Calibri"/>
                <w:szCs w:val="22"/>
                <w:lang w:val="en-US" w:eastAsia="zh-CN"/>
              </w:rPr>
              <w:tab/>
            </w:r>
            <w:r w:rsidRPr="001E4B8F">
              <w:rPr>
                <w:rFonts w:cs="Calibri"/>
                <w:b w:val="0"/>
                <w:szCs w:val="22"/>
                <w:lang w:val="fr-FR"/>
              </w:rPr>
              <w:t>MCNTelecom</w:t>
            </w:r>
            <w:r w:rsidRPr="001E4B8F">
              <w:rPr>
                <w:rFonts w:cs="Calibri"/>
                <w:b w:val="0"/>
                <w:szCs w:val="22"/>
                <w:lang w:val="en-US" w:eastAsia="zh-CN"/>
              </w:rPr>
              <w:t>，</w:t>
            </w:r>
            <w:r w:rsidRPr="001E4B8F">
              <w:rPr>
                <w:rFonts w:cs="Calibri" w:hint="eastAsia"/>
                <w:b w:val="0"/>
                <w:szCs w:val="22"/>
                <w:lang w:val="en-US" w:eastAsia="zh-CN"/>
              </w:rPr>
              <w:t>布达佩斯</w:t>
            </w:r>
            <w:r w:rsidRPr="001E4B8F">
              <w:rPr>
                <w:rFonts w:cs="Calibri" w:hint="eastAsia"/>
                <w:b w:val="0"/>
                <w:szCs w:val="22"/>
                <w:lang w:eastAsia="zh-CN"/>
              </w:rPr>
              <w:t>（原</w:t>
            </w:r>
            <w:r w:rsidRPr="001E4B8F">
              <w:rPr>
                <w:rFonts w:cs="Calibri"/>
                <w:b w:val="0"/>
                <w:szCs w:val="22"/>
                <w:lang w:eastAsia="zh-CN"/>
              </w:rPr>
              <w:t>Tel2tel Kft.</w:t>
            </w:r>
            <w:r w:rsidRPr="001E4B8F">
              <w:rPr>
                <w:rFonts w:cs="Calibri" w:hint="eastAsia"/>
                <w:b w:val="0"/>
                <w:szCs w:val="22"/>
                <w:lang w:eastAsia="zh-CN"/>
              </w:rPr>
              <w:t>）</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071B4" w14:textId="77777777" w:rsidR="004C18AD" w:rsidRPr="003D110D" w:rsidRDefault="004C18AD" w:rsidP="00042C67">
            <w:pPr>
              <w:pStyle w:val="Tablehead"/>
              <w:rPr>
                <w:b w:val="0"/>
                <w:szCs w:val="22"/>
              </w:rPr>
            </w:pPr>
            <w:r w:rsidRPr="003D110D">
              <w:rPr>
                <w:b w:val="0"/>
                <w:szCs w:val="22"/>
              </w:rPr>
              <w:t>2017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E387" w14:textId="77777777" w:rsidR="004C18AD" w:rsidRPr="003D110D" w:rsidRDefault="004C18AD" w:rsidP="00042C67">
            <w:pPr>
              <w:pStyle w:val="Tablehead"/>
              <w:jc w:val="right"/>
              <w:rPr>
                <w:b w:val="0"/>
                <w:szCs w:val="22"/>
              </w:rPr>
            </w:pPr>
            <w:r w:rsidRPr="003D110D">
              <w:rPr>
                <w:b w:val="0"/>
                <w:szCs w:val="22"/>
              </w:rPr>
              <w:t>13</w:t>
            </w:r>
            <w:r>
              <w:rPr>
                <w:b w:val="0"/>
                <w:szCs w:val="22"/>
              </w:rPr>
              <w:t> </w:t>
            </w:r>
            <w:r w:rsidRPr="003D110D">
              <w:rPr>
                <w:b w:val="0"/>
                <w:szCs w:val="22"/>
              </w:rPr>
              <w:t>884.10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3836A"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55D63" w14:textId="77777777" w:rsidR="004C18AD" w:rsidRPr="003D110D" w:rsidRDefault="004C18AD" w:rsidP="00042C67">
            <w:pPr>
              <w:pStyle w:val="Tablehead"/>
              <w:jc w:val="right"/>
              <w:rPr>
                <w:b w:val="0"/>
                <w:szCs w:val="22"/>
              </w:rPr>
            </w:pPr>
            <w:r w:rsidRPr="003D110D">
              <w:rPr>
                <w:b w:val="0"/>
                <w:szCs w:val="22"/>
              </w:rPr>
              <w:t>13</w:t>
            </w:r>
            <w:r>
              <w:rPr>
                <w:b w:val="0"/>
                <w:szCs w:val="22"/>
              </w:rPr>
              <w:t> </w:t>
            </w:r>
            <w:r w:rsidRPr="003D110D">
              <w:rPr>
                <w:b w:val="0"/>
                <w:szCs w:val="22"/>
              </w:rPr>
              <w:t>884.10</w:t>
            </w:r>
          </w:p>
        </w:tc>
      </w:tr>
      <w:tr w:rsidR="004C18AD" w:rsidRPr="003D110D" w14:paraId="78BCFE66"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7E2019" w14:textId="77777777" w:rsidR="004C18AD" w:rsidRPr="003D110D" w:rsidRDefault="004C18AD" w:rsidP="00042C67">
            <w:pPr>
              <w:pStyle w:val="Tablehead"/>
              <w:jc w:val="left"/>
              <w:rPr>
                <w:szCs w:val="22"/>
                <w:lang w:eastAsia="zh-CN"/>
              </w:rPr>
            </w:pPr>
            <w:r w:rsidRPr="000C156A">
              <w:rPr>
                <w:rFonts w:cs="Calibri"/>
                <w:bCs/>
                <w:szCs w:val="22"/>
              </w:rPr>
              <w:t>印度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25F83" w14:textId="77777777" w:rsidR="004C18AD" w:rsidRPr="003D110D" w:rsidRDefault="004C18AD" w:rsidP="00042C67">
            <w:pPr>
              <w:pStyle w:val="Tablehead"/>
              <w:rPr>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6E4CE" w14:textId="77777777" w:rsidR="004C18AD" w:rsidRPr="003D110D" w:rsidRDefault="004C18AD" w:rsidP="00042C67">
            <w:pPr>
              <w:pStyle w:val="Tablehead"/>
              <w:jc w:val="right"/>
              <w:rPr>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47FDC" w14:textId="77777777" w:rsidR="004C18AD" w:rsidRPr="003D110D" w:rsidRDefault="004C18AD" w:rsidP="00042C67">
            <w:pPr>
              <w:pStyle w:val="Tablehead"/>
              <w:jc w:val="right"/>
              <w:rPr>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A10A2" w14:textId="77777777" w:rsidR="004C18AD" w:rsidRPr="003D110D" w:rsidRDefault="004C18AD" w:rsidP="00042C67">
            <w:pPr>
              <w:pStyle w:val="Tablehead"/>
              <w:jc w:val="right"/>
              <w:rPr>
                <w:szCs w:val="22"/>
              </w:rPr>
            </w:pPr>
          </w:p>
        </w:tc>
      </w:tr>
      <w:tr w:rsidR="004C18AD" w:rsidRPr="006215C2" w14:paraId="019AE6E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789076" w14:textId="77777777" w:rsidR="004C18AD" w:rsidRPr="006215C2" w:rsidRDefault="004C18AD" w:rsidP="00042C67">
            <w:pPr>
              <w:pStyle w:val="Tablehead"/>
              <w:jc w:val="left"/>
              <w:rPr>
                <w:b w:val="0"/>
                <w:szCs w:val="22"/>
                <w:lang w:eastAsia="zh-CN"/>
              </w:rPr>
            </w:pPr>
            <w:r w:rsidRPr="006215C2">
              <w:rPr>
                <w:rFonts w:cs="Calibri"/>
                <w:b w:val="0"/>
                <w:szCs w:val="22"/>
                <w:lang w:val="fr-FR" w:eastAsia="zh-CN"/>
              </w:rPr>
              <w:t>–</w:t>
            </w:r>
            <w:r w:rsidRPr="006215C2">
              <w:rPr>
                <w:rFonts w:cs="Calibri"/>
                <w:b w:val="0"/>
                <w:szCs w:val="22"/>
                <w:lang w:val="fr-FR" w:eastAsia="zh-CN"/>
              </w:rPr>
              <w:tab/>
              <w:t>Amity</w:t>
            </w:r>
            <w:r w:rsidRPr="006215C2">
              <w:rPr>
                <w:rFonts w:cs="Calibri" w:hint="eastAsia"/>
                <w:b w:val="0"/>
                <w:szCs w:val="22"/>
                <w:lang w:val="fr-FR" w:eastAsia="zh-CN"/>
              </w:rPr>
              <w:t>电信工程学院，诺伊达</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AA6A7" w14:textId="77777777" w:rsidR="004C18AD" w:rsidRPr="006215C2" w:rsidRDefault="004C18AD" w:rsidP="00042C67">
            <w:pPr>
              <w:pStyle w:val="Tablehead"/>
              <w:rPr>
                <w:b w:val="0"/>
                <w:szCs w:val="22"/>
              </w:rPr>
            </w:pPr>
            <w:r w:rsidRPr="006215C2">
              <w:rPr>
                <w:b w:val="0"/>
                <w:szCs w:val="22"/>
              </w:rPr>
              <w:t>2017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83FD1" w14:textId="77777777" w:rsidR="004C18AD" w:rsidRPr="006215C2" w:rsidRDefault="004C18AD" w:rsidP="00042C67">
            <w:pPr>
              <w:pStyle w:val="Tablehead"/>
              <w:jc w:val="right"/>
              <w:rPr>
                <w:b w:val="0"/>
                <w:szCs w:val="22"/>
              </w:rPr>
            </w:pPr>
            <w:r w:rsidRPr="006215C2">
              <w:rPr>
                <w:b w:val="0"/>
                <w:szCs w:val="22"/>
              </w:rPr>
              <w:t>2</w:t>
            </w:r>
            <w:r>
              <w:rPr>
                <w:b w:val="0"/>
                <w:szCs w:val="22"/>
              </w:rPr>
              <w:t> </w:t>
            </w:r>
            <w:r w:rsidRPr="006215C2">
              <w:rPr>
                <w:b w:val="0"/>
                <w:szCs w:val="22"/>
              </w:rPr>
              <w:t>603.25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052C" w14:textId="77777777" w:rsidR="004C18AD" w:rsidRPr="006215C2" w:rsidRDefault="004C18AD" w:rsidP="00042C67">
            <w:pPr>
              <w:pStyle w:val="Tablehead"/>
              <w:jc w:val="right"/>
              <w:rPr>
                <w:b w:val="0"/>
                <w:szCs w:val="22"/>
              </w:rPr>
            </w:pPr>
            <w:r w:rsidRPr="006215C2">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576E" w14:textId="77777777" w:rsidR="004C18AD" w:rsidRPr="006215C2" w:rsidRDefault="004C18AD" w:rsidP="00042C67">
            <w:pPr>
              <w:pStyle w:val="Tablehead"/>
              <w:jc w:val="right"/>
              <w:rPr>
                <w:b w:val="0"/>
                <w:szCs w:val="22"/>
              </w:rPr>
            </w:pPr>
            <w:r w:rsidRPr="006215C2">
              <w:rPr>
                <w:b w:val="0"/>
                <w:szCs w:val="22"/>
              </w:rPr>
              <w:t>2</w:t>
            </w:r>
            <w:r>
              <w:rPr>
                <w:b w:val="0"/>
                <w:szCs w:val="22"/>
              </w:rPr>
              <w:t> </w:t>
            </w:r>
            <w:r w:rsidRPr="006215C2">
              <w:rPr>
                <w:b w:val="0"/>
                <w:szCs w:val="22"/>
              </w:rPr>
              <w:t>603.25</w:t>
            </w:r>
          </w:p>
        </w:tc>
      </w:tr>
      <w:tr w:rsidR="004C18AD" w:rsidRPr="00910F82" w14:paraId="3A87EA0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94B38" w14:textId="77777777" w:rsidR="004C18AD" w:rsidRPr="003D110D" w:rsidRDefault="004C18AD" w:rsidP="00042C67">
            <w:pPr>
              <w:pStyle w:val="Tablehead"/>
              <w:jc w:val="left"/>
              <w:rPr>
                <w:b w:val="0"/>
                <w:szCs w:val="22"/>
                <w:lang w:eastAsia="zh-CN"/>
              </w:rPr>
            </w:pPr>
            <w:r w:rsidRPr="00EF3488">
              <w:rPr>
                <w:b w:val="0"/>
                <w:szCs w:val="22"/>
                <w:lang w:val="fr-FR" w:eastAsia="zh-CN"/>
              </w:rPr>
              <w:t>–</w:t>
            </w:r>
            <w:r w:rsidRPr="00EF3488">
              <w:rPr>
                <w:b w:val="0"/>
                <w:szCs w:val="22"/>
                <w:lang w:val="fr-FR" w:eastAsia="zh-CN"/>
              </w:rPr>
              <w:tab/>
            </w:r>
            <w:r w:rsidRPr="00EF3488">
              <w:rPr>
                <w:rFonts w:hint="eastAsia"/>
                <w:b w:val="0"/>
                <w:szCs w:val="22"/>
                <w:lang w:val="fr-FR" w:eastAsia="zh-CN"/>
              </w:rPr>
              <w:t>互联网社会中心，班加罗尔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75D44" w14:textId="77777777" w:rsidR="004C18AD" w:rsidRPr="003D110D" w:rsidRDefault="004C18AD" w:rsidP="00042C67">
            <w:pPr>
              <w:pStyle w:val="Tablehead"/>
              <w:rPr>
                <w:b w:val="0"/>
                <w:szCs w:val="22"/>
              </w:rPr>
            </w:pPr>
            <w:r w:rsidRPr="003D110D">
              <w:rPr>
                <w:b w:val="0"/>
                <w:szCs w:val="22"/>
              </w:rPr>
              <w:t>2014-2015</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1C857" w14:textId="77777777" w:rsidR="004C18AD" w:rsidRPr="003D110D" w:rsidRDefault="004C18AD" w:rsidP="00042C67">
            <w:pPr>
              <w:pStyle w:val="Tablehead"/>
              <w:jc w:val="right"/>
              <w:rPr>
                <w:b w:val="0"/>
                <w:szCs w:val="22"/>
              </w:rPr>
            </w:pPr>
            <w:r w:rsidRPr="003D110D">
              <w:rPr>
                <w:b w:val="0"/>
                <w:szCs w:val="22"/>
              </w:rPr>
              <w:t>5</w:t>
            </w:r>
            <w:r>
              <w:rPr>
                <w:b w:val="0"/>
                <w:szCs w:val="22"/>
              </w:rPr>
              <w:t> </w:t>
            </w:r>
            <w:r w:rsidRPr="003D110D">
              <w:rPr>
                <w:b w:val="0"/>
                <w:szCs w:val="22"/>
              </w:rPr>
              <w:t>873.60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F9078"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FD6C" w14:textId="77777777" w:rsidR="004C18AD" w:rsidRPr="003D110D" w:rsidRDefault="004C18AD" w:rsidP="00042C67">
            <w:pPr>
              <w:pStyle w:val="Tablehead"/>
              <w:jc w:val="right"/>
              <w:rPr>
                <w:b w:val="0"/>
                <w:szCs w:val="22"/>
              </w:rPr>
            </w:pPr>
            <w:r w:rsidRPr="003D110D">
              <w:rPr>
                <w:b w:val="0"/>
                <w:szCs w:val="22"/>
              </w:rPr>
              <w:t>5</w:t>
            </w:r>
            <w:r>
              <w:rPr>
                <w:b w:val="0"/>
                <w:szCs w:val="22"/>
              </w:rPr>
              <w:t> </w:t>
            </w:r>
            <w:r w:rsidRPr="003D110D">
              <w:rPr>
                <w:b w:val="0"/>
                <w:szCs w:val="22"/>
              </w:rPr>
              <w:t>873.60</w:t>
            </w:r>
          </w:p>
        </w:tc>
      </w:tr>
      <w:tr w:rsidR="004C18AD" w:rsidRPr="00910F82" w14:paraId="4DFBCB9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B026A" w14:textId="77777777" w:rsidR="004C18AD" w:rsidRPr="003D110D" w:rsidRDefault="004C18AD" w:rsidP="00042C67">
            <w:pPr>
              <w:pStyle w:val="Tablehead"/>
              <w:jc w:val="left"/>
              <w:rPr>
                <w:b w:val="0"/>
                <w:szCs w:val="22"/>
                <w:lang w:eastAsia="zh-CN"/>
              </w:rPr>
            </w:pPr>
            <w:r w:rsidRPr="002C1EFF">
              <w:rPr>
                <w:b w:val="0"/>
                <w:szCs w:val="22"/>
                <w:lang w:val="fr-FR" w:eastAsia="zh-CN"/>
              </w:rPr>
              <w:t>–</w:t>
            </w:r>
            <w:r w:rsidRPr="002C1EFF">
              <w:rPr>
                <w:b w:val="0"/>
                <w:szCs w:val="22"/>
                <w:lang w:val="fr-FR" w:eastAsia="zh-CN"/>
              </w:rPr>
              <w:tab/>
            </w:r>
            <w:r>
              <w:rPr>
                <w:rFonts w:hint="eastAsia"/>
                <w:b w:val="0"/>
                <w:szCs w:val="22"/>
                <w:lang w:eastAsia="zh-CN"/>
              </w:rPr>
              <w:t>科学、技术和政策研究中心，</w:t>
            </w:r>
            <w:r w:rsidRPr="009B7D9E">
              <w:rPr>
                <w:rFonts w:hint="eastAsia"/>
                <w:b w:val="0"/>
                <w:szCs w:val="22"/>
                <w:lang w:eastAsia="zh-CN"/>
              </w:rPr>
              <w:t>班加罗尔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8627F" w14:textId="77777777" w:rsidR="004C18AD" w:rsidRPr="003D110D" w:rsidRDefault="004C18AD" w:rsidP="00042C67">
            <w:pPr>
              <w:pStyle w:val="Tablehead"/>
              <w:rPr>
                <w:b w:val="0"/>
                <w:szCs w:val="22"/>
              </w:rPr>
            </w:pPr>
            <w:r w:rsidRPr="003D110D">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74847" w14:textId="77777777" w:rsidR="004C18AD" w:rsidRPr="003D110D" w:rsidRDefault="004C18AD" w:rsidP="00042C67">
            <w:pPr>
              <w:pStyle w:val="Tablehead"/>
              <w:jc w:val="right"/>
              <w:rPr>
                <w:b w:val="0"/>
                <w:szCs w:val="22"/>
              </w:rPr>
            </w:pPr>
            <w:r w:rsidRPr="003D110D">
              <w:rPr>
                <w:b w:val="0"/>
                <w:szCs w:val="22"/>
              </w:rPr>
              <w:t>2</w:t>
            </w:r>
            <w:r>
              <w:rPr>
                <w:b w:val="0"/>
                <w:szCs w:val="22"/>
              </w:rPr>
              <w:t> </w:t>
            </w:r>
            <w:r w:rsidRPr="003D110D">
              <w:rPr>
                <w:b w:val="0"/>
                <w:szCs w:val="22"/>
              </w:rPr>
              <w:t>106.75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C90BA"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90D9A" w14:textId="77777777" w:rsidR="004C18AD" w:rsidRPr="003D110D" w:rsidRDefault="004C18AD" w:rsidP="00042C67">
            <w:pPr>
              <w:pStyle w:val="Tablehead"/>
              <w:jc w:val="right"/>
              <w:rPr>
                <w:b w:val="0"/>
                <w:szCs w:val="22"/>
              </w:rPr>
            </w:pPr>
            <w:r w:rsidRPr="003D110D">
              <w:rPr>
                <w:b w:val="0"/>
                <w:szCs w:val="22"/>
              </w:rPr>
              <w:t>2</w:t>
            </w:r>
            <w:r>
              <w:rPr>
                <w:b w:val="0"/>
                <w:szCs w:val="22"/>
              </w:rPr>
              <w:t> </w:t>
            </w:r>
            <w:r w:rsidRPr="003D110D">
              <w:rPr>
                <w:b w:val="0"/>
                <w:szCs w:val="22"/>
              </w:rPr>
              <w:t>106.75</w:t>
            </w:r>
          </w:p>
        </w:tc>
      </w:tr>
      <w:tr w:rsidR="004C18AD" w:rsidRPr="00910F82" w14:paraId="34EFB387"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D9F57" w14:textId="77777777" w:rsidR="004C18AD" w:rsidRPr="00EF3488" w:rsidRDefault="004C18AD" w:rsidP="00042C67">
            <w:pPr>
              <w:pStyle w:val="Tablehead"/>
              <w:jc w:val="left"/>
              <w:rPr>
                <w:b w:val="0"/>
                <w:szCs w:val="22"/>
                <w:lang w:eastAsia="zh-CN"/>
              </w:rPr>
            </w:pPr>
            <w:r w:rsidRPr="00EF3488">
              <w:rPr>
                <w:rFonts w:cs="Calibri"/>
                <w:b w:val="0"/>
                <w:szCs w:val="22"/>
                <w:lang w:val="fr-FR" w:eastAsia="zh-CN"/>
              </w:rPr>
              <w:t>–</w:t>
            </w:r>
            <w:r w:rsidRPr="00EF3488">
              <w:rPr>
                <w:rFonts w:cs="Calibri"/>
                <w:b w:val="0"/>
                <w:szCs w:val="22"/>
                <w:lang w:val="fr-FR" w:eastAsia="zh-CN"/>
              </w:rPr>
              <w:tab/>
            </w:r>
            <w:r w:rsidRPr="00EF3488">
              <w:rPr>
                <w:rFonts w:cs="Calibri" w:hint="eastAsia"/>
                <w:b w:val="0"/>
                <w:szCs w:val="22"/>
                <w:lang w:val="fr-FR" w:eastAsia="zh-CN"/>
              </w:rPr>
              <w:t>HRM</w:t>
            </w:r>
            <w:r w:rsidRPr="00EF3488">
              <w:rPr>
                <w:rFonts w:cs="Calibri" w:hint="eastAsia"/>
                <w:b w:val="0"/>
                <w:szCs w:val="22"/>
                <w:lang w:val="fr-FR" w:eastAsia="zh-CN"/>
              </w:rPr>
              <w:t>技术与管理学院，新德里</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6BDBF" w14:textId="77777777" w:rsidR="004C18AD" w:rsidRPr="003D110D" w:rsidRDefault="004C18AD" w:rsidP="00042C67">
            <w:pPr>
              <w:pStyle w:val="Tablehead"/>
              <w:rPr>
                <w:b w:val="0"/>
                <w:szCs w:val="22"/>
              </w:rPr>
            </w:pPr>
            <w:r w:rsidRPr="003D110D">
              <w:rPr>
                <w:b w:val="0"/>
                <w:szCs w:val="22"/>
              </w:rPr>
              <w:t>2016-2018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A2CDF" w14:textId="77777777" w:rsidR="004C18AD" w:rsidRPr="003D110D" w:rsidRDefault="004C18AD" w:rsidP="00042C67">
            <w:pPr>
              <w:pStyle w:val="Tablehead"/>
              <w:jc w:val="right"/>
              <w:rPr>
                <w:b w:val="0"/>
                <w:szCs w:val="22"/>
              </w:rPr>
            </w:pPr>
            <w:r w:rsidRPr="003D110D">
              <w:rPr>
                <w:b w:val="0"/>
                <w:szCs w:val="22"/>
              </w:rPr>
              <w:t>2</w:t>
            </w:r>
            <w:r>
              <w:rPr>
                <w:b w:val="0"/>
                <w:szCs w:val="22"/>
              </w:rPr>
              <w:t> </w:t>
            </w:r>
            <w:r w:rsidRPr="003D110D">
              <w:rPr>
                <w:b w:val="0"/>
                <w:szCs w:val="22"/>
              </w:rPr>
              <w:t>530.45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80A60"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2FAE3" w14:textId="77777777" w:rsidR="004C18AD" w:rsidRPr="003D110D" w:rsidRDefault="004C18AD" w:rsidP="00042C67">
            <w:pPr>
              <w:pStyle w:val="Tablehead"/>
              <w:jc w:val="right"/>
              <w:rPr>
                <w:b w:val="0"/>
                <w:szCs w:val="22"/>
              </w:rPr>
            </w:pPr>
            <w:r w:rsidRPr="003D110D">
              <w:rPr>
                <w:b w:val="0"/>
                <w:szCs w:val="22"/>
              </w:rPr>
              <w:t>2</w:t>
            </w:r>
            <w:r>
              <w:rPr>
                <w:b w:val="0"/>
                <w:szCs w:val="22"/>
              </w:rPr>
              <w:t> </w:t>
            </w:r>
            <w:r w:rsidRPr="003D110D">
              <w:rPr>
                <w:b w:val="0"/>
                <w:szCs w:val="22"/>
              </w:rPr>
              <w:t>530.45</w:t>
            </w:r>
          </w:p>
        </w:tc>
      </w:tr>
      <w:tr w:rsidR="004C18AD" w:rsidRPr="00910F82" w14:paraId="71C3506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70C72" w14:textId="77777777" w:rsidR="004C18AD" w:rsidRPr="0076544D" w:rsidRDefault="004C18AD" w:rsidP="00042C67">
            <w:pPr>
              <w:pStyle w:val="Tablehead"/>
              <w:jc w:val="left"/>
              <w:rPr>
                <w:b w:val="0"/>
                <w:szCs w:val="22"/>
                <w:lang w:eastAsia="zh-CN"/>
              </w:rPr>
            </w:pPr>
            <w:r w:rsidRPr="0076544D">
              <w:rPr>
                <w:rFonts w:cs="Calibri"/>
                <w:b w:val="0"/>
                <w:szCs w:val="22"/>
                <w:lang w:eastAsia="zh-CN"/>
              </w:rPr>
              <w:lastRenderedPageBreak/>
              <w:t>–</w:t>
            </w:r>
            <w:r w:rsidRPr="0076544D">
              <w:rPr>
                <w:rFonts w:cs="Calibri"/>
                <w:b w:val="0"/>
                <w:szCs w:val="22"/>
                <w:lang w:eastAsia="zh-CN"/>
              </w:rPr>
              <w:tab/>
              <w:t>Luna</w:t>
            </w:r>
            <w:r w:rsidRPr="00EF3488">
              <w:rPr>
                <w:rFonts w:cs="Calibri" w:hint="eastAsia"/>
                <w:b w:val="0"/>
                <w:szCs w:val="22"/>
                <w:lang w:val="fr-FR" w:eastAsia="zh-CN"/>
              </w:rPr>
              <w:t>人体工程学有限公司</w:t>
            </w:r>
            <w:r w:rsidRPr="0076544D">
              <w:rPr>
                <w:rFonts w:cs="Calibri" w:hint="eastAsia"/>
                <w:b w:val="0"/>
                <w:szCs w:val="22"/>
                <w:lang w:eastAsia="zh-CN"/>
              </w:rPr>
              <w:t>，</w:t>
            </w:r>
            <w:r w:rsidRPr="00EF3488">
              <w:rPr>
                <w:rFonts w:cs="Calibri" w:hint="eastAsia"/>
                <w:b w:val="0"/>
                <w:szCs w:val="22"/>
                <w:lang w:val="fr-FR" w:eastAsia="zh-CN"/>
              </w:rPr>
              <w:t>诺伊达</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55969" w14:textId="77777777" w:rsidR="004C18AD" w:rsidRPr="003D110D" w:rsidRDefault="004C18AD" w:rsidP="00042C67">
            <w:pPr>
              <w:pStyle w:val="Tablehead"/>
              <w:rPr>
                <w:b w:val="0"/>
                <w:szCs w:val="22"/>
              </w:rPr>
            </w:pPr>
            <w:r w:rsidRPr="003D110D">
              <w:rPr>
                <w:b w:val="0"/>
                <w:szCs w:val="22"/>
              </w:rPr>
              <w:t>2011</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15D8" w14:textId="77777777" w:rsidR="004C18AD" w:rsidRPr="003D110D" w:rsidRDefault="004C18AD" w:rsidP="00042C67">
            <w:pPr>
              <w:pStyle w:val="Tablehead"/>
              <w:jc w:val="right"/>
              <w:rPr>
                <w:b w:val="0"/>
                <w:szCs w:val="22"/>
              </w:rPr>
            </w:pPr>
            <w:r w:rsidRPr="003D110D">
              <w:rPr>
                <w:b w:val="0"/>
                <w:szCs w:val="22"/>
              </w:rPr>
              <w:t>7</w:t>
            </w:r>
            <w:r>
              <w:rPr>
                <w:b w:val="0"/>
                <w:szCs w:val="22"/>
              </w:rPr>
              <w:t> </w:t>
            </w:r>
            <w:r w:rsidRPr="003D110D">
              <w:rPr>
                <w:b w:val="0"/>
                <w:szCs w:val="22"/>
              </w:rPr>
              <w:t>385.60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6CD51"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F9210" w14:textId="77777777" w:rsidR="004C18AD" w:rsidRPr="003D110D" w:rsidRDefault="004C18AD" w:rsidP="00042C67">
            <w:pPr>
              <w:pStyle w:val="Tablehead"/>
              <w:jc w:val="right"/>
              <w:rPr>
                <w:b w:val="0"/>
                <w:szCs w:val="22"/>
              </w:rPr>
            </w:pPr>
            <w:r w:rsidRPr="003D110D">
              <w:rPr>
                <w:b w:val="0"/>
                <w:szCs w:val="22"/>
              </w:rPr>
              <w:t>7</w:t>
            </w:r>
            <w:r>
              <w:rPr>
                <w:b w:val="0"/>
                <w:szCs w:val="22"/>
              </w:rPr>
              <w:t> </w:t>
            </w:r>
            <w:r w:rsidRPr="003D110D">
              <w:rPr>
                <w:b w:val="0"/>
                <w:szCs w:val="22"/>
              </w:rPr>
              <w:t>385.60</w:t>
            </w:r>
          </w:p>
        </w:tc>
      </w:tr>
      <w:tr w:rsidR="004C18AD" w:rsidRPr="00910F82" w14:paraId="1417C7A9"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011B3" w14:textId="77777777" w:rsidR="004C18AD" w:rsidRPr="00EF3488" w:rsidRDefault="004C18AD" w:rsidP="00042C67">
            <w:pPr>
              <w:pStyle w:val="Tablehead"/>
              <w:jc w:val="left"/>
              <w:rPr>
                <w:b w:val="0"/>
                <w:szCs w:val="22"/>
                <w:lang w:eastAsia="zh-CN"/>
              </w:rPr>
            </w:pPr>
            <w:r w:rsidRPr="00EF3488">
              <w:rPr>
                <w:rFonts w:cs="Calibri"/>
                <w:b w:val="0"/>
                <w:szCs w:val="22"/>
              </w:rPr>
              <w:t>–</w:t>
            </w:r>
            <w:r w:rsidRPr="00EF3488">
              <w:rPr>
                <w:rFonts w:cs="Calibri"/>
                <w:b w:val="0"/>
                <w:szCs w:val="22"/>
              </w:rPr>
              <w:tab/>
            </w:r>
            <w:r w:rsidRPr="00EF3488">
              <w:rPr>
                <w:rFonts w:cs="Calibri"/>
                <w:b w:val="0"/>
                <w:szCs w:val="22"/>
                <w:lang w:val="fr-FR"/>
              </w:rPr>
              <w:t>印度</w:t>
            </w:r>
            <w:r w:rsidRPr="00EF3488">
              <w:rPr>
                <w:rFonts w:cs="Calibri"/>
                <w:b w:val="0"/>
                <w:szCs w:val="22"/>
              </w:rPr>
              <w:t>Raitel</w:t>
            </w:r>
            <w:r w:rsidRPr="00EF3488">
              <w:rPr>
                <w:rFonts w:cs="Calibri" w:hint="eastAsia"/>
                <w:b w:val="0"/>
                <w:szCs w:val="22"/>
                <w:lang w:val="fr-FR"/>
              </w:rPr>
              <w:t>公司</w:t>
            </w:r>
            <w:r w:rsidRPr="00EF3488">
              <w:rPr>
                <w:rFonts w:cs="Calibri" w:hint="eastAsia"/>
                <w:b w:val="0"/>
                <w:szCs w:val="22"/>
              </w:rPr>
              <w:t>，</w:t>
            </w:r>
            <w:r w:rsidRPr="00EF3488">
              <w:rPr>
                <w:rFonts w:cs="Calibri" w:hint="eastAsia"/>
                <w:b w:val="0"/>
                <w:szCs w:val="22"/>
                <w:lang w:val="fr-FR"/>
              </w:rPr>
              <w:t>新德里</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3E627" w14:textId="77777777" w:rsidR="004C18AD" w:rsidRPr="003D110D" w:rsidRDefault="004C18AD" w:rsidP="00042C67">
            <w:pPr>
              <w:pStyle w:val="Tablehead"/>
              <w:rPr>
                <w:b w:val="0"/>
                <w:szCs w:val="22"/>
              </w:rPr>
            </w:pPr>
            <w:r w:rsidRPr="003D110D">
              <w:rPr>
                <w:b w:val="0"/>
                <w:szCs w:val="22"/>
              </w:rPr>
              <w:t>2013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1562F" w14:textId="77777777" w:rsidR="004C18AD" w:rsidRPr="003D110D" w:rsidRDefault="004C18AD" w:rsidP="00042C67">
            <w:pPr>
              <w:pStyle w:val="Tablehead"/>
              <w:jc w:val="right"/>
              <w:rPr>
                <w:b w:val="0"/>
                <w:szCs w:val="22"/>
              </w:rPr>
            </w:pPr>
            <w:r w:rsidRPr="003D110D">
              <w:rPr>
                <w:b w:val="0"/>
                <w:szCs w:val="22"/>
              </w:rPr>
              <w:t>6</w:t>
            </w:r>
            <w:r>
              <w:rPr>
                <w:b w:val="0"/>
                <w:szCs w:val="22"/>
              </w:rPr>
              <w:t> </w:t>
            </w:r>
            <w:r w:rsidRPr="003D110D">
              <w:rPr>
                <w:b w:val="0"/>
                <w:szCs w:val="22"/>
              </w:rPr>
              <w:t>573.15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4381F"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9B814" w14:textId="77777777" w:rsidR="004C18AD" w:rsidRPr="003D110D" w:rsidRDefault="004C18AD" w:rsidP="00042C67">
            <w:pPr>
              <w:pStyle w:val="Tablehead"/>
              <w:jc w:val="right"/>
              <w:rPr>
                <w:b w:val="0"/>
                <w:szCs w:val="22"/>
              </w:rPr>
            </w:pPr>
            <w:r w:rsidRPr="003D110D">
              <w:rPr>
                <w:b w:val="0"/>
                <w:szCs w:val="22"/>
              </w:rPr>
              <w:t>6</w:t>
            </w:r>
            <w:r>
              <w:rPr>
                <w:b w:val="0"/>
                <w:szCs w:val="22"/>
              </w:rPr>
              <w:t> </w:t>
            </w:r>
            <w:r w:rsidRPr="003D110D">
              <w:rPr>
                <w:b w:val="0"/>
                <w:szCs w:val="22"/>
              </w:rPr>
              <w:t>573.15</w:t>
            </w:r>
          </w:p>
        </w:tc>
      </w:tr>
      <w:tr w:rsidR="004C18AD" w:rsidRPr="00910F82" w14:paraId="15553CA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53638D" w14:textId="77777777" w:rsidR="004C18AD" w:rsidRPr="00EF3488" w:rsidRDefault="004C18AD" w:rsidP="00042C67">
            <w:pPr>
              <w:pStyle w:val="Tablehead"/>
              <w:jc w:val="left"/>
              <w:rPr>
                <w:b w:val="0"/>
                <w:szCs w:val="22"/>
                <w:lang w:eastAsia="zh-CN"/>
              </w:rPr>
            </w:pPr>
            <w:r w:rsidRPr="00EF3488">
              <w:rPr>
                <w:rFonts w:cs="Calibri"/>
                <w:b w:val="0"/>
                <w:szCs w:val="22"/>
                <w:lang w:val="fr-FR" w:eastAsia="zh-CN"/>
              </w:rPr>
              <w:t>–</w:t>
            </w:r>
            <w:r w:rsidRPr="00EF3488">
              <w:rPr>
                <w:rFonts w:cs="Calibri"/>
                <w:b w:val="0"/>
                <w:szCs w:val="22"/>
                <w:lang w:val="fr-FR" w:eastAsia="zh-CN"/>
              </w:rPr>
              <w:tab/>
            </w:r>
            <w:r w:rsidRPr="00EF3488">
              <w:rPr>
                <w:rFonts w:cs="Calibri" w:hint="eastAsia"/>
                <w:b w:val="0"/>
                <w:szCs w:val="22"/>
                <w:lang w:val="fr-FR" w:eastAsia="zh-CN"/>
              </w:rPr>
              <w:t>Sinhgad</w:t>
            </w:r>
            <w:r w:rsidRPr="00EF3488">
              <w:rPr>
                <w:rFonts w:cs="Calibri" w:hint="eastAsia"/>
                <w:b w:val="0"/>
                <w:szCs w:val="22"/>
                <w:lang w:val="fr-FR" w:eastAsia="zh-CN"/>
              </w:rPr>
              <w:t>技术教育协会，浦那</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F0B29" w14:textId="77777777" w:rsidR="004C18AD" w:rsidRPr="003D110D" w:rsidRDefault="004C18AD" w:rsidP="00042C67">
            <w:pPr>
              <w:pStyle w:val="Tablehead"/>
              <w:rPr>
                <w:b w:val="0"/>
                <w:szCs w:val="22"/>
              </w:rPr>
            </w:pPr>
            <w:r w:rsidRPr="003D110D">
              <w:rPr>
                <w:b w:val="0"/>
                <w:szCs w:val="22"/>
              </w:rPr>
              <w:t>2011-2012</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C164F" w14:textId="77777777" w:rsidR="004C18AD" w:rsidRPr="003D110D" w:rsidRDefault="004C18AD" w:rsidP="00042C67">
            <w:pPr>
              <w:pStyle w:val="Tablehead"/>
              <w:jc w:val="right"/>
              <w:rPr>
                <w:b w:val="0"/>
                <w:szCs w:val="22"/>
              </w:rPr>
            </w:pPr>
            <w:r w:rsidRPr="003D110D">
              <w:rPr>
                <w:b w:val="0"/>
                <w:szCs w:val="22"/>
              </w:rPr>
              <w:t>4</w:t>
            </w:r>
            <w:r>
              <w:rPr>
                <w:b w:val="0"/>
                <w:szCs w:val="22"/>
              </w:rPr>
              <w:t> </w:t>
            </w:r>
            <w:r w:rsidRPr="003D110D">
              <w:rPr>
                <w:b w:val="0"/>
                <w:szCs w:val="22"/>
              </w:rPr>
              <w:t>966.85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0BCA1"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11D7F" w14:textId="77777777" w:rsidR="004C18AD" w:rsidRPr="003D110D" w:rsidRDefault="004C18AD" w:rsidP="00042C67">
            <w:pPr>
              <w:pStyle w:val="Tablehead"/>
              <w:jc w:val="right"/>
              <w:rPr>
                <w:b w:val="0"/>
                <w:szCs w:val="22"/>
              </w:rPr>
            </w:pPr>
            <w:r w:rsidRPr="003D110D">
              <w:rPr>
                <w:b w:val="0"/>
                <w:szCs w:val="22"/>
              </w:rPr>
              <w:t>4</w:t>
            </w:r>
            <w:r>
              <w:rPr>
                <w:b w:val="0"/>
                <w:szCs w:val="22"/>
              </w:rPr>
              <w:t> </w:t>
            </w:r>
            <w:r w:rsidRPr="003D110D">
              <w:rPr>
                <w:b w:val="0"/>
                <w:szCs w:val="22"/>
              </w:rPr>
              <w:t>966.85</w:t>
            </w:r>
          </w:p>
        </w:tc>
      </w:tr>
      <w:tr w:rsidR="004C18AD" w:rsidRPr="002C248C" w14:paraId="1250B7A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tcPr>
          <w:p w14:paraId="02055A6B" w14:textId="77777777" w:rsidR="004C18AD" w:rsidRPr="002C248C" w:rsidRDefault="004C18AD" w:rsidP="00042C67">
            <w:pPr>
              <w:pStyle w:val="Tablehead"/>
              <w:jc w:val="left"/>
              <w:rPr>
                <w:rFonts w:cs="Calibri"/>
                <w:b w:val="0"/>
                <w:szCs w:val="22"/>
                <w:lang w:val="fr-FR" w:eastAsia="zh-CN"/>
              </w:rPr>
            </w:pPr>
            <w:r w:rsidRPr="0021168D">
              <w:rPr>
                <w:rFonts w:cs="Calibri"/>
                <w:b w:val="0"/>
                <w:szCs w:val="22"/>
                <w:lang w:val="fr-FR" w:eastAsia="en-GB"/>
              </w:rPr>
              <w:t>–</w:t>
            </w:r>
            <w:r w:rsidRPr="0021168D">
              <w:rPr>
                <w:rFonts w:cs="Calibri"/>
                <w:b w:val="0"/>
                <w:szCs w:val="22"/>
                <w:lang w:val="fr-FR" w:eastAsia="en-GB"/>
              </w:rPr>
              <w:tab/>
            </w:r>
            <w:r w:rsidRPr="009B7D9E">
              <w:rPr>
                <w:rFonts w:cs="Calibri" w:hint="eastAsia"/>
                <w:b w:val="0"/>
                <w:szCs w:val="22"/>
                <w:lang w:val="fr-FR" w:eastAsia="en-GB"/>
              </w:rPr>
              <w:t>塔塔通信有限公司</w:t>
            </w:r>
            <w:r>
              <w:rPr>
                <w:rFonts w:cs="Calibri" w:hint="eastAsia"/>
                <w:b w:val="0"/>
                <w:szCs w:val="22"/>
                <w:lang w:val="fr-FR" w:eastAsia="zh-CN"/>
              </w:rPr>
              <w:t>，新德里</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6A7CBC" w14:textId="77777777" w:rsidR="004C18AD" w:rsidRPr="002C248C" w:rsidRDefault="004C18AD" w:rsidP="00042C67">
            <w:pPr>
              <w:pStyle w:val="Tablehead"/>
              <w:rPr>
                <w:b w:val="0"/>
                <w:szCs w:val="22"/>
                <w:lang w:val="fr-CH"/>
              </w:rPr>
            </w:pPr>
            <w:r w:rsidRPr="003D110D">
              <w:rPr>
                <w:b w:val="0"/>
                <w:szCs w:val="22"/>
              </w:rPr>
              <w:t>2013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40052C" w14:textId="77777777" w:rsidR="004C18AD" w:rsidRPr="002C248C" w:rsidRDefault="004C18AD" w:rsidP="00042C67">
            <w:pPr>
              <w:pStyle w:val="Tablehead"/>
              <w:jc w:val="right"/>
              <w:rPr>
                <w:b w:val="0"/>
                <w:szCs w:val="22"/>
                <w:lang w:val="fr-CH"/>
              </w:rPr>
            </w:pPr>
            <w:r w:rsidRPr="003D110D">
              <w:rPr>
                <w:b w:val="0"/>
                <w:szCs w:val="22"/>
              </w:rPr>
              <w:t>6</w:t>
            </w:r>
            <w:r>
              <w:rPr>
                <w:b w:val="0"/>
                <w:szCs w:val="22"/>
              </w:rPr>
              <w:t> </w:t>
            </w:r>
            <w:r w:rsidRPr="003D110D">
              <w:rPr>
                <w:b w:val="0"/>
                <w:szCs w:val="22"/>
              </w:rPr>
              <w:t>573.15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1367C4" w14:textId="77777777" w:rsidR="004C18AD" w:rsidRPr="002C248C" w:rsidRDefault="004C18AD" w:rsidP="00042C67">
            <w:pPr>
              <w:pStyle w:val="Tablehead"/>
              <w:jc w:val="right"/>
              <w:rPr>
                <w:b w:val="0"/>
                <w:szCs w:val="22"/>
                <w:lang w:val="fr-CH"/>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808A91" w14:textId="77777777" w:rsidR="004C18AD" w:rsidRPr="002C248C" w:rsidRDefault="004C18AD" w:rsidP="00042C67">
            <w:pPr>
              <w:pStyle w:val="Tablehead"/>
              <w:jc w:val="right"/>
              <w:rPr>
                <w:b w:val="0"/>
                <w:szCs w:val="22"/>
                <w:lang w:val="fr-CH"/>
              </w:rPr>
            </w:pPr>
            <w:r w:rsidRPr="003D110D">
              <w:rPr>
                <w:b w:val="0"/>
                <w:szCs w:val="22"/>
              </w:rPr>
              <w:t>6</w:t>
            </w:r>
            <w:r>
              <w:rPr>
                <w:b w:val="0"/>
                <w:szCs w:val="22"/>
              </w:rPr>
              <w:t> </w:t>
            </w:r>
            <w:r w:rsidRPr="003D110D">
              <w:rPr>
                <w:b w:val="0"/>
                <w:szCs w:val="22"/>
              </w:rPr>
              <w:t>573.15</w:t>
            </w:r>
          </w:p>
        </w:tc>
      </w:tr>
      <w:tr w:rsidR="004C18AD" w:rsidRPr="00910F82" w14:paraId="42CB5D7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1D5AF" w14:textId="77777777" w:rsidR="004C18AD" w:rsidRPr="00EF3488" w:rsidRDefault="004C18AD" w:rsidP="00042C67">
            <w:pPr>
              <w:pStyle w:val="Tablehead"/>
              <w:jc w:val="left"/>
              <w:rPr>
                <w:b w:val="0"/>
                <w:szCs w:val="22"/>
                <w:lang w:val="fr-CH" w:eastAsia="zh-CN"/>
              </w:rPr>
            </w:pPr>
            <w:r w:rsidRPr="00EF3488">
              <w:rPr>
                <w:b w:val="0"/>
                <w:szCs w:val="22"/>
                <w:lang w:val="fr-FR" w:eastAsia="zh-CN"/>
              </w:rPr>
              <w:t>–</w:t>
            </w:r>
            <w:r w:rsidRPr="00EF3488">
              <w:rPr>
                <w:b w:val="0"/>
                <w:szCs w:val="22"/>
                <w:lang w:val="fr-FR" w:eastAsia="zh-CN"/>
              </w:rPr>
              <w:tab/>
              <w:t>Vihaan</w:t>
            </w:r>
            <w:r w:rsidRPr="00EF3488">
              <w:rPr>
                <w:rFonts w:hint="eastAsia"/>
                <w:b w:val="0"/>
                <w:szCs w:val="22"/>
                <w:lang w:val="fr-FR" w:eastAsia="zh-CN"/>
              </w:rPr>
              <w:t>网络公司，古尔冈</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8F82E1" w14:textId="77777777" w:rsidR="004C18AD" w:rsidRPr="003D110D" w:rsidRDefault="004C18AD" w:rsidP="00042C67">
            <w:pPr>
              <w:pStyle w:val="Tablehead"/>
              <w:rPr>
                <w:b w:val="0"/>
                <w:szCs w:val="22"/>
              </w:rPr>
            </w:pPr>
            <w:r w:rsidRPr="003D110D">
              <w:rPr>
                <w:b w:val="0"/>
                <w:szCs w:val="22"/>
              </w:rPr>
              <w:t>2013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9C9F39" w14:textId="77777777" w:rsidR="004C18AD" w:rsidRPr="003D110D" w:rsidRDefault="004C18AD" w:rsidP="00042C67">
            <w:pPr>
              <w:pStyle w:val="Tablehead"/>
              <w:jc w:val="right"/>
              <w:rPr>
                <w:b w:val="0"/>
                <w:szCs w:val="22"/>
              </w:rPr>
            </w:pPr>
            <w:r w:rsidRPr="003D110D">
              <w:rPr>
                <w:b w:val="0"/>
                <w:szCs w:val="22"/>
              </w:rPr>
              <w:t>59</w:t>
            </w:r>
            <w:r>
              <w:rPr>
                <w:b w:val="0"/>
                <w:szCs w:val="22"/>
              </w:rPr>
              <w:t> </w:t>
            </w:r>
            <w:r w:rsidRPr="003D110D">
              <w:rPr>
                <w:b w:val="0"/>
                <w:szCs w:val="22"/>
              </w:rPr>
              <w:t>158.20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950AFF"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D3C8CD" w14:textId="77777777" w:rsidR="004C18AD" w:rsidRPr="003D110D" w:rsidRDefault="004C18AD" w:rsidP="00042C67">
            <w:pPr>
              <w:pStyle w:val="Tablehead"/>
              <w:jc w:val="right"/>
              <w:rPr>
                <w:b w:val="0"/>
                <w:szCs w:val="22"/>
              </w:rPr>
            </w:pPr>
            <w:r w:rsidRPr="003D110D">
              <w:rPr>
                <w:b w:val="0"/>
                <w:szCs w:val="22"/>
              </w:rPr>
              <w:t>59</w:t>
            </w:r>
            <w:r>
              <w:rPr>
                <w:b w:val="0"/>
                <w:szCs w:val="22"/>
              </w:rPr>
              <w:t> </w:t>
            </w:r>
            <w:r w:rsidRPr="003D110D">
              <w:rPr>
                <w:b w:val="0"/>
                <w:szCs w:val="22"/>
              </w:rPr>
              <w:t>158.20</w:t>
            </w:r>
          </w:p>
        </w:tc>
      </w:tr>
      <w:tr w:rsidR="004C18AD" w:rsidRPr="00910F82" w14:paraId="59A0C27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CD0415" w14:textId="77777777" w:rsidR="004C18AD" w:rsidRPr="003D110D" w:rsidRDefault="004C18AD" w:rsidP="00042C67">
            <w:pPr>
              <w:pStyle w:val="Tablehead"/>
              <w:jc w:val="left"/>
              <w:rPr>
                <w:b w:val="0"/>
                <w:szCs w:val="22"/>
                <w:lang w:eastAsia="zh-CN"/>
              </w:rPr>
            </w:pPr>
            <w:r w:rsidRPr="001E1A17">
              <w:rPr>
                <w:rFonts w:hint="eastAsia"/>
                <w:bCs/>
                <w:szCs w:val="22"/>
                <w:lang w:eastAsia="zh-CN"/>
              </w:rPr>
              <w:t>伊朗</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226468" w14:textId="77777777" w:rsidR="004C18AD" w:rsidRPr="003D110D" w:rsidRDefault="004C18AD" w:rsidP="00042C67">
            <w:pPr>
              <w:pStyle w:val="Tablehead"/>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2CE43" w14:textId="77777777" w:rsidR="004C18AD" w:rsidRPr="003D110D"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5FAA13" w14:textId="77777777" w:rsidR="004C18AD" w:rsidRPr="003D110D"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C4431" w14:textId="77777777" w:rsidR="004C18AD" w:rsidRPr="003D110D" w:rsidRDefault="004C18AD" w:rsidP="00042C67">
            <w:pPr>
              <w:pStyle w:val="Tablehead"/>
              <w:jc w:val="right"/>
              <w:rPr>
                <w:b w:val="0"/>
                <w:szCs w:val="22"/>
              </w:rPr>
            </w:pPr>
          </w:p>
        </w:tc>
      </w:tr>
      <w:tr w:rsidR="004C18AD" w:rsidRPr="003D110D" w14:paraId="2A07E90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272E8" w14:textId="77777777" w:rsidR="004C18AD" w:rsidRPr="003D110D" w:rsidRDefault="004C18AD" w:rsidP="00042C67">
            <w:pPr>
              <w:pStyle w:val="Tablehead"/>
              <w:jc w:val="left"/>
              <w:rPr>
                <w:szCs w:val="22"/>
                <w:lang w:eastAsia="zh-CN"/>
              </w:rPr>
            </w:pPr>
            <w:r w:rsidRPr="0021168D">
              <w:rPr>
                <w:b w:val="0"/>
                <w:szCs w:val="22"/>
                <w:lang w:val="fr-FR" w:eastAsia="zh-CN"/>
              </w:rPr>
              <w:t>–</w:t>
            </w:r>
            <w:r w:rsidRPr="0021168D">
              <w:rPr>
                <w:b w:val="0"/>
                <w:szCs w:val="22"/>
                <w:lang w:val="fr-FR" w:eastAsia="zh-CN"/>
              </w:rPr>
              <w:tab/>
            </w:r>
            <w:r>
              <w:rPr>
                <w:rFonts w:hint="eastAsia"/>
                <w:b w:val="0"/>
                <w:szCs w:val="22"/>
                <w:lang w:eastAsia="zh-CN"/>
              </w:rPr>
              <w:t>邮电应用科学系，德黑兰</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EEFEC" w14:textId="77777777" w:rsidR="004C18AD" w:rsidRPr="003D110D" w:rsidRDefault="004C18AD" w:rsidP="00042C67">
            <w:pPr>
              <w:pStyle w:val="Tablehead"/>
              <w:rPr>
                <w:szCs w:val="22"/>
              </w:rPr>
            </w:pPr>
            <w:r w:rsidRPr="003D110D">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6E8B5" w14:textId="77777777" w:rsidR="004C18AD" w:rsidRPr="003D110D" w:rsidRDefault="004C18AD" w:rsidP="00042C67">
            <w:pPr>
              <w:pStyle w:val="Tablehead"/>
              <w:jc w:val="right"/>
              <w:rPr>
                <w:szCs w:val="22"/>
              </w:rPr>
            </w:pPr>
            <w:r w:rsidRPr="003D110D">
              <w:rPr>
                <w:b w:val="0"/>
                <w:szCs w:val="22"/>
              </w:rPr>
              <w:t>2</w:t>
            </w:r>
            <w:r>
              <w:rPr>
                <w:b w:val="0"/>
                <w:szCs w:val="22"/>
              </w:rPr>
              <w:t> </w:t>
            </w:r>
            <w:r w:rsidRPr="003D110D">
              <w:rPr>
                <w:b w:val="0"/>
                <w:szCs w:val="22"/>
              </w:rPr>
              <w:t>106.75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A3588" w14:textId="77777777" w:rsidR="004C18AD" w:rsidRPr="003D110D" w:rsidRDefault="004C18AD" w:rsidP="00042C67">
            <w:pPr>
              <w:pStyle w:val="Tablehead"/>
              <w:jc w:val="right"/>
              <w:rPr>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47637" w14:textId="77777777" w:rsidR="004C18AD" w:rsidRPr="003D110D" w:rsidRDefault="004C18AD" w:rsidP="00042C67">
            <w:pPr>
              <w:pStyle w:val="Tablehead"/>
              <w:jc w:val="right"/>
              <w:rPr>
                <w:szCs w:val="22"/>
              </w:rPr>
            </w:pPr>
            <w:r w:rsidRPr="003D110D">
              <w:rPr>
                <w:b w:val="0"/>
                <w:szCs w:val="22"/>
              </w:rPr>
              <w:t>2</w:t>
            </w:r>
            <w:r>
              <w:rPr>
                <w:b w:val="0"/>
                <w:szCs w:val="22"/>
              </w:rPr>
              <w:t> </w:t>
            </w:r>
            <w:r w:rsidRPr="003D110D">
              <w:rPr>
                <w:b w:val="0"/>
                <w:szCs w:val="22"/>
              </w:rPr>
              <w:t>106.75</w:t>
            </w:r>
          </w:p>
        </w:tc>
      </w:tr>
      <w:tr w:rsidR="004C18AD" w:rsidRPr="00910F82" w14:paraId="15924F5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2C114" w14:textId="77777777" w:rsidR="004C18AD" w:rsidRPr="003D110D" w:rsidRDefault="004C18AD" w:rsidP="00042C67">
            <w:pPr>
              <w:pStyle w:val="Tablehead"/>
              <w:jc w:val="left"/>
              <w:rPr>
                <w:b w:val="0"/>
                <w:szCs w:val="22"/>
                <w:lang w:eastAsia="zh-CN"/>
              </w:rPr>
            </w:pPr>
            <w:r w:rsidRPr="0021168D">
              <w:rPr>
                <w:b w:val="0"/>
                <w:szCs w:val="22"/>
                <w:lang w:val="fr-FR" w:eastAsia="zh-CN"/>
              </w:rPr>
              <w:t>–</w:t>
            </w:r>
            <w:r w:rsidRPr="0021168D">
              <w:rPr>
                <w:b w:val="0"/>
                <w:szCs w:val="22"/>
                <w:lang w:val="fr-FR" w:eastAsia="zh-CN"/>
              </w:rPr>
              <w:tab/>
            </w:r>
            <w:r>
              <w:rPr>
                <w:rFonts w:hint="eastAsia"/>
                <w:b w:val="0"/>
                <w:szCs w:val="22"/>
                <w:lang w:eastAsia="zh-CN"/>
              </w:rPr>
              <w:t>伊朗科技大学，德黑兰</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35DD75" w14:textId="77777777" w:rsidR="004C18AD" w:rsidRPr="003D110D" w:rsidRDefault="004C18AD" w:rsidP="00042C67">
            <w:pPr>
              <w:pStyle w:val="Tablehead"/>
              <w:rPr>
                <w:b w:val="0"/>
                <w:szCs w:val="22"/>
              </w:rPr>
            </w:pPr>
            <w:r w:rsidRPr="003D110D">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D8608" w14:textId="77777777" w:rsidR="004C18AD" w:rsidRPr="003D110D" w:rsidRDefault="004C18AD" w:rsidP="00042C67">
            <w:pPr>
              <w:pStyle w:val="Tablehead"/>
              <w:jc w:val="right"/>
              <w:rPr>
                <w:b w:val="0"/>
                <w:szCs w:val="22"/>
              </w:rPr>
            </w:pPr>
            <w:r w:rsidRPr="003D110D">
              <w:rPr>
                <w:b w:val="0"/>
                <w:szCs w:val="22"/>
              </w:rPr>
              <w:t>2</w:t>
            </w:r>
            <w:r>
              <w:rPr>
                <w:b w:val="0"/>
                <w:szCs w:val="22"/>
              </w:rPr>
              <w:t> </w:t>
            </w:r>
            <w:r w:rsidRPr="003D110D">
              <w:rPr>
                <w:b w:val="0"/>
                <w:szCs w:val="22"/>
              </w:rPr>
              <w:t>106.75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8BA10C"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AE0F6B" w14:textId="77777777" w:rsidR="004C18AD" w:rsidRPr="003D110D" w:rsidRDefault="004C18AD" w:rsidP="00042C67">
            <w:pPr>
              <w:pStyle w:val="Tablehead"/>
              <w:jc w:val="right"/>
              <w:rPr>
                <w:b w:val="0"/>
                <w:szCs w:val="22"/>
              </w:rPr>
            </w:pPr>
            <w:r w:rsidRPr="003D110D">
              <w:rPr>
                <w:b w:val="0"/>
                <w:szCs w:val="22"/>
              </w:rPr>
              <w:t>2</w:t>
            </w:r>
            <w:r>
              <w:rPr>
                <w:b w:val="0"/>
                <w:szCs w:val="22"/>
              </w:rPr>
              <w:t> </w:t>
            </w:r>
            <w:r w:rsidRPr="003D110D">
              <w:rPr>
                <w:b w:val="0"/>
                <w:szCs w:val="22"/>
              </w:rPr>
              <w:t>106.75</w:t>
            </w:r>
          </w:p>
        </w:tc>
      </w:tr>
      <w:tr w:rsidR="004C18AD" w:rsidRPr="00910F82" w14:paraId="5E6B79E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AA3C9" w14:textId="77777777" w:rsidR="004C18AD" w:rsidRPr="003D110D" w:rsidRDefault="004C18AD" w:rsidP="00042C67">
            <w:pPr>
              <w:pStyle w:val="Tablehead"/>
              <w:jc w:val="left"/>
              <w:rPr>
                <w:b w:val="0"/>
                <w:szCs w:val="22"/>
                <w:lang w:eastAsia="zh-CN"/>
              </w:rPr>
            </w:pPr>
            <w:r w:rsidRPr="007B590D">
              <w:rPr>
                <w:rFonts w:cs="Calibri"/>
                <w:b w:val="0"/>
                <w:szCs w:val="22"/>
                <w:lang w:eastAsia="zh-CN"/>
              </w:rPr>
              <w:t>–</w:t>
            </w:r>
            <w:r w:rsidRPr="007B590D">
              <w:rPr>
                <w:rFonts w:cs="Calibri"/>
                <w:b w:val="0"/>
                <w:szCs w:val="22"/>
                <w:lang w:eastAsia="zh-CN"/>
              </w:rPr>
              <w:tab/>
            </w:r>
            <w:r w:rsidRPr="007B590D">
              <w:rPr>
                <w:rFonts w:cs="Calibri" w:hint="eastAsia"/>
                <w:b w:val="0"/>
                <w:szCs w:val="22"/>
                <w:lang w:eastAsia="zh-CN"/>
              </w:rPr>
              <w:t>伊朗网络通信和电子服务公司，德黑兰</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6A0E11" w14:textId="77777777" w:rsidR="004C18AD" w:rsidRPr="003D110D" w:rsidRDefault="004C18AD" w:rsidP="00042C67">
            <w:pPr>
              <w:pStyle w:val="Tablehead"/>
              <w:rPr>
                <w:b w:val="0"/>
                <w:szCs w:val="22"/>
              </w:rPr>
            </w:pPr>
            <w:r w:rsidRPr="003D110D">
              <w:rPr>
                <w:b w:val="0"/>
                <w:szCs w:val="22"/>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AA76EC" w14:textId="77777777" w:rsidR="004C18AD" w:rsidRPr="003D110D" w:rsidRDefault="004C18AD" w:rsidP="00042C67">
            <w:pPr>
              <w:pStyle w:val="Tablehead"/>
              <w:jc w:val="right"/>
              <w:rPr>
                <w:b w:val="0"/>
                <w:szCs w:val="22"/>
              </w:rPr>
            </w:pPr>
            <w:r w:rsidRPr="003D110D">
              <w:rPr>
                <w:b w:val="0"/>
                <w:szCs w:val="22"/>
              </w:rPr>
              <w:t>2</w:t>
            </w:r>
            <w:r>
              <w:rPr>
                <w:b w:val="0"/>
                <w:szCs w:val="22"/>
              </w:rPr>
              <w:t> </w:t>
            </w:r>
            <w:r w:rsidRPr="003D110D">
              <w:rPr>
                <w:b w:val="0"/>
                <w:szCs w:val="22"/>
              </w:rPr>
              <w:t>316.90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A0FFEC"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86BF73" w14:textId="77777777" w:rsidR="004C18AD" w:rsidRPr="003D110D" w:rsidRDefault="004C18AD" w:rsidP="00042C67">
            <w:pPr>
              <w:pStyle w:val="Tablehead"/>
              <w:jc w:val="right"/>
              <w:rPr>
                <w:b w:val="0"/>
                <w:szCs w:val="22"/>
              </w:rPr>
            </w:pPr>
            <w:r w:rsidRPr="003D110D">
              <w:rPr>
                <w:b w:val="0"/>
                <w:szCs w:val="22"/>
              </w:rPr>
              <w:t>2</w:t>
            </w:r>
            <w:r>
              <w:rPr>
                <w:b w:val="0"/>
                <w:szCs w:val="22"/>
              </w:rPr>
              <w:t> </w:t>
            </w:r>
            <w:r w:rsidRPr="003D110D">
              <w:rPr>
                <w:b w:val="0"/>
                <w:szCs w:val="22"/>
              </w:rPr>
              <w:t>316.90</w:t>
            </w:r>
          </w:p>
        </w:tc>
      </w:tr>
      <w:tr w:rsidR="004C18AD" w:rsidRPr="00910F82" w14:paraId="74C8F24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FF4DF" w14:textId="77777777" w:rsidR="004C18AD" w:rsidRPr="007B590D" w:rsidRDefault="004C18AD" w:rsidP="00042C67">
            <w:pPr>
              <w:pStyle w:val="Tablehead"/>
              <w:jc w:val="left"/>
              <w:rPr>
                <w:b w:val="0"/>
                <w:szCs w:val="22"/>
                <w:lang w:eastAsia="zh-CN"/>
              </w:rPr>
            </w:pPr>
            <w:r w:rsidRPr="0021168D">
              <w:rPr>
                <w:b w:val="0"/>
                <w:szCs w:val="22"/>
                <w:lang w:val="fr-FR" w:eastAsia="zh-CN"/>
              </w:rPr>
              <w:t>–</w:t>
            </w:r>
            <w:r w:rsidRPr="0021168D">
              <w:rPr>
                <w:b w:val="0"/>
                <w:szCs w:val="22"/>
                <w:lang w:val="fr-FR" w:eastAsia="zh-CN"/>
              </w:rPr>
              <w:tab/>
            </w:r>
            <w:r w:rsidRPr="003D110D">
              <w:rPr>
                <w:b w:val="0"/>
                <w:szCs w:val="22"/>
                <w:lang w:eastAsia="zh-CN"/>
              </w:rPr>
              <w:t>Monenco Iran</w:t>
            </w:r>
            <w:r w:rsidRPr="007342A7">
              <w:rPr>
                <w:rFonts w:hint="eastAsia"/>
                <w:b w:val="0"/>
                <w:szCs w:val="22"/>
                <w:lang w:eastAsia="zh-CN"/>
              </w:rPr>
              <w:t>，德黑兰</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D1EF12" w14:textId="77777777" w:rsidR="004C18AD" w:rsidRPr="003D110D" w:rsidRDefault="004C18AD" w:rsidP="00042C67">
            <w:pPr>
              <w:pStyle w:val="Tablehead"/>
              <w:rPr>
                <w:b w:val="0"/>
                <w:szCs w:val="22"/>
              </w:rPr>
            </w:pPr>
            <w:r w:rsidRPr="003D110D">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CD5A22" w14:textId="77777777" w:rsidR="004C18AD" w:rsidRPr="003D110D" w:rsidRDefault="004C18AD" w:rsidP="00042C67">
            <w:pPr>
              <w:pStyle w:val="Tablehead"/>
              <w:jc w:val="right"/>
              <w:rPr>
                <w:b w:val="0"/>
                <w:szCs w:val="22"/>
              </w:rPr>
            </w:pPr>
            <w:r w:rsidRPr="003D110D">
              <w:rPr>
                <w:b w:val="0"/>
                <w:szCs w:val="22"/>
              </w:rPr>
              <w:t>2</w:t>
            </w:r>
            <w:r>
              <w:rPr>
                <w:b w:val="0"/>
                <w:szCs w:val="22"/>
              </w:rPr>
              <w:t> </w:t>
            </w:r>
            <w:r w:rsidRPr="003D110D">
              <w:rPr>
                <w:b w:val="0"/>
                <w:szCs w:val="22"/>
              </w:rPr>
              <w:t>106.75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07A6F7"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9D18B1" w14:textId="77777777" w:rsidR="004C18AD" w:rsidRPr="003D110D" w:rsidRDefault="004C18AD" w:rsidP="00042C67">
            <w:pPr>
              <w:pStyle w:val="Tablehead"/>
              <w:jc w:val="right"/>
              <w:rPr>
                <w:b w:val="0"/>
                <w:szCs w:val="22"/>
              </w:rPr>
            </w:pPr>
            <w:r w:rsidRPr="003D110D">
              <w:rPr>
                <w:b w:val="0"/>
                <w:szCs w:val="22"/>
              </w:rPr>
              <w:t>2</w:t>
            </w:r>
            <w:r>
              <w:rPr>
                <w:b w:val="0"/>
                <w:szCs w:val="22"/>
              </w:rPr>
              <w:t> </w:t>
            </w:r>
            <w:r w:rsidRPr="003D110D">
              <w:rPr>
                <w:b w:val="0"/>
                <w:szCs w:val="22"/>
              </w:rPr>
              <w:t>106.75</w:t>
            </w:r>
          </w:p>
        </w:tc>
      </w:tr>
      <w:tr w:rsidR="004C18AD" w:rsidRPr="00910F82" w14:paraId="6C796D21"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04500F" w14:textId="77777777" w:rsidR="004C18AD" w:rsidRPr="003D110D" w:rsidRDefault="004C18AD" w:rsidP="00042C67">
            <w:pPr>
              <w:pStyle w:val="Tablehead"/>
              <w:jc w:val="left"/>
              <w:rPr>
                <w:b w:val="0"/>
                <w:szCs w:val="22"/>
                <w:lang w:eastAsia="zh-CN"/>
              </w:rPr>
            </w:pPr>
            <w:r w:rsidRPr="0039224D">
              <w:rPr>
                <w:bCs/>
                <w:szCs w:val="22"/>
                <w:lang w:eastAsia="zh-CN"/>
              </w:rPr>
              <w:t>以色列</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80326E" w14:textId="77777777" w:rsidR="004C18AD" w:rsidRPr="003D110D" w:rsidRDefault="004C18AD" w:rsidP="00042C67">
            <w:pPr>
              <w:pStyle w:val="Tablehead"/>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1B7DC7" w14:textId="77777777" w:rsidR="004C18AD" w:rsidRPr="003D110D"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B510A3" w14:textId="77777777" w:rsidR="004C18AD" w:rsidRPr="003D110D"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4C12C8" w14:textId="77777777" w:rsidR="004C18AD" w:rsidRPr="003D110D" w:rsidRDefault="004C18AD" w:rsidP="00042C67">
            <w:pPr>
              <w:pStyle w:val="Tablehead"/>
              <w:jc w:val="right"/>
              <w:rPr>
                <w:b w:val="0"/>
                <w:szCs w:val="22"/>
              </w:rPr>
            </w:pPr>
          </w:p>
        </w:tc>
      </w:tr>
      <w:tr w:rsidR="004C18AD" w:rsidRPr="003D110D" w14:paraId="5CCDE2F0"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C691A" w14:textId="77777777" w:rsidR="004C18AD" w:rsidRPr="001952C0" w:rsidRDefault="004C18AD" w:rsidP="00042C67">
            <w:pPr>
              <w:pStyle w:val="Tablehead"/>
              <w:jc w:val="left"/>
              <w:rPr>
                <w:szCs w:val="22"/>
                <w:lang w:val="fr-FR" w:eastAsia="zh-CN"/>
              </w:rPr>
            </w:pPr>
            <w:r w:rsidRPr="0021168D">
              <w:rPr>
                <w:b w:val="0"/>
                <w:szCs w:val="22"/>
                <w:lang w:val="fr-FR" w:eastAsia="zh-CN"/>
              </w:rPr>
              <w:t>–</w:t>
            </w:r>
            <w:r w:rsidRPr="0021168D">
              <w:rPr>
                <w:b w:val="0"/>
                <w:szCs w:val="22"/>
                <w:lang w:val="fr-FR" w:eastAsia="zh-CN"/>
              </w:rPr>
              <w:tab/>
            </w:r>
            <w:r w:rsidRPr="001952C0">
              <w:rPr>
                <w:b w:val="0"/>
                <w:szCs w:val="22"/>
                <w:lang w:val="fr-FR" w:eastAsia="zh-CN"/>
              </w:rPr>
              <w:t>Beezz Communication Sol. Ltd.</w:t>
            </w:r>
            <w:r w:rsidRPr="001952C0">
              <w:rPr>
                <w:rFonts w:hint="eastAsia"/>
                <w:b w:val="0"/>
                <w:szCs w:val="22"/>
                <w:lang w:val="fr-FR" w:eastAsia="zh-CN"/>
              </w:rPr>
              <w:t>，</w:t>
            </w:r>
            <w:r w:rsidRPr="007342A7">
              <w:rPr>
                <w:rFonts w:hint="eastAsia"/>
                <w:b w:val="0"/>
                <w:szCs w:val="22"/>
                <w:lang w:eastAsia="zh-CN"/>
              </w:rPr>
              <w:t>佩塔赫</w:t>
            </w:r>
            <w:r w:rsidRPr="001952C0">
              <w:rPr>
                <w:rFonts w:hint="eastAsia"/>
                <w:b w:val="0"/>
                <w:szCs w:val="22"/>
                <w:lang w:val="fr-FR" w:eastAsia="zh-CN"/>
              </w:rPr>
              <w:t>-</w:t>
            </w:r>
            <w:r w:rsidRPr="007342A7">
              <w:rPr>
                <w:rFonts w:hint="eastAsia"/>
                <w:b w:val="0"/>
                <w:szCs w:val="22"/>
                <w:lang w:eastAsia="zh-CN"/>
              </w:rPr>
              <w:t>蒂克瓦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8C351" w14:textId="77777777" w:rsidR="004C18AD" w:rsidRPr="003D110D" w:rsidRDefault="004C18AD" w:rsidP="00042C67">
            <w:pPr>
              <w:pStyle w:val="Tablehead"/>
              <w:rPr>
                <w:szCs w:val="22"/>
              </w:rPr>
            </w:pPr>
            <w:r w:rsidRPr="003D110D">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9CF18" w14:textId="77777777" w:rsidR="004C18AD" w:rsidRPr="003D110D" w:rsidRDefault="004C18AD" w:rsidP="00042C67">
            <w:pPr>
              <w:pStyle w:val="Tablehead"/>
              <w:jc w:val="right"/>
              <w:rPr>
                <w:szCs w:val="22"/>
              </w:rPr>
            </w:pPr>
            <w:r w:rsidRPr="003D110D">
              <w:rPr>
                <w:b w:val="0"/>
                <w:szCs w:val="22"/>
              </w:rPr>
              <w:t>2</w:t>
            </w:r>
            <w:r>
              <w:rPr>
                <w:b w:val="0"/>
                <w:szCs w:val="22"/>
              </w:rPr>
              <w:t> </w:t>
            </w:r>
            <w:r w:rsidRPr="003D110D">
              <w:rPr>
                <w:b w:val="0"/>
                <w:szCs w:val="22"/>
              </w:rPr>
              <w:t>170.49</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AAF4C" w14:textId="77777777" w:rsidR="004C18AD" w:rsidRPr="003D110D" w:rsidRDefault="004C18AD" w:rsidP="00042C67">
            <w:pPr>
              <w:pStyle w:val="Tablehead"/>
              <w:jc w:val="right"/>
              <w:rPr>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3DFCF" w14:textId="77777777" w:rsidR="004C18AD" w:rsidRPr="003D110D" w:rsidRDefault="004C18AD" w:rsidP="00042C67">
            <w:pPr>
              <w:pStyle w:val="Tablehead"/>
              <w:jc w:val="right"/>
              <w:rPr>
                <w:szCs w:val="22"/>
              </w:rPr>
            </w:pPr>
            <w:r w:rsidRPr="003D110D">
              <w:rPr>
                <w:b w:val="0"/>
                <w:szCs w:val="22"/>
              </w:rPr>
              <w:t>2</w:t>
            </w:r>
            <w:r>
              <w:rPr>
                <w:b w:val="0"/>
                <w:szCs w:val="22"/>
              </w:rPr>
              <w:t> </w:t>
            </w:r>
            <w:r w:rsidRPr="003D110D">
              <w:rPr>
                <w:b w:val="0"/>
                <w:szCs w:val="22"/>
              </w:rPr>
              <w:t>170.49</w:t>
            </w:r>
          </w:p>
        </w:tc>
      </w:tr>
      <w:tr w:rsidR="004C18AD" w:rsidRPr="00910F82" w14:paraId="2FC41CF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87E9C0" w14:textId="77777777" w:rsidR="004C18AD" w:rsidRPr="003D110D" w:rsidRDefault="004C18AD" w:rsidP="00042C67">
            <w:pPr>
              <w:pStyle w:val="Tablehead"/>
              <w:jc w:val="left"/>
              <w:rPr>
                <w:b w:val="0"/>
                <w:szCs w:val="22"/>
                <w:lang w:eastAsia="zh-CN"/>
              </w:rPr>
            </w:pPr>
            <w:r w:rsidRPr="006962C1">
              <w:rPr>
                <w:rFonts w:cs="Calibri"/>
                <w:b w:val="0"/>
                <w:szCs w:val="22"/>
              </w:rPr>
              <w:t>–</w:t>
            </w:r>
            <w:r w:rsidRPr="006962C1">
              <w:rPr>
                <w:rFonts w:cs="Calibri"/>
                <w:b w:val="0"/>
                <w:szCs w:val="22"/>
              </w:rPr>
              <w:tab/>
              <w:t>IP Light</w:t>
            </w:r>
            <w:r w:rsidRPr="006962C1">
              <w:rPr>
                <w:rFonts w:cs="Calibri" w:hint="eastAsia"/>
                <w:b w:val="0"/>
                <w:szCs w:val="22"/>
              </w:rPr>
              <w:t>，</w:t>
            </w:r>
            <w:r w:rsidRPr="006962C1">
              <w:rPr>
                <w:rFonts w:cs="Calibri" w:hint="eastAsia"/>
                <w:b w:val="0"/>
                <w:szCs w:val="22"/>
                <w:lang w:val="fr-FR"/>
              </w:rPr>
              <w:t>佩塔赫</w:t>
            </w:r>
            <w:r w:rsidRPr="006962C1">
              <w:rPr>
                <w:rFonts w:cs="Calibri" w:hint="eastAsia"/>
                <w:b w:val="0"/>
                <w:szCs w:val="22"/>
              </w:rPr>
              <w:t>-</w:t>
            </w:r>
            <w:r w:rsidRPr="006962C1">
              <w:rPr>
                <w:rFonts w:cs="Calibri" w:hint="eastAsia"/>
                <w:b w:val="0"/>
                <w:szCs w:val="22"/>
                <w:lang w:val="fr-FR"/>
              </w:rPr>
              <w:t>蒂克瓦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1F5F6A" w14:textId="77777777" w:rsidR="004C18AD" w:rsidRPr="003D110D" w:rsidRDefault="004C18AD" w:rsidP="00042C67">
            <w:pPr>
              <w:pStyle w:val="Tablehead"/>
              <w:rPr>
                <w:b w:val="0"/>
                <w:szCs w:val="22"/>
              </w:rPr>
            </w:pPr>
            <w:r w:rsidRPr="003D110D">
              <w:rPr>
                <w:b w:val="0"/>
                <w:szCs w:val="22"/>
              </w:rPr>
              <w:t>2017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9C383A" w14:textId="77777777" w:rsidR="004C18AD" w:rsidRPr="003D110D" w:rsidRDefault="004C18AD" w:rsidP="00042C67">
            <w:pPr>
              <w:pStyle w:val="Tablehead"/>
              <w:jc w:val="right"/>
              <w:rPr>
                <w:b w:val="0"/>
                <w:szCs w:val="22"/>
              </w:rPr>
            </w:pPr>
            <w:r w:rsidRPr="003D110D">
              <w:rPr>
                <w:b w:val="0"/>
                <w:szCs w:val="22"/>
              </w:rPr>
              <w:t>13</w:t>
            </w:r>
            <w:r>
              <w:rPr>
                <w:b w:val="0"/>
                <w:szCs w:val="22"/>
              </w:rPr>
              <w:t> </w:t>
            </w:r>
            <w:r w:rsidRPr="003D110D">
              <w:rPr>
                <w:b w:val="0"/>
                <w:szCs w:val="22"/>
              </w:rPr>
              <w:t>884.10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25F74A"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8CB338" w14:textId="77777777" w:rsidR="004C18AD" w:rsidRPr="003D110D" w:rsidRDefault="004C18AD" w:rsidP="00042C67">
            <w:pPr>
              <w:pStyle w:val="Tablehead"/>
              <w:jc w:val="right"/>
              <w:rPr>
                <w:b w:val="0"/>
                <w:szCs w:val="22"/>
              </w:rPr>
            </w:pPr>
            <w:r w:rsidRPr="003D110D">
              <w:rPr>
                <w:b w:val="0"/>
                <w:szCs w:val="22"/>
              </w:rPr>
              <w:t>13</w:t>
            </w:r>
            <w:r>
              <w:rPr>
                <w:b w:val="0"/>
                <w:szCs w:val="22"/>
              </w:rPr>
              <w:t> </w:t>
            </w:r>
            <w:r w:rsidRPr="003D110D">
              <w:rPr>
                <w:b w:val="0"/>
                <w:szCs w:val="22"/>
              </w:rPr>
              <w:t>884.10</w:t>
            </w:r>
          </w:p>
        </w:tc>
      </w:tr>
      <w:tr w:rsidR="004C18AD" w:rsidRPr="00910F82" w14:paraId="735E50C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975332" w14:textId="77777777" w:rsidR="004C18AD" w:rsidRPr="006962C1" w:rsidRDefault="004C18AD" w:rsidP="00042C67">
            <w:pPr>
              <w:pStyle w:val="Tablehead"/>
              <w:jc w:val="left"/>
              <w:rPr>
                <w:b w:val="0"/>
                <w:szCs w:val="22"/>
                <w:lang w:eastAsia="zh-CN"/>
              </w:rPr>
            </w:pPr>
            <w:r w:rsidRPr="006962C1">
              <w:rPr>
                <w:rFonts w:cs="Calibri"/>
                <w:b w:val="0"/>
                <w:szCs w:val="22"/>
              </w:rPr>
              <w:t>–</w:t>
            </w:r>
            <w:r w:rsidRPr="006962C1">
              <w:rPr>
                <w:rFonts w:cs="Calibri"/>
                <w:b w:val="0"/>
                <w:szCs w:val="22"/>
              </w:rPr>
              <w:tab/>
              <w:t>JpU</w:t>
            </w:r>
            <w:r w:rsidRPr="006962C1">
              <w:rPr>
                <w:rFonts w:cs="Calibri" w:hint="eastAsia"/>
                <w:b w:val="0"/>
                <w:szCs w:val="22"/>
                <w:lang w:val="fr-FR"/>
              </w:rPr>
              <w:t>公司</w:t>
            </w:r>
            <w:r w:rsidRPr="006962C1">
              <w:rPr>
                <w:rFonts w:cs="Calibri" w:hint="eastAsia"/>
                <w:b w:val="0"/>
                <w:szCs w:val="22"/>
              </w:rPr>
              <w:t>，</w:t>
            </w:r>
            <w:r w:rsidRPr="006962C1">
              <w:rPr>
                <w:rFonts w:cs="Calibri" w:hint="eastAsia"/>
                <w:b w:val="0"/>
                <w:szCs w:val="22"/>
                <w:lang w:val="fr-FR"/>
              </w:rPr>
              <w:t>佩塔赫</w:t>
            </w:r>
            <w:r w:rsidRPr="006962C1">
              <w:rPr>
                <w:rFonts w:cs="Calibri" w:hint="eastAsia"/>
                <w:b w:val="0"/>
                <w:szCs w:val="22"/>
              </w:rPr>
              <w:t>-</w:t>
            </w:r>
            <w:r w:rsidRPr="006962C1">
              <w:rPr>
                <w:rFonts w:cs="Calibri" w:hint="eastAsia"/>
                <w:b w:val="0"/>
                <w:szCs w:val="22"/>
                <w:lang w:val="fr-FR"/>
              </w:rPr>
              <w:t>蒂克瓦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5F727D" w14:textId="77777777" w:rsidR="004C18AD" w:rsidRPr="003D110D" w:rsidRDefault="004C18AD" w:rsidP="00042C67">
            <w:pPr>
              <w:pStyle w:val="Tablehead"/>
              <w:rPr>
                <w:b w:val="0"/>
                <w:szCs w:val="22"/>
              </w:rPr>
            </w:pPr>
            <w:r w:rsidRPr="003D110D">
              <w:rPr>
                <w:b w:val="0"/>
                <w:szCs w:val="22"/>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B810A1" w14:textId="77777777" w:rsidR="004C18AD" w:rsidRPr="003D110D" w:rsidRDefault="004C18AD" w:rsidP="00042C67">
            <w:pPr>
              <w:pStyle w:val="Tablehead"/>
              <w:jc w:val="right"/>
              <w:rPr>
                <w:b w:val="0"/>
                <w:szCs w:val="22"/>
              </w:rPr>
            </w:pPr>
            <w:r w:rsidRPr="003D110D">
              <w:rPr>
                <w:b w:val="0"/>
                <w:szCs w:val="22"/>
              </w:rPr>
              <w:t>4</w:t>
            </w:r>
            <w:r>
              <w:rPr>
                <w:b w:val="0"/>
                <w:szCs w:val="22"/>
              </w:rPr>
              <w:t> </w:t>
            </w:r>
            <w:r w:rsidRPr="003D110D">
              <w:rPr>
                <w:b w:val="0"/>
                <w:szCs w:val="22"/>
              </w:rPr>
              <w:t>118.93</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62EDFE"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510CA1" w14:textId="77777777" w:rsidR="004C18AD" w:rsidRPr="003D110D" w:rsidRDefault="004C18AD" w:rsidP="00042C67">
            <w:pPr>
              <w:pStyle w:val="Tablehead"/>
              <w:jc w:val="right"/>
              <w:rPr>
                <w:b w:val="0"/>
                <w:szCs w:val="22"/>
              </w:rPr>
            </w:pPr>
            <w:r w:rsidRPr="003D110D">
              <w:rPr>
                <w:b w:val="0"/>
                <w:szCs w:val="22"/>
              </w:rPr>
              <w:t>4</w:t>
            </w:r>
            <w:r>
              <w:rPr>
                <w:b w:val="0"/>
                <w:szCs w:val="22"/>
              </w:rPr>
              <w:t> </w:t>
            </w:r>
            <w:r w:rsidRPr="003D110D">
              <w:rPr>
                <w:b w:val="0"/>
                <w:szCs w:val="22"/>
              </w:rPr>
              <w:t>118.93</w:t>
            </w:r>
          </w:p>
        </w:tc>
      </w:tr>
      <w:tr w:rsidR="004C18AD" w:rsidRPr="00910F82" w14:paraId="4BD50AE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4DEFC3" w14:textId="77777777" w:rsidR="004C18AD" w:rsidRPr="006962C1" w:rsidRDefault="004C18AD" w:rsidP="00042C67">
            <w:pPr>
              <w:pStyle w:val="Tablehead"/>
              <w:jc w:val="left"/>
              <w:rPr>
                <w:b w:val="0"/>
                <w:szCs w:val="22"/>
                <w:lang w:eastAsia="zh-CN"/>
              </w:rPr>
            </w:pPr>
            <w:r w:rsidRPr="00D85C35">
              <w:rPr>
                <w:b w:val="0"/>
                <w:szCs w:val="22"/>
                <w:lang w:val="fr-FR" w:eastAsia="zh-CN"/>
              </w:rPr>
              <w:t>–</w:t>
            </w:r>
            <w:r w:rsidRPr="00D85C35">
              <w:rPr>
                <w:b w:val="0"/>
                <w:szCs w:val="22"/>
                <w:lang w:val="fr-FR" w:eastAsia="zh-CN"/>
              </w:rPr>
              <w:tab/>
            </w:r>
            <w:r w:rsidRPr="003D110D">
              <w:rPr>
                <w:b w:val="0"/>
                <w:szCs w:val="22"/>
                <w:lang w:eastAsia="zh-CN"/>
              </w:rPr>
              <w:t>Sckipio Technologies S.I. Ltd.</w:t>
            </w:r>
            <w:r>
              <w:rPr>
                <w:rFonts w:hint="eastAsia"/>
                <w:b w:val="0"/>
                <w:szCs w:val="22"/>
                <w:lang w:eastAsia="zh-CN"/>
              </w:rPr>
              <w:t>，</w:t>
            </w:r>
            <w:r w:rsidRPr="0021168D">
              <w:rPr>
                <w:rFonts w:hint="eastAsia"/>
                <w:b w:val="0"/>
                <w:szCs w:val="22"/>
                <w:lang w:eastAsia="zh-CN"/>
              </w:rPr>
              <w:t>拉马特甘</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F3BCEB" w14:textId="77777777" w:rsidR="004C18AD" w:rsidRPr="003D110D" w:rsidRDefault="004C18AD" w:rsidP="00042C67">
            <w:pPr>
              <w:pStyle w:val="Tablehead"/>
              <w:rPr>
                <w:b w:val="0"/>
                <w:szCs w:val="22"/>
              </w:rPr>
            </w:pPr>
            <w:r w:rsidRPr="003D110D">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A35C3C" w14:textId="77777777" w:rsidR="004C18AD" w:rsidRPr="003D110D" w:rsidRDefault="004C18AD" w:rsidP="00042C67">
            <w:pPr>
              <w:pStyle w:val="Tablehead"/>
              <w:jc w:val="right"/>
              <w:rPr>
                <w:b w:val="0"/>
                <w:szCs w:val="22"/>
              </w:rPr>
            </w:pPr>
            <w:r w:rsidRPr="003D110D">
              <w:rPr>
                <w:b w:val="0"/>
                <w:szCs w:val="22"/>
              </w:rPr>
              <w:t>11</w:t>
            </w:r>
            <w:r>
              <w:rPr>
                <w:b w:val="0"/>
                <w:szCs w:val="22"/>
              </w:rPr>
              <w:t> </w:t>
            </w:r>
            <w:r w:rsidRPr="003D110D">
              <w:rPr>
                <w:b w:val="0"/>
                <w:szCs w:val="22"/>
              </w:rPr>
              <w:t>320.25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1653F9"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039C6" w14:textId="77777777" w:rsidR="004C18AD" w:rsidRPr="003D110D" w:rsidRDefault="004C18AD" w:rsidP="00042C67">
            <w:pPr>
              <w:pStyle w:val="Tablehead"/>
              <w:jc w:val="right"/>
              <w:rPr>
                <w:b w:val="0"/>
                <w:szCs w:val="22"/>
              </w:rPr>
            </w:pPr>
            <w:r w:rsidRPr="003D110D">
              <w:rPr>
                <w:b w:val="0"/>
                <w:szCs w:val="22"/>
              </w:rPr>
              <w:t>11</w:t>
            </w:r>
            <w:r>
              <w:rPr>
                <w:b w:val="0"/>
                <w:szCs w:val="22"/>
              </w:rPr>
              <w:t> </w:t>
            </w:r>
            <w:r w:rsidRPr="003D110D">
              <w:rPr>
                <w:b w:val="0"/>
                <w:szCs w:val="22"/>
              </w:rPr>
              <w:t>320.25</w:t>
            </w:r>
          </w:p>
        </w:tc>
      </w:tr>
      <w:tr w:rsidR="004C18AD" w:rsidRPr="00910F82" w14:paraId="1EF332D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F9BE1" w14:textId="77777777" w:rsidR="004C18AD" w:rsidRPr="003D110D" w:rsidRDefault="004C18AD" w:rsidP="00042C67">
            <w:pPr>
              <w:pStyle w:val="Tablehead"/>
              <w:jc w:val="left"/>
              <w:rPr>
                <w:b w:val="0"/>
                <w:szCs w:val="22"/>
                <w:lang w:eastAsia="zh-CN"/>
              </w:rPr>
            </w:pPr>
            <w:r w:rsidRPr="00D85C35">
              <w:rPr>
                <w:b w:val="0"/>
                <w:szCs w:val="22"/>
                <w:lang w:val="fr-FR" w:eastAsia="zh-CN"/>
              </w:rPr>
              <w:t>–</w:t>
            </w:r>
            <w:r w:rsidRPr="00D85C35">
              <w:rPr>
                <w:b w:val="0"/>
                <w:szCs w:val="22"/>
                <w:lang w:val="fr-FR" w:eastAsia="zh-CN"/>
              </w:rPr>
              <w:tab/>
            </w:r>
            <w:r w:rsidRPr="003D110D">
              <w:rPr>
                <w:b w:val="0"/>
                <w:szCs w:val="22"/>
                <w:lang w:eastAsia="zh-CN"/>
              </w:rPr>
              <w:t>TangoTec</w:t>
            </w:r>
            <w:r>
              <w:rPr>
                <w:rFonts w:hint="eastAsia"/>
                <w:b w:val="0"/>
                <w:szCs w:val="22"/>
                <w:lang w:eastAsia="zh-CN"/>
              </w:rPr>
              <w:t>，</w:t>
            </w:r>
            <w:r w:rsidRPr="0021168D">
              <w:rPr>
                <w:rFonts w:hint="eastAsia"/>
                <w:b w:val="0"/>
                <w:szCs w:val="22"/>
                <w:lang w:eastAsia="zh-CN"/>
              </w:rPr>
              <w:t>海法</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DBD26B" w14:textId="77777777" w:rsidR="004C18AD" w:rsidRPr="003D110D" w:rsidRDefault="004C18AD" w:rsidP="00042C67">
            <w:pPr>
              <w:pStyle w:val="Tablehead"/>
              <w:rPr>
                <w:b w:val="0"/>
                <w:szCs w:val="22"/>
              </w:rPr>
            </w:pPr>
            <w:r w:rsidRPr="003D110D">
              <w:rPr>
                <w:b w:val="0"/>
                <w:szCs w:val="22"/>
              </w:rPr>
              <w:t>2015-2016</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2417E1" w14:textId="77777777" w:rsidR="004C18AD" w:rsidRPr="003D110D" w:rsidRDefault="004C18AD" w:rsidP="00042C67">
            <w:pPr>
              <w:pStyle w:val="Tablehead"/>
              <w:jc w:val="right"/>
              <w:rPr>
                <w:b w:val="0"/>
                <w:szCs w:val="22"/>
              </w:rPr>
            </w:pPr>
            <w:r w:rsidRPr="003D110D">
              <w:rPr>
                <w:b w:val="0"/>
                <w:szCs w:val="22"/>
              </w:rPr>
              <w:t>11</w:t>
            </w:r>
            <w:r>
              <w:rPr>
                <w:b w:val="0"/>
                <w:szCs w:val="22"/>
              </w:rPr>
              <w:t> </w:t>
            </w:r>
            <w:r w:rsidRPr="003D110D">
              <w:rPr>
                <w:b w:val="0"/>
                <w:szCs w:val="22"/>
              </w:rPr>
              <w:t>880.85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B4F7BD"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91082A" w14:textId="77777777" w:rsidR="004C18AD" w:rsidRPr="003D110D" w:rsidRDefault="004C18AD" w:rsidP="00042C67">
            <w:pPr>
              <w:pStyle w:val="Tablehead"/>
              <w:jc w:val="right"/>
              <w:rPr>
                <w:b w:val="0"/>
                <w:szCs w:val="22"/>
              </w:rPr>
            </w:pPr>
            <w:r w:rsidRPr="003D110D">
              <w:rPr>
                <w:b w:val="0"/>
                <w:szCs w:val="22"/>
              </w:rPr>
              <w:t>11</w:t>
            </w:r>
            <w:r>
              <w:rPr>
                <w:b w:val="0"/>
                <w:szCs w:val="22"/>
              </w:rPr>
              <w:t> </w:t>
            </w:r>
            <w:r w:rsidRPr="003D110D">
              <w:rPr>
                <w:b w:val="0"/>
                <w:szCs w:val="22"/>
              </w:rPr>
              <w:t>880.85</w:t>
            </w:r>
          </w:p>
        </w:tc>
      </w:tr>
      <w:tr w:rsidR="004C18AD" w:rsidRPr="00910F82" w14:paraId="289DA7A1"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30892" w14:textId="77777777" w:rsidR="004C18AD" w:rsidRPr="003D110D" w:rsidRDefault="004C18AD" w:rsidP="00042C67">
            <w:pPr>
              <w:pStyle w:val="Tablehead"/>
              <w:jc w:val="left"/>
              <w:rPr>
                <w:b w:val="0"/>
                <w:szCs w:val="22"/>
                <w:lang w:eastAsia="zh-CN"/>
              </w:rPr>
            </w:pPr>
            <w:r>
              <w:rPr>
                <w:rFonts w:hint="eastAsia"/>
                <w:szCs w:val="22"/>
                <w:lang w:eastAsia="zh-CN"/>
              </w:rPr>
              <w:t>意大利</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9CC365" w14:textId="77777777" w:rsidR="004C18AD" w:rsidRPr="003D110D" w:rsidRDefault="004C18AD" w:rsidP="00042C67">
            <w:pPr>
              <w:pStyle w:val="Tablehead"/>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00EB5B" w14:textId="77777777" w:rsidR="004C18AD" w:rsidRPr="003D110D"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51F107" w14:textId="77777777" w:rsidR="004C18AD" w:rsidRPr="003D110D"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9873C2" w14:textId="77777777" w:rsidR="004C18AD" w:rsidRPr="003D110D" w:rsidRDefault="004C18AD" w:rsidP="00042C67">
            <w:pPr>
              <w:pStyle w:val="Tablehead"/>
              <w:jc w:val="right"/>
              <w:rPr>
                <w:b w:val="0"/>
                <w:szCs w:val="22"/>
              </w:rPr>
            </w:pPr>
          </w:p>
        </w:tc>
      </w:tr>
      <w:tr w:rsidR="004C18AD" w:rsidRPr="003D110D" w14:paraId="795B430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349046" w14:textId="77777777" w:rsidR="004C18AD" w:rsidRPr="003D110D" w:rsidRDefault="004C18AD" w:rsidP="00042C67">
            <w:pPr>
              <w:pStyle w:val="Tablehead"/>
              <w:jc w:val="left"/>
              <w:rPr>
                <w:szCs w:val="22"/>
                <w:lang w:eastAsia="zh-CN"/>
              </w:rPr>
            </w:pPr>
            <w:r w:rsidRPr="00D85C35">
              <w:rPr>
                <w:b w:val="0"/>
                <w:szCs w:val="22"/>
                <w:lang w:val="fr-FR" w:eastAsia="zh-CN"/>
              </w:rPr>
              <w:t>–</w:t>
            </w:r>
            <w:r w:rsidRPr="00D85C35">
              <w:rPr>
                <w:b w:val="0"/>
                <w:szCs w:val="22"/>
                <w:lang w:val="fr-FR" w:eastAsia="zh-CN"/>
              </w:rPr>
              <w:tab/>
            </w:r>
            <w:r w:rsidRPr="0021168D">
              <w:rPr>
                <w:rFonts w:hint="eastAsia"/>
                <w:b w:val="0"/>
                <w:szCs w:val="22"/>
                <w:lang w:eastAsia="zh-CN"/>
              </w:rPr>
              <w:t>罗马第二大学</w:t>
            </w:r>
            <w:r>
              <w:rPr>
                <w:rFonts w:hint="eastAsia"/>
                <w:b w:val="0"/>
                <w:szCs w:val="22"/>
                <w:lang w:eastAsia="zh-CN"/>
              </w:rPr>
              <w:t>，罗马</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F9D87" w14:textId="77777777" w:rsidR="004C18AD" w:rsidRPr="003D110D" w:rsidRDefault="004C18AD" w:rsidP="00042C67">
            <w:pPr>
              <w:pStyle w:val="Tablehead"/>
              <w:rPr>
                <w:szCs w:val="22"/>
              </w:rPr>
            </w:pPr>
            <w:r w:rsidRPr="003D110D">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B248C" w14:textId="77777777" w:rsidR="004C18AD" w:rsidRPr="003D110D" w:rsidRDefault="004C18AD" w:rsidP="00042C67">
            <w:pPr>
              <w:pStyle w:val="Tablehead"/>
              <w:jc w:val="right"/>
              <w:rPr>
                <w:szCs w:val="22"/>
              </w:rPr>
            </w:pPr>
            <w:r w:rsidRPr="003D110D">
              <w:rPr>
                <w:b w:val="0"/>
                <w:szCs w:val="22"/>
              </w:rPr>
              <w:t>4</w:t>
            </w:r>
            <w:r>
              <w:rPr>
                <w:b w:val="0"/>
                <w:szCs w:val="22"/>
              </w:rPr>
              <w:t> </w:t>
            </w:r>
            <w:r w:rsidRPr="003D110D">
              <w:rPr>
                <w:b w:val="0"/>
                <w:szCs w:val="22"/>
              </w:rPr>
              <w:t>213.50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60D43" w14:textId="77777777" w:rsidR="004C18AD" w:rsidRPr="003D110D" w:rsidRDefault="004C18AD" w:rsidP="00042C67">
            <w:pPr>
              <w:pStyle w:val="Tablehead"/>
              <w:jc w:val="right"/>
              <w:rPr>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AD97" w14:textId="77777777" w:rsidR="004C18AD" w:rsidRPr="003D110D" w:rsidRDefault="004C18AD" w:rsidP="00042C67">
            <w:pPr>
              <w:pStyle w:val="Tablehead"/>
              <w:jc w:val="right"/>
              <w:rPr>
                <w:szCs w:val="22"/>
              </w:rPr>
            </w:pPr>
            <w:r w:rsidRPr="003D110D">
              <w:rPr>
                <w:b w:val="0"/>
                <w:szCs w:val="22"/>
              </w:rPr>
              <w:t>4</w:t>
            </w:r>
            <w:r>
              <w:rPr>
                <w:b w:val="0"/>
                <w:szCs w:val="22"/>
              </w:rPr>
              <w:t> </w:t>
            </w:r>
            <w:r w:rsidRPr="003D110D">
              <w:rPr>
                <w:b w:val="0"/>
                <w:szCs w:val="22"/>
              </w:rPr>
              <w:t>213.50</w:t>
            </w:r>
          </w:p>
        </w:tc>
      </w:tr>
      <w:tr w:rsidR="004C18AD" w:rsidRPr="00910F82" w14:paraId="513A3257"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8820C" w14:textId="77777777" w:rsidR="004C18AD" w:rsidRPr="003D110D" w:rsidRDefault="004C18AD" w:rsidP="00042C67">
            <w:pPr>
              <w:pStyle w:val="Tablehead"/>
              <w:jc w:val="left"/>
              <w:rPr>
                <w:b w:val="0"/>
                <w:szCs w:val="22"/>
                <w:lang w:eastAsia="zh-CN"/>
              </w:rPr>
            </w:pPr>
            <w:r>
              <w:rPr>
                <w:rFonts w:hint="eastAsia"/>
                <w:szCs w:val="22"/>
                <w:lang w:eastAsia="zh-CN"/>
              </w:rPr>
              <w:t>约旦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11D9E7" w14:textId="77777777" w:rsidR="004C18AD" w:rsidRPr="003D110D" w:rsidRDefault="004C18AD" w:rsidP="00042C67">
            <w:pPr>
              <w:pStyle w:val="Tablehead"/>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E16111" w14:textId="77777777" w:rsidR="004C18AD" w:rsidRPr="003D110D"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557D1A" w14:textId="77777777" w:rsidR="004C18AD" w:rsidRPr="003D110D"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AD2391" w14:textId="77777777" w:rsidR="004C18AD" w:rsidRPr="003D110D" w:rsidRDefault="004C18AD" w:rsidP="00042C67">
            <w:pPr>
              <w:pStyle w:val="Tablehead"/>
              <w:jc w:val="right"/>
              <w:rPr>
                <w:b w:val="0"/>
                <w:szCs w:val="22"/>
              </w:rPr>
            </w:pPr>
          </w:p>
        </w:tc>
      </w:tr>
      <w:tr w:rsidR="004C18AD" w:rsidRPr="003D110D" w14:paraId="5837743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A0414" w14:textId="77777777" w:rsidR="004C18AD" w:rsidRPr="003D110D" w:rsidRDefault="004C18AD" w:rsidP="00042C67">
            <w:pPr>
              <w:pStyle w:val="Tablehead"/>
              <w:jc w:val="left"/>
              <w:rPr>
                <w:szCs w:val="22"/>
                <w:lang w:eastAsia="zh-CN"/>
              </w:rPr>
            </w:pPr>
            <w:r w:rsidRPr="00C61E60">
              <w:rPr>
                <w:rFonts w:cs="Calibri"/>
                <w:b w:val="0"/>
                <w:szCs w:val="22"/>
                <w:lang w:val="fr-FR" w:eastAsia="zh-CN"/>
              </w:rPr>
              <w:t>–</w:t>
            </w:r>
            <w:r w:rsidRPr="00C61E60">
              <w:rPr>
                <w:rFonts w:cs="Calibri"/>
                <w:b w:val="0"/>
                <w:szCs w:val="22"/>
                <w:lang w:val="fr-FR" w:eastAsia="zh-CN"/>
              </w:rPr>
              <w:tab/>
            </w:r>
            <w:r w:rsidRPr="00C61E60">
              <w:rPr>
                <w:rFonts w:cs="Calibri" w:hint="eastAsia"/>
                <w:b w:val="0"/>
                <w:szCs w:val="22"/>
                <w:lang w:val="fr-FR" w:eastAsia="zh-CN"/>
              </w:rPr>
              <w:t>中东通信公司（</w:t>
            </w:r>
            <w:r w:rsidRPr="00C61E60">
              <w:rPr>
                <w:rFonts w:cs="Calibri" w:hint="eastAsia"/>
                <w:b w:val="0"/>
                <w:szCs w:val="22"/>
                <w:lang w:val="fr-FR" w:eastAsia="zh-CN"/>
              </w:rPr>
              <w:t>MEC</w:t>
            </w:r>
            <w:r w:rsidRPr="00C61E60">
              <w:rPr>
                <w:rFonts w:cs="Calibri" w:hint="eastAsia"/>
                <w:b w:val="0"/>
                <w:szCs w:val="22"/>
                <w:lang w:val="fr-FR" w:eastAsia="zh-CN"/>
              </w:rPr>
              <w:t>），安曼</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B5040" w14:textId="77777777" w:rsidR="004C18AD" w:rsidRPr="003D110D" w:rsidRDefault="004C18AD" w:rsidP="00042C67">
            <w:pPr>
              <w:pStyle w:val="Tablehead"/>
              <w:rPr>
                <w:szCs w:val="22"/>
                <w:lang w:eastAsia="zh-CN"/>
              </w:rPr>
            </w:pPr>
            <w:r w:rsidRPr="003D110D">
              <w:rPr>
                <w:b w:val="0"/>
                <w:szCs w:val="22"/>
              </w:rPr>
              <w:t>2008-2009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2910D" w14:textId="77777777" w:rsidR="004C18AD" w:rsidRPr="003D110D" w:rsidRDefault="004C18AD" w:rsidP="00042C67">
            <w:pPr>
              <w:pStyle w:val="Tablehead"/>
              <w:jc w:val="right"/>
              <w:rPr>
                <w:szCs w:val="22"/>
                <w:lang w:eastAsia="zh-CN"/>
              </w:rPr>
            </w:pPr>
            <w:r w:rsidRPr="003D110D">
              <w:rPr>
                <w:b w:val="0"/>
                <w:szCs w:val="22"/>
              </w:rPr>
              <w:t>8</w:t>
            </w:r>
            <w:r>
              <w:rPr>
                <w:b w:val="0"/>
                <w:szCs w:val="22"/>
              </w:rPr>
              <w:t> </w:t>
            </w:r>
            <w:r w:rsidRPr="003D110D">
              <w:rPr>
                <w:b w:val="0"/>
                <w:szCs w:val="22"/>
              </w:rPr>
              <w:t>329.60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3657B" w14:textId="77777777" w:rsidR="004C18AD" w:rsidRPr="003D110D" w:rsidRDefault="004C18AD" w:rsidP="00042C67">
            <w:pPr>
              <w:pStyle w:val="Tablehead"/>
              <w:jc w:val="right"/>
              <w:rPr>
                <w:szCs w:val="22"/>
                <w:lang w:eastAsia="zh-CN"/>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8FDA5" w14:textId="77777777" w:rsidR="004C18AD" w:rsidRPr="003D110D" w:rsidRDefault="004C18AD" w:rsidP="00042C67">
            <w:pPr>
              <w:pStyle w:val="Tablehead"/>
              <w:jc w:val="right"/>
              <w:rPr>
                <w:szCs w:val="22"/>
                <w:lang w:eastAsia="zh-CN"/>
              </w:rPr>
            </w:pPr>
            <w:r w:rsidRPr="003D110D">
              <w:rPr>
                <w:b w:val="0"/>
                <w:szCs w:val="22"/>
              </w:rPr>
              <w:t>8</w:t>
            </w:r>
            <w:r>
              <w:rPr>
                <w:b w:val="0"/>
                <w:szCs w:val="22"/>
              </w:rPr>
              <w:t> </w:t>
            </w:r>
            <w:r w:rsidRPr="003D110D">
              <w:rPr>
                <w:b w:val="0"/>
                <w:szCs w:val="22"/>
              </w:rPr>
              <w:t>329.60</w:t>
            </w:r>
          </w:p>
        </w:tc>
      </w:tr>
      <w:tr w:rsidR="004C18AD" w:rsidRPr="00910F82" w14:paraId="1FD7F9F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32512" w14:textId="77777777" w:rsidR="004C18AD" w:rsidRPr="00C61E60" w:rsidRDefault="004C18AD" w:rsidP="00042C67">
            <w:pPr>
              <w:pStyle w:val="Tablehead"/>
              <w:jc w:val="left"/>
              <w:rPr>
                <w:b w:val="0"/>
                <w:szCs w:val="22"/>
                <w:lang w:eastAsia="zh-CN"/>
              </w:rPr>
            </w:pPr>
            <w:r w:rsidRPr="00395901">
              <w:rPr>
                <w:rFonts w:cs="Calibri"/>
                <w:b w:val="0"/>
                <w:szCs w:val="22"/>
                <w:lang w:eastAsia="zh-CN"/>
              </w:rPr>
              <w:t>–</w:t>
            </w:r>
            <w:r w:rsidRPr="00395901">
              <w:rPr>
                <w:rFonts w:cs="Calibri"/>
                <w:b w:val="0"/>
                <w:szCs w:val="22"/>
                <w:lang w:eastAsia="zh-CN"/>
              </w:rPr>
              <w:tab/>
              <w:t>Talal Abu-Ghazaleh</w:t>
            </w:r>
            <w:r w:rsidRPr="00395901">
              <w:rPr>
                <w:rFonts w:cs="Calibri" w:hint="eastAsia"/>
                <w:b w:val="0"/>
                <w:szCs w:val="22"/>
                <w:lang w:val="fr-FR" w:eastAsia="zh-CN"/>
              </w:rPr>
              <w:t>公司</w:t>
            </w:r>
            <w:r w:rsidRPr="00395901">
              <w:rPr>
                <w:rFonts w:cs="Calibri" w:hint="eastAsia"/>
                <w:b w:val="0"/>
                <w:szCs w:val="22"/>
                <w:lang w:eastAsia="zh-CN"/>
              </w:rPr>
              <w:t>，</w:t>
            </w:r>
            <w:r w:rsidRPr="00395901">
              <w:rPr>
                <w:rFonts w:cs="Calibri" w:hint="eastAsia"/>
                <w:b w:val="0"/>
                <w:szCs w:val="22"/>
                <w:lang w:val="fr-FR" w:eastAsia="zh-CN"/>
              </w:rPr>
              <w:t>安曼</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62065E" w14:textId="77777777" w:rsidR="004C18AD" w:rsidRPr="003D110D" w:rsidRDefault="004C18AD" w:rsidP="00042C67">
            <w:pPr>
              <w:pStyle w:val="Tablehead"/>
              <w:rPr>
                <w:b w:val="0"/>
                <w:szCs w:val="22"/>
              </w:rPr>
            </w:pPr>
            <w:r w:rsidRPr="003D110D">
              <w:rPr>
                <w:b w:val="0"/>
                <w:szCs w:val="22"/>
              </w:rPr>
              <w:t>2006-2007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9B3465" w14:textId="77777777" w:rsidR="004C18AD" w:rsidRPr="003D110D" w:rsidRDefault="004C18AD" w:rsidP="00042C67">
            <w:pPr>
              <w:pStyle w:val="Tablehead"/>
              <w:jc w:val="right"/>
              <w:rPr>
                <w:b w:val="0"/>
                <w:szCs w:val="22"/>
              </w:rPr>
            </w:pPr>
            <w:r w:rsidRPr="003D110D">
              <w:rPr>
                <w:b w:val="0"/>
                <w:szCs w:val="22"/>
              </w:rPr>
              <w:t>19</w:t>
            </w:r>
            <w:r>
              <w:rPr>
                <w:b w:val="0"/>
                <w:szCs w:val="22"/>
              </w:rPr>
              <w:t> </w:t>
            </w:r>
            <w:r w:rsidRPr="003D110D">
              <w:rPr>
                <w:b w:val="0"/>
                <w:szCs w:val="22"/>
              </w:rPr>
              <w:t>207.85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35BE10"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C94E92" w14:textId="77777777" w:rsidR="004C18AD" w:rsidRPr="003D110D" w:rsidRDefault="004C18AD" w:rsidP="00042C67">
            <w:pPr>
              <w:pStyle w:val="Tablehead"/>
              <w:jc w:val="right"/>
              <w:rPr>
                <w:b w:val="0"/>
                <w:szCs w:val="22"/>
              </w:rPr>
            </w:pPr>
            <w:r w:rsidRPr="003D110D">
              <w:rPr>
                <w:b w:val="0"/>
                <w:szCs w:val="22"/>
              </w:rPr>
              <w:t>19</w:t>
            </w:r>
            <w:r>
              <w:rPr>
                <w:b w:val="0"/>
                <w:szCs w:val="22"/>
              </w:rPr>
              <w:t> </w:t>
            </w:r>
            <w:r w:rsidRPr="003D110D">
              <w:rPr>
                <w:b w:val="0"/>
                <w:szCs w:val="22"/>
              </w:rPr>
              <w:t>207.85</w:t>
            </w:r>
          </w:p>
        </w:tc>
      </w:tr>
      <w:tr w:rsidR="004C18AD" w:rsidRPr="00910F82" w14:paraId="47BACEF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9CC0FC" w14:textId="77777777" w:rsidR="004C18AD" w:rsidRPr="00C61E60" w:rsidRDefault="004C18AD" w:rsidP="00042C67">
            <w:pPr>
              <w:pStyle w:val="Tablehead"/>
              <w:jc w:val="left"/>
              <w:rPr>
                <w:b w:val="0"/>
                <w:szCs w:val="22"/>
                <w:lang w:eastAsia="zh-CN"/>
              </w:rPr>
            </w:pPr>
            <w:r w:rsidRPr="00C61E60">
              <w:rPr>
                <w:rFonts w:cs="Calibri"/>
                <w:bCs/>
                <w:szCs w:val="22"/>
              </w:rPr>
              <w:t>肯尼亚</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457FF" w14:textId="77777777" w:rsidR="004C18AD" w:rsidRPr="003D110D" w:rsidRDefault="004C18AD" w:rsidP="00042C67">
            <w:pPr>
              <w:pStyle w:val="Tablehead"/>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D079F3" w14:textId="77777777" w:rsidR="004C18AD" w:rsidRPr="003D110D"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E32E7A" w14:textId="77777777" w:rsidR="004C18AD" w:rsidRPr="003D110D"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7AD7F0" w14:textId="77777777" w:rsidR="004C18AD" w:rsidRPr="003D110D" w:rsidRDefault="004C18AD" w:rsidP="00042C67">
            <w:pPr>
              <w:pStyle w:val="Tablehead"/>
              <w:jc w:val="right"/>
              <w:rPr>
                <w:b w:val="0"/>
                <w:szCs w:val="22"/>
              </w:rPr>
            </w:pPr>
          </w:p>
        </w:tc>
      </w:tr>
      <w:tr w:rsidR="004C18AD" w:rsidRPr="00C61E60" w14:paraId="35098900"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24C64" w14:textId="77777777" w:rsidR="004C18AD" w:rsidRPr="00C61E60" w:rsidRDefault="004C18AD" w:rsidP="00042C67">
            <w:pPr>
              <w:pStyle w:val="Tablehead"/>
              <w:jc w:val="left"/>
              <w:rPr>
                <w:szCs w:val="22"/>
                <w:lang w:eastAsia="zh-CN"/>
              </w:rPr>
            </w:pPr>
            <w:r w:rsidRPr="00C61E60">
              <w:rPr>
                <w:rFonts w:cs="Calibri"/>
                <w:b w:val="0"/>
                <w:szCs w:val="22"/>
                <w:lang w:val="fr-FR"/>
              </w:rPr>
              <w:t>–</w:t>
            </w:r>
            <w:r w:rsidRPr="00C61E60">
              <w:rPr>
                <w:rFonts w:cs="Calibri"/>
                <w:b w:val="0"/>
                <w:szCs w:val="22"/>
                <w:lang w:val="fr-FR"/>
              </w:rPr>
              <w:tab/>
            </w:r>
            <w:r w:rsidRPr="00C61E60">
              <w:rPr>
                <w:rFonts w:cs="Calibri" w:hint="eastAsia"/>
                <w:b w:val="0"/>
                <w:szCs w:val="22"/>
                <w:lang w:val="fr-FR"/>
              </w:rPr>
              <w:t>Intersat</w:t>
            </w:r>
            <w:r w:rsidRPr="00C61E60">
              <w:rPr>
                <w:rFonts w:cs="Calibri" w:hint="eastAsia"/>
                <w:b w:val="0"/>
                <w:szCs w:val="22"/>
                <w:lang w:val="fr-FR"/>
              </w:rPr>
              <w:t>非洲有限公司，内罗毕</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98BCB" w14:textId="77777777" w:rsidR="004C18AD" w:rsidRPr="00C61E60" w:rsidRDefault="004C18AD" w:rsidP="00042C67">
            <w:pPr>
              <w:pStyle w:val="Tablehead"/>
              <w:rPr>
                <w:szCs w:val="22"/>
              </w:rPr>
            </w:pPr>
            <w:r w:rsidRPr="003D110D">
              <w:rPr>
                <w:b w:val="0"/>
                <w:szCs w:val="22"/>
              </w:rPr>
              <w:t>2010-2012</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4C111" w14:textId="77777777" w:rsidR="004C18AD" w:rsidRPr="00C61E60" w:rsidRDefault="004C18AD" w:rsidP="00042C67">
            <w:pPr>
              <w:pStyle w:val="Tablehead"/>
              <w:jc w:val="right"/>
              <w:rPr>
                <w:szCs w:val="22"/>
              </w:rPr>
            </w:pPr>
            <w:r w:rsidRPr="003D110D">
              <w:rPr>
                <w:b w:val="0"/>
                <w:szCs w:val="22"/>
              </w:rPr>
              <w:t>7</w:t>
            </w:r>
            <w:r>
              <w:rPr>
                <w:b w:val="0"/>
                <w:szCs w:val="22"/>
              </w:rPr>
              <w:t> </w:t>
            </w:r>
            <w:r w:rsidRPr="003D110D">
              <w:rPr>
                <w:b w:val="0"/>
                <w:szCs w:val="22"/>
              </w:rPr>
              <w:t>173.50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663F" w14:textId="77777777" w:rsidR="004C18AD" w:rsidRPr="00C61E60" w:rsidRDefault="004C18AD" w:rsidP="00042C67">
            <w:pPr>
              <w:pStyle w:val="Tablehead"/>
              <w:jc w:val="right"/>
              <w:rPr>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33CA" w14:textId="77777777" w:rsidR="004C18AD" w:rsidRPr="00C61E60" w:rsidRDefault="004C18AD" w:rsidP="00042C67">
            <w:pPr>
              <w:pStyle w:val="Tablehead"/>
              <w:jc w:val="right"/>
              <w:rPr>
                <w:szCs w:val="22"/>
              </w:rPr>
            </w:pPr>
            <w:r w:rsidRPr="003D110D">
              <w:rPr>
                <w:b w:val="0"/>
                <w:szCs w:val="22"/>
              </w:rPr>
              <w:t>7</w:t>
            </w:r>
            <w:r>
              <w:rPr>
                <w:b w:val="0"/>
                <w:szCs w:val="22"/>
              </w:rPr>
              <w:t> </w:t>
            </w:r>
            <w:r w:rsidRPr="003D110D">
              <w:rPr>
                <w:b w:val="0"/>
                <w:szCs w:val="22"/>
              </w:rPr>
              <w:t>173.50</w:t>
            </w:r>
          </w:p>
        </w:tc>
      </w:tr>
      <w:tr w:rsidR="004C18AD" w:rsidRPr="00910F82" w14:paraId="76D2D79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99CD1" w14:textId="77777777" w:rsidR="004C18AD" w:rsidRPr="00C61E60" w:rsidRDefault="004C18AD" w:rsidP="00042C67">
            <w:pPr>
              <w:pStyle w:val="Tablehead"/>
              <w:jc w:val="left"/>
              <w:rPr>
                <w:b w:val="0"/>
                <w:szCs w:val="22"/>
                <w:lang w:eastAsia="zh-CN"/>
              </w:rPr>
            </w:pPr>
            <w:r w:rsidRPr="00C61E60">
              <w:rPr>
                <w:rFonts w:cs="Calibri"/>
                <w:b w:val="0"/>
                <w:szCs w:val="22"/>
                <w:lang w:val="fr-FR" w:eastAsia="zh-CN"/>
              </w:rPr>
              <w:t>–</w:t>
            </w:r>
            <w:r w:rsidRPr="00C61E60">
              <w:rPr>
                <w:rFonts w:cs="Calibri"/>
                <w:b w:val="0"/>
                <w:szCs w:val="22"/>
                <w:lang w:val="fr-FR" w:eastAsia="zh-CN"/>
              </w:rPr>
              <w:tab/>
            </w:r>
            <w:r w:rsidRPr="00C61E60">
              <w:rPr>
                <w:rFonts w:cs="Calibri"/>
                <w:b w:val="0"/>
                <w:szCs w:val="22"/>
                <w:lang w:val="fr-FR" w:eastAsia="zh-CN"/>
              </w:rPr>
              <w:t>肯尼亚</w:t>
            </w:r>
            <w:r w:rsidRPr="00C61E60">
              <w:rPr>
                <w:rFonts w:cs="Calibri" w:hint="eastAsia"/>
                <w:b w:val="0"/>
                <w:szCs w:val="22"/>
                <w:lang w:val="fr-FR" w:eastAsia="zh-CN"/>
              </w:rPr>
              <w:t>电信，内罗毕</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61D345" w14:textId="77777777" w:rsidR="004C18AD" w:rsidRPr="003D110D" w:rsidRDefault="004C18AD" w:rsidP="00042C67">
            <w:pPr>
              <w:pStyle w:val="Tablehead"/>
              <w:rPr>
                <w:b w:val="0"/>
                <w:szCs w:val="22"/>
              </w:rPr>
            </w:pPr>
            <w:r w:rsidRPr="003D110D">
              <w:rPr>
                <w:b w:val="0"/>
                <w:szCs w:val="22"/>
              </w:rPr>
              <w:t>2005-2007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F2D3A3" w14:textId="77777777" w:rsidR="004C18AD" w:rsidRPr="003D110D" w:rsidRDefault="004C18AD" w:rsidP="00042C67">
            <w:pPr>
              <w:pStyle w:val="Tablehead"/>
              <w:jc w:val="right"/>
              <w:rPr>
                <w:b w:val="0"/>
                <w:szCs w:val="22"/>
              </w:rPr>
            </w:pPr>
            <w:r w:rsidRPr="003D110D">
              <w:rPr>
                <w:b w:val="0"/>
                <w:szCs w:val="22"/>
              </w:rPr>
              <w:t>394</w:t>
            </w:r>
            <w:r>
              <w:rPr>
                <w:b w:val="0"/>
                <w:szCs w:val="22"/>
              </w:rPr>
              <w:t> </w:t>
            </w:r>
            <w:r w:rsidRPr="003D110D">
              <w:rPr>
                <w:b w:val="0"/>
                <w:szCs w:val="22"/>
              </w:rPr>
              <w:t>397.55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ADD852" w14:textId="77777777" w:rsidR="004C18AD" w:rsidRPr="003D110D" w:rsidRDefault="004C18AD" w:rsidP="00042C67">
            <w:pPr>
              <w:pStyle w:val="Tablehead"/>
              <w:jc w:val="right"/>
              <w:rPr>
                <w:b w:val="0"/>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50C643" w14:textId="77777777" w:rsidR="004C18AD" w:rsidRPr="003D110D" w:rsidRDefault="004C18AD" w:rsidP="00042C67">
            <w:pPr>
              <w:pStyle w:val="Tablehead"/>
              <w:jc w:val="right"/>
              <w:rPr>
                <w:b w:val="0"/>
                <w:szCs w:val="22"/>
              </w:rPr>
            </w:pPr>
            <w:r w:rsidRPr="003D110D">
              <w:rPr>
                <w:b w:val="0"/>
                <w:szCs w:val="22"/>
              </w:rPr>
              <w:t>394</w:t>
            </w:r>
            <w:r>
              <w:rPr>
                <w:b w:val="0"/>
                <w:szCs w:val="22"/>
              </w:rPr>
              <w:t> </w:t>
            </w:r>
            <w:r w:rsidRPr="003D110D">
              <w:rPr>
                <w:b w:val="0"/>
                <w:szCs w:val="22"/>
              </w:rPr>
              <w:t>397.55</w:t>
            </w:r>
          </w:p>
        </w:tc>
      </w:tr>
      <w:tr w:rsidR="004C18AD" w:rsidRPr="00910F82" w14:paraId="17E5E4B6"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A4F713" w14:textId="77777777" w:rsidR="004C18AD" w:rsidRPr="00C61E60" w:rsidRDefault="004C18AD" w:rsidP="00042C67">
            <w:pPr>
              <w:pStyle w:val="Tablehead"/>
              <w:jc w:val="left"/>
              <w:rPr>
                <w:b w:val="0"/>
                <w:szCs w:val="22"/>
                <w:lang w:eastAsia="zh-CN"/>
              </w:rPr>
            </w:pPr>
            <w:r w:rsidRPr="00C61E60">
              <w:rPr>
                <w:rFonts w:cs="Calibri"/>
                <w:bCs/>
                <w:szCs w:val="22"/>
              </w:rPr>
              <w:t>韩国</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A75146" w14:textId="77777777" w:rsidR="004C18AD" w:rsidRPr="003D110D" w:rsidRDefault="004C18AD" w:rsidP="00042C67">
            <w:pPr>
              <w:pStyle w:val="Tablehead"/>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E594D7" w14:textId="77777777" w:rsidR="004C18AD" w:rsidRPr="003D110D"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8BCE9A" w14:textId="77777777" w:rsidR="004C18AD" w:rsidRPr="003D110D"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81CEC4" w14:textId="77777777" w:rsidR="004C18AD" w:rsidRPr="003D110D" w:rsidRDefault="004C18AD" w:rsidP="00042C67">
            <w:pPr>
              <w:pStyle w:val="Tablehead"/>
              <w:jc w:val="right"/>
              <w:rPr>
                <w:b w:val="0"/>
                <w:szCs w:val="22"/>
              </w:rPr>
            </w:pPr>
          </w:p>
        </w:tc>
      </w:tr>
      <w:tr w:rsidR="004C18AD" w:rsidRPr="00C61E60" w14:paraId="5F27953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83D3BC" w14:textId="77777777" w:rsidR="004C18AD" w:rsidRPr="00C61E60" w:rsidRDefault="004C18AD" w:rsidP="00042C67">
            <w:pPr>
              <w:pStyle w:val="Tablehead"/>
              <w:jc w:val="left"/>
              <w:rPr>
                <w:szCs w:val="22"/>
                <w:lang w:eastAsia="zh-CN"/>
              </w:rPr>
            </w:pPr>
            <w:r w:rsidRPr="00C61E60">
              <w:rPr>
                <w:rFonts w:cs="Calibri"/>
                <w:b w:val="0"/>
                <w:szCs w:val="22"/>
              </w:rPr>
              <w:t>–</w:t>
            </w:r>
            <w:r w:rsidRPr="00C61E60">
              <w:rPr>
                <w:rFonts w:cs="Calibri"/>
                <w:b w:val="0"/>
                <w:szCs w:val="22"/>
              </w:rPr>
              <w:tab/>
              <w:t>Ericsson-LG</w:t>
            </w:r>
            <w:r w:rsidRPr="00C61E60">
              <w:rPr>
                <w:rFonts w:cs="Calibri" w:hint="eastAsia"/>
                <w:b w:val="0"/>
                <w:szCs w:val="22"/>
              </w:rPr>
              <w:t>，</w:t>
            </w:r>
            <w:r w:rsidRPr="00D85C35">
              <w:rPr>
                <w:rFonts w:cs="Calibri" w:hint="eastAsia"/>
                <w:b w:val="0"/>
                <w:szCs w:val="22"/>
              </w:rPr>
              <w:t>安养市</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EC74A" w14:textId="77777777" w:rsidR="004C18AD" w:rsidRPr="00C61E60" w:rsidRDefault="004C18AD" w:rsidP="00042C67">
            <w:pPr>
              <w:pStyle w:val="Tablehead"/>
              <w:rPr>
                <w:szCs w:val="22"/>
              </w:rPr>
            </w:pPr>
            <w:r w:rsidRPr="003D110D">
              <w:rPr>
                <w:b w:val="0"/>
                <w:szCs w:val="22"/>
              </w:rPr>
              <w:t>2013-2014</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01C41" w14:textId="77777777" w:rsidR="004C18AD" w:rsidRPr="00C61E60" w:rsidRDefault="004C18AD" w:rsidP="00042C67">
            <w:pPr>
              <w:pStyle w:val="Tablehead"/>
              <w:jc w:val="right"/>
              <w:rPr>
                <w:szCs w:val="22"/>
              </w:rPr>
            </w:pPr>
            <w:r w:rsidRPr="003D110D">
              <w:rPr>
                <w:b w:val="0"/>
                <w:szCs w:val="22"/>
              </w:rPr>
              <w:t>16</w:t>
            </w:r>
            <w:r>
              <w:rPr>
                <w:b w:val="0"/>
                <w:szCs w:val="22"/>
              </w:rPr>
              <w:t> </w:t>
            </w:r>
            <w:r w:rsidRPr="003D110D">
              <w:rPr>
                <w:b w:val="0"/>
                <w:szCs w:val="22"/>
              </w:rPr>
              <w:t>624.55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B033" w14:textId="77777777" w:rsidR="004C18AD" w:rsidRPr="00C61E60" w:rsidRDefault="004C18AD" w:rsidP="00042C67">
            <w:pPr>
              <w:pStyle w:val="Tablehead"/>
              <w:jc w:val="right"/>
              <w:rPr>
                <w:szCs w:val="22"/>
              </w:rPr>
            </w:pPr>
            <w:r w:rsidRPr="003D110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C578D" w14:textId="77777777" w:rsidR="004C18AD" w:rsidRPr="00C61E60" w:rsidRDefault="004C18AD" w:rsidP="00042C67">
            <w:pPr>
              <w:pStyle w:val="Tablehead"/>
              <w:jc w:val="right"/>
              <w:rPr>
                <w:szCs w:val="22"/>
              </w:rPr>
            </w:pPr>
            <w:r w:rsidRPr="003D110D">
              <w:rPr>
                <w:b w:val="0"/>
                <w:szCs w:val="22"/>
              </w:rPr>
              <w:t>16</w:t>
            </w:r>
            <w:r>
              <w:rPr>
                <w:b w:val="0"/>
                <w:szCs w:val="22"/>
              </w:rPr>
              <w:t> </w:t>
            </w:r>
            <w:r w:rsidRPr="003D110D">
              <w:rPr>
                <w:b w:val="0"/>
                <w:szCs w:val="22"/>
              </w:rPr>
              <w:t>624.55</w:t>
            </w:r>
          </w:p>
        </w:tc>
      </w:tr>
      <w:tr w:rsidR="004C18AD" w:rsidRPr="00910F82" w14:paraId="38D02C5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93B27A" w14:textId="77777777" w:rsidR="004C18AD" w:rsidRPr="00C61E60" w:rsidRDefault="004C18AD" w:rsidP="00042C67">
            <w:pPr>
              <w:pStyle w:val="Tablehead"/>
              <w:jc w:val="left"/>
              <w:rPr>
                <w:b w:val="0"/>
                <w:szCs w:val="22"/>
                <w:lang w:eastAsia="zh-CN"/>
              </w:rPr>
            </w:pPr>
            <w:r w:rsidRPr="00C61E60">
              <w:rPr>
                <w:rFonts w:cs="Calibri"/>
                <w:b w:val="0"/>
                <w:szCs w:val="22"/>
                <w:lang w:val="fr-FR" w:eastAsia="zh-CN"/>
              </w:rPr>
              <w:t>–</w:t>
            </w:r>
            <w:r w:rsidRPr="00C61E60">
              <w:rPr>
                <w:rFonts w:cs="Calibri"/>
                <w:b w:val="0"/>
                <w:szCs w:val="22"/>
                <w:lang w:val="fr-FR" w:eastAsia="zh-CN"/>
              </w:rPr>
              <w:tab/>
            </w:r>
            <w:r w:rsidRPr="00C61E60">
              <w:rPr>
                <w:rFonts w:cs="Calibri" w:hint="eastAsia"/>
                <w:b w:val="0"/>
                <w:szCs w:val="22"/>
                <w:lang w:val="fr-FR" w:eastAsia="zh-CN"/>
              </w:rPr>
              <w:t>首尔国立大学公共管理研究生院，首尔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32A9D8" w14:textId="77777777" w:rsidR="004C18AD" w:rsidRPr="003D110D" w:rsidRDefault="004C18AD" w:rsidP="00042C67">
            <w:pPr>
              <w:pStyle w:val="Tablehead"/>
              <w:rPr>
                <w:b w:val="0"/>
                <w:szCs w:val="22"/>
              </w:rPr>
            </w:pPr>
            <w:r w:rsidRPr="00326F46">
              <w:rPr>
                <w:b w:val="0"/>
                <w:szCs w:val="22"/>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AA8DCC" w14:textId="77777777" w:rsidR="004C18AD" w:rsidRPr="003D110D" w:rsidRDefault="004C18AD" w:rsidP="00042C67">
            <w:pPr>
              <w:pStyle w:val="Tablehead"/>
              <w:jc w:val="right"/>
              <w:rPr>
                <w:b w:val="0"/>
                <w:szCs w:val="22"/>
              </w:rPr>
            </w:pPr>
            <w:r w:rsidRPr="00326F46">
              <w:rPr>
                <w:b w:val="0"/>
                <w:szCs w:val="22"/>
              </w:rPr>
              <w:t>2</w:t>
            </w:r>
            <w:r>
              <w:rPr>
                <w:b w:val="0"/>
                <w:szCs w:val="22"/>
              </w:rPr>
              <w:t> </w:t>
            </w:r>
            <w:r w:rsidRPr="00326F46">
              <w:rPr>
                <w:b w:val="0"/>
                <w:szCs w:val="22"/>
              </w:rPr>
              <w:t>316.90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0EAC23" w14:textId="77777777" w:rsidR="004C18AD" w:rsidRPr="003D110D" w:rsidRDefault="004C18AD" w:rsidP="00042C67">
            <w:pPr>
              <w:pStyle w:val="Tablehead"/>
              <w:jc w:val="right"/>
              <w:rPr>
                <w:b w:val="0"/>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EEC389" w14:textId="77777777" w:rsidR="004C18AD" w:rsidRPr="003D110D" w:rsidRDefault="004C18AD" w:rsidP="00042C67">
            <w:pPr>
              <w:pStyle w:val="Tablehead"/>
              <w:jc w:val="right"/>
              <w:rPr>
                <w:b w:val="0"/>
                <w:szCs w:val="22"/>
              </w:rPr>
            </w:pPr>
            <w:r w:rsidRPr="00326F46">
              <w:rPr>
                <w:b w:val="0"/>
                <w:szCs w:val="22"/>
              </w:rPr>
              <w:t>2</w:t>
            </w:r>
            <w:r>
              <w:rPr>
                <w:b w:val="0"/>
                <w:szCs w:val="22"/>
              </w:rPr>
              <w:t> </w:t>
            </w:r>
            <w:r w:rsidRPr="00326F46">
              <w:rPr>
                <w:b w:val="0"/>
                <w:szCs w:val="22"/>
              </w:rPr>
              <w:t>316.90</w:t>
            </w:r>
          </w:p>
        </w:tc>
      </w:tr>
      <w:tr w:rsidR="004C18AD" w:rsidRPr="00910F82" w14:paraId="45EB1605"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11F8E" w14:textId="77777777" w:rsidR="004C18AD" w:rsidRPr="00C61E60" w:rsidRDefault="004C18AD" w:rsidP="00042C67">
            <w:pPr>
              <w:pStyle w:val="Tablehead"/>
              <w:jc w:val="left"/>
              <w:rPr>
                <w:b w:val="0"/>
                <w:szCs w:val="22"/>
                <w:lang w:eastAsia="zh-CN"/>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64554A" w14:textId="77777777" w:rsidR="004C18AD" w:rsidRPr="00326F46" w:rsidRDefault="004C18AD" w:rsidP="00042C67">
            <w:pPr>
              <w:pStyle w:val="Tablehead"/>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28D564" w14:textId="77777777" w:rsidR="004C18AD" w:rsidRPr="00326F46"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8F518C" w14:textId="77777777" w:rsidR="004C18AD" w:rsidRPr="00326F46"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3810D9" w14:textId="77777777" w:rsidR="004C18AD" w:rsidRPr="00326F46" w:rsidRDefault="004C18AD" w:rsidP="00042C67">
            <w:pPr>
              <w:pStyle w:val="Tablehead"/>
              <w:jc w:val="right"/>
              <w:rPr>
                <w:b w:val="0"/>
                <w:szCs w:val="22"/>
              </w:rPr>
            </w:pPr>
          </w:p>
        </w:tc>
      </w:tr>
      <w:tr w:rsidR="004C18AD" w:rsidRPr="00910F82" w14:paraId="3767643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898B4" w14:textId="77777777" w:rsidR="004C18AD" w:rsidRPr="00326F46" w:rsidRDefault="004C18AD" w:rsidP="00042C67">
            <w:pPr>
              <w:pStyle w:val="Tablehead"/>
              <w:jc w:val="left"/>
              <w:rPr>
                <w:b w:val="0"/>
                <w:szCs w:val="22"/>
                <w:lang w:eastAsia="zh-CN"/>
              </w:rPr>
            </w:pPr>
            <w:r w:rsidRPr="006E1B14">
              <w:rPr>
                <w:rFonts w:cs="Calibri"/>
                <w:bCs/>
                <w:szCs w:val="22"/>
              </w:rPr>
              <w:lastRenderedPageBreak/>
              <w:t>吉尔吉斯斯坦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717E4" w14:textId="77777777" w:rsidR="004C18AD" w:rsidRPr="00326F46" w:rsidRDefault="004C18AD" w:rsidP="00042C67">
            <w:pPr>
              <w:pStyle w:val="Tablehead"/>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7240" w14:textId="77777777" w:rsidR="004C18AD" w:rsidRPr="00326F46"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7D4B9" w14:textId="77777777" w:rsidR="004C18AD" w:rsidRPr="00326F46"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87E06" w14:textId="77777777" w:rsidR="004C18AD" w:rsidRPr="00326F46" w:rsidRDefault="004C18AD" w:rsidP="00042C67">
            <w:pPr>
              <w:pStyle w:val="Tablehead"/>
              <w:jc w:val="right"/>
              <w:rPr>
                <w:b w:val="0"/>
                <w:szCs w:val="22"/>
              </w:rPr>
            </w:pPr>
          </w:p>
        </w:tc>
      </w:tr>
      <w:tr w:rsidR="004C18AD" w:rsidRPr="006E1B14" w14:paraId="78DDA91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CD9D1" w14:textId="77777777" w:rsidR="004C18AD" w:rsidRPr="006E1B14" w:rsidRDefault="004C18AD" w:rsidP="00042C67">
            <w:pPr>
              <w:pStyle w:val="Tablehead"/>
              <w:jc w:val="left"/>
              <w:rPr>
                <w:szCs w:val="22"/>
                <w:lang w:eastAsia="zh-CN"/>
              </w:rPr>
            </w:pPr>
            <w:r w:rsidRPr="006E1B14">
              <w:rPr>
                <w:rFonts w:cs="Calibri"/>
                <w:b w:val="0"/>
                <w:szCs w:val="22"/>
              </w:rPr>
              <w:t>–</w:t>
            </w:r>
            <w:r w:rsidRPr="006E1B14">
              <w:rPr>
                <w:rFonts w:cs="Calibri"/>
                <w:b w:val="0"/>
                <w:szCs w:val="22"/>
              </w:rPr>
              <w:tab/>
            </w:r>
            <w:r w:rsidRPr="006E1B14">
              <w:rPr>
                <w:rFonts w:cs="Calibri"/>
                <w:b w:val="0"/>
                <w:szCs w:val="22"/>
                <w:lang w:val="fr-FR"/>
              </w:rPr>
              <w:t>Kyrgyztelecom</w:t>
            </w:r>
            <w:r w:rsidRPr="006E1B14">
              <w:rPr>
                <w:rFonts w:cs="Calibri"/>
                <w:b w:val="0"/>
                <w:szCs w:val="22"/>
              </w:rPr>
              <w:t xml:space="preserve"> OJSC</w:t>
            </w:r>
            <w:r w:rsidRPr="006E1B14">
              <w:rPr>
                <w:rFonts w:cs="Calibri" w:hint="eastAsia"/>
                <w:b w:val="0"/>
                <w:szCs w:val="22"/>
                <w:lang w:eastAsia="zh-CN"/>
              </w:rPr>
              <w:t>，</w:t>
            </w:r>
            <w:r w:rsidRPr="006E1B14">
              <w:rPr>
                <w:rFonts w:cs="Calibri" w:hint="eastAsia"/>
                <w:b w:val="0"/>
                <w:szCs w:val="22"/>
              </w:rPr>
              <w:t>比什凯克</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CEB1D" w14:textId="77777777" w:rsidR="004C18AD" w:rsidRPr="006E1B14" w:rsidRDefault="004C18AD" w:rsidP="00042C67">
            <w:pPr>
              <w:pStyle w:val="Tablehead"/>
              <w:jc w:val="left"/>
              <w:rPr>
                <w:szCs w:val="22"/>
              </w:rPr>
            </w:pPr>
            <w:r w:rsidRPr="00326F46">
              <w:rPr>
                <w:b w:val="0"/>
                <w:szCs w:val="22"/>
              </w:rPr>
              <w:t>2016-2017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7640" w14:textId="77777777" w:rsidR="004C18AD" w:rsidRPr="006E1B14" w:rsidRDefault="004C18AD" w:rsidP="00042C67">
            <w:pPr>
              <w:pStyle w:val="Tablehead"/>
              <w:jc w:val="right"/>
              <w:rPr>
                <w:szCs w:val="22"/>
              </w:rPr>
            </w:pPr>
            <w:r w:rsidRPr="00326F46">
              <w:rPr>
                <w:b w:val="0"/>
                <w:szCs w:val="22"/>
              </w:rPr>
              <w:t>7</w:t>
            </w:r>
            <w:r>
              <w:rPr>
                <w:b w:val="0"/>
                <w:szCs w:val="22"/>
              </w:rPr>
              <w:t> </w:t>
            </w:r>
            <w:r w:rsidRPr="00326F46">
              <w:rPr>
                <w:b w:val="0"/>
                <w:szCs w:val="22"/>
              </w:rPr>
              <w:t>688.35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9505E" w14:textId="77777777" w:rsidR="004C18AD" w:rsidRPr="006E1B14" w:rsidRDefault="004C18AD" w:rsidP="00042C67">
            <w:pPr>
              <w:pStyle w:val="Tablehead"/>
              <w:jc w:val="right"/>
              <w:rPr>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CD4D3" w14:textId="77777777" w:rsidR="004C18AD" w:rsidRPr="006E1B14" w:rsidRDefault="004C18AD" w:rsidP="00042C67">
            <w:pPr>
              <w:pStyle w:val="Tablehead"/>
              <w:jc w:val="right"/>
              <w:rPr>
                <w:szCs w:val="22"/>
              </w:rPr>
            </w:pPr>
            <w:r w:rsidRPr="00326F46">
              <w:rPr>
                <w:b w:val="0"/>
                <w:szCs w:val="22"/>
              </w:rPr>
              <w:t>7</w:t>
            </w:r>
            <w:r>
              <w:rPr>
                <w:b w:val="0"/>
                <w:szCs w:val="22"/>
              </w:rPr>
              <w:t> </w:t>
            </w:r>
            <w:r w:rsidRPr="00326F46">
              <w:rPr>
                <w:b w:val="0"/>
                <w:szCs w:val="22"/>
              </w:rPr>
              <w:t>688.35</w:t>
            </w:r>
          </w:p>
        </w:tc>
      </w:tr>
      <w:tr w:rsidR="004C18AD" w:rsidRPr="00910F82" w14:paraId="2CB889A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AC12A5" w14:textId="77777777" w:rsidR="004C18AD" w:rsidRPr="006E1B14" w:rsidRDefault="004C18AD" w:rsidP="00042C67">
            <w:pPr>
              <w:pStyle w:val="Tablehead"/>
              <w:jc w:val="left"/>
              <w:rPr>
                <w:b w:val="0"/>
                <w:szCs w:val="22"/>
                <w:lang w:eastAsia="zh-CN"/>
              </w:rPr>
            </w:pPr>
            <w:r>
              <w:rPr>
                <w:rFonts w:hint="eastAsia"/>
                <w:szCs w:val="22"/>
                <w:lang w:eastAsia="zh-CN"/>
              </w:rPr>
              <w:t>黎巴嫩</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542E90" w14:textId="77777777" w:rsidR="004C18AD" w:rsidRPr="00326F46"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8B365C" w14:textId="77777777" w:rsidR="004C18AD" w:rsidRPr="00326F46"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B13E69" w14:textId="77777777" w:rsidR="004C18AD" w:rsidRPr="00326F46"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B43DED" w14:textId="77777777" w:rsidR="004C18AD" w:rsidRPr="00326F46" w:rsidRDefault="004C18AD" w:rsidP="00042C67">
            <w:pPr>
              <w:pStyle w:val="Tablehead"/>
              <w:jc w:val="right"/>
              <w:rPr>
                <w:b w:val="0"/>
                <w:szCs w:val="22"/>
              </w:rPr>
            </w:pPr>
          </w:p>
        </w:tc>
      </w:tr>
      <w:tr w:rsidR="004C18AD" w:rsidRPr="00326F46" w14:paraId="21163B3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4F234" w14:textId="77777777" w:rsidR="004C18AD" w:rsidRPr="00326F46" w:rsidRDefault="004C18AD" w:rsidP="00042C67">
            <w:pPr>
              <w:pStyle w:val="Tablehead"/>
              <w:jc w:val="left"/>
              <w:rPr>
                <w:szCs w:val="22"/>
                <w:lang w:eastAsia="zh-CN"/>
              </w:rPr>
            </w:pPr>
            <w:r w:rsidRPr="002C1EFF">
              <w:rPr>
                <w:b w:val="0"/>
                <w:szCs w:val="22"/>
                <w:lang w:val="fr-FR" w:eastAsia="zh-CN"/>
              </w:rPr>
              <w:t>–</w:t>
            </w:r>
            <w:r w:rsidRPr="002C1EFF">
              <w:rPr>
                <w:b w:val="0"/>
                <w:szCs w:val="22"/>
                <w:lang w:val="fr-FR" w:eastAsia="zh-CN"/>
              </w:rPr>
              <w:tab/>
            </w:r>
            <w:r w:rsidRPr="00326F46">
              <w:rPr>
                <w:b w:val="0"/>
                <w:szCs w:val="22"/>
                <w:lang w:eastAsia="zh-CN"/>
              </w:rPr>
              <w:t xml:space="preserve">Mobile Interim Company 2, </w:t>
            </w:r>
            <w:r>
              <w:rPr>
                <w:rFonts w:hint="eastAsia"/>
                <w:b w:val="0"/>
                <w:szCs w:val="22"/>
                <w:lang w:eastAsia="zh-CN"/>
              </w:rPr>
              <w:t>贝鲁特</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9361" w14:textId="77777777" w:rsidR="004C18AD" w:rsidRPr="00326F46" w:rsidRDefault="004C18AD" w:rsidP="00042C67">
            <w:pPr>
              <w:pStyle w:val="Tablehead"/>
              <w:jc w:val="left"/>
              <w:rPr>
                <w:szCs w:val="22"/>
              </w:rPr>
            </w:pPr>
            <w:r w:rsidRPr="00326F46">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EA596" w14:textId="77777777" w:rsidR="004C18AD" w:rsidRPr="00326F46" w:rsidRDefault="004C18AD" w:rsidP="00042C67">
            <w:pPr>
              <w:pStyle w:val="Tablehead"/>
              <w:jc w:val="right"/>
              <w:rPr>
                <w:szCs w:val="22"/>
              </w:rPr>
            </w:pPr>
            <w:r w:rsidRPr="00326F46">
              <w:rPr>
                <w:b w:val="0"/>
                <w:szCs w:val="22"/>
              </w:rPr>
              <w:t>4</w:t>
            </w:r>
            <w:r>
              <w:rPr>
                <w:b w:val="0"/>
                <w:szCs w:val="22"/>
              </w:rPr>
              <w:t> </w:t>
            </w:r>
            <w:r w:rsidRPr="00326F46">
              <w:rPr>
                <w:b w:val="0"/>
                <w:szCs w:val="22"/>
              </w:rPr>
              <w:t>213.50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351EC" w14:textId="77777777" w:rsidR="004C18AD" w:rsidRPr="00326F46" w:rsidRDefault="004C18AD" w:rsidP="00042C67">
            <w:pPr>
              <w:pStyle w:val="Tablehead"/>
              <w:jc w:val="right"/>
              <w:rPr>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A89D4" w14:textId="77777777" w:rsidR="004C18AD" w:rsidRPr="00326F46" w:rsidRDefault="004C18AD" w:rsidP="00042C67">
            <w:pPr>
              <w:pStyle w:val="Tablehead"/>
              <w:jc w:val="right"/>
              <w:rPr>
                <w:szCs w:val="22"/>
              </w:rPr>
            </w:pPr>
            <w:r w:rsidRPr="00326F46">
              <w:rPr>
                <w:b w:val="0"/>
                <w:szCs w:val="22"/>
              </w:rPr>
              <w:t>4</w:t>
            </w:r>
            <w:r>
              <w:rPr>
                <w:b w:val="0"/>
                <w:szCs w:val="22"/>
              </w:rPr>
              <w:t> </w:t>
            </w:r>
            <w:r w:rsidRPr="00326F46">
              <w:rPr>
                <w:b w:val="0"/>
                <w:szCs w:val="22"/>
              </w:rPr>
              <w:t>213.50</w:t>
            </w:r>
          </w:p>
        </w:tc>
      </w:tr>
      <w:tr w:rsidR="004C18AD" w:rsidRPr="00910F82" w14:paraId="6A49351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BA053" w14:textId="77777777" w:rsidR="004C18AD" w:rsidRPr="00326F46" w:rsidRDefault="004C18AD" w:rsidP="00042C67">
            <w:pPr>
              <w:pStyle w:val="Tablehead"/>
              <w:jc w:val="left"/>
              <w:rPr>
                <w:b w:val="0"/>
                <w:szCs w:val="22"/>
                <w:lang w:eastAsia="zh-CN"/>
              </w:rPr>
            </w:pPr>
            <w:r w:rsidRPr="00687616">
              <w:rPr>
                <w:b w:val="0"/>
                <w:szCs w:val="22"/>
                <w:lang w:val="fr-FR" w:eastAsia="zh-CN"/>
              </w:rPr>
              <w:t>–</w:t>
            </w:r>
            <w:r w:rsidRPr="00687616">
              <w:rPr>
                <w:b w:val="0"/>
                <w:szCs w:val="22"/>
                <w:lang w:val="fr-FR" w:eastAsia="zh-CN"/>
              </w:rPr>
              <w:tab/>
            </w:r>
            <w:r w:rsidRPr="00687616">
              <w:rPr>
                <w:rFonts w:hint="eastAsia"/>
                <w:b w:val="0"/>
                <w:szCs w:val="22"/>
                <w:lang w:val="fr-FR" w:eastAsia="zh-CN"/>
              </w:rPr>
              <w:t>电信管理局，贝鲁特</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727216" w14:textId="77777777" w:rsidR="004C18AD" w:rsidRPr="00326F46" w:rsidRDefault="004C18AD" w:rsidP="00042C67">
            <w:pPr>
              <w:pStyle w:val="Tablehead"/>
              <w:jc w:val="left"/>
              <w:rPr>
                <w:b w:val="0"/>
                <w:szCs w:val="22"/>
              </w:rPr>
            </w:pPr>
            <w:r w:rsidRPr="00326F46">
              <w:rPr>
                <w:b w:val="0"/>
                <w:szCs w:val="22"/>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8F790E" w14:textId="77777777" w:rsidR="004C18AD" w:rsidRPr="00326F46" w:rsidRDefault="004C18AD" w:rsidP="00042C67">
            <w:pPr>
              <w:pStyle w:val="Tablehead"/>
              <w:jc w:val="right"/>
              <w:rPr>
                <w:b w:val="0"/>
                <w:szCs w:val="22"/>
              </w:rPr>
            </w:pPr>
            <w:r w:rsidRPr="00326F46">
              <w:rPr>
                <w:b w:val="0"/>
                <w:szCs w:val="22"/>
              </w:rPr>
              <w:t>45</w:t>
            </w:r>
            <w:r>
              <w:rPr>
                <w:b w:val="0"/>
                <w:szCs w:val="22"/>
              </w:rPr>
              <w:t> </w:t>
            </w:r>
            <w:r w:rsidRPr="00326F46">
              <w:rPr>
                <w:b w:val="0"/>
                <w:szCs w:val="22"/>
              </w:rPr>
              <w:t>066.55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23D75F" w14:textId="77777777" w:rsidR="004C18AD" w:rsidRPr="00326F46" w:rsidRDefault="004C18AD" w:rsidP="00042C67">
            <w:pPr>
              <w:pStyle w:val="Tablehead"/>
              <w:jc w:val="right"/>
              <w:rPr>
                <w:b w:val="0"/>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09FD5B" w14:textId="77777777" w:rsidR="004C18AD" w:rsidRPr="00326F46" w:rsidRDefault="004C18AD" w:rsidP="00042C67">
            <w:pPr>
              <w:pStyle w:val="Tablehead"/>
              <w:jc w:val="right"/>
              <w:rPr>
                <w:b w:val="0"/>
                <w:szCs w:val="22"/>
              </w:rPr>
            </w:pPr>
            <w:r w:rsidRPr="00326F46">
              <w:rPr>
                <w:b w:val="0"/>
                <w:szCs w:val="22"/>
              </w:rPr>
              <w:t>45</w:t>
            </w:r>
            <w:r>
              <w:rPr>
                <w:b w:val="0"/>
                <w:szCs w:val="22"/>
              </w:rPr>
              <w:t> </w:t>
            </w:r>
            <w:r w:rsidRPr="00326F46">
              <w:rPr>
                <w:b w:val="0"/>
                <w:szCs w:val="22"/>
              </w:rPr>
              <w:t>066.55</w:t>
            </w:r>
          </w:p>
        </w:tc>
      </w:tr>
      <w:tr w:rsidR="004C18AD" w:rsidRPr="00910F82" w14:paraId="6A823727"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7AE6C" w14:textId="77777777" w:rsidR="004C18AD" w:rsidRPr="00326F46" w:rsidRDefault="004C18AD" w:rsidP="00042C67">
            <w:pPr>
              <w:pStyle w:val="Tablehead"/>
              <w:jc w:val="left"/>
              <w:rPr>
                <w:b w:val="0"/>
                <w:szCs w:val="22"/>
                <w:lang w:eastAsia="zh-CN"/>
              </w:rPr>
            </w:pPr>
            <w:r>
              <w:rPr>
                <w:rFonts w:hint="eastAsia"/>
                <w:szCs w:val="22"/>
                <w:lang w:eastAsia="zh-CN"/>
              </w:rPr>
              <w:t>莱索托</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3B15A4" w14:textId="77777777" w:rsidR="004C18AD" w:rsidRPr="00326F46"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B9F518" w14:textId="77777777" w:rsidR="004C18AD" w:rsidRPr="00326F46"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FC5C41" w14:textId="77777777" w:rsidR="004C18AD" w:rsidRPr="00326F46"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C0ED8" w14:textId="77777777" w:rsidR="004C18AD" w:rsidRPr="00326F46" w:rsidRDefault="004C18AD" w:rsidP="00042C67">
            <w:pPr>
              <w:pStyle w:val="Tablehead"/>
              <w:jc w:val="right"/>
              <w:rPr>
                <w:b w:val="0"/>
                <w:szCs w:val="22"/>
              </w:rPr>
            </w:pPr>
          </w:p>
        </w:tc>
      </w:tr>
      <w:tr w:rsidR="004C18AD" w:rsidRPr="00326F46" w14:paraId="0531ADF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AC656" w14:textId="77777777" w:rsidR="004C18AD" w:rsidRPr="00326F46" w:rsidRDefault="004C18AD" w:rsidP="00042C67">
            <w:pPr>
              <w:pStyle w:val="Tablehead"/>
              <w:jc w:val="left"/>
              <w:rPr>
                <w:szCs w:val="22"/>
                <w:lang w:eastAsia="zh-CN"/>
              </w:rPr>
            </w:pPr>
            <w:r w:rsidRPr="00326F46">
              <w:rPr>
                <w:b w:val="0"/>
                <w:szCs w:val="22"/>
                <w:lang w:eastAsia="zh-CN"/>
              </w:rPr>
              <w:t>Econet Telecom Lesotho</w:t>
            </w:r>
            <w:r>
              <w:rPr>
                <w:rFonts w:hint="eastAsia"/>
                <w:b w:val="0"/>
                <w:szCs w:val="22"/>
                <w:lang w:eastAsia="zh-CN"/>
              </w:rPr>
              <w:t>，</w:t>
            </w:r>
            <w:r w:rsidRPr="00821479">
              <w:rPr>
                <w:rFonts w:hint="eastAsia"/>
                <w:b w:val="0"/>
                <w:szCs w:val="22"/>
                <w:lang w:eastAsia="zh-CN"/>
              </w:rPr>
              <w:t>马塞卢</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8BB1" w14:textId="77777777" w:rsidR="004C18AD" w:rsidRPr="00326F46" w:rsidRDefault="004C18AD" w:rsidP="00042C67">
            <w:pPr>
              <w:pStyle w:val="Tablehead"/>
              <w:jc w:val="left"/>
              <w:rPr>
                <w:szCs w:val="22"/>
              </w:rPr>
            </w:pPr>
            <w:r w:rsidRPr="00326F46">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6AC7C" w14:textId="77777777" w:rsidR="004C18AD" w:rsidRPr="00326F46" w:rsidRDefault="004C18AD" w:rsidP="00042C67">
            <w:pPr>
              <w:pStyle w:val="Tablehead"/>
              <w:jc w:val="right"/>
              <w:rPr>
                <w:szCs w:val="22"/>
              </w:rPr>
            </w:pPr>
            <w:r w:rsidRPr="00326F46">
              <w:rPr>
                <w:b w:val="0"/>
                <w:szCs w:val="22"/>
              </w:rPr>
              <w:t>4</w:t>
            </w:r>
            <w:r>
              <w:rPr>
                <w:b w:val="0"/>
                <w:szCs w:val="22"/>
              </w:rPr>
              <w:t> </w:t>
            </w:r>
            <w:r w:rsidRPr="00326F46">
              <w:rPr>
                <w:b w:val="0"/>
                <w:szCs w:val="22"/>
              </w:rPr>
              <w:t>213.50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112C" w14:textId="77777777" w:rsidR="004C18AD" w:rsidRPr="00326F46" w:rsidRDefault="004C18AD" w:rsidP="00042C67">
            <w:pPr>
              <w:pStyle w:val="Tablehead"/>
              <w:jc w:val="right"/>
              <w:rPr>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3B634" w14:textId="77777777" w:rsidR="004C18AD" w:rsidRPr="00326F46" w:rsidRDefault="004C18AD" w:rsidP="00042C67">
            <w:pPr>
              <w:pStyle w:val="Tablehead"/>
              <w:jc w:val="right"/>
              <w:rPr>
                <w:szCs w:val="22"/>
              </w:rPr>
            </w:pPr>
            <w:r w:rsidRPr="00326F46">
              <w:rPr>
                <w:b w:val="0"/>
                <w:szCs w:val="22"/>
              </w:rPr>
              <w:t>4</w:t>
            </w:r>
            <w:r>
              <w:rPr>
                <w:b w:val="0"/>
                <w:szCs w:val="22"/>
              </w:rPr>
              <w:t> </w:t>
            </w:r>
            <w:r w:rsidRPr="00326F46">
              <w:rPr>
                <w:b w:val="0"/>
                <w:szCs w:val="22"/>
              </w:rPr>
              <w:t>213.50</w:t>
            </w:r>
          </w:p>
        </w:tc>
      </w:tr>
      <w:tr w:rsidR="004C18AD" w:rsidRPr="00910F82" w14:paraId="1D9A28B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C156D" w14:textId="77777777" w:rsidR="004C18AD" w:rsidRPr="00326F46" w:rsidRDefault="004C18AD" w:rsidP="00042C67">
            <w:pPr>
              <w:pStyle w:val="Tablehead"/>
              <w:jc w:val="left"/>
              <w:rPr>
                <w:b w:val="0"/>
                <w:szCs w:val="22"/>
                <w:lang w:eastAsia="zh-CN"/>
              </w:rPr>
            </w:pPr>
            <w:r w:rsidRPr="00687616">
              <w:rPr>
                <w:bCs/>
                <w:szCs w:val="22"/>
                <w:lang w:eastAsia="zh-CN"/>
              </w:rPr>
              <w:t>利比亚</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FEECFC" w14:textId="77777777" w:rsidR="004C18AD" w:rsidRPr="00326F46"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D65917" w14:textId="77777777" w:rsidR="004C18AD" w:rsidRPr="00326F46"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247D27" w14:textId="77777777" w:rsidR="004C18AD" w:rsidRPr="00326F46"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E22B0B" w14:textId="77777777" w:rsidR="004C18AD" w:rsidRPr="00326F46" w:rsidRDefault="004C18AD" w:rsidP="00042C67">
            <w:pPr>
              <w:pStyle w:val="Tablehead"/>
              <w:jc w:val="right"/>
              <w:rPr>
                <w:b w:val="0"/>
                <w:szCs w:val="22"/>
              </w:rPr>
            </w:pPr>
          </w:p>
        </w:tc>
      </w:tr>
      <w:tr w:rsidR="004C18AD" w:rsidRPr="00326F46" w14:paraId="4CD1DF67"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93858" w14:textId="77777777" w:rsidR="004C18AD" w:rsidRPr="00326F46" w:rsidRDefault="004C18AD" w:rsidP="00042C67">
            <w:pPr>
              <w:pStyle w:val="Tablehead"/>
              <w:jc w:val="left"/>
              <w:rPr>
                <w:szCs w:val="22"/>
                <w:lang w:eastAsia="zh-CN"/>
              </w:rPr>
            </w:pPr>
            <w:r w:rsidRPr="00F6119D">
              <w:rPr>
                <w:rFonts w:cs="Calibri"/>
                <w:b w:val="0"/>
                <w:szCs w:val="22"/>
                <w:lang w:eastAsia="zh-CN"/>
              </w:rPr>
              <w:t>–</w:t>
            </w:r>
            <w:r w:rsidRPr="00F6119D">
              <w:rPr>
                <w:rFonts w:cs="Calibri"/>
                <w:b w:val="0"/>
                <w:szCs w:val="22"/>
                <w:lang w:eastAsia="zh-CN"/>
              </w:rPr>
              <w:tab/>
            </w:r>
            <w:r w:rsidRPr="00F6119D">
              <w:rPr>
                <w:rFonts w:cs="Calibri"/>
                <w:b w:val="0"/>
                <w:szCs w:val="22"/>
                <w:lang w:val="fr-FR" w:eastAsia="zh-CN"/>
              </w:rPr>
              <w:t>利比亚</w:t>
            </w:r>
            <w:r w:rsidRPr="00F6119D">
              <w:rPr>
                <w:rFonts w:cs="Calibri" w:hint="eastAsia"/>
                <w:b w:val="0"/>
                <w:szCs w:val="22"/>
                <w:lang w:val="fr-FR" w:eastAsia="zh-CN"/>
              </w:rPr>
              <w:t>电话公司</w:t>
            </w:r>
            <w:r w:rsidRPr="00F6119D">
              <w:rPr>
                <w:rFonts w:cs="Calibri" w:hint="eastAsia"/>
                <w:b w:val="0"/>
                <w:szCs w:val="22"/>
                <w:lang w:eastAsia="zh-CN"/>
              </w:rPr>
              <w:t>，的黎波里</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35A76" w14:textId="77777777" w:rsidR="004C18AD" w:rsidRPr="00326F46" w:rsidRDefault="004C18AD" w:rsidP="00042C67">
            <w:pPr>
              <w:pStyle w:val="Tablehead"/>
              <w:jc w:val="left"/>
              <w:rPr>
                <w:szCs w:val="22"/>
                <w:lang w:eastAsia="zh-CN"/>
              </w:rPr>
            </w:pPr>
            <w:r w:rsidRPr="00F6119D">
              <w:rPr>
                <w:b w:val="0"/>
                <w:szCs w:val="22"/>
              </w:rPr>
              <w:t>2010-2012</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2608B" w14:textId="77777777" w:rsidR="004C18AD" w:rsidRPr="00326F46" w:rsidRDefault="004C18AD" w:rsidP="00042C67">
            <w:pPr>
              <w:pStyle w:val="Tablehead"/>
              <w:jc w:val="right"/>
              <w:rPr>
                <w:szCs w:val="22"/>
                <w:lang w:eastAsia="zh-CN"/>
              </w:rPr>
            </w:pPr>
            <w:r w:rsidRPr="00F6119D">
              <w:rPr>
                <w:b w:val="0"/>
                <w:szCs w:val="22"/>
              </w:rPr>
              <w:t>165</w:t>
            </w:r>
            <w:r>
              <w:rPr>
                <w:b w:val="0"/>
                <w:szCs w:val="22"/>
              </w:rPr>
              <w:t> </w:t>
            </w:r>
            <w:r w:rsidRPr="00F6119D">
              <w:rPr>
                <w:b w:val="0"/>
                <w:szCs w:val="22"/>
              </w:rPr>
              <w:t>892.05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EA21F" w14:textId="77777777" w:rsidR="004C18AD" w:rsidRPr="00326F46" w:rsidRDefault="004C18AD" w:rsidP="00042C67">
            <w:pPr>
              <w:pStyle w:val="Tablehead"/>
              <w:jc w:val="right"/>
              <w:rPr>
                <w:szCs w:val="22"/>
                <w:lang w:eastAsia="zh-CN"/>
              </w:rPr>
            </w:pPr>
            <w:r w:rsidRPr="00F6119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E28DA" w14:textId="77777777" w:rsidR="004C18AD" w:rsidRPr="00326F46" w:rsidRDefault="004C18AD" w:rsidP="00042C67">
            <w:pPr>
              <w:pStyle w:val="Tablehead"/>
              <w:jc w:val="right"/>
              <w:rPr>
                <w:szCs w:val="22"/>
                <w:lang w:eastAsia="zh-CN"/>
              </w:rPr>
            </w:pPr>
            <w:r w:rsidRPr="00F6119D">
              <w:rPr>
                <w:b w:val="0"/>
                <w:szCs w:val="22"/>
              </w:rPr>
              <w:t>165</w:t>
            </w:r>
            <w:r>
              <w:rPr>
                <w:b w:val="0"/>
                <w:szCs w:val="22"/>
              </w:rPr>
              <w:t> </w:t>
            </w:r>
            <w:r w:rsidRPr="00F6119D">
              <w:rPr>
                <w:b w:val="0"/>
                <w:szCs w:val="22"/>
              </w:rPr>
              <w:t>892.05</w:t>
            </w:r>
          </w:p>
        </w:tc>
      </w:tr>
      <w:tr w:rsidR="004C18AD" w:rsidRPr="00F6119D" w14:paraId="7C3D800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452B4" w14:textId="77777777" w:rsidR="004C18AD" w:rsidRPr="00F6119D" w:rsidRDefault="004C18AD" w:rsidP="00042C67">
            <w:pPr>
              <w:pStyle w:val="Tablehead"/>
              <w:jc w:val="left"/>
              <w:rPr>
                <w:b w:val="0"/>
                <w:szCs w:val="22"/>
                <w:lang w:eastAsia="zh-CN"/>
              </w:rPr>
            </w:pPr>
            <w:r w:rsidRPr="000C156A">
              <w:rPr>
                <w:rFonts w:cs="Calibri"/>
                <w:bCs/>
                <w:szCs w:val="22"/>
              </w:rPr>
              <w:t>卢森堡</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958687" w14:textId="77777777" w:rsidR="004C18AD" w:rsidRPr="00F6119D"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56B94B" w14:textId="77777777" w:rsidR="004C18AD" w:rsidRPr="00F6119D"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F3A55" w14:textId="77777777" w:rsidR="004C18AD" w:rsidRPr="00F6119D"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3D7851" w14:textId="77777777" w:rsidR="004C18AD" w:rsidRPr="00F6119D" w:rsidRDefault="004C18AD" w:rsidP="00042C67">
            <w:pPr>
              <w:pStyle w:val="Tablehead"/>
              <w:jc w:val="right"/>
              <w:rPr>
                <w:b w:val="0"/>
                <w:szCs w:val="22"/>
              </w:rPr>
            </w:pPr>
          </w:p>
        </w:tc>
      </w:tr>
      <w:tr w:rsidR="004C18AD" w:rsidRPr="00326F46" w14:paraId="0A25276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6A7F9" w14:textId="77777777" w:rsidR="004C18AD" w:rsidRPr="00326F46" w:rsidRDefault="004C18AD" w:rsidP="00042C67">
            <w:pPr>
              <w:pStyle w:val="Tablehead"/>
              <w:jc w:val="left"/>
              <w:rPr>
                <w:szCs w:val="22"/>
                <w:lang w:eastAsia="zh-CN"/>
              </w:rPr>
            </w:pPr>
            <w:r w:rsidRPr="00F6119D">
              <w:rPr>
                <w:rFonts w:cs="Calibri"/>
                <w:b w:val="0"/>
                <w:szCs w:val="22"/>
                <w:lang w:eastAsia="zh-CN"/>
              </w:rPr>
              <w:t>–</w:t>
            </w:r>
            <w:r w:rsidRPr="00F6119D">
              <w:rPr>
                <w:rFonts w:cs="Calibri"/>
                <w:b w:val="0"/>
                <w:szCs w:val="22"/>
                <w:lang w:eastAsia="zh-CN"/>
              </w:rPr>
              <w:tab/>
            </w:r>
            <w:r w:rsidRPr="00F6119D">
              <w:rPr>
                <w:rFonts w:cs="Calibri"/>
                <w:b w:val="0"/>
                <w:szCs w:val="22"/>
                <w:lang w:val="fr-FR" w:eastAsia="zh-CN"/>
              </w:rPr>
              <w:t>卢森堡</w:t>
            </w:r>
            <w:r w:rsidRPr="00F6119D">
              <w:rPr>
                <w:rFonts w:cs="Calibri" w:hint="eastAsia"/>
                <w:b w:val="0"/>
                <w:szCs w:val="22"/>
                <w:lang w:val="fr-FR" w:eastAsia="zh-CN"/>
              </w:rPr>
              <w:t>空间通信</w:t>
            </w:r>
            <w:r w:rsidRPr="00F6119D">
              <w:rPr>
                <w:rFonts w:cs="Calibri" w:hint="eastAsia"/>
                <w:b w:val="0"/>
                <w:szCs w:val="22"/>
                <w:lang w:eastAsia="zh-CN"/>
              </w:rPr>
              <w:t>，</w:t>
            </w:r>
            <w:r w:rsidRPr="00F6119D">
              <w:rPr>
                <w:rFonts w:cs="Calibri"/>
                <w:b w:val="0"/>
                <w:szCs w:val="22"/>
                <w:lang w:eastAsia="zh-CN"/>
              </w:rPr>
              <w:t>卢森堡</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6E449" w14:textId="77777777" w:rsidR="004C18AD" w:rsidRPr="00326F46" w:rsidRDefault="004C18AD" w:rsidP="00042C67">
            <w:pPr>
              <w:pStyle w:val="Tablehead"/>
              <w:jc w:val="left"/>
              <w:rPr>
                <w:szCs w:val="22"/>
                <w:lang w:eastAsia="zh-CN"/>
              </w:rPr>
            </w:pPr>
            <w:r w:rsidRPr="00F6119D">
              <w:rPr>
                <w:b w:val="0"/>
                <w:szCs w:val="22"/>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07C6A" w14:textId="77777777" w:rsidR="004C18AD" w:rsidRPr="00326F46" w:rsidRDefault="004C18AD" w:rsidP="00042C67">
            <w:pPr>
              <w:pStyle w:val="Tablehead"/>
              <w:jc w:val="right"/>
              <w:rPr>
                <w:szCs w:val="22"/>
                <w:lang w:eastAsia="zh-CN"/>
              </w:rPr>
            </w:pPr>
            <w:r w:rsidRPr="00F6119D">
              <w:rPr>
                <w:b w:val="0"/>
                <w:szCs w:val="22"/>
              </w:rPr>
              <w:t>39</w:t>
            </w:r>
            <w:r>
              <w:rPr>
                <w:b w:val="0"/>
                <w:szCs w:val="22"/>
              </w:rPr>
              <w:t> </w:t>
            </w:r>
            <w:r w:rsidRPr="00F6119D">
              <w:rPr>
                <w:b w:val="0"/>
                <w:szCs w:val="22"/>
              </w:rPr>
              <w:t>294.55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1DBAE" w14:textId="77777777" w:rsidR="004C18AD" w:rsidRPr="00326F46" w:rsidRDefault="004C18AD" w:rsidP="00042C67">
            <w:pPr>
              <w:pStyle w:val="Tablehead"/>
              <w:jc w:val="right"/>
              <w:rPr>
                <w:szCs w:val="22"/>
                <w:lang w:eastAsia="zh-CN"/>
              </w:rPr>
            </w:pPr>
            <w:r w:rsidRPr="00F6119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56EB6" w14:textId="77777777" w:rsidR="004C18AD" w:rsidRPr="00326F46" w:rsidRDefault="004C18AD" w:rsidP="00042C67">
            <w:pPr>
              <w:pStyle w:val="Tablehead"/>
              <w:jc w:val="right"/>
              <w:rPr>
                <w:szCs w:val="22"/>
                <w:lang w:eastAsia="zh-CN"/>
              </w:rPr>
            </w:pPr>
            <w:r w:rsidRPr="00F6119D">
              <w:rPr>
                <w:b w:val="0"/>
                <w:szCs w:val="22"/>
              </w:rPr>
              <w:t>39</w:t>
            </w:r>
            <w:r>
              <w:rPr>
                <w:b w:val="0"/>
                <w:szCs w:val="22"/>
              </w:rPr>
              <w:t> </w:t>
            </w:r>
            <w:r w:rsidRPr="00F6119D">
              <w:rPr>
                <w:b w:val="0"/>
                <w:szCs w:val="22"/>
              </w:rPr>
              <w:t>294.55</w:t>
            </w:r>
          </w:p>
        </w:tc>
      </w:tr>
      <w:tr w:rsidR="004C18AD" w:rsidRPr="00F6119D" w14:paraId="7575212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5EB8B" w14:textId="77777777" w:rsidR="004C18AD" w:rsidRPr="00F6119D" w:rsidRDefault="004C18AD" w:rsidP="00042C67">
            <w:pPr>
              <w:pStyle w:val="Tablehead"/>
              <w:jc w:val="left"/>
              <w:rPr>
                <w:b w:val="0"/>
                <w:szCs w:val="22"/>
                <w:lang w:eastAsia="zh-CN"/>
              </w:rPr>
            </w:pPr>
            <w:r w:rsidRPr="000C156A">
              <w:rPr>
                <w:rFonts w:cs="Calibri" w:hint="eastAsia"/>
                <w:bCs/>
                <w:szCs w:val="22"/>
                <w:lang w:eastAsia="zh-CN"/>
              </w:rPr>
              <w:t>马里</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0A0BC3" w14:textId="77777777" w:rsidR="004C18AD" w:rsidRPr="00F6119D"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7210A2" w14:textId="77777777" w:rsidR="004C18AD" w:rsidRPr="00F6119D"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F4D3B2" w14:textId="77777777" w:rsidR="004C18AD" w:rsidRPr="00F6119D"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6A1A07" w14:textId="77777777" w:rsidR="004C18AD" w:rsidRPr="00F6119D" w:rsidRDefault="004C18AD" w:rsidP="00042C67">
            <w:pPr>
              <w:pStyle w:val="Tablehead"/>
              <w:jc w:val="right"/>
              <w:rPr>
                <w:b w:val="0"/>
                <w:szCs w:val="22"/>
              </w:rPr>
            </w:pPr>
          </w:p>
        </w:tc>
      </w:tr>
      <w:tr w:rsidR="004C18AD" w:rsidRPr="00326F46" w14:paraId="2EE5EF5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5F897" w14:textId="77777777" w:rsidR="004C18AD" w:rsidRPr="00326F46" w:rsidRDefault="004C18AD" w:rsidP="00042C67">
            <w:pPr>
              <w:pStyle w:val="Tablehead"/>
              <w:jc w:val="left"/>
              <w:rPr>
                <w:szCs w:val="22"/>
                <w:lang w:eastAsia="zh-CN"/>
              </w:rPr>
            </w:pPr>
            <w:r w:rsidRPr="00F6119D">
              <w:rPr>
                <w:rFonts w:cs="Calibri"/>
                <w:b w:val="0"/>
                <w:szCs w:val="22"/>
                <w:lang w:eastAsia="en-GB"/>
              </w:rPr>
              <w:t>–</w:t>
            </w:r>
            <w:r w:rsidRPr="00F6119D">
              <w:rPr>
                <w:rFonts w:cs="Calibri"/>
                <w:b w:val="0"/>
                <w:szCs w:val="22"/>
                <w:lang w:eastAsia="en-GB"/>
              </w:rPr>
              <w:tab/>
              <w:t>Orange</w:t>
            </w:r>
            <w:r w:rsidRPr="00F6119D">
              <w:rPr>
                <w:rFonts w:cs="Calibri" w:hint="eastAsia"/>
                <w:b w:val="0"/>
                <w:szCs w:val="22"/>
                <w:lang w:eastAsia="zh-CN"/>
              </w:rPr>
              <w:t>马里分公司，巴马科</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E727A" w14:textId="77777777" w:rsidR="004C18AD" w:rsidRPr="00326F46" w:rsidRDefault="004C18AD" w:rsidP="00042C67">
            <w:pPr>
              <w:pStyle w:val="Tablehead"/>
              <w:jc w:val="left"/>
              <w:rPr>
                <w:szCs w:val="22"/>
              </w:rPr>
            </w:pPr>
            <w:r w:rsidRPr="00F6119D">
              <w:rPr>
                <w:b w:val="0"/>
                <w:szCs w:val="22"/>
              </w:rPr>
              <w:t>2018-2020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A7FF2" w14:textId="77777777" w:rsidR="004C18AD" w:rsidRPr="00326F46" w:rsidRDefault="004C18AD" w:rsidP="00042C67">
            <w:pPr>
              <w:pStyle w:val="Tablehead"/>
              <w:jc w:val="right"/>
              <w:rPr>
                <w:szCs w:val="22"/>
              </w:rPr>
            </w:pPr>
            <w:r w:rsidRPr="00F6119D">
              <w:rPr>
                <w:b w:val="0"/>
                <w:szCs w:val="22"/>
              </w:rPr>
              <w:t>70</w:t>
            </w:r>
            <w:r>
              <w:rPr>
                <w:b w:val="0"/>
                <w:szCs w:val="22"/>
              </w:rPr>
              <w:t> </w:t>
            </w:r>
            <w:r w:rsidRPr="00F6119D">
              <w:rPr>
                <w:b w:val="0"/>
                <w:szCs w:val="22"/>
              </w:rPr>
              <w:t>925.45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B47A7" w14:textId="77777777" w:rsidR="004C18AD" w:rsidRPr="00326F46" w:rsidRDefault="004C18AD" w:rsidP="00042C67">
            <w:pPr>
              <w:pStyle w:val="Tablehead"/>
              <w:jc w:val="right"/>
              <w:rPr>
                <w:szCs w:val="22"/>
              </w:rPr>
            </w:pPr>
            <w:r w:rsidRPr="00F6119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871E3" w14:textId="77777777" w:rsidR="004C18AD" w:rsidRPr="00326F46" w:rsidRDefault="004C18AD" w:rsidP="00042C67">
            <w:pPr>
              <w:pStyle w:val="Tablehead"/>
              <w:jc w:val="right"/>
              <w:rPr>
                <w:szCs w:val="22"/>
              </w:rPr>
            </w:pPr>
            <w:r w:rsidRPr="00F6119D">
              <w:rPr>
                <w:b w:val="0"/>
                <w:szCs w:val="22"/>
              </w:rPr>
              <w:t>70</w:t>
            </w:r>
            <w:r>
              <w:rPr>
                <w:b w:val="0"/>
                <w:szCs w:val="22"/>
              </w:rPr>
              <w:t> </w:t>
            </w:r>
            <w:r w:rsidRPr="00F6119D">
              <w:rPr>
                <w:b w:val="0"/>
                <w:szCs w:val="22"/>
              </w:rPr>
              <w:t>925.45</w:t>
            </w:r>
          </w:p>
        </w:tc>
      </w:tr>
      <w:tr w:rsidR="004C18AD" w:rsidRPr="00F6119D" w14:paraId="3FFF277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C3107" w14:textId="77777777" w:rsidR="004C18AD" w:rsidRPr="00F6119D" w:rsidRDefault="004C18AD" w:rsidP="00042C67">
            <w:pPr>
              <w:pStyle w:val="Tablehead"/>
              <w:jc w:val="left"/>
              <w:rPr>
                <w:b w:val="0"/>
                <w:szCs w:val="22"/>
                <w:lang w:eastAsia="zh-CN"/>
              </w:rPr>
            </w:pPr>
            <w:r w:rsidRPr="00687616">
              <w:rPr>
                <w:rFonts w:hint="eastAsia"/>
                <w:bCs/>
                <w:szCs w:val="22"/>
              </w:rPr>
              <w:t>毛</w:t>
            </w:r>
            <w:r w:rsidRPr="00687616">
              <w:rPr>
                <w:bCs/>
                <w:szCs w:val="22"/>
              </w:rPr>
              <w:t>里塔尼</w:t>
            </w:r>
            <w:r w:rsidRPr="00687616">
              <w:rPr>
                <w:rFonts w:hint="eastAsia"/>
                <w:bCs/>
                <w:szCs w:val="22"/>
              </w:rPr>
              <w:t>亚</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91B182" w14:textId="77777777" w:rsidR="004C18AD" w:rsidRPr="00F6119D"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53AB81" w14:textId="77777777" w:rsidR="004C18AD" w:rsidRPr="00F6119D"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E7678E" w14:textId="77777777" w:rsidR="004C18AD" w:rsidRPr="00F6119D"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7C7773" w14:textId="77777777" w:rsidR="004C18AD" w:rsidRPr="00F6119D" w:rsidRDefault="004C18AD" w:rsidP="00042C67">
            <w:pPr>
              <w:pStyle w:val="Tablehead"/>
              <w:jc w:val="right"/>
              <w:rPr>
                <w:b w:val="0"/>
                <w:szCs w:val="22"/>
              </w:rPr>
            </w:pPr>
          </w:p>
        </w:tc>
      </w:tr>
      <w:tr w:rsidR="004C18AD" w:rsidRPr="00687616" w14:paraId="33D832E1"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9A7612" w14:textId="77777777" w:rsidR="004C18AD" w:rsidRPr="00687616" w:rsidRDefault="004C18AD" w:rsidP="00042C67">
            <w:pPr>
              <w:pStyle w:val="Tablehead"/>
              <w:jc w:val="left"/>
              <w:rPr>
                <w:szCs w:val="22"/>
                <w:lang w:eastAsia="zh-CN"/>
              </w:rPr>
            </w:pPr>
            <w:r w:rsidRPr="00687616">
              <w:rPr>
                <w:rFonts w:cs="Calibri"/>
                <w:b w:val="0"/>
                <w:szCs w:val="22"/>
                <w:lang w:val="fr-FR" w:eastAsia="zh-CN"/>
              </w:rPr>
              <w:t>–</w:t>
            </w:r>
            <w:r w:rsidRPr="00687616">
              <w:rPr>
                <w:rFonts w:cs="Calibri"/>
                <w:b w:val="0"/>
                <w:szCs w:val="22"/>
                <w:lang w:val="fr-FR" w:eastAsia="zh-CN"/>
              </w:rPr>
              <w:tab/>
            </w:r>
            <w:r w:rsidRPr="00687616">
              <w:rPr>
                <w:rFonts w:cs="Calibri" w:hint="eastAsia"/>
                <w:b w:val="0"/>
                <w:szCs w:val="22"/>
                <w:lang w:val="fr-FR" w:eastAsia="zh-CN"/>
              </w:rPr>
              <w:t>服务促进机构（</w:t>
            </w:r>
            <w:r w:rsidRPr="00687616">
              <w:rPr>
                <w:rFonts w:cs="Calibri"/>
                <w:b w:val="0"/>
                <w:szCs w:val="22"/>
                <w:lang w:val="fr-FR" w:eastAsia="zh-CN"/>
              </w:rPr>
              <w:t>APAUS</w:t>
            </w:r>
            <w:r w:rsidRPr="00687616">
              <w:rPr>
                <w:rFonts w:cs="Calibri" w:hint="eastAsia"/>
                <w:b w:val="0"/>
                <w:szCs w:val="22"/>
                <w:lang w:val="fr-FR" w:eastAsia="zh-CN"/>
              </w:rPr>
              <w:t>），努瓦克肖特</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068F4" w14:textId="77777777" w:rsidR="004C18AD" w:rsidRPr="00687616" w:rsidRDefault="004C18AD" w:rsidP="00042C67">
            <w:pPr>
              <w:pStyle w:val="Tablehead"/>
              <w:jc w:val="left"/>
              <w:rPr>
                <w:szCs w:val="22"/>
                <w:lang w:eastAsia="zh-CN"/>
              </w:rPr>
            </w:pPr>
            <w:r w:rsidRPr="00326F46">
              <w:rPr>
                <w:b w:val="0"/>
                <w:szCs w:val="22"/>
              </w:rPr>
              <w:t>2012</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73F5E" w14:textId="77777777" w:rsidR="004C18AD" w:rsidRPr="00687616" w:rsidRDefault="004C18AD" w:rsidP="00042C67">
            <w:pPr>
              <w:pStyle w:val="Tablehead"/>
              <w:jc w:val="right"/>
              <w:rPr>
                <w:szCs w:val="22"/>
                <w:lang w:eastAsia="zh-CN"/>
              </w:rPr>
            </w:pPr>
            <w:r w:rsidRPr="00326F46">
              <w:rPr>
                <w:b w:val="0"/>
                <w:szCs w:val="22"/>
              </w:rPr>
              <w:t>6</w:t>
            </w:r>
            <w:r>
              <w:rPr>
                <w:b w:val="0"/>
                <w:szCs w:val="22"/>
              </w:rPr>
              <w:t> </w:t>
            </w:r>
            <w:r w:rsidRPr="00326F46">
              <w:rPr>
                <w:b w:val="0"/>
                <w:szCs w:val="22"/>
              </w:rPr>
              <w:t>967.55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D41D" w14:textId="77777777" w:rsidR="004C18AD" w:rsidRPr="00687616" w:rsidRDefault="004C18AD" w:rsidP="00042C67">
            <w:pPr>
              <w:pStyle w:val="Tablehead"/>
              <w:jc w:val="right"/>
              <w:rPr>
                <w:szCs w:val="22"/>
                <w:lang w:eastAsia="zh-CN"/>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423A4" w14:textId="77777777" w:rsidR="004C18AD" w:rsidRPr="00687616" w:rsidRDefault="004C18AD" w:rsidP="00042C67">
            <w:pPr>
              <w:pStyle w:val="Tablehead"/>
              <w:jc w:val="right"/>
              <w:rPr>
                <w:szCs w:val="22"/>
                <w:lang w:eastAsia="zh-CN"/>
              </w:rPr>
            </w:pPr>
            <w:r w:rsidRPr="00326F46">
              <w:rPr>
                <w:b w:val="0"/>
                <w:szCs w:val="22"/>
              </w:rPr>
              <w:t>6</w:t>
            </w:r>
            <w:r>
              <w:rPr>
                <w:b w:val="0"/>
                <w:szCs w:val="22"/>
              </w:rPr>
              <w:t> </w:t>
            </w:r>
            <w:r w:rsidRPr="00326F46">
              <w:rPr>
                <w:b w:val="0"/>
                <w:szCs w:val="22"/>
              </w:rPr>
              <w:t>967.55</w:t>
            </w:r>
          </w:p>
        </w:tc>
      </w:tr>
      <w:tr w:rsidR="004C18AD" w:rsidRPr="00910F82" w14:paraId="53C16481"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4B596" w14:textId="77777777" w:rsidR="004C18AD" w:rsidRPr="00687616" w:rsidRDefault="004C18AD" w:rsidP="00042C67">
            <w:pPr>
              <w:pStyle w:val="Tablehead"/>
              <w:jc w:val="left"/>
              <w:rPr>
                <w:b w:val="0"/>
                <w:szCs w:val="22"/>
                <w:lang w:val="fr-CH" w:eastAsia="zh-CN"/>
              </w:rPr>
            </w:pPr>
            <w:r w:rsidRPr="00687616">
              <w:rPr>
                <w:rFonts w:cs="Calibri"/>
                <w:b w:val="0"/>
                <w:szCs w:val="22"/>
                <w:lang w:val="fr-FR"/>
              </w:rPr>
              <w:t>–</w:t>
            </w:r>
            <w:r w:rsidRPr="00687616">
              <w:rPr>
                <w:rFonts w:cs="Calibri"/>
                <w:b w:val="0"/>
                <w:szCs w:val="22"/>
                <w:lang w:val="fr-FR"/>
              </w:rPr>
              <w:tab/>
              <w:t>Chinguitel SA</w:t>
            </w:r>
            <w:r w:rsidRPr="00687616">
              <w:rPr>
                <w:rFonts w:cs="Calibri" w:hint="eastAsia"/>
                <w:b w:val="0"/>
                <w:szCs w:val="22"/>
                <w:lang w:val="fr-FR"/>
              </w:rPr>
              <w:t>，努瓦克肖特</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56F8CA" w14:textId="77777777" w:rsidR="004C18AD" w:rsidRPr="00326F46" w:rsidRDefault="004C18AD" w:rsidP="00042C67">
            <w:pPr>
              <w:pStyle w:val="Tablehead"/>
              <w:jc w:val="left"/>
              <w:rPr>
                <w:b w:val="0"/>
                <w:szCs w:val="22"/>
              </w:rPr>
            </w:pPr>
            <w:r w:rsidRPr="00326F46">
              <w:rPr>
                <w:b w:val="0"/>
                <w:szCs w:val="22"/>
              </w:rPr>
              <w:t>2013-2015</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9300D3" w14:textId="77777777" w:rsidR="004C18AD" w:rsidRPr="00326F46" w:rsidRDefault="004C18AD" w:rsidP="00042C67">
            <w:pPr>
              <w:pStyle w:val="Tablehead"/>
              <w:jc w:val="right"/>
              <w:rPr>
                <w:b w:val="0"/>
                <w:szCs w:val="22"/>
              </w:rPr>
            </w:pPr>
            <w:r w:rsidRPr="00326F46">
              <w:rPr>
                <w:b w:val="0"/>
                <w:szCs w:val="22"/>
              </w:rPr>
              <w:t>5</w:t>
            </w:r>
            <w:r>
              <w:rPr>
                <w:b w:val="0"/>
                <w:szCs w:val="22"/>
              </w:rPr>
              <w:t> </w:t>
            </w:r>
            <w:r w:rsidRPr="00326F46">
              <w:rPr>
                <w:b w:val="0"/>
                <w:szCs w:val="22"/>
              </w:rPr>
              <w:t>897.80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937545" w14:textId="77777777" w:rsidR="004C18AD" w:rsidRPr="00326F46" w:rsidRDefault="004C18AD" w:rsidP="00042C67">
            <w:pPr>
              <w:pStyle w:val="Tablehead"/>
              <w:jc w:val="right"/>
              <w:rPr>
                <w:b w:val="0"/>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06B102" w14:textId="77777777" w:rsidR="004C18AD" w:rsidRPr="00326F46" w:rsidRDefault="004C18AD" w:rsidP="00042C67">
            <w:pPr>
              <w:pStyle w:val="Tablehead"/>
              <w:jc w:val="right"/>
              <w:rPr>
                <w:b w:val="0"/>
                <w:szCs w:val="22"/>
              </w:rPr>
            </w:pPr>
            <w:r w:rsidRPr="00326F46">
              <w:rPr>
                <w:b w:val="0"/>
                <w:szCs w:val="22"/>
              </w:rPr>
              <w:t>5</w:t>
            </w:r>
            <w:r>
              <w:rPr>
                <w:b w:val="0"/>
                <w:szCs w:val="22"/>
              </w:rPr>
              <w:t> </w:t>
            </w:r>
            <w:r w:rsidRPr="00326F46">
              <w:rPr>
                <w:b w:val="0"/>
                <w:szCs w:val="22"/>
              </w:rPr>
              <w:t>897.80</w:t>
            </w:r>
          </w:p>
        </w:tc>
      </w:tr>
      <w:tr w:rsidR="004C18AD" w:rsidRPr="00910F82" w14:paraId="7AA7426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398D58" w14:textId="77777777" w:rsidR="004C18AD" w:rsidRPr="00687616" w:rsidRDefault="004C18AD" w:rsidP="00042C67">
            <w:pPr>
              <w:pStyle w:val="Tablehead"/>
              <w:jc w:val="left"/>
              <w:rPr>
                <w:b w:val="0"/>
                <w:szCs w:val="22"/>
                <w:lang w:eastAsia="zh-CN"/>
              </w:rPr>
            </w:pPr>
            <w:r w:rsidRPr="000C156A">
              <w:rPr>
                <w:rFonts w:hint="eastAsia"/>
                <w:bCs/>
                <w:szCs w:val="22"/>
              </w:rPr>
              <w:t>墨西哥</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F032B2" w14:textId="77777777" w:rsidR="004C18AD" w:rsidRPr="00326F46"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D5CCAE" w14:textId="77777777" w:rsidR="004C18AD" w:rsidRPr="00326F46"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9E5E8" w14:textId="77777777" w:rsidR="004C18AD" w:rsidRPr="00326F46"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95E60B" w14:textId="77777777" w:rsidR="004C18AD" w:rsidRPr="00326F46" w:rsidRDefault="004C18AD" w:rsidP="00042C67">
            <w:pPr>
              <w:pStyle w:val="Tablehead"/>
              <w:jc w:val="right"/>
              <w:rPr>
                <w:b w:val="0"/>
                <w:szCs w:val="22"/>
              </w:rPr>
            </w:pPr>
          </w:p>
        </w:tc>
      </w:tr>
      <w:tr w:rsidR="004C18AD" w:rsidRPr="00326F46" w14:paraId="6EC9990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C81B3" w14:textId="77777777" w:rsidR="004C18AD" w:rsidRPr="00326F46" w:rsidRDefault="004C18AD" w:rsidP="00042C67">
            <w:pPr>
              <w:pStyle w:val="Tablehead"/>
              <w:jc w:val="left"/>
              <w:rPr>
                <w:szCs w:val="22"/>
                <w:lang w:eastAsia="zh-CN"/>
              </w:rPr>
            </w:pPr>
            <w:r w:rsidRPr="00212A93">
              <w:rPr>
                <w:rFonts w:cs="Calibri"/>
                <w:b w:val="0"/>
                <w:szCs w:val="22"/>
                <w:lang w:val="fr-FR"/>
              </w:rPr>
              <w:t>–</w:t>
            </w:r>
            <w:r w:rsidRPr="00212A93">
              <w:rPr>
                <w:rFonts w:cs="Calibri"/>
                <w:b w:val="0"/>
                <w:szCs w:val="22"/>
                <w:lang w:val="fr-FR"/>
              </w:rPr>
              <w:tab/>
              <w:t>CANITEC</w:t>
            </w:r>
            <w:r w:rsidRPr="00212A93">
              <w:rPr>
                <w:rFonts w:cs="Calibri" w:hint="eastAsia"/>
                <w:b w:val="0"/>
                <w:szCs w:val="22"/>
                <w:lang w:val="fr-FR"/>
              </w:rPr>
              <w:t>，墨西哥城</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8A716" w14:textId="77777777" w:rsidR="004C18AD" w:rsidRPr="00326F46" w:rsidRDefault="004C18AD" w:rsidP="00042C67">
            <w:pPr>
              <w:pStyle w:val="Tablehead"/>
              <w:jc w:val="left"/>
              <w:rPr>
                <w:szCs w:val="22"/>
              </w:rPr>
            </w:pPr>
            <w:r w:rsidRPr="00212A93">
              <w:rPr>
                <w:b w:val="0"/>
                <w:szCs w:val="22"/>
              </w:rPr>
              <w:t>2011-2013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EE8F6" w14:textId="77777777" w:rsidR="004C18AD" w:rsidRPr="00326F46" w:rsidRDefault="004C18AD" w:rsidP="00042C67">
            <w:pPr>
              <w:pStyle w:val="Tablehead"/>
              <w:jc w:val="right"/>
              <w:rPr>
                <w:szCs w:val="22"/>
              </w:rPr>
            </w:pPr>
            <w:r w:rsidRPr="00212A93">
              <w:rPr>
                <w:b w:val="0"/>
                <w:szCs w:val="22"/>
              </w:rPr>
              <w:t>6</w:t>
            </w:r>
            <w:r>
              <w:rPr>
                <w:b w:val="0"/>
                <w:szCs w:val="22"/>
              </w:rPr>
              <w:t> </w:t>
            </w:r>
            <w:r w:rsidRPr="00212A93">
              <w:rPr>
                <w:b w:val="0"/>
                <w:szCs w:val="22"/>
              </w:rPr>
              <w:t>752.00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E368" w14:textId="77777777" w:rsidR="004C18AD" w:rsidRPr="00326F46" w:rsidRDefault="004C18AD" w:rsidP="00042C67">
            <w:pPr>
              <w:pStyle w:val="Tablehead"/>
              <w:jc w:val="right"/>
              <w:rPr>
                <w:szCs w:val="22"/>
              </w:rPr>
            </w:pPr>
            <w:r w:rsidRPr="00212A93">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F5E8" w14:textId="77777777" w:rsidR="004C18AD" w:rsidRPr="00326F46" w:rsidRDefault="004C18AD" w:rsidP="00042C67">
            <w:pPr>
              <w:pStyle w:val="Tablehead"/>
              <w:jc w:val="right"/>
              <w:rPr>
                <w:szCs w:val="22"/>
              </w:rPr>
            </w:pPr>
            <w:r w:rsidRPr="00212A93">
              <w:rPr>
                <w:b w:val="0"/>
                <w:szCs w:val="22"/>
              </w:rPr>
              <w:t>6</w:t>
            </w:r>
            <w:r>
              <w:rPr>
                <w:b w:val="0"/>
                <w:szCs w:val="22"/>
              </w:rPr>
              <w:t> </w:t>
            </w:r>
            <w:r w:rsidRPr="00212A93">
              <w:rPr>
                <w:b w:val="0"/>
                <w:szCs w:val="22"/>
              </w:rPr>
              <w:t>752.00</w:t>
            </w:r>
          </w:p>
        </w:tc>
      </w:tr>
      <w:tr w:rsidR="004C18AD" w:rsidRPr="00212A93" w14:paraId="42F7CD2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16469" w14:textId="77777777" w:rsidR="004C18AD" w:rsidRPr="00212A93" w:rsidRDefault="004C18AD" w:rsidP="00042C67">
            <w:pPr>
              <w:pStyle w:val="Tablehead"/>
              <w:jc w:val="left"/>
              <w:rPr>
                <w:b w:val="0"/>
                <w:szCs w:val="22"/>
                <w:lang w:eastAsia="zh-CN"/>
              </w:rPr>
            </w:pPr>
            <w:r w:rsidRPr="00933C23">
              <w:rPr>
                <w:rFonts w:cs="Calibri"/>
                <w:bCs/>
                <w:szCs w:val="22"/>
              </w:rPr>
              <w:t>巴基斯坦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75DE26" w14:textId="77777777" w:rsidR="004C18AD" w:rsidRPr="00212A93"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D80EA8" w14:textId="77777777" w:rsidR="004C18AD" w:rsidRPr="00212A93"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B6F502" w14:textId="77777777" w:rsidR="004C18AD" w:rsidRPr="00212A93"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E22D7D" w14:textId="77777777" w:rsidR="004C18AD" w:rsidRPr="00212A93" w:rsidRDefault="004C18AD" w:rsidP="00042C67">
            <w:pPr>
              <w:pStyle w:val="Tablehead"/>
              <w:jc w:val="right"/>
              <w:rPr>
                <w:b w:val="0"/>
                <w:szCs w:val="22"/>
              </w:rPr>
            </w:pPr>
          </w:p>
        </w:tc>
      </w:tr>
      <w:tr w:rsidR="004C18AD" w:rsidRPr="00933C23" w14:paraId="6D098839"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55816" w14:textId="77777777" w:rsidR="004C18AD" w:rsidRPr="00933C23" w:rsidRDefault="004C18AD" w:rsidP="00042C67">
            <w:pPr>
              <w:pStyle w:val="Tablehead"/>
              <w:jc w:val="left"/>
              <w:rPr>
                <w:szCs w:val="22"/>
                <w:lang w:eastAsia="zh-CN"/>
              </w:rPr>
            </w:pPr>
            <w:r w:rsidRPr="00426D5B">
              <w:rPr>
                <w:rFonts w:cs="Calibri"/>
                <w:b w:val="0"/>
                <w:szCs w:val="22"/>
                <w:lang w:val="fr-FR"/>
              </w:rPr>
              <w:t>–</w:t>
            </w:r>
            <w:r w:rsidRPr="00426D5B">
              <w:rPr>
                <w:rFonts w:cs="Calibri"/>
                <w:b w:val="0"/>
                <w:szCs w:val="22"/>
                <w:lang w:val="fr-FR"/>
              </w:rPr>
              <w:tab/>
            </w:r>
            <w:r w:rsidRPr="00426D5B">
              <w:rPr>
                <w:rFonts w:cs="Calibri" w:hint="eastAsia"/>
                <w:b w:val="0"/>
                <w:szCs w:val="22"/>
                <w:lang w:val="fr-FR"/>
              </w:rPr>
              <w:t>CMPak</w:t>
            </w:r>
            <w:r w:rsidRPr="00426D5B">
              <w:rPr>
                <w:rFonts w:cs="Calibri" w:hint="eastAsia"/>
                <w:b w:val="0"/>
                <w:szCs w:val="22"/>
                <w:lang w:val="fr-FR"/>
              </w:rPr>
              <w:t>有限公司，伊斯兰堡</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10974" w14:textId="77777777" w:rsidR="004C18AD" w:rsidRPr="00933C23" w:rsidRDefault="004C18AD" w:rsidP="00042C67">
            <w:pPr>
              <w:pStyle w:val="Tablehead"/>
              <w:jc w:val="left"/>
              <w:rPr>
                <w:szCs w:val="22"/>
              </w:rPr>
            </w:pPr>
            <w:r w:rsidRPr="00326F46">
              <w:rPr>
                <w:b w:val="0"/>
                <w:szCs w:val="22"/>
              </w:rPr>
              <w:t>2015</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693B" w14:textId="77777777" w:rsidR="004C18AD" w:rsidRPr="00933C23" w:rsidRDefault="004C18AD" w:rsidP="00042C67">
            <w:pPr>
              <w:pStyle w:val="Tablehead"/>
              <w:jc w:val="right"/>
              <w:rPr>
                <w:szCs w:val="22"/>
              </w:rPr>
            </w:pPr>
            <w:r w:rsidRPr="00326F46">
              <w:rPr>
                <w:b w:val="0"/>
                <w:szCs w:val="22"/>
              </w:rPr>
              <w:t>2</w:t>
            </w:r>
            <w:r>
              <w:rPr>
                <w:b w:val="0"/>
                <w:szCs w:val="22"/>
              </w:rPr>
              <w:t> </w:t>
            </w:r>
            <w:r w:rsidRPr="00326F46">
              <w:rPr>
                <w:b w:val="0"/>
                <w:szCs w:val="22"/>
              </w:rPr>
              <w:t>925.00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B7DB" w14:textId="77777777" w:rsidR="004C18AD" w:rsidRPr="00933C23" w:rsidRDefault="004C18AD" w:rsidP="00042C67">
            <w:pPr>
              <w:pStyle w:val="Tablehead"/>
              <w:jc w:val="right"/>
              <w:rPr>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B019C" w14:textId="77777777" w:rsidR="004C18AD" w:rsidRPr="00933C23" w:rsidRDefault="004C18AD" w:rsidP="00042C67">
            <w:pPr>
              <w:pStyle w:val="Tablehead"/>
              <w:jc w:val="right"/>
              <w:rPr>
                <w:szCs w:val="22"/>
              </w:rPr>
            </w:pPr>
            <w:r w:rsidRPr="00326F46">
              <w:rPr>
                <w:b w:val="0"/>
                <w:szCs w:val="22"/>
              </w:rPr>
              <w:t>2</w:t>
            </w:r>
            <w:r>
              <w:rPr>
                <w:b w:val="0"/>
                <w:szCs w:val="22"/>
              </w:rPr>
              <w:t> </w:t>
            </w:r>
            <w:r w:rsidRPr="00326F46">
              <w:rPr>
                <w:b w:val="0"/>
                <w:szCs w:val="22"/>
              </w:rPr>
              <w:t>925.00</w:t>
            </w:r>
          </w:p>
        </w:tc>
      </w:tr>
      <w:tr w:rsidR="004C18AD" w:rsidRPr="00910F82" w14:paraId="30A4D345"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BE8A5" w14:textId="77777777" w:rsidR="004C18AD" w:rsidRPr="00426D5B" w:rsidRDefault="004C18AD" w:rsidP="00042C67">
            <w:pPr>
              <w:pStyle w:val="Tablehead"/>
              <w:jc w:val="left"/>
              <w:rPr>
                <w:b w:val="0"/>
                <w:szCs w:val="22"/>
                <w:lang w:eastAsia="zh-CN"/>
              </w:rPr>
            </w:pPr>
            <w:r w:rsidRPr="00426D5B">
              <w:rPr>
                <w:rFonts w:cs="Calibri"/>
                <w:b w:val="0"/>
                <w:szCs w:val="22"/>
                <w:lang w:val="fr-FR"/>
              </w:rPr>
              <w:t>–</w:t>
            </w:r>
            <w:r w:rsidRPr="00426D5B">
              <w:rPr>
                <w:rFonts w:cs="Calibri"/>
                <w:b w:val="0"/>
                <w:szCs w:val="22"/>
                <w:lang w:val="fr-FR"/>
              </w:rPr>
              <w:tab/>
              <w:t>e Worlwide</w:t>
            </w:r>
            <w:r w:rsidRPr="00426D5B">
              <w:rPr>
                <w:rFonts w:cs="Calibri" w:hint="eastAsia"/>
                <w:b w:val="0"/>
                <w:szCs w:val="22"/>
                <w:lang w:val="fr-FR"/>
              </w:rPr>
              <w:t>集团，伊斯兰堡</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8D82F" w14:textId="77777777" w:rsidR="004C18AD" w:rsidRPr="00326F46" w:rsidRDefault="004C18AD" w:rsidP="00042C67">
            <w:pPr>
              <w:pStyle w:val="Tablehead"/>
              <w:jc w:val="left"/>
              <w:rPr>
                <w:b w:val="0"/>
                <w:szCs w:val="22"/>
              </w:rPr>
            </w:pPr>
            <w:r w:rsidRPr="00326F46">
              <w:rPr>
                <w:b w:val="0"/>
                <w:szCs w:val="22"/>
              </w:rPr>
              <w:t>2011-2013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EA5F89" w14:textId="77777777" w:rsidR="004C18AD" w:rsidRPr="00326F46" w:rsidRDefault="004C18AD" w:rsidP="00042C67">
            <w:pPr>
              <w:pStyle w:val="Tablehead"/>
              <w:jc w:val="right"/>
              <w:rPr>
                <w:b w:val="0"/>
                <w:szCs w:val="22"/>
              </w:rPr>
            </w:pPr>
            <w:r w:rsidRPr="00326F46">
              <w:rPr>
                <w:b w:val="0"/>
                <w:szCs w:val="22"/>
              </w:rPr>
              <w:t>6</w:t>
            </w:r>
            <w:r>
              <w:rPr>
                <w:b w:val="0"/>
                <w:szCs w:val="22"/>
              </w:rPr>
              <w:t> </w:t>
            </w:r>
            <w:r w:rsidRPr="00326F46">
              <w:rPr>
                <w:b w:val="0"/>
                <w:szCs w:val="22"/>
              </w:rPr>
              <w:t>652.65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5FEA28" w14:textId="77777777" w:rsidR="004C18AD" w:rsidRPr="00326F46" w:rsidRDefault="004C18AD" w:rsidP="00042C67">
            <w:pPr>
              <w:pStyle w:val="Tablehead"/>
              <w:jc w:val="right"/>
              <w:rPr>
                <w:b w:val="0"/>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A6BCC5" w14:textId="77777777" w:rsidR="004C18AD" w:rsidRPr="00326F46" w:rsidRDefault="004C18AD" w:rsidP="00042C67">
            <w:pPr>
              <w:pStyle w:val="Tablehead"/>
              <w:jc w:val="right"/>
              <w:rPr>
                <w:b w:val="0"/>
                <w:szCs w:val="22"/>
              </w:rPr>
            </w:pPr>
            <w:r w:rsidRPr="00326F46">
              <w:rPr>
                <w:b w:val="0"/>
                <w:szCs w:val="22"/>
              </w:rPr>
              <w:t>6</w:t>
            </w:r>
            <w:r>
              <w:rPr>
                <w:b w:val="0"/>
                <w:szCs w:val="22"/>
              </w:rPr>
              <w:t> </w:t>
            </w:r>
            <w:r w:rsidRPr="00326F46">
              <w:rPr>
                <w:b w:val="0"/>
                <w:szCs w:val="22"/>
              </w:rPr>
              <w:t>652.65</w:t>
            </w:r>
          </w:p>
        </w:tc>
      </w:tr>
      <w:tr w:rsidR="004C18AD" w:rsidRPr="00910F82" w14:paraId="33B9DA7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49C1BA" w14:textId="77777777" w:rsidR="004C18AD" w:rsidRPr="00426D5B" w:rsidRDefault="004C18AD" w:rsidP="00042C67">
            <w:pPr>
              <w:pStyle w:val="Tablehead"/>
              <w:jc w:val="left"/>
              <w:rPr>
                <w:b w:val="0"/>
                <w:szCs w:val="22"/>
                <w:lang w:eastAsia="zh-CN"/>
              </w:rPr>
            </w:pPr>
            <w:r>
              <w:rPr>
                <w:rFonts w:hint="eastAsia"/>
                <w:szCs w:val="22"/>
                <w:lang w:eastAsia="zh-CN"/>
              </w:rPr>
              <w:t>巴布亚新几内亚</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99D73C" w14:textId="77777777" w:rsidR="004C18AD" w:rsidRPr="00326F46"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E2EA64" w14:textId="77777777" w:rsidR="004C18AD" w:rsidRPr="00326F46"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46F71D" w14:textId="77777777" w:rsidR="004C18AD" w:rsidRPr="00326F46"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82E5E2" w14:textId="77777777" w:rsidR="004C18AD" w:rsidRPr="00326F46" w:rsidRDefault="004C18AD" w:rsidP="00042C67">
            <w:pPr>
              <w:pStyle w:val="Tablehead"/>
              <w:jc w:val="right"/>
              <w:rPr>
                <w:b w:val="0"/>
                <w:szCs w:val="22"/>
              </w:rPr>
            </w:pPr>
          </w:p>
        </w:tc>
      </w:tr>
      <w:tr w:rsidR="004C18AD" w:rsidRPr="00326F46" w14:paraId="0CCEB9F9"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FF702E" w14:textId="77777777" w:rsidR="004C18AD" w:rsidRPr="00326F46" w:rsidRDefault="004C18AD" w:rsidP="00042C67">
            <w:pPr>
              <w:pStyle w:val="Tablehead"/>
              <w:jc w:val="left"/>
              <w:rPr>
                <w:szCs w:val="22"/>
                <w:lang w:eastAsia="zh-CN"/>
              </w:rPr>
            </w:pPr>
            <w:r w:rsidRPr="00821479">
              <w:rPr>
                <w:b w:val="0"/>
                <w:szCs w:val="22"/>
                <w:lang w:val="fr-FR" w:eastAsia="zh-CN"/>
              </w:rPr>
              <w:t>–</w:t>
            </w:r>
            <w:r w:rsidRPr="00821479">
              <w:rPr>
                <w:b w:val="0"/>
                <w:szCs w:val="22"/>
                <w:lang w:val="fr-FR" w:eastAsia="zh-CN"/>
              </w:rPr>
              <w:tab/>
            </w:r>
            <w:r w:rsidRPr="00326F46">
              <w:rPr>
                <w:b w:val="0"/>
                <w:szCs w:val="22"/>
                <w:lang w:eastAsia="zh-CN"/>
              </w:rPr>
              <w:t>Awal Telcommunications Corp. Ltd.</w:t>
            </w:r>
            <w:r>
              <w:rPr>
                <w:rFonts w:hint="eastAsia"/>
                <w:b w:val="0"/>
                <w:szCs w:val="22"/>
                <w:lang w:eastAsia="zh-CN"/>
              </w:rPr>
              <w:t>，</w:t>
            </w:r>
            <w:r w:rsidRPr="004A12C1">
              <w:rPr>
                <w:rFonts w:hint="eastAsia"/>
                <w:b w:val="0"/>
                <w:szCs w:val="22"/>
                <w:lang w:eastAsia="zh-CN"/>
              </w:rPr>
              <w:t>莫尔兹比港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F8A34" w14:textId="77777777" w:rsidR="004C18AD" w:rsidRPr="00326F46" w:rsidRDefault="004C18AD" w:rsidP="00042C67">
            <w:pPr>
              <w:pStyle w:val="Tablehead"/>
              <w:jc w:val="left"/>
              <w:rPr>
                <w:szCs w:val="22"/>
              </w:rPr>
            </w:pPr>
            <w:r w:rsidRPr="00326F46">
              <w:rPr>
                <w:b w:val="0"/>
                <w:szCs w:val="22"/>
              </w:rPr>
              <w:t>2017-2020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5992C" w14:textId="77777777" w:rsidR="004C18AD" w:rsidRPr="00326F46" w:rsidRDefault="004C18AD" w:rsidP="00042C67">
            <w:pPr>
              <w:pStyle w:val="Tablehead"/>
              <w:jc w:val="right"/>
              <w:rPr>
                <w:szCs w:val="22"/>
              </w:rPr>
            </w:pPr>
            <w:r w:rsidRPr="00326F46">
              <w:rPr>
                <w:b w:val="0"/>
                <w:szCs w:val="22"/>
              </w:rPr>
              <w:t>4</w:t>
            </w:r>
            <w:r>
              <w:rPr>
                <w:b w:val="0"/>
                <w:szCs w:val="22"/>
              </w:rPr>
              <w:t> </w:t>
            </w:r>
            <w:r w:rsidRPr="00326F46">
              <w:rPr>
                <w:b w:val="0"/>
                <w:szCs w:val="22"/>
              </w:rPr>
              <w:t>549.64</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2143C" w14:textId="77777777" w:rsidR="004C18AD" w:rsidRPr="00326F46" w:rsidRDefault="004C18AD" w:rsidP="00042C67">
            <w:pPr>
              <w:pStyle w:val="Tablehead"/>
              <w:jc w:val="right"/>
              <w:rPr>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F272D" w14:textId="77777777" w:rsidR="004C18AD" w:rsidRPr="00326F46" w:rsidRDefault="004C18AD" w:rsidP="00042C67">
            <w:pPr>
              <w:pStyle w:val="Tablehead"/>
              <w:jc w:val="right"/>
              <w:rPr>
                <w:szCs w:val="22"/>
              </w:rPr>
            </w:pPr>
            <w:r w:rsidRPr="00326F46">
              <w:rPr>
                <w:b w:val="0"/>
                <w:szCs w:val="22"/>
              </w:rPr>
              <w:t>4</w:t>
            </w:r>
            <w:r>
              <w:rPr>
                <w:b w:val="0"/>
                <w:szCs w:val="22"/>
              </w:rPr>
              <w:t> </w:t>
            </w:r>
            <w:r w:rsidRPr="00326F46">
              <w:rPr>
                <w:b w:val="0"/>
                <w:szCs w:val="22"/>
              </w:rPr>
              <w:t>549.64</w:t>
            </w:r>
          </w:p>
        </w:tc>
      </w:tr>
      <w:tr w:rsidR="004C18AD" w:rsidRPr="00910F82" w14:paraId="762B6556"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14A04" w14:textId="77777777" w:rsidR="004C18AD" w:rsidRPr="00326F46" w:rsidRDefault="004C18AD" w:rsidP="00042C67">
            <w:pPr>
              <w:pStyle w:val="Tablehead"/>
              <w:jc w:val="left"/>
              <w:rPr>
                <w:b w:val="0"/>
                <w:szCs w:val="22"/>
                <w:lang w:eastAsia="zh-CN"/>
              </w:rPr>
            </w:pPr>
            <w:r>
              <w:rPr>
                <w:rFonts w:hint="eastAsia"/>
                <w:szCs w:val="22"/>
                <w:lang w:eastAsia="zh-CN"/>
              </w:rPr>
              <w:t>卡塔尔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415D03" w14:textId="77777777" w:rsidR="004C18AD" w:rsidRPr="00326F46"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9A02C0" w14:textId="77777777" w:rsidR="004C18AD" w:rsidRPr="00326F46"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683E3E" w14:textId="77777777" w:rsidR="004C18AD" w:rsidRPr="00326F46"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2896BA" w14:textId="77777777" w:rsidR="004C18AD" w:rsidRPr="00326F46" w:rsidRDefault="004C18AD" w:rsidP="00042C67">
            <w:pPr>
              <w:pStyle w:val="Tablehead"/>
              <w:jc w:val="right"/>
              <w:rPr>
                <w:b w:val="0"/>
                <w:szCs w:val="22"/>
              </w:rPr>
            </w:pPr>
          </w:p>
        </w:tc>
      </w:tr>
      <w:tr w:rsidR="004C18AD" w:rsidRPr="00326F46" w14:paraId="798171A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B9989" w14:textId="77777777" w:rsidR="004C18AD" w:rsidRPr="00326F46" w:rsidRDefault="004C18AD" w:rsidP="00042C67">
            <w:pPr>
              <w:pStyle w:val="Tablehead"/>
              <w:jc w:val="left"/>
              <w:rPr>
                <w:szCs w:val="22"/>
                <w:lang w:eastAsia="zh-CN"/>
              </w:rPr>
            </w:pPr>
            <w:r w:rsidRPr="004A12C1">
              <w:rPr>
                <w:b w:val="0"/>
                <w:szCs w:val="22"/>
                <w:lang w:val="fr-FR" w:eastAsia="zh-CN"/>
              </w:rPr>
              <w:t>–</w:t>
            </w:r>
            <w:r w:rsidRPr="004A12C1">
              <w:rPr>
                <w:b w:val="0"/>
                <w:szCs w:val="22"/>
                <w:lang w:val="fr-FR" w:eastAsia="zh-CN"/>
              </w:rPr>
              <w:tab/>
            </w:r>
            <w:r w:rsidRPr="004A12C1">
              <w:rPr>
                <w:rFonts w:hint="eastAsia"/>
                <w:b w:val="0"/>
                <w:szCs w:val="22"/>
                <w:lang w:eastAsia="zh-CN"/>
              </w:rPr>
              <w:t>卡塔尔电信</w:t>
            </w:r>
            <w:r>
              <w:rPr>
                <w:rFonts w:hint="eastAsia"/>
                <w:b w:val="0"/>
                <w:szCs w:val="22"/>
                <w:lang w:eastAsia="zh-CN"/>
              </w:rPr>
              <w:t>，多哈</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E225D" w14:textId="77777777" w:rsidR="004C18AD" w:rsidRPr="00326F46" w:rsidRDefault="004C18AD" w:rsidP="00042C67">
            <w:pPr>
              <w:pStyle w:val="Tablehead"/>
              <w:jc w:val="left"/>
              <w:rPr>
                <w:szCs w:val="22"/>
              </w:rPr>
            </w:pPr>
            <w:r w:rsidRPr="00326F46">
              <w:rPr>
                <w:b w:val="0"/>
                <w:szCs w:val="22"/>
              </w:rPr>
              <w:t>2019-2020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944E4" w14:textId="77777777" w:rsidR="004C18AD" w:rsidRPr="00326F46" w:rsidRDefault="004C18AD" w:rsidP="00042C67">
            <w:pPr>
              <w:pStyle w:val="Tablehead"/>
              <w:jc w:val="right"/>
              <w:rPr>
                <w:szCs w:val="22"/>
              </w:rPr>
            </w:pPr>
            <w:r w:rsidRPr="00326F46">
              <w:rPr>
                <w:b w:val="0"/>
                <w:szCs w:val="22"/>
              </w:rPr>
              <w:t>76</w:t>
            </w:r>
            <w:r>
              <w:rPr>
                <w:b w:val="0"/>
                <w:szCs w:val="22"/>
              </w:rPr>
              <w:t> </w:t>
            </w:r>
            <w:r w:rsidRPr="00326F46">
              <w:rPr>
                <w:b w:val="0"/>
                <w:szCs w:val="22"/>
              </w:rPr>
              <w:t>806.35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4C973" w14:textId="77777777" w:rsidR="004C18AD" w:rsidRPr="00326F46" w:rsidRDefault="004C18AD" w:rsidP="00042C67">
            <w:pPr>
              <w:pStyle w:val="Tablehead"/>
              <w:jc w:val="right"/>
              <w:rPr>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12CD3" w14:textId="77777777" w:rsidR="004C18AD" w:rsidRPr="00326F46" w:rsidRDefault="004C18AD" w:rsidP="00042C67">
            <w:pPr>
              <w:pStyle w:val="Tablehead"/>
              <w:jc w:val="right"/>
              <w:rPr>
                <w:szCs w:val="22"/>
              </w:rPr>
            </w:pPr>
            <w:r w:rsidRPr="00326F46">
              <w:rPr>
                <w:b w:val="0"/>
                <w:szCs w:val="22"/>
              </w:rPr>
              <w:t>76</w:t>
            </w:r>
            <w:r>
              <w:rPr>
                <w:b w:val="0"/>
                <w:szCs w:val="22"/>
              </w:rPr>
              <w:t> </w:t>
            </w:r>
            <w:r w:rsidRPr="00326F46">
              <w:rPr>
                <w:b w:val="0"/>
                <w:szCs w:val="22"/>
              </w:rPr>
              <w:t>806.35</w:t>
            </w:r>
          </w:p>
        </w:tc>
      </w:tr>
      <w:tr w:rsidR="004C18AD" w:rsidRPr="00910F82" w14:paraId="63CB92E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F19C5B" w14:textId="77777777" w:rsidR="004C18AD" w:rsidRPr="00326F46" w:rsidRDefault="004C18AD" w:rsidP="00042C67">
            <w:pPr>
              <w:pStyle w:val="Tablehead"/>
              <w:jc w:val="left"/>
              <w:rPr>
                <w:b w:val="0"/>
                <w:szCs w:val="22"/>
                <w:lang w:eastAsia="zh-CN"/>
              </w:rPr>
            </w:pPr>
            <w:r w:rsidRPr="000C156A">
              <w:rPr>
                <w:rFonts w:cs="Calibri"/>
                <w:bCs/>
                <w:szCs w:val="22"/>
              </w:rPr>
              <w:t>卢旺达</w:t>
            </w:r>
            <w:r w:rsidRPr="000C156A">
              <w:rPr>
                <w:rFonts w:cs="Calibri" w:hint="eastAsia"/>
                <w:bCs/>
                <w:szCs w:val="22"/>
                <w:lang w:eastAsia="zh-CN"/>
              </w:rPr>
              <w:t>共和国</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0851F5" w14:textId="77777777" w:rsidR="004C18AD" w:rsidRPr="00326F46"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3D0A6E" w14:textId="77777777" w:rsidR="004C18AD" w:rsidRPr="00326F46"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C6036B" w14:textId="77777777" w:rsidR="004C18AD" w:rsidRPr="00326F46"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7DD119" w14:textId="77777777" w:rsidR="004C18AD" w:rsidRPr="00326F46" w:rsidRDefault="004C18AD" w:rsidP="00042C67">
            <w:pPr>
              <w:pStyle w:val="Tablehead"/>
              <w:jc w:val="right"/>
              <w:rPr>
                <w:b w:val="0"/>
                <w:szCs w:val="22"/>
              </w:rPr>
            </w:pPr>
          </w:p>
        </w:tc>
      </w:tr>
      <w:tr w:rsidR="004C18AD" w:rsidRPr="00326F46" w14:paraId="066E00C7"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ECA09" w14:textId="77777777" w:rsidR="004C18AD" w:rsidRPr="00326F46" w:rsidRDefault="004C18AD" w:rsidP="00042C67">
            <w:pPr>
              <w:pStyle w:val="Tablehead"/>
              <w:jc w:val="left"/>
              <w:rPr>
                <w:szCs w:val="22"/>
                <w:lang w:eastAsia="zh-CN"/>
              </w:rPr>
            </w:pPr>
            <w:r w:rsidRPr="00933C23">
              <w:rPr>
                <w:rFonts w:cs="Calibri"/>
                <w:b w:val="0"/>
                <w:szCs w:val="22"/>
                <w:lang w:eastAsia="zh-CN"/>
              </w:rPr>
              <w:t>–</w:t>
            </w:r>
            <w:r w:rsidRPr="00933C23">
              <w:rPr>
                <w:rFonts w:cs="Calibri"/>
                <w:b w:val="0"/>
                <w:szCs w:val="22"/>
                <w:lang w:eastAsia="zh-CN"/>
              </w:rPr>
              <w:tab/>
            </w:r>
            <w:r w:rsidRPr="00933C23">
              <w:rPr>
                <w:rFonts w:cs="Calibri"/>
                <w:b w:val="0"/>
                <w:szCs w:val="22"/>
                <w:lang w:val="fr-FR" w:eastAsia="zh-CN"/>
              </w:rPr>
              <w:t>卢旺达</w:t>
            </w:r>
            <w:r w:rsidRPr="00933C23">
              <w:rPr>
                <w:rFonts w:cs="Calibri" w:hint="eastAsia"/>
                <w:b w:val="0"/>
                <w:szCs w:val="22"/>
                <w:lang w:val="fr-FR" w:eastAsia="zh-CN"/>
              </w:rPr>
              <w:t>技术大学</w:t>
            </w:r>
            <w:r w:rsidRPr="00933C23">
              <w:rPr>
                <w:rFonts w:cs="Calibri" w:hint="eastAsia"/>
                <w:b w:val="0"/>
                <w:szCs w:val="22"/>
                <w:lang w:eastAsia="zh-CN"/>
              </w:rPr>
              <w:t>，基加利</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97E40" w14:textId="77777777" w:rsidR="004C18AD" w:rsidRPr="00326F46" w:rsidRDefault="004C18AD" w:rsidP="00042C67">
            <w:pPr>
              <w:pStyle w:val="Tablehead"/>
              <w:jc w:val="left"/>
              <w:rPr>
                <w:szCs w:val="22"/>
                <w:lang w:eastAsia="zh-CN"/>
              </w:rPr>
            </w:pPr>
            <w:r w:rsidRPr="00933C23">
              <w:rPr>
                <w:b w:val="0"/>
                <w:szCs w:val="22"/>
              </w:rPr>
              <w:t>2016</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D6C49" w14:textId="77777777" w:rsidR="004C18AD" w:rsidRPr="00326F46" w:rsidRDefault="004C18AD" w:rsidP="00042C67">
            <w:pPr>
              <w:pStyle w:val="Tablehead"/>
              <w:jc w:val="right"/>
              <w:rPr>
                <w:szCs w:val="22"/>
                <w:lang w:eastAsia="zh-CN"/>
              </w:rPr>
            </w:pPr>
            <w:r w:rsidRPr="00933C23">
              <w:rPr>
                <w:b w:val="0"/>
                <w:szCs w:val="22"/>
              </w:rPr>
              <w:t>2</w:t>
            </w:r>
            <w:r>
              <w:rPr>
                <w:b w:val="0"/>
                <w:szCs w:val="22"/>
              </w:rPr>
              <w:t> </w:t>
            </w:r>
            <w:r w:rsidRPr="00933C23">
              <w:rPr>
                <w:b w:val="0"/>
                <w:szCs w:val="22"/>
              </w:rPr>
              <w:t>299.55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02348" w14:textId="77777777" w:rsidR="004C18AD" w:rsidRPr="00326F46" w:rsidRDefault="004C18AD" w:rsidP="00042C67">
            <w:pPr>
              <w:pStyle w:val="Tablehead"/>
              <w:jc w:val="right"/>
              <w:rPr>
                <w:szCs w:val="22"/>
                <w:lang w:eastAsia="zh-CN"/>
              </w:rPr>
            </w:pPr>
            <w:r w:rsidRPr="00933C23">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65740" w14:textId="77777777" w:rsidR="004C18AD" w:rsidRPr="00326F46" w:rsidRDefault="004C18AD" w:rsidP="00042C67">
            <w:pPr>
              <w:pStyle w:val="Tablehead"/>
              <w:jc w:val="right"/>
              <w:rPr>
                <w:szCs w:val="22"/>
                <w:lang w:eastAsia="zh-CN"/>
              </w:rPr>
            </w:pPr>
            <w:r w:rsidRPr="00933C23">
              <w:rPr>
                <w:b w:val="0"/>
                <w:szCs w:val="22"/>
              </w:rPr>
              <w:t>2</w:t>
            </w:r>
            <w:r>
              <w:rPr>
                <w:b w:val="0"/>
                <w:szCs w:val="22"/>
              </w:rPr>
              <w:t> </w:t>
            </w:r>
            <w:r w:rsidRPr="00933C23">
              <w:rPr>
                <w:b w:val="0"/>
                <w:szCs w:val="22"/>
              </w:rPr>
              <w:t>299.55</w:t>
            </w:r>
          </w:p>
        </w:tc>
      </w:tr>
      <w:tr w:rsidR="004C18AD" w:rsidRPr="00933C23" w14:paraId="391A8F3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0938E" w14:textId="77777777" w:rsidR="004C18AD" w:rsidRPr="00933C23" w:rsidRDefault="004C18AD" w:rsidP="00042C67">
            <w:pPr>
              <w:pStyle w:val="Tablehead"/>
              <w:jc w:val="left"/>
              <w:rPr>
                <w:b w:val="0"/>
                <w:szCs w:val="22"/>
                <w:lang w:eastAsia="zh-CN"/>
              </w:rPr>
            </w:pPr>
            <w:r w:rsidRPr="000C156A">
              <w:rPr>
                <w:rFonts w:cs="Calibri"/>
                <w:bCs/>
                <w:szCs w:val="22"/>
              </w:rPr>
              <w:t>俄罗斯联邦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C99072" w14:textId="77777777" w:rsidR="004C18AD" w:rsidRPr="00933C23"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B7216F" w14:textId="77777777" w:rsidR="004C18AD" w:rsidRPr="00933C23"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8A65C1" w14:textId="77777777" w:rsidR="004C18AD" w:rsidRPr="00933C23"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6E936C" w14:textId="77777777" w:rsidR="004C18AD" w:rsidRPr="00933C23" w:rsidRDefault="004C18AD" w:rsidP="00042C67">
            <w:pPr>
              <w:pStyle w:val="Tablehead"/>
              <w:jc w:val="right"/>
              <w:rPr>
                <w:b w:val="0"/>
                <w:szCs w:val="22"/>
              </w:rPr>
            </w:pPr>
          </w:p>
        </w:tc>
      </w:tr>
      <w:tr w:rsidR="004C18AD" w:rsidRPr="00326F46" w14:paraId="6274ED56"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624D9" w14:textId="77777777" w:rsidR="004C18AD" w:rsidRPr="00326F46" w:rsidRDefault="004C18AD" w:rsidP="00042C67">
            <w:pPr>
              <w:pStyle w:val="Tablehead"/>
              <w:jc w:val="left"/>
              <w:rPr>
                <w:szCs w:val="22"/>
                <w:lang w:eastAsia="zh-CN"/>
              </w:rPr>
            </w:pPr>
            <w:r w:rsidRPr="00E54975">
              <w:rPr>
                <w:rFonts w:cs="Calibri"/>
                <w:b w:val="0"/>
                <w:szCs w:val="22"/>
                <w:lang w:val="fr-FR"/>
              </w:rPr>
              <w:t>–</w:t>
            </w:r>
            <w:r w:rsidRPr="00E54975">
              <w:rPr>
                <w:rFonts w:cs="Calibri"/>
                <w:b w:val="0"/>
                <w:szCs w:val="22"/>
                <w:lang w:val="fr-FR"/>
              </w:rPr>
              <w:tab/>
              <w:t>IRPO ACISO</w:t>
            </w:r>
            <w:r w:rsidRPr="00E54975">
              <w:rPr>
                <w:rFonts w:cs="Calibri" w:hint="eastAsia"/>
                <w:b w:val="0"/>
                <w:szCs w:val="22"/>
                <w:lang w:val="fr-FR"/>
              </w:rPr>
              <w:t>，莫斯科</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0852D" w14:textId="77777777" w:rsidR="004C18AD" w:rsidRPr="00326F46" w:rsidRDefault="004C18AD" w:rsidP="00042C67">
            <w:pPr>
              <w:pStyle w:val="Tablehead"/>
              <w:jc w:val="left"/>
              <w:rPr>
                <w:szCs w:val="22"/>
              </w:rPr>
            </w:pPr>
            <w:r w:rsidRPr="00E54975">
              <w:rPr>
                <w:b w:val="0"/>
                <w:szCs w:val="22"/>
              </w:rPr>
              <w:t>2013-2014</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20237" w14:textId="77777777" w:rsidR="004C18AD" w:rsidRPr="00326F46" w:rsidRDefault="004C18AD" w:rsidP="00042C67">
            <w:pPr>
              <w:pStyle w:val="Tablehead"/>
              <w:jc w:val="right"/>
              <w:rPr>
                <w:szCs w:val="22"/>
              </w:rPr>
            </w:pPr>
            <w:r w:rsidRPr="00E54975">
              <w:rPr>
                <w:b w:val="0"/>
                <w:szCs w:val="22"/>
              </w:rPr>
              <w:t>5</w:t>
            </w:r>
            <w:r>
              <w:rPr>
                <w:b w:val="0"/>
                <w:szCs w:val="22"/>
              </w:rPr>
              <w:t> </w:t>
            </w:r>
            <w:r w:rsidRPr="00E54975">
              <w:rPr>
                <w:b w:val="0"/>
                <w:szCs w:val="22"/>
              </w:rPr>
              <w:t>861.95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BCE9" w14:textId="77777777" w:rsidR="004C18AD" w:rsidRPr="00326F46" w:rsidRDefault="004C18AD" w:rsidP="00042C67">
            <w:pPr>
              <w:pStyle w:val="Tablehead"/>
              <w:jc w:val="right"/>
              <w:rPr>
                <w:szCs w:val="22"/>
              </w:rPr>
            </w:pPr>
            <w:r w:rsidRPr="00E54975">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B3B0B" w14:textId="77777777" w:rsidR="004C18AD" w:rsidRPr="00326F46" w:rsidRDefault="004C18AD" w:rsidP="00042C67">
            <w:pPr>
              <w:pStyle w:val="Tablehead"/>
              <w:jc w:val="right"/>
              <w:rPr>
                <w:szCs w:val="22"/>
              </w:rPr>
            </w:pPr>
            <w:r w:rsidRPr="00E54975">
              <w:rPr>
                <w:b w:val="0"/>
                <w:szCs w:val="22"/>
              </w:rPr>
              <w:t>5</w:t>
            </w:r>
            <w:r>
              <w:rPr>
                <w:b w:val="0"/>
                <w:szCs w:val="22"/>
              </w:rPr>
              <w:t> </w:t>
            </w:r>
            <w:r w:rsidRPr="00E54975">
              <w:rPr>
                <w:b w:val="0"/>
                <w:szCs w:val="22"/>
              </w:rPr>
              <w:t>861.95</w:t>
            </w:r>
          </w:p>
        </w:tc>
      </w:tr>
      <w:tr w:rsidR="004C18AD" w:rsidRPr="00E54975" w14:paraId="4ADB380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C1DC00" w14:textId="77777777" w:rsidR="004C18AD" w:rsidRPr="00E54975" w:rsidRDefault="004C18AD" w:rsidP="00042C67">
            <w:pPr>
              <w:pStyle w:val="Tablehead"/>
              <w:jc w:val="left"/>
              <w:rPr>
                <w:b w:val="0"/>
                <w:szCs w:val="22"/>
                <w:lang w:eastAsia="zh-CN"/>
              </w:rPr>
            </w:pPr>
            <w:r w:rsidRPr="00E54975">
              <w:rPr>
                <w:rFonts w:cs="Calibri"/>
                <w:b w:val="0"/>
                <w:szCs w:val="22"/>
                <w:lang w:val="fr-FR"/>
              </w:rPr>
              <w:lastRenderedPageBreak/>
              <w:t>–</w:t>
            </w:r>
            <w:r w:rsidRPr="00E54975">
              <w:rPr>
                <w:rFonts w:cs="Calibri"/>
                <w:b w:val="0"/>
                <w:szCs w:val="22"/>
                <w:lang w:val="fr-FR"/>
              </w:rPr>
              <w:tab/>
              <w:t>Mobix</w:t>
            </w:r>
            <w:r w:rsidRPr="00E54975">
              <w:rPr>
                <w:rFonts w:cs="Calibri" w:hint="eastAsia"/>
                <w:b w:val="0"/>
                <w:szCs w:val="22"/>
                <w:lang w:val="fr-FR"/>
              </w:rPr>
              <w:t>芯片公司，莫斯科</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21CB16" w14:textId="77777777" w:rsidR="004C18AD" w:rsidRPr="00E54975" w:rsidRDefault="004C18AD" w:rsidP="00042C67">
            <w:pPr>
              <w:pStyle w:val="Tablehead"/>
              <w:jc w:val="left"/>
              <w:rPr>
                <w:b w:val="0"/>
                <w:szCs w:val="22"/>
              </w:rPr>
            </w:pPr>
            <w:r w:rsidRPr="00E54975">
              <w:rPr>
                <w:b w:val="0"/>
                <w:szCs w:val="22"/>
              </w:rPr>
              <w:t>2013-2014</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78D1BA" w14:textId="77777777" w:rsidR="004C18AD" w:rsidRPr="00E54975" w:rsidRDefault="004C18AD" w:rsidP="00042C67">
            <w:pPr>
              <w:pStyle w:val="Tablehead"/>
              <w:jc w:val="right"/>
              <w:rPr>
                <w:b w:val="0"/>
                <w:szCs w:val="22"/>
              </w:rPr>
            </w:pPr>
            <w:r w:rsidRPr="00E54975">
              <w:rPr>
                <w:b w:val="0"/>
                <w:szCs w:val="22"/>
              </w:rPr>
              <w:t>16</w:t>
            </w:r>
            <w:r>
              <w:rPr>
                <w:b w:val="0"/>
                <w:szCs w:val="22"/>
              </w:rPr>
              <w:t> </w:t>
            </w:r>
            <w:r w:rsidRPr="00E54975">
              <w:rPr>
                <w:b w:val="0"/>
                <w:szCs w:val="22"/>
              </w:rPr>
              <w:t>600.70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129207" w14:textId="77777777" w:rsidR="004C18AD" w:rsidRPr="00E54975" w:rsidRDefault="004C18AD" w:rsidP="00042C67">
            <w:pPr>
              <w:pStyle w:val="Tablehead"/>
              <w:jc w:val="right"/>
              <w:rPr>
                <w:b w:val="0"/>
                <w:szCs w:val="22"/>
              </w:rPr>
            </w:pPr>
            <w:r w:rsidRPr="00E54975">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78FEFE" w14:textId="77777777" w:rsidR="004C18AD" w:rsidRPr="00E54975" w:rsidRDefault="004C18AD" w:rsidP="00042C67">
            <w:pPr>
              <w:pStyle w:val="Tablehead"/>
              <w:jc w:val="right"/>
              <w:rPr>
                <w:b w:val="0"/>
                <w:szCs w:val="22"/>
              </w:rPr>
            </w:pPr>
            <w:r w:rsidRPr="00E54975">
              <w:rPr>
                <w:b w:val="0"/>
                <w:szCs w:val="22"/>
              </w:rPr>
              <w:t>16</w:t>
            </w:r>
            <w:r>
              <w:rPr>
                <w:b w:val="0"/>
                <w:szCs w:val="22"/>
              </w:rPr>
              <w:t> </w:t>
            </w:r>
            <w:r w:rsidRPr="00E54975">
              <w:rPr>
                <w:b w:val="0"/>
                <w:szCs w:val="22"/>
              </w:rPr>
              <w:t>600.70</w:t>
            </w:r>
          </w:p>
        </w:tc>
      </w:tr>
      <w:tr w:rsidR="004C18AD" w:rsidRPr="00E54975" w14:paraId="23FDBB66"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24C7F" w14:textId="77777777" w:rsidR="004C18AD" w:rsidRPr="00E54975" w:rsidRDefault="004C18AD" w:rsidP="00042C67">
            <w:pPr>
              <w:pStyle w:val="Tablehead"/>
              <w:jc w:val="left"/>
              <w:rPr>
                <w:b w:val="0"/>
                <w:szCs w:val="22"/>
                <w:lang w:eastAsia="zh-CN"/>
              </w:rPr>
            </w:pPr>
            <w:r w:rsidRPr="004A12C1">
              <w:rPr>
                <w:rFonts w:hint="eastAsia"/>
                <w:szCs w:val="22"/>
                <w:lang w:eastAsia="zh-CN"/>
              </w:rPr>
              <w:t>圣多美和普林西比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3D950F" w14:textId="77777777" w:rsidR="004C18AD" w:rsidRPr="00E54975"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8C09A8" w14:textId="77777777" w:rsidR="004C18AD" w:rsidRPr="00E54975"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5B6E7C" w14:textId="77777777" w:rsidR="004C18AD" w:rsidRPr="00E54975"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AA8003" w14:textId="77777777" w:rsidR="004C18AD" w:rsidRPr="00E54975" w:rsidRDefault="004C18AD" w:rsidP="00042C67">
            <w:pPr>
              <w:pStyle w:val="Tablehead"/>
              <w:jc w:val="right"/>
              <w:rPr>
                <w:b w:val="0"/>
                <w:szCs w:val="22"/>
              </w:rPr>
            </w:pPr>
          </w:p>
        </w:tc>
      </w:tr>
      <w:tr w:rsidR="004C18AD" w:rsidRPr="00326F46" w14:paraId="04CBC759"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0AF665" w14:textId="77777777" w:rsidR="004C18AD" w:rsidRPr="00326F46" w:rsidRDefault="004C18AD" w:rsidP="00042C67">
            <w:pPr>
              <w:pStyle w:val="Tablehead"/>
              <w:jc w:val="left"/>
              <w:rPr>
                <w:szCs w:val="22"/>
                <w:lang w:eastAsia="zh-CN"/>
              </w:rPr>
            </w:pPr>
            <w:r w:rsidRPr="004A12C1">
              <w:rPr>
                <w:b w:val="0"/>
                <w:szCs w:val="22"/>
                <w:lang w:val="fr-FR" w:eastAsia="zh-CN"/>
              </w:rPr>
              <w:t>–</w:t>
            </w:r>
            <w:r w:rsidRPr="004A12C1">
              <w:rPr>
                <w:b w:val="0"/>
                <w:szCs w:val="22"/>
                <w:lang w:val="fr-FR" w:eastAsia="zh-CN"/>
              </w:rPr>
              <w:tab/>
            </w:r>
            <w:r w:rsidRPr="00326F46">
              <w:rPr>
                <w:b w:val="0"/>
                <w:szCs w:val="22"/>
                <w:lang w:eastAsia="zh-CN"/>
              </w:rPr>
              <w:t>Unitel, STP</w:t>
            </w:r>
            <w:r>
              <w:rPr>
                <w:rFonts w:hint="eastAsia"/>
                <w:b w:val="0"/>
                <w:szCs w:val="22"/>
                <w:lang w:eastAsia="zh-CN"/>
              </w:rPr>
              <w:t>，</w:t>
            </w:r>
            <w:r w:rsidRPr="004A12C1">
              <w:rPr>
                <w:rFonts w:hint="eastAsia"/>
                <w:b w:val="0"/>
                <w:szCs w:val="22"/>
                <w:lang w:eastAsia="zh-CN"/>
              </w:rPr>
              <w:t>圣多美</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B5F54" w14:textId="77777777" w:rsidR="004C18AD" w:rsidRPr="00326F46" w:rsidRDefault="004C18AD" w:rsidP="00042C67">
            <w:pPr>
              <w:pStyle w:val="Tablehead"/>
              <w:jc w:val="left"/>
              <w:rPr>
                <w:szCs w:val="22"/>
              </w:rPr>
            </w:pPr>
            <w:r w:rsidRPr="00326F46">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4DCCD" w14:textId="77777777" w:rsidR="004C18AD" w:rsidRPr="00326F46" w:rsidRDefault="004C18AD" w:rsidP="00042C67">
            <w:pPr>
              <w:pStyle w:val="Tablehead"/>
              <w:jc w:val="right"/>
              <w:rPr>
                <w:szCs w:val="22"/>
              </w:rPr>
            </w:pPr>
            <w:r w:rsidRPr="00326F46">
              <w:rPr>
                <w:b w:val="0"/>
                <w:szCs w:val="22"/>
              </w:rPr>
              <w:t>4</w:t>
            </w:r>
            <w:r>
              <w:rPr>
                <w:b w:val="0"/>
                <w:szCs w:val="22"/>
              </w:rPr>
              <w:t> </w:t>
            </w:r>
            <w:r w:rsidRPr="00326F46">
              <w:rPr>
                <w:b w:val="0"/>
                <w:szCs w:val="22"/>
              </w:rPr>
              <w:t>213.50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782A8" w14:textId="77777777" w:rsidR="004C18AD" w:rsidRPr="00326F46" w:rsidRDefault="004C18AD" w:rsidP="00042C67">
            <w:pPr>
              <w:pStyle w:val="Tablehead"/>
              <w:jc w:val="right"/>
              <w:rPr>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C4D3C" w14:textId="77777777" w:rsidR="004C18AD" w:rsidRPr="00326F46" w:rsidRDefault="004C18AD" w:rsidP="00042C67">
            <w:pPr>
              <w:pStyle w:val="Tablehead"/>
              <w:jc w:val="right"/>
              <w:rPr>
                <w:szCs w:val="22"/>
              </w:rPr>
            </w:pPr>
            <w:r w:rsidRPr="00326F46">
              <w:rPr>
                <w:b w:val="0"/>
                <w:szCs w:val="22"/>
              </w:rPr>
              <w:t>4</w:t>
            </w:r>
            <w:r>
              <w:rPr>
                <w:b w:val="0"/>
                <w:szCs w:val="22"/>
              </w:rPr>
              <w:t> </w:t>
            </w:r>
            <w:r w:rsidRPr="00326F46">
              <w:rPr>
                <w:b w:val="0"/>
                <w:szCs w:val="22"/>
              </w:rPr>
              <w:t>213.50</w:t>
            </w:r>
          </w:p>
        </w:tc>
      </w:tr>
      <w:tr w:rsidR="004C18AD" w:rsidRPr="00910F82" w14:paraId="699A012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B5EED" w14:textId="77777777" w:rsidR="004C18AD" w:rsidRPr="00326F46" w:rsidRDefault="004C18AD" w:rsidP="00042C67">
            <w:pPr>
              <w:pStyle w:val="Tablehead"/>
              <w:jc w:val="left"/>
              <w:rPr>
                <w:b w:val="0"/>
                <w:szCs w:val="22"/>
                <w:lang w:eastAsia="zh-CN"/>
              </w:rPr>
            </w:pPr>
            <w:r w:rsidRPr="000C156A">
              <w:rPr>
                <w:rFonts w:cs="Calibri" w:hint="eastAsia"/>
                <w:bCs/>
                <w:szCs w:val="22"/>
                <w:lang w:eastAsia="zh-CN"/>
              </w:rPr>
              <w:t>沙特阿拉伯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65696B" w14:textId="77777777" w:rsidR="004C18AD" w:rsidRPr="00326F46"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89CDA4" w14:textId="77777777" w:rsidR="004C18AD" w:rsidRPr="00326F46"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A2E706" w14:textId="77777777" w:rsidR="004C18AD" w:rsidRPr="00326F46"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857303" w14:textId="77777777" w:rsidR="004C18AD" w:rsidRPr="00326F46" w:rsidRDefault="004C18AD" w:rsidP="00042C67">
            <w:pPr>
              <w:pStyle w:val="Tablehead"/>
              <w:jc w:val="right"/>
              <w:rPr>
                <w:b w:val="0"/>
                <w:szCs w:val="22"/>
              </w:rPr>
            </w:pPr>
          </w:p>
        </w:tc>
      </w:tr>
      <w:tr w:rsidR="004C18AD" w:rsidRPr="00326F46" w14:paraId="3B97E81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B5387" w14:textId="77777777" w:rsidR="004C18AD" w:rsidRPr="00326F46" w:rsidRDefault="004C18AD" w:rsidP="00042C67">
            <w:pPr>
              <w:pStyle w:val="Tablehead"/>
              <w:jc w:val="left"/>
              <w:rPr>
                <w:szCs w:val="22"/>
                <w:lang w:eastAsia="zh-CN"/>
              </w:rPr>
            </w:pPr>
            <w:r w:rsidRPr="00622A7E">
              <w:rPr>
                <w:rFonts w:cs="Calibri"/>
                <w:b w:val="0"/>
                <w:szCs w:val="22"/>
                <w:lang w:val="fr-FR"/>
              </w:rPr>
              <w:t>–</w:t>
            </w:r>
            <w:r w:rsidRPr="00622A7E">
              <w:rPr>
                <w:rFonts w:cs="Calibri"/>
                <w:b w:val="0"/>
                <w:szCs w:val="22"/>
                <w:lang w:val="fr-FR"/>
              </w:rPr>
              <w:tab/>
              <w:t>Electronia</w:t>
            </w:r>
            <w:r w:rsidRPr="00622A7E">
              <w:rPr>
                <w:rFonts w:cs="Calibri" w:hint="eastAsia"/>
                <w:b w:val="0"/>
                <w:szCs w:val="22"/>
                <w:lang w:val="fr-FR"/>
              </w:rPr>
              <w:t>公司，阿尔库巴</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04B18" w14:textId="77777777" w:rsidR="004C18AD" w:rsidRPr="00326F46" w:rsidRDefault="004C18AD" w:rsidP="00042C67">
            <w:pPr>
              <w:pStyle w:val="Tablehead"/>
              <w:jc w:val="left"/>
              <w:rPr>
                <w:szCs w:val="22"/>
              </w:rPr>
            </w:pPr>
            <w:r w:rsidRPr="00622A7E">
              <w:rPr>
                <w:b w:val="0"/>
                <w:szCs w:val="22"/>
              </w:rPr>
              <w:t>2008-2010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DA485" w14:textId="77777777" w:rsidR="004C18AD" w:rsidRPr="00326F46" w:rsidRDefault="004C18AD" w:rsidP="00042C67">
            <w:pPr>
              <w:pStyle w:val="Tablehead"/>
              <w:jc w:val="right"/>
              <w:rPr>
                <w:szCs w:val="22"/>
              </w:rPr>
            </w:pPr>
            <w:r w:rsidRPr="00622A7E">
              <w:rPr>
                <w:b w:val="0"/>
                <w:szCs w:val="22"/>
              </w:rPr>
              <w:t>7</w:t>
            </w:r>
            <w:r>
              <w:rPr>
                <w:b w:val="0"/>
                <w:szCs w:val="22"/>
              </w:rPr>
              <w:t> </w:t>
            </w:r>
            <w:r w:rsidRPr="00622A7E">
              <w:rPr>
                <w:b w:val="0"/>
                <w:szCs w:val="22"/>
              </w:rPr>
              <w:t>849.45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D631F" w14:textId="77777777" w:rsidR="004C18AD" w:rsidRPr="00326F46" w:rsidRDefault="004C18AD" w:rsidP="00042C67">
            <w:pPr>
              <w:pStyle w:val="Tablehead"/>
              <w:jc w:val="right"/>
              <w:rPr>
                <w:szCs w:val="22"/>
              </w:rPr>
            </w:pPr>
            <w:r w:rsidRPr="00622A7E">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0902D" w14:textId="77777777" w:rsidR="004C18AD" w:rsidRPr="00326F46" w:rsidRDefault="004C18AD" w:rsidP="00042C67">
            <w:pPr>
              <w:pStyle w:val="Tablehead"/>
              <w:jc w:val="right"/>
              <w:rPr>
                <w:szCs w:val="22"/>
              </w:rPr>
            </w:pPr>
            <w:r w:rsidRPr="00622A7E">
              <w:rPr>
                <w:b w:val="0"/>
                <w:szCs w:val="22"/>
              </w:rPr>
              <w:t>7</w:t>
            </w:r>
            <w:r>
              <w:rPr>
                <w:b w:val="0"/>
                <w:szCs w:val="22"/>
              </w:rPr>
              <w:t> </w:t>
            </w:r>
            <w:r w:rsidRPr="00622A7E">
              <w:rPr>
                <w:b w:val="0"/>
                <w:szCs w:val="22"/>
              </w:rPr>
              <w:t>849.45</w:t>
            </w:r>
          </w:p>
        </w:tc>
      </w:tr>
      <w:tr w:rsidR="004C18AD" w:rsidRPr="00622A7E" w14:paraId="502AF4D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06B3D" w14:textId="77777777" w:rsidR="004C18AD" w:rsidRPr="00622A7E" w:rsidRDefault="004C18AD" w:rsidP="00042C67">
            <w:pPr>
              <w:pStyle w:val="Tablehead"/>
              <w:jc w:val="left"/>
              <w:rPr>
                <w:b w:val="0"/>
                <w:szCs w:val="22"/>
                <w:lang w:eastAsia="zh-CN"/>
              </w:rPr>
            </w:pPr>
            <w:r w:rsidRPr="00622A7E">
              <w:rPr>
                <w:rFonts w:cs="Calibri"/>
                <w:b w:val="0"/>
                <w:szCs w:val="22"/>
                <w:lang w:val="fr-FR"/>
              </w:rPr>
              <w:t>–</w:t>
            </w:r>
            <w:r w:rsidRPr="00622A7E">
              <w:rPr>
                <w:rFonts w:cs="Calibri"/>
                <w:b w:val="0"/>
                <w:szCs w:val="22"/>
                <w:lang w:val="fr-FR"/>
              </w:rPr>
              <w:tab/>
              <w:t>Tuwaiq</w:t>
            </w:r>
            <w:r w:rsidRPr="00622A7E">
              <w:rPr>
                <w:rFonts w:cs="Calibri" w:hint="eastAsia"/>
                <w:b w:val="0"/>
                <w:szCs w:val="22"/>
                <w:lang w:val="fr-FR"/>
              </w:rPr>
              <w:t>通信公司，利雅得</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0EE0AD" w14:textId="77777777" w:rsidR="004C18AD" w:rsidRPr="00622A7E" w:rsidRDefault="004C18AD" w:rsidP="00042C67">
            <w:pPr>
              <w:pStyle w:val="Tablehead"/>
              <w:jc w:val="left"/>
              <w:rPr>
                <w:b w:val="0"/>
                <w:szCs w:val="22"/>
              </w:rPr>
            </w:pPr>
            <w:r w:rsidRPr="00622A7E">
              <w:rPr>
                <w:b w:val="0"/>
                <w:szCs w:val="22"/>
              </w:rPr>
              <w:t>2008-2009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CDF456" w14:textId="77777777" w:rsidR="004C18AD" w:rsidRPr="00622A7E" w:rsidRDefault="004C18AD" w:rsidP="00042C67">
            <w:pPr>
              <w:pStyle w:val="Tablehead"/>
              <w:jc w:val="right"/>
              <w:rPr>
                <w:b w:val="0"/>
                <w:szCs w:val="22"/>
              </w:rPr>
            </w:pPr>
            <w:r w:rsidRPr="00622A7E">
              <w:rPr>
                <w:b w:val="0"/>
                <w:szCs w:val="22"/>
              </w:rPr>
              <w:t>88</w:t>
            </w:r>
            <w:r>
              <w:rPr>
                <w:b w:val="0"/>
                <w:szCs w:val="22"/>
              </w:rPr>
              <w:t> </w:t>
            </w:r>
            <w:r w:rsidRPr="00622A7E">
              <w:rPr>
                <w:b w:val="0"/>
                <w:szCs w:val="22"/>
              </w:rPr>
              <w:t>595.00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235683" w14:textId="77777777" w:rsidR="004C18AD" w:rsidRPr="00622A7E" w:rsidRDefault="004C18AD" w:rsidP="00042C67">
            <w:pPr>
              <w:pStyle w:val="Tablehead"/>
              <w:jc w:val="right"/>
              <w:rPr>
                <w:b w:val="0"/>
                <w:szCs w:val="22"/>
              </w:rPr>
            </w:pPr>
            <w:r w:rsidRPr="00622A7E">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BAE689" w14:textId="77777777" w:rsidR="004C18AD" w:rsidRPr="00622A7E" w:rsidRDefault="004C18AD" w:rsidP="00042C67">
            <w:pPr>
              <w:pStyle w:val="Tablehead"/>
              <w:jc w:val="right"/>
              <w:rPr>
                <w:b w:val="0"/>
                <w:szCs w:val="22"/>
              </w:rPr>
            </w:pPr>
            <w:r w:rsidRPr="00622A7E">
              <w:rPr>
                <w:b w:val="0"/>
                <w:szCs w:val="22"/>
              </w:rPr>
              <w:t>88</w:t>
            </w:r>
            <w:r>
              <w:rPr>
                <w:b w:val="0"/>
                <w:szCs w:val="22"/>
              </w:rPr>
              <w:t> </w:t>
            </w:r>
            <w:r w:rsidRPr="00622A7E">
              <w:rPr>
                <w:b w:val="0"/>
                <w:szCs w:val="22"/>
              </w:rPr>
              <w:t>595.00</w:t>
            </w:r>
          </w:p>
        </w:tc>
      </w:tr>
      <w:tr w:rsidR="004C18AD" w:rsidRPr="00622A7E" w14:paraId="32F88D1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03C4B" w14:textId="77777777" w:rsidR="004C18AD" w:rsidRPr="00622A7E" w:rsidRDefault="004C18AD" w:rsidP="00042C67">
            <w:pPr>
              <w:pStyle w:val="Tablehead"/>
              <w:jc w:val="left"/>
              <w:rPr>
                <w:b w:val="0"/>
                <w:szCs w:val="22"/>
                <w:lang w:eastAsia="zh-CN"/>
              </w:rPr>
            </w:pPr>
            <w:r w:rsidRPr="000C156A">
              <w:rPr>
                <w:rFonts w:cs="Calibri"/>
                <w:bCs/>
                <w:szCs w:val="22"/>
              </w:rPr>
              <w:t>塞内加尔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15CEB4" w14:textId="77777777" w:rsidR="004C18AD" w:rsidRPr="00622A7E"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A7B7D8" w14:textId="77777777" w:rsidR="004C18AD" w:rsidRPr="00622A7E"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44950A" w14:textId="77777777" w:rsidR="004C18AD" w:rsidRPr="00622A7E"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6639E" w14:textId="77777777" w:rsidR="004C18AD" w:rsidRPr="00622A7E" w:rsidRDefault="004C18AD" w:rsidP="00042C67">
            <w:pPr>
              <w:pStyle w:val="Tablehead"/>
              <w:jc w:val="right"/>
              <w:rPr>
                <w:b w:val="0"/>
                <w:szCs w:val="22"/>
              </w:rPr>
            </w:pPr>
          </w:p>
        </w:tc>
      </w:tr>
      <w:tr w:rsidR="004C18AD" w:rsidRPr="00326F46" w14:paraId="4CF63E8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48E23B" w14:textId="77777777" w:rsidR="004C18AD" w:rsidRPr="00326F46" w:rsidRDefault="004C18AD" w:rsidP="00042C67">
            <w:pPr>
              <w:pStyle w:val="Tablehead"/>
              <w:jc w:val="left"/>
              <w:rPr>
                <w:szCs w:val="22"/>
                <w:lang w:eastAsia="zh-CN"/>
              </w:rPr>
            </w:pPr>
            <w:r w:rsidRPr="002F446D">
              <w:rPr>
                <w:b w:val="0"/>
                <w:szCs w:val="22"/>
                <w:lang w:val="fr-FR" w:eastAsia="zh-CN"/>
              </w:rPr>
              <w:t>–</w:t>
            </w:r>
            <w:r w:rsidRPr="002F446D">
              <w:rPr>
                <w:b w:val="0"/>
                <w:szCs w:val="22"/>
                <w:lang w:val="fr-FR" w:eastAsia="zh-CN"/>
              </w:rPr>
              <w:tab/>
            </w:r>
            <w:r w:rsidRPr="00326F46">
              <w:rPr>
                <w:b w:val="0"/>
                <w:szCs w:val="22"/>
                <w:lang w:eastAsia="zh-CN"/>
              </w:rPr>
              <w:t>Expresso Telecom, Dakar-Ponty</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B9A1E" w14:textId="77777777" w:rsidR="004C18AD" w:rsidRPr="00326F46" w:rsidRDefault="004C18AD" w:rsidP="00042C67">
            <w:pPr>
              <w:pStyle w:val="Tablehead"/>
              <w:jc w:val="left"/>
              <w:rPr>
                <w:szCs w:val="22"/>
              </w:rPr>
            </w:pPr>
            <w:r w:rsidRPr="00326F46">
              <w:rPr>
                <w:b w:val="0"/>
                <w:szCs w:val="22"/>
              </w:rPr>
              <w:t>2017-2018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462F0" w14:textId="77777777" w:rsidR="004C18AD" w:rsidRPr="00326F46" w:rsidRDefault="004C18AD" w:rsidP="00042C67">
            <w:pPr>
              <w:pStyle w:val="Tablehead"/>
              <w:jc w:val="right"/>
              <w:rPr>
                <w:szCs w:val="22"/>
              </w:rPr>
            </w:pPr>
            <w:r w:rsidRPr="00326F46">
              <w:rPr>
                <w:b w:val="0"/>
                <w:szCs w:val="22"/>
              </w:rPr>
              <w:t>2</w:t>
            </w:r>
            <w:r>
              <w:rPr>
                <w:b w:val="0"/>
                <w:szCs w:val="22"/>
              </w:rPr>
              <w:t> </w:t>
            </w:r>
            <w:r w:rsidRPr="00326F46">
              <w:rPr>
                <w:b w:val="0"/>
                <w:szCs w:val="22"/>
              </w:rPr>
              <w:t>108.70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7CB5" w14:textId="77777777" w:rsidR="004C18AD" w:rsidRPr="00326F46" w:rsidRDefault="004C18AD" w:rsidP="00042C67">
            <w:pPr>
              <w:pStyle w:val="Tablehead"/>
              <w:jc w:val="right"/>
              <w:rPr>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11EC5" w14:textId="77777777" w:rsidR="004C18AD" w:rsidRPr="00326F46" w:rsidRDefault="004C18AD" w:rsidP="00042C67">
            <w:pPr>
              <w:pStyle w:val="Tablehead"/>
              <w:jc w:val="right"/>
              <w:rPr>
                <w:szCs w:val="22"/>
              </w:rPr>
            </w:pPr>
            <w:r w:rsidRPr="00326F46">
              <w:rPr>
                <w:b w:val="0"/>
                <w:szCs w:val="22"/>
              </w:rPr>
              <w:t>2</w:t>
            </w:r>
            <w:r>
              <w:rPr>
                <w:b w:val="0"/>
                <w:szCs w:val="22"/>
              </w:rPr>
              <w:t> </w:t>
            </w:r>
            <w:r w:rsidRPr="00326F46">
              <w:rPr>
                <w:b w:val="0"/>
                <w:szCs w:val="22"/>
              </w:rPr>
              <w:t>108.70</w:t>
            </w:r>
          </w:p>
        </w:tc>
      </w:tr>
      <w:tr w:rsidR="004C18AD" w:rsidRPr="00910F82" w14:paraId="7BD74130"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9045A" w14:textId="77777777" w:rsidR="004C18AD" w:rsidRPr="003A64C9" w:rsidRDefault="004C18AD" w:rsidP="00042C67">
            <w:pPr>
              <w:pStyle w:val="Tablehead"/>
              <w:jc w:val="left"/>
              <w:rPr>
                <w:b w:val="0"/>
                <w:szCs w:val="22"/>
                <w:lang w:val="fr-CH" w:eastAsia="zh-CN"/>
              </w:rPr>
            </w:pPr>
            <w:r w:rsidRPr="00F64030">
              <w:rPr>
                <w:b w:val="0"/>
                <w:szCs w:val="22"/>
                <w:lang w:val="fr-FR" w:eastAsia="zh-CN"/>
              </w:rPr>
              <w:t>–</w:t>
            </w:r>
            <w:r w:rsidRPr="00F64030">
              <w:rPr>
                <w:b w:val="0"/>
                <w:szCs w:val="22"/>
                <w:lang w:val="fr-FR" w:eastAsia="zh-CN"/>
              </w:rPr>
              <w:tab/>
            </w:r>
            <w:r w:rsidRPr="00326F46">
              <w:rPr>
                <w:b w:val="0"/>
                <w:szCs w:val="22"/>
                <w:lang w:val="fr-CH" w:eastAsia="zh-CN"/>
              </w:rPr>
              <w:t>Initiative Africaine des Tech. Avancées</w:t>
            </w:r>
            <w:r>
              <w:rPr>
                <w:rFonts w:hint="eastAsia"/>
                <w:b w:val="0"/>
                <w:szCs w:val="22"/>
                <w:lang w:val="fr-CH" w:eastAsia="zh-CN"/>
              </w:rPr>
              <w:t>，达喀尔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B8C597" w14:textId="77777777" w:rsidR="004C18AD" w:rsidRPr="00326F46" w:rsidRDefault="004C18AD" w:rsidP="00042C67">
            <w:pPr>
              <w:pStyle w:val="Tablehead"/>
              <w:jc w:val="left"/>
              <w:rPr>
                <w:b w:val="0"/>
                <w:szCs w:val="22"/>
              </w:rPr>
            </w:pPr>
            <w:r w:rsidRPr="00326F46">
              <w:rPr>
                <w:b w:val="0"/>
                <w:szCs w:val="22"/>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8103FB" w14:textId="77777777" w:rsidR="004C18AD" w:rsidRPr="00326F46" w:rsidRDefault="004C18AD" w:rsidP="00042C67">
            <w:pPr>
              <w:pStyle w:val="Tablehead"/>
              <w:jc w:val="right"/>
              <w:rPr>
                <w:b w:val="0"/>
                <w:szCs w:val="22"/>
              </w:rPr>
            </w:pPr>
            <w:r w:rsidRPr="00326F46">
              <w:rPr>
                <w:b w:val="0"/>
                <w:szCs w:val="22"/>
              </w:rPr>
              <w:t>2</w:t>
            </w:r>
            <w:r>
              <w:rPr>
                <w:b w:val="0"/>
                <w:szCs w:val="22"/>
              </w:rPr>
              <w:t> </w:t>
            </w:r>
            <w:r w:rsidRPr="00326F46">
              <w:rPr>
                <w:b w:val="0"/>
                <w:szCs w:val="22"/>
              </w:rPr>
              <w:t>046.60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826AA8" w14:textId="77777777" w:rsidR="004C18AD" w:rsidRPr="00326F46" w:rsidRDefault="004C18AD" w:rsidP="00042C67">
            <w:pPr>
              <w:pStyle w:val="Tablehead"/>
              <w:jc w:val="right"/>
              <w:rPr>
                <w:b w:val="0"/>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428AE6" w14:textId="77777777" w:rsidR="004C18AD" w:rsidRPr="00326F46" w:rsidRDefault="004C18AD" w:rsidP="00042C67">
            <w:pPr>
              <w:pStyle w:val="Tablehead"/>
              <w:jc w:val="right"/>
              <w:rPr>
                <w:b w:val="0"/>
                <w:szCs w:val="22"/>
              </w:rPr>
            </w:pPr>
            <w:r w:rsidRPr="00326F46">
              <w:rPr>
                <w:b w:val="0"/>
                <w:szCs w:val="22"/>
              </w:rPr>
              <w:t>2</w:t>
            </w:r>
            <w:r>
              <w:rPr>
                <w:b w:val="0"/>
                <w:szCs w:val="22"/>
              </w:rPr>
              <w:t> </w:t>
            </w:r>
            <w:r w:rsidRPr="00326F46">
              <w:rPr>
                <w:b w:val="0"/>
                <w:szCs w:val="22"/>
              </w:rPr>
              <w:t>046.60</w:t>
            </w:r>
          </w:p>
        </w:tc>
      </w:tr>
      <w:tr w:rsidR="004C18AD" w:rsidRPr="00910F82" w14:paraId="20C975A0"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CD204" w14:textId="77777777" w:rsidR="004C18AD" w:rsidRPr="00326F46" w:rsidRDefault="004C18AD" w:rsidP="00042C67">
            <w:pPr>
              <w:pStyle w:val="Tablehead"/>
              <w:jc w:val="left"/>
              <w:rPr>
                <w:b w:val="0"/>
                <w:szCs w:val="22"/>
                <w:lang w:val="fr-CH" w:eastAsia="zh-CN"/>
              </w:rPr>
            </w:pPr>
            <w:r w:rsidRPr="00CD4989">
              <w:rPr>
                <w:rFonts w:cs="Calibri"/>
                <w:b w:val="0"/>
                <w:szCs w:val="22"/>
                <w:lang w:val="fr-FR" w:eastAsia="zh-CN"/>
              </w:rPr>
              <w:t>–</w:t>
            </w:r>
            <w:r w:rsidRPr="00CD4989">
              <w:rPr>
                <w:rFonts w:cs="Calibri"/>
                <w:b w:val="0"/>
                <w:szCs w:val="22"/>
                <w:lang w:val="fr-FR" w:eastAsia="zh-CN"/>
              </w:rPr>
              <w:tab/>
            </w:r>
            <w:r w:rsidRPr="00CD4989">
              <w:rPr>
                <w:rFonts w:cs="Calibri" w:hint="eastAsia"/>
                <w:b w:val="0"/>
                <w:szCs w:val="22"/>
                <w:lang w:val="fr-FR" w:eastAsia="zh-CN"/>
              </w:rPr>
              <w:t>普遍服务联盟（</w:t>
            </w:r>
            <w:r w:rsidRPr="00CD4989">
              <w:rPr>
                <w:rFonts w:cs="Calibri" w:hint="eastAsia"/>
                <w:b w:val="0"/>
                <w:szCs w:val="22"/>
                <w:lang w:val="fr-FR" w:eastAsia="zh-CN"/>
              </w:rPr>
              <w:t>USC</w:t>
            </w:r>
            <w:r w:rsidRPr="00CD4989">
              <w:rPr>
                <w:rFonts w:cs="Calibri" w:hint="eastAsia"/>
                <w:b w:val="0"/>
                <w:szCs w:val="22"/>
                <w:lang w:val="fr-FR" w:eastAsia="zh-CN"/>
              </w:rPr>
              <w:t>），达喀尔</w:t>
            </w:r>
            <w:r w:rsidRPr="00CD4989">
              <w:rPr>
                <w:rFonts w:cs="Calibri" w:hint="eastAsia"/>
                <w:b w:val="0"/>
                <w:szCs w:val="22"/>
                <w:lang w:val="fr-FR" w:eastAsia="zh-CN"/>
              </w:rPr>
              <w:t>-</w:t>
            </w:r>
            <w:r w:rsidRPr="00CD4989">
              <w:rPr>
                <w:rFonts w:cs="Calibri" w:hint="eastAsia"/>
                <w:b w:val="0"/>
                <w:szCs w:val="22"/>
                <w:lang w:val="fr-FR" w:eastAsia="zh-CN"/>
              </w:rPr>
              <w:t>梅迪纳</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41956F" w14:textId="77777777" w:rsidR="004C18AD" w:rsidRPr="00326F46" w:rsidRDefault="004C18AD" w:rsidP="00042C67">
            <w:pPr>
              <w:pStyle w:val="Tablehead"/>
              <w:jc w:val="left"/>
              <w:rPr>
                <w:b w:val="0"/>
                <w:szCs w:val="22"/>
              </w:rPr>
            </w:pPr>
            <w:r w:rsidRPr="00326F46">
              <w:rPr>
                <w:b w:val="0"/>
                <w:szCs w:val="22"/>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0E7CB8" w14:textId="77777777" w:rsidR="004C18AD" w:rsidRPr="00326F46" w:rsidRDefault="004C18AD" w:rsidP="00042C67">
            <w:pPr>
              <w:pStyle w:val="Tablehead"/>
              <w:jc w:val="right"/>
              <w:rPr>
                <w:b w:val="0"/>
                <w:szCs w:val="22"/>
              </w:rPr>
            </w:pPr>
            <w:r w:rsidRPr="00326F46">
              <w:rPr>
                <w:b w:val="0"/>
                <w:szCs w:val="22"/>
              </w:rPr>
              <w:t>9</w:t>
            </w:r>
            <w:r>
              <w:rPr>
                <w:b w:val="0"/>
                <w:szCs w:val="22"/>
              </w:rPr>
              <w:t> </w:t>
            </w:r>
            <w:r w:rsidRPr="00326F46">
              <w:rPr>
                <w:b w:val="0"/>
                <w:szCs w:val="22"/>
              </w:rPr>
              <w:t>267.65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D37DEE" w14:textId="77777777" w:rsidR="004C18AD" w:rsidRPr="00326F46" w:rsidRDefault="004C18AD" w:rsidP="00042C67">
            <w:pPr>
              <w:pStyle w:val="Tablehead"/>
              <w:jc w:val="right"/>
              <w:rPr>
                <w:b w:val="0"/>
                <w:szCs w:val="22"/>
              </w:rPr>
            </w:pPr>
            <w:r w:rsidRPr="00326F46">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92DA31" w14:textId="77777777" w:rsidR="004C18AD" w:rsidRPr="00326F46" w:rsidRDefault="004C18AD" w:rsidP="00042C67">
            <w:pPr>
              <w:pStyle w:val="Tablehead"/>
              <w:jc w:val="right"/>
              <w:rPr>
                <w:b w:val="0"/>
                <w:szCs w:val="22"/>
              </w:rPr>
            </w:pPr>
            <w:r w:rsidRPr="00326F46">
              <w:rPr>
                <w:b w:val="0"/>
                <w:szCs w:val="22"/>
              </w:rPr>
              <w:t>9</w:t>
            </w:r>
            <w:r>
              <w:rPr>
                <w:b w:val="0"/>
                <w:szCs w:val="22"/>
              </w:rPr>
              <w:t> </w:t>
            </w:r>
            <w:r w:rsidRPr="00326F46">
              <w:rPr>
                <w:b w:val="0"/>
                <w:szCs w:val="22"/>
              </w:rPr>
              <w:t>267.65</w:t>
            </w:r>
          </w:p>
        </w:tc>
      </w:tr>
      <w:tr w:rsidR="004C18AD" w:rsidRPr="00910F82" w14:paraId="5B67788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23D36" w14:textId="77777777" w:rsidR="004C18AD" w:rsidRPr="00CD4989" w:rsidRDefault="004C18AD" w:rsidP="00042C67">
            <w:pPr>
              <w:pStyle w:val="Tablehead"/>
              <w:jc w:val="left"/>
              <w:rPr>
                <w:b w:val="0"/>
                <w:szCs w:val="22"/>
                <w:lang w:val="fr-CH" w:eastAsia="zh-CN"/>
              </w:rPr>
            </w:pPr>
            <w:r>
              <w:rPr>
                <w:rFonts w:hint="eastAsia"/>
                <w:szCs w:val="22"/>
                <w:lang w:val="fr-CH" w:eastAsia="zh-CN"/>
              </w:rPr>
              <w:t>苏丹</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E32266" w14:textId="77777777" w:rsidR="004C18AD" w:rsidRPr="00326F46"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AB7E8B" w14:textId="77777777" w:rsidR="004C18AD" w:rsidRPr="00326F46"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226C05" w14:textId="77777777" w:rsidR="004C18AD" w:rsidRPr="00326F46"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96C745" w14:textId="77777777" w:rsidR="004C18AD" w:rsidRPr="00326F46" w:rsidRDefault="004C18AD" w:rsidP="00042C67">
            <w:pPr>
              <w:pStyle w:val="Tablehead"/>
              <w:jc w:val="right"/>
              <w:rPr>
                <w:b w:val="0"/>
                <w:szCs w:val="22"/>
              </w:rPr>
            </w:pPr>
          </w:p>
        </w:tc>
      </w:tr>
      <w:tr w:rsidR="004C18AD" w:rsidRPr="00790B9B" w14:paraId="4A7CDAF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87EAC6" w14:textId="77777777" w:rsidR="004C18AD" w:rsidRPr="00790B9B" w:rsidRDefault="004C18AD" w:rsidP="00042C67">
            <w:pPr>
              <w:pStyle w:val="Tablehead"/>
              <w:jc w:val="left"/>
              <w:rPr>
                <w:szCs w:val="22"/>
                <w:lang w:val="fr-CH" w:eastAsia="zh-CN"/>
              </w:rPr>
            </w:pPr>
            <w:r w:rsidRPr="0011523E">
              <w:rPr>
                <w:rFonts w:cs="Calibri"/>
                <w:b w:val="0"/>
                <w:szCs w:val="22"/>
                <w:lang w:val="fr-FR" w:eastAsia="zh-CN"/>
              </w:rPr>
              <w:t>–</w:t>
            </w:r>
            <w:r w:rsidRPr="0011523E">
              <w:rPr>
                <w:rFonts w:cs="Calibri"/>
                <w:b w:val="0"/>
                <w:szCs w:val="22"/>
                <w:lang w:val="fr-FR" w:eastAsia="zh-CN"/>
              </w:rPr>
              <w:tab/>
            </w:r>
            <w:r w:rsidRPr="0011523E">
              <w:rPr>
                <w:rFonts w:cs="Calibri" w:hint="eastAsia"/>
                <w:b w:val="0"/>
                <w:szCs w:val="22"/>
                <w:lang w:val="fr-FR" w:eastAsia="zh-CN"/>
              </w:rPr>
              <w:t>花园城市科技学院，喀土穆</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680F4" w14:textId="77777777" w:rsidR="004C18AD" w:rsidRPr="00790B9B" w:rsidRDefault="004C18AD" w:rsidP="00042C67">
            <w:pPr>
              <w:pStyle w:val="Tablehead"/>
              <w:jc w:val="left"/>
              <w:rPr>
                <w:szCs w:val="22"/>
                <w:lang w:eastAsia="zh-CN"/>
              </w:rPr>
            </w:pPr>
            <w:r w:rsidRPr="00790B9B">
              <w:rPr>
                <w:b w:val="0"/>
                <w:szCs w:val="22"/>
              </w:rPr>
              <w:t>2013-2014</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DCE01" w14:textId="77777777" w:rsidR="004C18AD" w:rsidRPr="00790B9B" w:rsidRDefault="004C18AD" w:rsidP="00042C67">
            <w:pPr>
              <w:pStyle w:val="Tablehead"/>
              <w:jc w:val="right"/>
              <w:rPr>
                <w:szCs w:val="22"/>
                <w:lang w:eastAsia="zh-CN"/>
              </w:rPr>
            </w:pPr>
            <w:r w:rsidRPr="00790B9B">
              <w:rPr>
                <w:b w:val="0"/>
                <w:szCs w:val="22"/>
              </w:rPr>
              <w:t>3</w:t>
            </w:r>
            <w:r>
              <w:rPr>
                <w:b w:val="0"/>
                <w:szCs w:val="22"/>
              </w:rPr>
              <w:t> </w:t>
            </w:r>
            <w:r w:rsidRPr="00790B9B">
              <w:rPr>
                <w:b w:val="0"/>
                <w:szCs w:val="22"/>
              </w:rPr>
              <w:t>928.90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4F37F" w14:textId="77777777" w:rsidR="004C18AD" w:rsidRPr="00790B9B" w:rsidRDefault="004C18AD" w:rsidP="00042C67">
            <w:pPr>
              <w:pStyle w:val="Tablehead"/>
              <w:jc w:val="right"/>
              <w:rPr>
                <w:szCs w:val="22"/>
                <w:lang w:eastAsia="zh-CN"/>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E47FF" w14:textId="77777777" w:rsidR="004C18AD" w:rsidRPr="00790B9B" w:rsidRDefault="004C18AD" w:rsidP="00042C67">
            <w:pPr>
              <w:pStyle w:val="Tablehead"/>
              <w:jc w:val="right"/>
              <w:rPr>
                <w:szCs w:val="22"/>
                <w:lang w:eastAsia="zh-CN"/>
              </w:rPr>
            </w:pPr>
            <w:r w:rsidRPr="00790B9B">
              <w:rPr>
                <w:b w:val="0"/>
                <w:szCs w:val="22"/>
              </w:rPr>
              <w:t>3</w:t>
            </w:r>
            <w:r>
              <w:rPr>
                <w:b w:val="0"/>
                <w:szCs w:val="22"/>
              </w:rPr>
              <w:t> </w:t>
            </w:r>
            <w:r w:rsidRPr="00790B9B">
              <w:rPr>
                <w:b w:val="0"/>
                <w:szCs w:val="22"/>
              </w:rPr>
              <w:t>928.90</w:t>
            </w:r>
          </w:p>
        </w:tc>
      </w:tr>
      <w:tr w:rsidR="004C18AD" w:rsidRPr="00910F82" w14:paraId="4528561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889E6" w14:textId="77777777" w:rsidR="004C18AD" w:rsidRPr="0011523E" w:rsidRDefault="004C18AD" w:rsidP="00042C67">
            <w:pPr>
              <w:pStyle w:val="Tablehead"/>
              <w:jc w:val="left"/>
              <w:rPr>
                <w:b w:val="0"/>
                <w:szCs w:val="22"/>
                <w:lang w:val="en-US" w:eastAsia="zh-CN"/>
              </w:rPr>
            </w:pPr>
            <w:r w:rsidRPr="0011523E">
              <w:rPr>
                <w:rFonts w:cs="Calibri"/>
                <w:b w:val="0"/>
                <w:szCs w:val="22"/>
                <w:lang w:val="fr-FR" w:eastAsia="zh-CN"/>
              </w:rPr>
              <w:t>–</w:t>
            </w:r>
            <w:r w:rsidRPr="0011523E">
              <w:rPr>
                <w:rFonts w:cs="Calibri"/>
                <w:b w:val="0"/>
                <w:szCs w:val="22"/>
                <w:lang w:val="fr-FR" w:eastAsia="zh-CN"/>
              </w:rPr>
              <w:tab/>
            </w:r>
            <w:r w:rsidRPr="0011523E">
              <w:rPr>
                <w:rFonts w:cs="Calibri"/>
                <w:b w:val="0"/>
                <w:szCs w:val="22"/>
                <w:lang w:val="fr-FR" w:eastAsia="zh-CN"/>
              </w:rPr>
              <w:t>苏丹</w:t>
            </w:r>
            <w:r w:rsidRPr="0011523E">
              <w:rPr>
                <w:rFonts w:cs="Calibri" w:hint="eastAsia"/>
                <w:b w:val="0"/>
                <w:szCs w:val="22"/>
                <w:lang w:val="fr-FR" w:eastAsia="zh-CN"/>
              </w:rPr>
              <w:t>开放大学，喀土穆</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FF0C6E" w14:textId="77777777" w:rsidR="004C18AD" w:rsidRPr="00790B9B" w:rsidRDefault="004C18AD" w:rsidP="00042C67">
            <w:pPr>
              <w:pStyle w:val="Tablehead"/>
              <w:jc w:val="left"/>
              <w:rPr>
                <w:b w:val="0"/>
                <w:szCs w:val="22"/>
              </w:rPr>
            </w:pPr>
            <w:r w:rsidRPr="00790B9B">
              <w:rPr>
                <w:b w:val="0"/>
                <w:szCs w:val="22"/>
              </w:rPr>
              <w:t>2013-2014</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8CA390" w14:textId="77777777" w:rsidR="004C18AD" w:rsidRPr="00790B9B" w:rsidRDefault="004C18AD" w:rsidP="00042C67">
            <w:pPr>
              <w:pStyle w:val="Tablehead"/>
              <w:jc w:val="right"/>
              <w:rPr>
                <w:b w:val="0"/>
                <w:szCs w:val="22"/>
              </w:rPr>
            </w:pPr>
            <w:r w:rsidRPr="00790B9B">
              <w:rPr>
                <w:b w:val="0"/>
                <w:szCs w:val="22"/>
              </w:rPr>
              <w:t>3</w:t>
            </w:r>
            <w:r>
              <w:rPr>
                <w:b w:val="0"/>
                <w:szCs w:val="22"/>
              </w:rPr>
              <w:t> </w:t>
            </w:r>
            <w:r w:rsidRPr="00790B9B">
              <w:rPr>
                <w:b w:val="0"/>
                <w:szCs w:val="22"/>
              </w:rPr>
              <w:t>928.90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6BAFB8"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40E89B" w14:textId="77777777" w:rsidR="004C18AD" w:rsidRPr="00790B9B" w:rsidRDefault="004C18AD" w:rsidP="00042C67">
            <w:pPr>
              <w:pStyle w:val="Tablehead"/>
              <w:jc w:val="right"/>
              <w:rPr>
                <w:b w:val="0"/>
                <w:szCs w:val="22"/>
              </w:rPr>
            </w:pPr>
            <w:r w:rsidRPr="00790B9B">
              <w:rPr>
                <w:b w:val="0"/>
                <w:szCs w:val="22"/>
              </w:rPr>
              <w:t>3</w:t>
            </w:r>
            <w:r>
              <w:rPr>
                <w:b w:val="0"/>
                <w:szCs w:val="22"/>
              </w:rPr>
              <w:t> </w:t>
            </w:r>
            <w:r w:rsidRPr="00790B9B">
              <w:rPr>
                <w:b w:val="0"/>
                <w:szCs w:val="22"/>
              </w:rPr>
              <w:t>928.90</w:t>
            </w:r>
          </w:p>
        </w:tc>
      </w:tr>
      <w:tr w:rsidR="004C18AD" w:rsidRPr="00910F82" w14:paraId="6DD01B71"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7B19F4" w14:textId="77777777" w:rsidR="004C18AD" w:rsidRPr="0011523E" w:rsidRDefault="004C18AD" w:rsidP="00042C67">
            <w:pPr>
              <w:pStyle w:val="Tablehead"/>
              <w:jc w:val="left"/>
              <w:rPr>
                <w:b w:val="0"/>
                <w:szCs w:val="22"/>
                <w:lang w:val="en-US" w:eastAsia="zh-CN"/>
              </w:rPr>
            </w:pPr>
            <w:r w:rsidRPr="0011523E">
              <w:rPr>
                <w:rFonts w:cs="Calibri"/>
                <w:b w:val="0"/>
                <w:szCs w:val="22"/>
                <w:lang w:val="fr-FR"/>
              </w:rPr>
              <w:t>–</w:t>
            </w:r>
            <w:r w:rsidRPr="0011523E">
              <w:rPr>
                <w:rFonts w:cs="Calibri"/>
                <w:b w:val="0"/>
                <w:szCs w:val="22"/>
                <w:lang w:val="fr-FR"/>
              </w:rPr>
              <w:tab/>
              <w:t>Pulse</w:t>
            </w:r>
            <w:r w:rsidRPr="0011523E">
              <w:rPr>
                <w:rFonts w:cs="Calibri" w:hint="eastAsia"/>
                <w:b w:val="0"/>
                <w:szCs w:val="22"/>
                <w:lang w:val="fr-FR"/>
              </w:rPr>
              <w:t>公司，喀土穆</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9F7392" w14:textId="77777777" w:rsidR="004C18AD" w:rsidRPr="00790B9B" w:rsidRDefault="004C18AD" w:rsidP="00042C67">
            <w:pPr>
              <w:pStyle w:val="Tablehead"/>
              <w:jc w:val="left"/>
              <w:rPr>
                <w:b w:val="0"/>
                <w:szCs w:val="22"/>
              </w:rPr>
            </w:pPr>
            <w:r w:rsidRPr="00790B9B">
              <w:rPr>
                <w:b w:val="0"/>
                <w:szCs w:val="22"/>
              </w:rPr>
              <w:t>2016</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2157EB" w14:textId="77777777" w:rsidR="004C18AD" w:rsidRPr="00790B9B" w:rsidRDefault="004C18AD" w:rsidP="00042C67">
            <w:pPr>
              <w:pStyle w:val="Tablehead"/>
              <w:jc w:val="right"/>
              <w:rPr>
                <w:b w:val="0"/>
                <w:szCs w:val="22"/>
              </w:rPr>
            </w:pPr>
            <w:r w:rsidRPr="00790B9B">
              <w:rPr>
                <w:b w:val="0"/>
                <w:szCs w:val="22"/>
              </w:rPr>
              <w:t>5</w:t>
            </w:r>
            <w:r>
              <w:rPr>
                <w:b w:val="0"/>
                <w:szCs w:val="22"/>
              </w:rPr>
              <w:t> </w:t>
            </w:r>
            <w:r w:rsidRPr="00790B9B">
              <w:rPr>
                <w:b w:val="0"/>
                <w:szCs w:val="22"/>
              </w:rPr>
              <w:t>518.95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36AED5"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DE00C3" w14:textId="77777777" w:rsidR="004C18AD" w:rsidRPr="00790B9B" w:rsidRDefault="004C18AD" w:rsidP="00042C67">
            <w:pPr>
              <w:pStyle w:val="Tablehead"/>
              <w:jc w:val="right"/>
              <w:rPr>
                <w:b w:val="0"/>
                <w:szCs w:val="22"/>
              </w:rPr>
            </w:pPr>
            <w:r w:rsidRPr="00790B9B">
              <w:rPr>
                <w:b w:val="0"/>
                <w:szCs w:val="22"/>
              </w:rPr>
              <w:t>5</w:t>
            </w:r>
            <w:r>
              <w:rPr>
                <w:b w:val="0"/>
                <w:szCs w:val="22"/>
              </w:rPr>
              <w:t> </w:t>
            </w:r>
            <w:r w:rsidRPr="00790B9B">
              <w:rPr>
                <w:b w:val="0"/>
                <w:szCs w:val="22"/>
              </w:rPr>
              <w:t>518.95</w:t>
            </w:r>
          </w:p>
        </w:tc>
      </w:tr>
      <w:tr w:rsidR="004C18AD" w:rsidRPr="00910F82" w14:paraId="17D4E4A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9BFC0" w14:textId="77777777" w:rsidR="004C18AD" w:rsidRPr="0011523E" w:rsidRDefault="004C18AD" w:rsidP="00042C67">
            <w:pPr>
              <w:pStyle w:val="Tablehead"/>
              <w:jc w:val="left"/>
              <w:rPr>
                <w:b w:val="0"/>
                <w:szCs w:val="22"/>
                <w:lang w:val="fr-CH" w:eastAsia="zh-CN"/>
              </w:rPr>
            </w:pPr>
            <w:r w:rsidRPr="00F64030">
              <w:rPr>
                <w:b w:val="0"/>
                <w:szCs w:val="22"/>
                <w:lang w:val="fr-FR" w:eastAsia="zh-CN"/>
              </w:rPr>
              <w:t>–</w:t>
            </w:r>
            <w:r w:rsidRPr="00F64030">
              <w:rPr>
                <w:b w:val="0"/>
                <w:szCs w:val="22"/>
                <w:lang w:val="fr-FR" w:eastAsia="zh-CN"/>
              </w:rPr>
              <w:tab/>
            </w:r>
            <w:r w:rsidRPr="00790B9B">
              <w:rPr>
                <w:b w:val="0"/>
                <w:szCs w:val="22"/>
                <w:lang w:val="fr-CH" w:eastAsia="zh-CN"/>
              </w:rPr>
              <w:t xml:space="preserve">Sudatel </w:t>
            </w:r>
            <w:r>
              <w:rPr>
                <w:rFonts w:hint="eastAsia"/>
                <w:b w:val="0"/>
                <w:szCs w:val="22"/>
                <w:lang w:val="fr-CH" w:eastAsia="zh-CN"/>
              </w:rPr>
              <w:t>电信集团，喀土穆</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E12C5" w14:textId="77777777" w:rsidR="004C18AD" w:rsidRPr="00790B9B" w:rsidRDefault="004C18AD" w:rsidP="00042C67">
            <w:pPr>
              <w:pStyle w:val="Tablehead"/>
              <w:jc w:val="left"/>
              <w:rPr>
                <w:b w:val="0"/>
                <w:szCs w:val="22"/>
              </w:rPr>
            </w:pPr>
            <w:r w:rsidRPr="00790B9B">
              <w:rPr>
                <w:b w:val="0"/>
                <w:szCs w:val="22"/>
              </w:rPr>
              <w:t>2018-2020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231098" w14:textId="77777777" w:rsidR="004C18AD" w:rsidRPr="00790B9B" w:rsidRDefault="004C18AD" w:rsidP="00042C67">
            <w:pPr>
              <w:pStyle w:val="Tablehead"/>
              <w:jc w:val="right"/>
              <w:rPr>
                <w:b w:val="0"/>
                <w:szCs w:val="22"/>
              </w:rPr>
            </w:pPr>
            <w:r w:rsidRPr="00790B9B">
              <w:rPr>
                <w:b w:val="0"/>
                <w:szCs w:val="22"/>
              </w:rPr>
              <w:t>4</w:t>
            </w:r>
            <w:r>
              <w:rPr>
                <w:b w:val="0"/>
                <w:szCs w:val="22"/>
              </w:rPr>
              <w:t> </w:t>
            </w:r>
            <w:r w:rsidRPr="00790B9B">
              <w:rPr>
                <w:b w:val="0"/>
                <w:szCs w:val="22"/>
              </w:rPr>
              <w:t>458.65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4068D0"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01EC59" w14:textId="77777777" w:rsidR="004C18AD" w:rsidRPr="00790B9B" w:rsidRDefault="004C18AD" w:rsidP="00042C67">
            <w:pPr>
              <w:pStyle w:val="Tablehead"/>
              <w:jc w:val="right"/>
              <w:rPr>
                <w:b w:val="0"/>
                <w:szCs w:val="22"/>
              </w:rPr>
            </w:pPr>
            <w:r w:rsidRPr="00790B9B">
              <w:rPr>
                <w:b w:val="0"/>
                <w:szCs w:val="22"/>
              </w:rPr>
              <w:t>4</w:t>
            </w:r>
            <w:r>
              <w:rPr>
                <w:b w:val="0"/>
                <w:szCs w:val="22"/>
              </w:rPr>
              <w:t> </w:t>
            </w:r>
            <w:r w:rsidRPr="00790B9B">
              <w:rPr>
                <w:b w:val="0"/>
                <w:szCs w:val="22"/>
              </w:rPr>
              <w:t>458.65</w:t>
            </w:r>
          </w:p>
        </w:tc>
      </w:tr>
      <w:tr w:rsidR="004C18AD" w:rsidRPr="00910F82" w14:paraId="2E42C919"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5B296" w14:textId="77777777" w:rsidR="004C18AD" w:rsidRPr="00790B9B" w:rsidRDefault="004C18AD" w:rsidP="00042C67">
            <w:pPr>
              <w:pStyle w:val="Tablehead"/>
              <w:jc w:val="left"/>
              <w:rPr>
                <w:b w:val="0"/>
                <w:szCs w:val="22"/>
                <w:lang w:val="fr-CH" w:eastAsia="zh-CN"/>
              </w:rPr>
            </w:pPr>
            <w:r w:rsidRPr="0011523E">
              <w:rPr>
                <w:rFonts w:cs="Calibri"/>
                <w:b w:val="0"/>
                <w:szCs w:val="22"/>
                <w:lang w:val="fr-FR" w:eastAsia="zh-CN"/>
              </w:rPr>
              <w:t>–</w:t>
            </w:r>
            <w:r w:rsidRPr="0011523E">
              <w:rPr>
                <w:rFonts w:cs="Calibri"/>
                <w:b w:val="0"/>
                <w:szCs w:val="22"/>
                <w:lang w:val="fr-FR" w:eastAsia="zh-CN"/>
              </w:rPr>
              <w:tab/>
            </w:r>
            <w:r w:rsidRPr="0011523E">
              <w:rPr>
                <w:rFonts w:cs="Calibri" w:hint="eastAsia"/>
                <w:b w:val="0"/>
                <w:szCs w:val="22"/>
                <w:lang w:val="fr-FR" w:eastAsia="zh-CN"/>
              </w:rPr>
              <w:t>喀土穆大学，喀土穆</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B11A5B" w14:textId="77777777" w:rsidR="004C18AD" w:rsidRPr="00790B9B" w:rsidRDefault="004C18AD" w:rsidP="00042C67">
            <w:pPr>
              <w:pStyle w:val="Tablehead"/>
              <w:jc w:val="left"/>
              <w:rPr>
                <w:b w:val="0"/>
                <w:szCs w:val="22"/>
              </w:rPr>
            </w:pPr>
            <w:r w:rsidRPr="00790B9B">
              <w:rPr>
                <w:b w:val="0"/>
                <w:szCs w:val="22"/>
              </w:rPr>
              <w:t>2013-2014</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4CE430" w14:textId="77777777" w:rsidR="004C18AD" w:rsidRPr="00790B9B" w:rsidRDefault="004C18AD" w:rsidP="00042C67">
            <w:pPr>
              <w:pStyle w:val="Tablehead"/>
              <w:jc w:val="right"/>
              <w:rPr>
                <w:b w:val="0"/>
                <w:szCs w:val="22"/>
              </w:rPr>
            </w:pPr>
            <w:r w:rsidRPr="00790B9B">
              <w:rPr>
                <w:b w:val="0"/>
                <w:szCs w:val="22"/>
              </w:rPr>
              <w:t>3</w:t>
            </w:r>
            <w:r>
              <w:rPr>
                <w:b w:val="0"/>
                <w:szCs w:val="22"/>
              </w:rPr>
              <w:t> </w:t>
            </w:r>
            <w:r w:rsidRPr="00790B9B">
              <w:rPr>
                <w:b w:val="0"/>
                <w:szCs w:val="22"/>
              </w:rPr>
              <w:t>928.90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DAB1B8"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E0C719" w14:textId="77777777" w:rsidR="004C18AD" w:rsidRPr="00790B9B" w:rsidRDefault="004C18AD" w:rsidP="00042C67">
            <w:pPr>
              <w:pStyle w:val="Tablehead"/>
              <w:jc w:val="right"/>
              <w:rPr>
                <w:b w:val="0"/>
                <w:szCs w:val="22"/>
              </w:rPr>
            </w:pPr>
            <w:r w:rsidRPr="00790B9B">
              <w:rPr>
                <w:b w:val="0"/>
                <w:szCs w:val="22"/>
              </w:rPr>
              <w:t>3</w:t>
            </w:r>
            <w:r>
              <w:rPr>
                <w:b w:val="0"/>
                <w:szCs w:val="22"/>
              </w:rPr>
              <w:t> </w:t>
            </w:r>
            <w:r w:rsidRPr="00790B9B">
              <w:rPr>
                <w:b w:val="0"/>
                <w:szCs w:val="22"/>
              </w:rPr>
              <w:t>928.90</w:t>
            </w:r>
          </w:p>
        </w:tc>
      </w:tr>
      <w:tr w:rsidR="004C18AD" w:rsidRPr="00910F82" w14:paraId="40AF26C7"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2994B4" w14:textId="77777777" w:rsidR="004C18AD" w:rsidRPr="0011523E" w:rsidRDefault="004C18AD" w:rsidP="00042C67">
            <w:pPr>
              <w:pStyle w:val="Tablehead"/>
              <w:jc w:val="left"/>
              <w:rPr>
                <w:b w:val="0"/>
                <w:szCs w:val="22"/>
                <w:lang w:val="fr-CH" w:eastAsia="zh-CN"/>
              </w:rPr>
            </w:pPr>
            <w:r w:rsidRPr="000C156A">
              <w:rPr>
                <w:rFonts w:cs="Calibri"/>
                <w:bCs/>
                <w:szCs w:val="22"/>
              </w:rPr>
              <w:t>瑞典</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3AA84F" w14:textId="77777777" w:rsidR="004C18AD" w:rsidRPr="00790B9B"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57E69E" w14:textId="77777777" w:rsidR="004C18AD" w:rsidRPr="00790B9B"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37286C" w14:textId="77777777" w:rsidR="004C18AD" w:rsidRPr="00790B9B"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1675B9" w14:textId="77777777" w:rsidR="004C18AD" w:rsidRPr="00790B9B" w:rsidRDefault="004C18AD" w:rsidP="00042C67">
            <w:pPr>
              <w:pStyle w:val="Tablehead"/>
              <w:jc w:val="right"/>
              <w:rPr>
                <w:b w:val="0"/>
                <w:szCs w:val="22"/>
              </w:rPr>
            </w:pPr>
          </w:p>
        </w:tc>
      </w:tr>
      <w:tr w:rsidR="004C18AD" w:rsidRPr="00790B9B" w14:paraId="69B5640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F81B4" w14:textId="77777777" w:rsidR="004C18AD" w:rsidRPr="00790B9B" w:rsidRDefault="004C18AD" w:rsidP="00042C67">
            <w:pPr>
              <w:pStyle w:val="Tablehead"/>
              <w:jc w:val="left"/>
              <w:rPr>
                <w:szCs w:val="22"/>
                <w:lang w:val="fr-CH" w:eastAsia="zh-CN"/>
              </w:rPr>
            </w:pPr>
            <w:r w:rsidRPr="00A61CAF">
              <w:rPr>
                <w:rFonts w:cs="Calibri"/>
                <w:b w:val="0"/>
                <w:szCs w:val="22"/>
              </w:rPr>
              <w:t>–</w:t>
            </w:r>
            <w:r w:rsidRPr="00A61CAF">
              <w:rPr>
                <w:rFonts w:cs="Calibri"/>
                <w:b w:val="0"/>
                <w:szCs w:val="22"/>
              </w:rPr>
              <w:tab/>
              <w:t>GlobeTouch</w:t>
            </w:r>
            <w:r w:rsidRPr="00A61CAF">
              <w:rPr>
                <w:rFonts w:cs="Calibri" w:hint="eastAsia"/>
                <w:b w:val="0"/>
                <w:szCs w:val="22"/>
                <w:lang w:eastAsia="zh-CN"/>
              </w:rPr>
              <w:t>公司，斯德哥尔摩</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F8EF6" w14:textId="77777777" w:rsidR="004C18AD" w:rsidRPr="00790B9B" w:rsidRDefault="004C18AD" w:rsidP="00042C67">
            <w:pPr>
              <w:pStyle w:val="Tablehead"/>
              <w:jc w:val="left"/>
              <w:rPr>
                <w:szCs w:val="22"/>
              </w:rPr>
            </w:pPr>
            <w:r w:rsidRPr="00A61CAF">
              <w:rPr>
                <w:b w:val="0"/>
                <w:szCs w:val="22"/>
              </w:rPr>
              <w:t>2016</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C5287" w14:textId="77777777" w:rsidR="004C18AD" w:rsidRPr="00790B9B" w:rsidRDefault="004C18AD" w:rsidP="00042C67">
            <w:pPr>
              <w:pStyle w:val="Tablehead"/>
              <w:jc w:val="right"/>
              <w:rPr>
                <w:szCs w:val="22"/>
              </w:rPr>
            </w:pPr>
            <w:r w:rsidRPr="00A61CAF">
              <w:rPr>
                <w:b w:val="0"/>
                <w:szCs w:val="22"/>
              </w:rPr>
              <w:t>14</w:t>
            </w:r>
            <w:r>
              <w:rPr>
                <w:b w:val="0"/>
                <w:szCs w:val="22"/>
              </w:rPr>
              <w:t> </w:t>
            </w:r>
            <w:r w:rsidRPr="00A61CAF">
              <w:rPr>
                <w:b w:val="0"/>
                <w:szCs w:val="22"/>
              </w:rPr>
              <w:t>717.15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D2BF" w14:textId="77777777" w:rsidR="004C18AD" w:rsidRPr="00790B9B" w:rsidRDefault="004C18AD" w:rsidP="00042C67">
            <w:pPr>
              <w:pStyle w:val="Tablehead"/>
              <w:jc w:val="right"/>
              <w:rPr>
                <w:szCs w:val="22"/>
              </w:rPr>
            </w:pPr>
            <w:r w:rsidRPr="00A61CAF">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FAABA" w14:textId="77777777" w:rsidR="004C18AD" w:rsidRPr="00790B9B" w:rsidRDefault="004C18AD" w:rsidP="00042C67">
            <w:pPr>
              <w:pStyle w:val="Tablehead"/>
              <w:jc w:val="right"/>
              <w:rPr>
                <w:szCs w:val="22"/>
              </w:rPr>
            </w:pPr>
            <w:r w:rsidRPr="00A61CAF">
              <w:rPr>
                <w:b w:val="0"/>
                <w:szCs w:val="22"/>
              </w:rPr>
              <w:t>14</w:t>
            </w:r>
            <w:r>
              <w:rPr>
                <w:b w:val="0"/>
                <w:szCs w:val="22"/>
              </w:rPr>
              <w:t> </w:t>
            </w:r>
            <w:r w:rsidRPr="00A61CAF">
              <w:rPr>
                <w:b w:val="0"/>
                <w:szCs w:val="22"/>
              </w:rPr>
              <w:t>717.15</w:t>
            </w:r>
          </w:p>
        </w:tc>
      </w:tr>
      <w:tr w:rsidR="004C18AD" w:rsidRPr="00A61CAF" w14:paraId="211AA78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B70AA" w14:textId="77777777" w:rsidR="004C18AD" w:rsidRPr="00A61CAF" w:rsidRDefault="004C18AD" w:rsidP="00042C67">
            <w:pPr>
              <w:pStyle w:val="Tablehead"/>
              <w:jc w:val="left"/>
              <w:rPr>
                <w:b w:val="0"/>
                <w:szCs w:val="22"/>
                <w:lang w:val="fr-CH" w:eastAsia="zh-CN"/>
              </w:rPr>
            </w:pPr>
            <w:r w:rsidRPr="000C156A">
              <w:rPr>
                <w:rFonts w:cs="Calibri"/>
                <w:bCs/>
                <w:szCs w:val="22"/>
              </w:rPr>
              <w:t>瑞士</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AE258B" w14:textId="77777777" w:rsidR="004C18AD" w:rsidRPr="00A61CAF"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E2FBAB" w14:textId="77777777" w:rsidR="004C18AD" w:rsidRPr="00A61CAF"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DDB579" w14:textId="77777777" w:rsidR="004C18AD" w:rsidRPr="00A61CAF"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87C198" w14:textId="77777777" w:rsidR="004C18AD" w:rsidRPr="00A61CAF" w:rsidRDefault="004C18AD" w:rsidP="00042C67">
            <w:pPr>
              <w:pStyle w:val="Tablehead"/>
              <w:jc w:val="right"/>
              <w:rPr>
                <w:b w:val="0"/>
                <w:szCs w:val="22"/>
              </w:rPr>
            </w:pPr>
          </w:p>
        </w:tc>
      </w:tr>
      <w:tr w:rsidR="004C18AD" w:rsidRPr="00790B9B" w14:paraId="1DF8A56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8DE0D" w14:textId="77777777" w:rsidR="004C18AD" w:rsidRPr="002C248C" w:rsidRDefault="004C18AD" w:rsidP="00042C67">
            <w:pPr>
              <w:pStyle w:val="Tablehead"/>
              <w:jc w:val="left"/>
              <w:rPr>
                <w:szCs w:val="22"/>
                <w:lang w:val="en-US" w:eastAsia="zh-CN"/>
              </w:rPr>
            </w:pPr>
            <w:r w:rsidRPr="00F64030">
              <w:rPr>
                <w:b w:val="0"/>
                <w:szCs w:val="22"/>
                <w:lang w:eastAsia="zh-CN"/>
              </w:rPr>
              <w:t>–</w:t>
            </w:r>
            <w:r w:rsidRPr="00F64030">
              <w:rPr>
                <w:b w:val="0"/>
                <w:szCs w:val="22"/>
                <w:lang w:eastAsia="zh-CN"/>
              </w:rPr>
              <w:tab/>
            </w:r>
            <w:r w:rsidRPr="00790B9B">
              <w:rPr>
                <w:b w:val="0"/>
                <w:szCs w:val="22"/>
                <w:lang w:val="en-US" w:eastAsia="zh-CN"/>
              </w:rPr>
              <w:t>High-Tech Bridge SA</w:t>
            </w:r>
            <w:r>
              <w:rPr>
                <w:rFonts w:hint="eastAsia"/>
                <w:b w:val="0"/>
                <w:szCs w:val="22"/>
                <w:lang w:val="en-US" w:eastAsia="zh-CN"/>
              </w:rPr>
              <w:t>，日内瓦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B5891" w14:textId="77777777" w:rsidR="004C18AD" w:rsidRPr="00790B9B" w:rsidRDefault="004C18AD" w:rsidP="00042C67">
            <w:pPr>
              <w:pStyle w:val="Tablehead"/>
              <w:jc w:val="left"/>
              <w:rPr>
                <w:szCs w:val="22"/>
              </w:rPr>
            </w:pPr>
            <w:r w:rsidRPr="00790B9B">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15CDC" w14:textId="77777777" w:rsidR="004C18AD" w:rsidRPr="00790B9B" w:rsidRDefault="004C18AD" w:rsidP="00042C67">
            <w:pPr>
              <w:pStyle w:val="Tablehead"/>
              <w:jc w:val="right"/>
              <w:rPr>
                <w:szCs w:val="22"/>
              </w:rPr>
            </w:pPr>
            <w:r w:rsidRPr="00790B9B">
              <w:rPr>
                <w:b w:val="0"/>
                <w:szCs w:val="22"/>
              </w:rPr>
              <w:t>4</w:t>
            </w:r>
            <w:r>
              <w:rPr>
                <w:b w:val="0"/>
                <w:szCs w:val="22"/>
              </w:rPr>
              <w:t> </w:t>
            </w:r>
            <w:r w:rsidRPr="00790B9B">
              <w:rPr>
                <w:b w:val="0"/>
                <w:szCs w:val="22"/>
              </w:rPr>
              <w:t>213.50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447E0" w14:textId="77777777" w:rsidR="004C18AD" w:rsidRPr="00790B9B" w:rsidRDefault="004C18AD" w:rsidP="00042C67">
            <w:pPr>
              <w:pStyle w:val="Tablehead"/>
              <w:jc w:val="right"/>
              <w:rPr>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4D85" w14:textId="77777777" w:rsidR="004C18AD" w:rsidRPr="00790B9B" w:rsidRDefault="004C18AD" w:rsidP="00042C67">
            <w:pPr>
              <w:pStyle w:val="Tablehead"/>
              <w:jc w:val="right"/>
              <w:rPr>
                <w:szCs w:val="22"/>
              </w:rPr>
            </w:pPr>
            <w:r w:rsidRPr="00790B9B">
              <w:rPr>
                <w:b w:val="0"/>
                <w:szCs w:val="22"/>
              </w:rPr>
              <w:t>4</w:t>
            </w:r>
            <w:r>
              <w:rPr>
                <w:b w:val="0"/>
                <w:szCs w:val="22"/>
              </w:rPr>
              <w:t> </w:t>
            </w:r>
            <w:r w:rsidRPr="00790B9B">
              <w:rPr>
                <w:b w:val="0"/>
                <w:szCs w:val="22"/>
              </w:rPr>
              <w:t>213.50</w:t>
            </w:r>
          </w:p>
        </w:tc>
      </w:tr>
      <w:tr w:rsidR="004C18AD" w:rsidRPr="00910F82" w14:paraId="0BD8AC0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F5D0D" w14:textId="77777777" w:rsidR="004C18AD" w:rsidRPr="00790B9B" w:rsidRDefault="004C18AD" w:rsidP="00042C67">
            <w:pPr>
              <w:pStyle w:val="Tablehead"/>
              <w:jc w:val="left"/>
              <w:rPr>
                <w:b w:val="0"/>
                <w:szCs w:val="22"/>
                <w:lang w:val="en-US" w:eastAsia="zh-CN"/>
              </w:rPr>
            </w:pPr>
            <w:r>
              <w:rPr>
                <w:rFonts w:hint="eastAsia"/>
                <w:szCs w:val="22"/>
                <w:lang w:val="fr-CH" w:eastAsia="zh-CN"/>
              </w:rPr>
              <w:t>阿拉伯叙利亚共和国</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D1B1BD" w14:textId="77777777" w:rsidR="004C18AD" w:rsidRPr="00790B9B"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9C565C" w14:textId="77777777" w:rsidR="004C18AD" w:rsidRPr="00790B9B"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A9D1D4" w14:textId="77777777" w:rsidR="004C18AD" w:rsidRPr="00790B9B"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E373A8" w14:textId="77777777" w:rsidR="004C18AD" w:rsidRPr="00790B9B" w:rsidRDefault="004C18AD" w:rsidP="00042C67">
            <w:pPr>
              <w:pStyle w:val="Tablehead"/>
              <w:jc w:val="right"/>
              <w:rPr>
                <w:b w:val="0"/>
                <w:szCs w:val="22"/>
              </w:rPr>
            </w:pPr>
          </w:p>
        </w:tc>
      </w:tr>
      <w:tr w:rsidR="004C18AD" w:rsidRPr="00790B9B" w14:paraId="537C0D35"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4B7024" w14:textId="77777777" w:rsidR="004C18AD" w:rsidRPr="00790B9B" w:rsidRDefault="004C18AD" w:rsidP="00042C67">
            <w:pPr>
              <w:pStyle w:val="Tablehead"/>
              <w:jc w:val="left"/>
              <w:rPr>
                <w:szCs w:val="22"/>
                <w:lang w:val="fr-CH" w:eastAsia="zh-CN"/>
              </w:rPr>
            </w:pPr>
            <w:r w:rsidRPr="000B6118">
              <w:rPr>
                <w:b w:val="0"/>
                <w:szCs w:val="22"/>
                <w:lang w:eastAsia="zh-CN"/>
              </w:rPr>
              <w:t>–</w:t>
            </w:r>
            <w:r w:rsidRPr="000B6118">
              <w:rPr>
                <w:b w:val="0"/>
                <w:szCs w:val="22"/>
                <w:lang w:eastAsia="zh-CN"/>
              </w:rPr>
              <w:tab/>
            </w:r>
            <w:r>
              <w:rPr>
                <w:rFonts w:hint="eastAsia"/>
                <w:b w:val="0"/>
                <w:szCs w:val="22"/>
                <w:lang w:eastAsia="zh-CN"/>
              </w:rPr>
              <w:t>叙利亚移动电信公司，大马士革</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9DD62" w14:textId="77777777" w:rsidR="004C18AD" w:rsidRPr="00790B9B" w:rsidRDefault="004C18AD" w:rsidP="00042C67">
            <w:pPr>
              <w:pStyle w:val="Tablehead"/>
              <w:jc w:val="left"/>
              <w:rPr>
                <w:szCs w:val="22"/>
              </w:rPr>
            </w:pPr>
            <w:r w:rsidRPr="00790B9B">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DD4E" w14:textId="77777777" w:rsidR="004C18AD" w:rsidRPr="00790B9B" w:rsidRDefault="004C18AD" w:rsidP="00042C67">
            <w:pPr>
              <w:pStyle w:val="Tablehead"/>
              <w:jc w:val="right"/>
              <w:rPr>
                <w:szCs w:val="22"/>
              </w:rPr>
            </w:pPr>
            <w:r w:rsidRPr="00790B9B">
              <w:rPr>
                <w:b w:val="0"/>
                <w:szCs w:val="22"/>
              </w:rPr>
              <w:t>4</w:t>
            </w:r>
            <w:r>
              <w:rPr>
                <w:b w:val="0"/>
                <w:szCs w:val="22"/>
              </w:rPr>
              <w:t> </w:t>
            </w:r>
            <w:r w:rsidRPr="00790B9B">
              <w:rPr>
                <w:b w:val="0"/>
                <w:szCs w:val="22"/>
              </w:rPr>
              <w:t>213.50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CD7F8" w14:textId="77777777" w:rsidR="004C18AD" w:rsidRPr="00790B9B" w:rsidRDefault="004C18AD" w:rsidP="00042C67">
            <w:pPr>
              <w:pStyle w:val="Tablehead"/>
              <w:jc w:val="right"/>
              <w:rPr>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62EBE" w14:textId="77777777" w:rsidR="004C18AD" w:rsidRPr="00790B9B" w:rsidRDefault="004C18AD" w:rsidP="00042C67">
            <w:pPr>
              <w:pStyle w:val="Tablehead"/>
              <w:jc w:val="right"/>
              <w:rPr>
                <w:szCs w:val="22"/>
              </w:rPr>
            </w:pPr>
            <w:r w:rsidRPr="00790B9B">
              <w:rPr>
                <w:b w:val="0"/>
                <w:szCs w:val="22"/>
              </w:rPr>
              <w:t>4</w:t>
            </w:r>
            <w:r>
              <w:rPr>
                <w:b w:val="0"/>
                <w:szCs w:val="22"/>
              </w:rPr>
              <w:t> </w:t>
            </w:r>
            <w:r w:rsidRPr="00790B9B">
              <w:rPr>
                <w:b w:val="0"/>
                <w:szCs w:val="22"/>
              </w:rPr>
              <w:t>213.50</w:t>
            </w:r>
          </w:p>
        </w:tc>
      </w:tr>
      <w:tr w:rsidR="004C18AD" w:rsidRPr="00910F82" w14:paraId="33A7FEC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39074" w14:textId="77777777" w:rsidR="004C18AD" w:rsidRPr="00790B9B" w:rsidRDefault="004C18AD" w:rsidP="00042C67">
            <w:pPr>
              <w:pStyle w:val="Tablehead"/>
              <w:jc w:val="left"/>
              <w:rPr>
                <w:b w:val="0"/>
                <w:szCs w:val="22"/>
                <w:lang w:val="fr-CH" w:eastAsia="zh-CN"/>
              </w:rPr>
            </w:pPr>
            <w:r w:rsidRPr="00C97CC1">
              <w:rPr>
                <w:rFonts w:cs="Calibri" w:hint="eastAsia"/>
                <w:bCs/>
                <w:szCs w:val="22"/>
                <w:lang w:val="en-US" w:eastAsia="zh-CN"/>
              </w:rPr>
              <w:t>突尼斯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99A90D" w14:textId="77777777" w:rsidR="004C18AD" w:rsidRPr="00790B9B"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F73BAD" w14:textId="77777777" w:rsidR="004C18AD" w:rsidRPr="00790B9B"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B94186" w14:textId="77777777" w:rsidR="004C18AD" w:rsidRPr="00790B9B"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8139E2D" w14:textId="77777777" w:rsidR="004C18AD" w:rsidRPr="00790B9B" w:rsidRDefault="004C18AD" w:rsidP="00042C67">
            <w:pPr>
              <w:pStyle w:val="Tablehead"/>
              <w:jc w:val="right"/>
              <w:rPr>
                <w:b w:val="0"/>
                <w:szCs w:val="22"/>
              </w:rPr>
            </w:pPr>
          </w:p>
        </w:tc>
      </w:tr>
      <w:tr w:rsidR="004C18AD" w:rsidRPr="00C97CC1" w14:paraId="5D5ABC1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E64813" w14:textId="77777777" w:rsidR="004C18AD" w:rsidRPr="0076544D" w:rsidRDefault="004C18AD" w:rsidP="00042C67">
            <w:pPr>
              <w:pStyle w:val="Tablehead"/>
              <w:jc w:val="left"/>
              <w:rPr>
                <w:szCs w:val="22"/>
                <w:lang w:eastAsia="zh-CN"/>
              </w:rPr>
            </w:pPr>
            <w:r w:rsidRPr="00C97CC1">
              <w:rPr>
                <w:rFonts w:cs="Calibri"/>
                <w:b w:val="0"/>
                <w:szCs w:val="22"/>
                <w:lang w:eastAsia="zh-CN"/>
              </w:rPr>
              <w:t>–</w:t>
            </w:r>
            <w:r w:rsidRPr="00C97CC1">
              <w:rPr>
                <w:rFonts w:cs="Calibri"/>
                <w:b w:val="0"/>
                <w:szCs w:val="22"/>
                <w:lang w:eastAsia="zh-CN"/>
              </w:rPr>
              <w:tab/>
            </w:r>
            <w:r w:rsidRPr="00C97CC1">
              <w:rPr>
                <w:rFonts w:cs="Calibri"/>
                <w:b w:val="0"/>
                <w:szCs w:val="22"/>
                <w:lang w:val="fr-FR" w:eastAsia="zh-CN"/>
              </w:rPr>
              <w:t>突尼斯网络监管机构</w:t>
            </w:r>
            <w:r w:rsidRPr="00C97CC1">
              <w:rPr>
                <w:rFonts w:cs="Calibri"/>
                <w:b w:val="0"/>
                <w:szCs w:val="22"/>
                <w:lang w:eastAsia="zh-CN"/>
              </w:rPr>
              <w:t>（</w:t>
            </w:r>
            <w:r w:rsidRPr="00C97CC1">
              <w:rPr>
                <w:rFonts w:cs="Calibri"/>
                <w:b w:val="0"/>
                <w:szCs w:val="22"/>
                <w:lang w:eastAsia="zh-CN"/>
              </w:rPr>
              <w:t>ATI</w:t>
            </w:r>
            <w:r w:rsidRPr="00C97CC1">
              <w:rPr>
                <w:rFonts w:cs="Calibri"/>
                <w:b w:val="0"/>
                <w:szCs w:val="22"/>
                <w:lang w:eastAsia="zh-CN"/>
              </w:rPr>
              <w:t>）</w:t>
            </w:r>
            <w:r w:rsidRPr="00C97CC1">
              <w:rPr>
                <w:rFonts w:cs="Calibri" w:hint="eastAsia"/>
                <w:b w:val="0"/>
                <w:szCs w:val="22"/>
                <w:lang w:eastAsia="zh-CN"/>
              </w:rPr>
              <w:t>突尼斯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DFAF" w14:textId="77777777" w:rsidR="004C18AD" w:rsidRPr="00C97CC1" w:rsidRDefault="004C18AD" w:rsidP="00042C67">
            <w:pPr>
              <w:pStyle w:val="Tablehead"/>
              <w:jc w:val="left"/>
              <w:rPr>
                <w:szCs w:val="22"/>
                <w:lang w:eastAsia="zh-CN"/>
              </w:rPr>
            </w:pPr>
            <w:r w:rsidRPr="00790B9B">
              <w:rPr>
                <w:b w:val="0"/>
                <w:szCs w:val="22"/>
              </w:rPr>
              <w:t>2018-2019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428" w14:textId="77777777" w:rsidR="004C18AD" w:rsidRPr="00C97CC1" w:rsidRDefault="004C18AD" w:rsidP="00042C67">
            <w:pPr>
              <w:pStyle w:val="Tablehead"/>
              <w:jc w:val="right"/>
              <w:rPr>
                <w:szCs w:val="22"/>
                <w:lang w:eastAsia="zh-CN"/>
              </w:rPr>
            </w:pPr>
            <w:r w:rsidRPr="00790B9B">
              <w:rPr>
                <w:b w:val="0"/>
                <w:szCs w:val="22"/>
              </w:rPr>
              <w:t>15</w:t>
            </w:r>
            <w:r>
              <w:rPr>
                <w:b w:val="0"/>
                <w:szCs w:val="22"/>
              </w:rPr>
              <w:t> </w:t>
            </w:r>
            <w:r w:rsidRPr="00790B9B">
              <w:rPr>
                <w:b w:val="0"/>
                <w:szCs w:val="22"/>
              </w:rPr>
              <w:t>255.80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6DED6" w14:textId="77777777" w:rsidR="004C18AD" w:rsidRPr="00C97CC1" w:rsidRDefault="004C18AD" w:rsidP="00042C67">
            <w:pPr>
              <w:pStyle w:val="Tablehead"/>
              <w:jc w:val="right"/>
              <w:rPr>
                <w:szCs w:val="22"/>
                <w:lang w:eastAsia="zh-CN"/>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F9EC5" w14:textId="77777777" w:rsidR="004C18AD" w:rsidRPr="00C97CC1" w:rsidRDefault="004C18AD" w:rsidP="00042C67">
            <w:pPr>
              <w:pStyle w:val="Tablehead"/>
              <w:jc w:val="right"/>
              <w:rPr>
                <w:szCs w:val="22"/>
                <w:lang w:eastAsia="zh-CN"/>
              </w:rPr>
            </w:pPr>
            <w:r w:rsidRPr="00790B9B">
              <w:rPr>
                <w:b w:val="0"/>
                <w:szCs w:val="22"/>
              </w:rPr>
              <w:t>15</w:t>
            </w:r>
            <w:r>
              <w:rPr>
                <w:b w:val="0"/>
                <w:szCs w:val="22"/>
              </w:rPr>
              <w:t> </w:t>
            </w:r>
            <w:r w:rsidRPr="00790B9B">
              <w:rPr>
                <w:b w:val="0"/>
                <w:szCs w:val="22"/>
              </w:rPr>
              <w:t>255.80</w:t>
            </w:r>
          </w:p>
        </w:tc>
      </w:tr>
      <w:tr w:rsidR="004C18AD" w:rsidRPr="00910F82" w14:paraId="5E5C0C7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F887C" w14:textId="77777777" w:rsidR="004C18AD" w:rsidRPr="00C97CC1" w:rsidRDefault="004C18AD" w:rsidP="00042C67">
            <w:pPr>
              <w:pStyle w:val="Tablehead"/>
              <w:jc w:val="left"/>
              <w:rPr>
                <w:b w:val="0"/>
                <w:szCs w:val="22"/>
                <w:lang w:val="fr-CH" w:eastAsia="zh-CN"/>
              </w:rPr>
            </w:pPr>
            <w:r w:rsidRPr="00C97CC1">
              <w:rPr>
                <w:rFonts w:cs="Calibri"/>
                <w:b w:val="0"/>
                <w:szCs w:val="22"/>
                <w:lang w:val="fr-FR" w:eastAsia="zh-CN"/>
              </w:rPr>
              <w:t>–</w:t>
            </w:r>
            <w:r w:rsidRPr="00C97CC1">
              <w:rPr>
                <w:rFonts w:cs="Calibri"/>
                <w:b w:val="0"/>
                <w:szCs w:val="22"/>
                <w:lang w:val="fr-FR" w:eastAsia="zh-CN"/>
              </w:rPr>
              <w:tab/>
            </w:r>
            <w:r w:rsidRPr="00C97CC1">
              <w:rPr>
                <w:rFonts w:cs="Calibri" w:hint="eastAsia"/>
                <w:b w:val="0"/>
                <w:szCs w:val="22"/>
                <w:lang w:val="fr-FR" w:eastAsia="zh-CN"/>
              </w:rPr>
              <w:t>突尼斯工程师学校，突尼斯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540917" w14:textId="77777777" w:rsidR="004C18AD" w:rsidRPr="00790B9B" w:rsidRDefault="004C18AD" w:rsidP="00042C67">
            <w:pPr>
              <w:pStyle w:val="Tablehead"/>
              <w:jc w:val="left"/>
              <w:rPr>
                <w:b w:val="0"/>
                <w:szCs w:val="22"/>
              </w:rPr>
            </w:pPr>
            <w:r w:rsidRPr="00790B9B">
              <w:rPr>
                <w:b w:val="0"/>
                <w:szCs w:val="22"/>
              </w:rPr>
              <w:t>2011-2012</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ED7D91" w14:textId="77777777" w:rsidR="004C18AD" w:rsidRPr="00790B9B" w:rsidRDefault="004C18AD" w:rsidP="00042C67">
            <w:pPr>
              <w:pStyle w:val="Tablehead"/>
              <w:jc w:val="right"/>
              <w:rPr>
                <w:b w:val="0"/>
                <w:szCs w:val="22"/>
              </w:rPr>
            </w:pPr>
            <w:r w:rsidRPr="00790B9B">
              <w:rPr>
                <w:b w:val="0"/>
                <w:szCs w:val="22"/>
              </w:rPr>
              <w:t>13</w:t>
            </w:r>
            <w:r>
              <w:rPr>
                <w:b w:val="0"/>
                <w:szCs w:val="22"/>
              </w:rPr>
              <w:t> </w:t>
            </w:r>
            <w:r w:rsidRPr="00790B9B">
              <w:rPr>
                <w:b w:val="0"/>
                <w:szCs w:val="22"/>
              </w:rPr>
              <w:t>293.39</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F6DEB8"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CB17C7" w14:textId="77777777" w:rsidR="004C18AD" w:rsidRPr="00790B9B" w:rsidRDefault="004C18AD" w:rsidP="00042C67">
            <w:pPr>
              <w:pStyle w:val="Tablehead"/>
              <w:jc w:val="right"/>
              <w:rPr>
                <w:b w:val="0"/>
                <w:szCs w:val="22"/>
              </w:rPr>
            </w:pPr>
            <w:r w:rsidRPr="00790B9B">
              <w:rPr>
                <w:b w:val="0"/>
                <w:szCs w:val="22"/>
              </w:rPr>
              <w:t>13</w:t>
            </w:r>
            <w:r>
              <w:rPr>
                <w:b w:val="0"/>
                <w:szCs w:val="22"/>
              </w:rPr>
              <w:t> </w:t>
            </w:r>
            <w:r w:rsidRPr="00790B9B">
              <w:rPr>
                <w:b w:val="0"/>
                <w:szCs w:val="22"/>
              </w:rPr>
              <w:t>293.39</w:t>
            </w:r>
          </w:p>
        </w:tc>
      </w:tr>
      <w:tr w:rsidR="004C18AD" w:rsidRPr="00910F82" w14:paraId="064FEF4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68BD8" w14:textId="77777777" w:rsidR="004C18AD" w:rsidRPr="00C97CC1" w:rsidRDefault="004C18AD" w:rsidP="00042C67">
            <w:pPr>
              <w:pStyle w:val="Tablehead"/>
              <w:jc w:val="left"/>
              <w:rPr>
                <w:b w:val="0"/>
                <w:szCs w:val="22"/>
                <w:lang w:val="fr-CH" w:eastAsia="zh-CN"/>
              </w:rPr>
            </w:pPr>
            <w:r w:rsidRPr="00C97CC1">
              <w:rPr>
                <w:rFonts w:cs="Calibri"/>
                <w:b w:val="0"/>
                <w:szCs w:val="22"/>
                <w:lang w:val="fr-FR" w:eastAsia="zh-CN"/>
              </w:rPr>
              <w:t>–</w:t>
            </w:r>
            <w:r w:rsidRPr="00C97CC1">
              <w:rPr>
                <w:rFonts w:cs="Calibri"/>
                <w:b w:val="0"/>
                <w:szCs w:val="22"/>
                <w:lang w:val="fr-FR" w:eastAsia="zh-CN"/>
              </w:rPr>
              <w:tab/>
            </w:r>
            <w:r w:rsidRPr="00C97CC1">
              <w:rPr>
                <w:rFonts w:cs="Calibri" w:hint="eastAsia"/>
                <w:b w:val="0"/>
                <w:szCs w:val="22"/>
                <w:lang w:val="fr-FR" w:eastAsia="zh-CN"/>
              </w:rPr>
              <w:t>突尼斯高等通信学院</w:t>
            </w:r>
            <w:r w:rsidRPr="00C97CC1">
              <w:rPr>
                <w:rFonts w:cs="Calibri"/>
                <w:b w:val="0"/>
                <w:szCs w:val="22"/>
                <w:lang w:val="fr-FR" w:eastAsia="zh-CN"/>
              </w:rPr>
              <w:br/>
            </w:r>
            <w:r w:rsidRPr="00C97CC1">
              <w:rPr>
                <w:rFonts w:cs="Calibri" w:hint="eastAsia"/>
                <w:b w:val="0"/>
                <w:szCs w:val="22"/>
                <w:lang w:val="fr-FR" w:eastAsia="zh-CN"/>
              </w:rPr>
              <w:t>（</w:t>
            </w:r>
            <w:r w:rsidRPr="00C97CC1">
              <w:rPr>
                <w:rFonts w:cs="Calibri"/>
                <w:b w:val="0"/>
                <w:szCs w:val="22"/>
                <w:lang w:val="fr-FR" w:eastAsia="zh-CN"/>
              </w:rPr>
              <w:t>Sup</w:t>
            </w:r>
            <w:r>
              <w:rPr>
                <w:rFonts w:cs="Calibri"/>
                <w:b w:val="0"/>
                <w:szCs w:val="22"/>
                <w:lang w:val="fr-FR" w:eastAsia="zh-CN"/>
              </w:rPr>
              <w:t> </w:t>
            </w:r>
            <w:r w:rsidRPr="00C97CC1">
              <w:rPr>
                <w:rFonts w:cs="Calibri"/>
                <w:b w:val="0"/>
                <w:szCs w:val="22"/>
                <w:lang w:val="fr-FR" w:eastAsia="zh-CN"/>
              </w:rPr>
              <w:t>Com</w:t>
            </w:r>
            <w:r w:rsidRPr="00C97CC1">
              <w:rPr>
                <w:rFonts w:cs="Calibri" w:hint="eastAsia"/>
                <w:b w:val="0"/>
                <w:szCs w:val="22"/>
                <w:lang w:val="fr-FR" w:eastAsia="zh-CN"/>
              </w:rPr>
              <w:t>），突尼斯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3F9ECE" w14:textId="77777777" w:rsidR="004C18AD" w:rsidRPr="00790B9B" w:rsidRDefault="004C18AD" w:rsidP="00042C67">
            <w:pPr>
              <w:pStyle w:val="Tablehead"/>
              <w:jc w:val="left"/>
              <w:rPr>
                <w:b w:val="0"/>
                <w:szCs w:val="22"/>
              </w:rPr>
            </w:pPr>
            <w:r w:rsidRPr="00790B9B">
              <w:rPr>
                <w:b w:val="0"/>
                <w:szCs w:val="22"/>
              </w:rPr>
              <w:t>2017-2018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C2DA8" w14:textId="77777777" w:rsidR="004C18AD" w:rsidRPr="00790B9B" w:rsidRDefault="004C18AD" w:rsidP="00042C67">
            <w:pPr>
              <w:pStyle w:val="Tablehead"/>
              <w:jc w:val="right"/>
              <w:rPr>
                <w:b w:val="0"/>
                <w:szCs w:val="22"/>
              </w:rPr>
            </w:pPr>
            <w:r w:rsidRPr="00790B9B">
              <w:rPr>
                <w:b w:val="0"/>
                <w:szCs w:val="22"/>
              </w:rPr>
              <w:t>2</w:t>
            </w:r>
            <w:r>
              <w:rPr>
                <w:b w:val="0"/>
                <w:szCs w:val="22"/>
              </w:rPr>
              <w:t> </w:t>
            </w:r>
            <w:r w:rsidRPr="00790B9B">
              <w:rPr>
                <w:b w:val="0"/>
                <w:szCs w:val="22"/>
              </w:rPr>
              <w:t>530.10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308ABB"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46F5C8" w14:textId="77777777" w:rsidR="004C18AD" w:rsidRPr="00790B9B" w:rsidRDefault="004C18AD" w:rsidP="00042C67">
            <w:pPr>
              <w:pStyle w:val="Tablehead"/>
              <w:jc w:val="right"/>
              <w:rPr>
                <w:b w:val="0"/>
                <w:szCs w:val="22"/>
              </w:rPr>
            </w:pPr>
            <w:r w:rsidRPr="00790B9B">
              <w:rPr>
                <w:b w:val="0"/>
                <w:szCs w:val="22"/>
              </w:rPr>
              <w:t>2</w:t>
            </w:r>
            <w:r>
              <w:rPr>
                <w:b w:val="0"/>
                <w:szCs w:val="22"/>
              </w:rPr>
              <w:t> </w:t>
            </w:r>
            <w:r w:rsidRPr="00790B9B">
              <w:rPr>
                <w:b w:val="0"/>
                <w:szCs w:val="22"/>
              </w:rPr>
              <w:t>530.10</w:t>
            </w:r>
          </w:p>
        </w:tc>
      </w:tr>
      <w:tr w:rsidR="004C18AD" w:rsidRPr="00910F82" w14:paraId="198358F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9BF0D4" w14:textId="77777777" w:rsidR="004C18AD" w:rsidRPr="00C97CC1" w:rsidRDefault="004C18AD" w:rsidP="00042C67">
            <w:pPr>
              <w:pStyle w:val="Tablehead"/>
              <w:jc w:val="left"/>
              <w:rPr>
                <w:b w:val="0"/>
                <w:szCs w:val="22"/>
                <w:lang w:val="fr-CH" w:eastAsia="zh-CN"/>
              </w:rPr>
            </w:pPr>
            <w:r w:rsidRPr="00C97CC1">
              <w:rPr>
                <w:rFonts w:cs="Calibri"/>
                <w:b w:val="0"/>
                <w:szCs w:val="22"/>
                <w:lang w:val="fr-FR"/>
              </w:rPr>
              <w:t>–</w:t>
            </w:r>
            <w:r w:rsidRPr="00C97CC1">
              <w:rPr>
                <w:rFonts w:cs="Calibri"/>
                <w:b w:val="0"/>
                <w:szCs w:val="22"/>
                <w:lang w:val="fr-FR"/>
              </w:rPr>
              <w:tab/>
              <w:t>Orascom</w:t>
            </w:r>
            <w:r w:rsidRPr="00C97CC1">
              <w:rPr>
                <w:rFonts w:cs="Calibri" w:hint="eastAsia"/>
                <w:b w:val="0"/>
                <w:szCs w:val="22"/>
                <w:lang w:val="fr-FR"/>
              </w:rPr>
              <w:t>电信，突尼斯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72D406" w14:textId="77777777" w:rsidR="004C18AD" w:rsidRPr="00790B9B" w:rsidRDefault="004C18AD" w:rsidP="00042C67">
            <w:pPr>
              <w:pStyle w:val="Tablehead"/>
              <w:jc w:val="left"/>
              <w:rPr>
                <w:b w:val="0"/>
                <w:szCs w:val="22"/>
              </w:rPr>
            </w:pPr>
            <w:r w:rsidRPr="00790B9B">
              <w:rPr>
                <w:b w:val="0"/>
                <w:szCs w:val="22"/>
              </w:rPr>
              <w:t>2013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3CD04E" w14:textId="77777777" w:rsidR="004C18AD" w:rsidRPr="00790B9B" w:rsidRDefault="004C18AD" w:rsidP="00042C67">
            <w:pPr>
              <w:pStyle w:val="Tablehead"/>
              <w:jc w:val="right"/>
              <w:rPr>
                <w:b w:val="0"/>
                <w:szCs w:val="22"/>
              </w:rPr>
            </w:pPr>
            <w:r w:rsidRPr="00790B9B">
              <w:rPr>
                <w:b w:val="0"/>
                <w:szCs w:val="22"/>
              </w:rPr>
              <w:t>6</w:t>
            </w:r>
            <w:r>
              <w:rPr>
                <w:b w:val="0"/>
                <w:szCs w:val="22"/>
              </w:rPr>
              <w:t> </w:t>
            </w:r>
            <w:r w:rsidRPr="00790B9B">
              <w:rPr>
                <w:b w:val="0"/>
                <w:szCs w:val="22"/>
              </w:rPr>
              <w:t>573.15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103048"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18FBDE" w14:textId="77777777" w:rsidR="004C18AD" w:rsidRPr="00790B9B" w:rsidRDefault="004C18AD" w:rsidP="00042C67">
            <w:pPr>
              <w:pStyle w:val="Tablehead"/>
              <w:jc w:val="right"/>
              <w:rPr>
                <w:b w:val="0"/>
                <w:szCs w:val="22"/>
              </w:rPr>
            </w:pPr>
            <w:r w:rsidRPr="00790B9B">
              <w:rPr>
                <w:b w:val="0"/>
                <w:szCs w:val="22"/>
              </w:rPr>
              <w:t>6</w:t>
            </w:r>
            <w:r>
              <w:rPr>
                <w:b w:val="0"/>
                <w:szCs w:val="22"/>
              </w:rPr>
              <w:t> </w:t>
            </w:r>
            <w:r w:rsidRPr="00790B9B">
              <w:rPr>
                <w:b w:val="0"/>
                <w:szCs w:val="22"/>
              </w:rPr>
              <w:t>573.15</w:t>
            </w:r>
          </w:p>
        </w:tc>
      </w:tr>
      <w:tr w:rsidR="004C18AD" w:rsidRPr="00910F82" w14:paraId="34396AF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8524B" w14:textId="77777777" w:rsidR="004C18AD" w:rsidRPr="00C97CC1" w:rsidRDefault="004C18AD" w:rsidP="00042C67">
            <w:pPr>
              <w:pStyle w:val="Tablehead"/>
              <w:jc w:val="left"/>
              <w:rPr>
                <w:b w:val="0"/>
                <w:szCs w:val="22"/>
                <w:lang w:val="fr-CH" w:eastAsia="zh-CN"/>
              </w:rPr>
            </w:pPr>
            <w:r w:rsidRPr="00C97CC1">
              <w:rPr>
                <w:rFonts w:cs="Calibri"/>
                <w:b w:val="0"/>
                <w:szCs w:val="22"/>
                <w:lang w:val="fr-FR"/>
              </w:rPr>
              <w:t>–</w:t>
            </w:r>
            <w:r w:rsidRPr="00C97CC1">
              <w:rPr>
                <w:rFonts w:cs="Calibri"/>
                <w:b w:val="0"/>
                <w:szCs w:val="22"/>
                <w:lang w:val="fr-FR"/>
              </w:rPr>
              <w:tab/>
              <w:t>Prisma</w:t>
            </w:r>
            <w:r w:rsidRPr="00C97CC1">
              <w:rPr>
                <w:rFonts w:cs="Calibri" w:hint="eastAsia"/>
                <w:b w:val="0"/>
                <w:szCs w:val="22"/>
                <w:lang w:val="fr-FR"/>
              </w:rPr>
              <w:t>，突尼斯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79F649" w14:textId="77777777" w:rsidR="004C18AD" w:rsidRPr="00790B9B" w:rsidRDefault="004C18AD" w:rsidP="00042C67">
            <w:pPr>
              <w:pStyle w:val="Tablehead"/>
              <w:jc w:val="left"/>
              <w:rPr>
                <w:b w:val="0"/>
                <w:szCs w:val="22"/>
              </w:rPr>
            </w:pPr>
            <w:r w:rsidRPr="00790B9B">
              <w:rPr>
                <w:b w:val="0"/>
                <w:szCs w:val="22"/>
              </w:rPr>
              <w:t>2015-2018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EA5611" w14:textId="77777777" w:rsidR="004C18AD" w:rsidRPr="00790B9B" w:rsidRDefault="004C18AD" w:rsidP="00042C67">
            <w:pPr>
              <w:pStyle w:val="Tablehead"/>
              <w:jc w:val="right"/>
              <w:rPr>
                <w:b w:val="0"/>
                <w:szCs w:val="22"/>
              </w:rPr>
            </w:pPr>
            <w:r w:rsidRPr="00790B9B">
              <w:rPr>
                <w:b w:val="0"/>
                <w:szCs w:val="22"/>
              </w:rPr>
              <w:t>13</w:t>
            </w:r>
            <w:r>
              <w:rPr>
                <w:b w:val="0"/>
                <w:szCs w:val="22"/>
              </w:rPr>
              <w:t> </w:t>
            </w:r>
            <w:r w:rsidRPr="00790B9B">
              <w:rPr>
                <w:b w:val="0"/>
                <w:szCs w:val="22"/>
              </w:rPr>
              <w:t>448.00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F49447"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E95A49" w14:textId="77777777" w:rsidR="004C18AD" w:rsidRPr="00790B9B" w:rsidRDefault="004C18AD" w:rsidP="00042C67">
            <w:pPr>
              <w:pStyle w:val="Tablehead"/>
              <w:jc w:val="right"/>
              <w:rPr>
                <w:b w:val="0"/>
                <w:szCs w:val="22"/>
              </w:rPr>
            </w:pPr>
            <w:r w:rsidRPr="00790B9B">
              <w:rPr>
                <w:b w:val="0"/>
                <w:szCs w:val="22"/>
              </w:rPr>
              <w:t>13</w:t>
            </w:r>
            <w:r>
              <w:rPr>
                <w:b w:val="0"/>
                <w:szCs w:val="22"/>
              </w:rPr>
              <w:t> </w:t>
            </w:r>
            <w:r w:rsidRPr="00790B9B">
              <w:rPr>
                <w:b w:val="0"/>
                <w:szCs w:val="22"/>
              </w:rPr>
              <w:t>448.00</w:t>
            </w:r>
          </w:p>
        </w:tc>
      </w:tr>
      <w:tr w:rsidR="004C18AD" w:rsidRPr="00910F82" w14:paraId="5B78C965"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9C51A" w14:textId="77777777" w:rsidR="004C18AD" w:rsidRPr="00C97CC1" w:rsidRDefault="004C18AD" w:rsidP="00042C67">
            <w:pPr>
              <w:pStyle w:val="Tablehead"/>
              <w:jc w:val="left"/>
              <w:rPr>
                <w:b w:val="0"/>
                <w:szCs w:val="22"/>
                <w:lang w:val="fr-CH" w:eastAsia="zh-CN"/>
              </w:rPr>
            </w:pPr>
            <w:r w:rsidRPr="00C97CC1">
              <w:rPr>
                <w:rFonts w:cs="Calibri"/>
                <w:b w:val="0"/>
                <w:szCs w:val="22"/>
                <w:lang w:val="fr-FR"/>
              </w:rPr>
              <w:lastRenderedPageBreak/>
              <w:t>–</w:t>
            </w:r>
            <w:r w:rsidRPr="00C97CC1">
              <w:rPr>
                <w:rFonts w:cs="Calibri"/>
                <w:b w:val="0"/>
                <w:szCs w:val="22"/>
                <w:lang w:val="fr-FR"/>
              </w:rPr>
              <w:tab/>
              <w:t>Telnet Technocentre</w:t>
            </w:r>
            <w:r w:rsidRPr="00C97CC1">
              <w:rPr>
                <w:rFonts w:cs="Calibri"/>
                <w:b w:val="0"/>
                <w:szCs w:val="22"/>
                <w:lang w:val="fr-FR"/>
              </w:rPr>
              <w:t>，</w:t>
            </w:r>
            <w:r w:rsidRPr="00C97CC1">
              <w:rPr>
                <w:rFonts w:cs="Calibri" w:hint="eastAsia"/>
                <w:b w:val="0"/>
                <w:szCs w:val="22"/>
                <w:lang w:val="fr-FR"/>
              </w:rPr>
              <w:t>突尼斯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9B2679" w14:textId="77777777" w:rsidR="004C18AD" w:rsidRPr="00790B9B" w:rsidRDefault="004C18AD" w:rsidP="00042C67">
            <w:pPr>
              <w:pStyle w:val="Tablehead"/>
              <w:jc w:val="left"/>
              <w:rPr>
                <w:b w:val="0"/>
                <w:szCs w:val="22"/>
              </w:rPr>
            </w:pPr>
            <w:r w:rsidRPr="00790B9B">
              <w:rPr>
                <w:b w:val="0"/>
                <w:szCs w:val="22"/>
              </w:rPr>
              <w:t>2012-2017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FDA5C" w14:textId="77777777" w:rsidR="004C18AD" w:rsidRPr="00790B9B" w:rsidRDefault="004C18AD" w:rsidP="00042C67">
            <w:pPr>
              <w:pStyle w:val="Tablehead"/>
              <w:jc w:val="right"/>
              <w:rPr>
                <w:b w:val="0"/>
                <w:szCs w:val="22"/>
              </w:rPr>
            </w:pPr>
            <w:r w:rsidRPr="00790B9B">
              <w:rPr>
                <w:b w:val="0"/>
                <w:szCs w:val="22"/>
              </w:rPr>
              <w:t>14</w:t>
            </w:r>
            <w:r>
              <w:rPr>
                <w:b w:val="0"/>
                <w:szCs w:val="22"/>
              </w:rPr>
              <w:t> </w:t>
            </w:r>
            <w:r w:rsidRPr="00790B9B">
              <w:rPr>
                <w:b w:val="0"/>
                <w:szCs w:val="22"/>
              </w:rPr>
              <w:t>759.45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08AC33"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C303E2" w14:textId="77777777" w:rsidR="004C18AD" w:rsidRPr="00790B9B" w:rsidRDefault="004C18AD" w:rsidP="00042C67">
            <w:pPr>
              <w:pStyle w:val="Tablehead"/>
              <w:jc w:val="right"/>
              <w:rPr>
                <w:b w:val="0"/>
                <w:szCs w:val="22"/>
              </w:rPr>
            </w:pPr>
            <w:r w:rsidRPr="00790B9B">
              <w:rPr>
                <w:b w:val="0"/>
                <w:szCs w:val="22"/>
              </w:rPr>
              <w:t>14</w:t>
            </w:r>
            <w:r>
              <w:rPr>
                <w:b w:val="0"/>
                <w:szCs w:val="22"/>
              </w:rPr>
              <w:t> </w:t>
            </w:r>
            <w:r w:rsidRPr="00790B9B">
              <w:rPr>
                <w:b w:val="0"/>
                <w:szCs w:val="22"/>
              </w:rPr>
              <w:t>759.45</w:t>
            </w:r>
          </w:p>
        </w:tc>
      </w:tr>
      <w:tr w:rsidR="004C18AD" w:rsidRPr="00910F82" w14:paraId="3DF8825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D30ECB" w14:textId="77777777" w:rsidR="004C18AD" w:rsidRPr="00C97CC1" w:rsidRDefault="004C18AD" w:rsidP="00042C67">
            <w:pPr>
              <w:pStyle w:val="Tablehead"/>
              <w:jc w:val="left"/>
              <w:rPr>
                <w:b w:val="0"/>
                <w:szCs w:val="22"/>
                <w:lang w:val="fr-CH" w:eastAsia="zh-CN"/>
              </w:rPr>
            </w:pPr>
            <w:r w:rsidRPr="000C156A">
              <w:rPr>
                <w:rFonts w:hint="eastAsia"/>
                <w:bCs/>
                <w:szCs w:val="22"/>
              </w:rPr>
              <w:t>乌克兰</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EB5931" w14:textId="77777777" w:rsidR="004C18AD" w:rsidRPr="00790B9B"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C95F4D" w14:textId="77777777" w:rsidR="004C18AD" w:rsidRPr="00790B9B"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59F725" w14:textId="77777777" w:rsidR="004C18AD" w:rsidRPr="00790B9B"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6B2F0B" w14:textId="77777777" w:rsidR="004C18AD" w:rsidRPr="00790B9B" w:rsidRDefault="004C18AD" w:rsidP="00042C67">
            <w:pPr>
              <w:pStyle w:val="Tablehead"/>
              <w:jc w:val="right"/>
              <w:rPr>
                <w:b w:val="0"/>
                <w:szCs w:val="22"/>
              </w:rPr>
            </w:pPr>
          </w:p>
        </w:tc>
      </w:tr>
      <w:tr w:rsidR="004C18AD" w:rsidRPr="00790B9B" w14:paraId="687A635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AD89DF" w14:textId="77777777" w:rsidR="004C18AD" w:rsidRPr="00790B9B" w:rsidRDefault="004C18AD" w:rsidP="00042C67">
            <w:pPr>
              <w:pStyle w:val="Tablehead"/>
              <w:jc w:val="left"/>
              <w:rPr>
                <w:szCs w:val="22"/>
                <w:lang w:val="fr-CH" w:eastAsia="zh-CN"/>
              </w:rPr>
            </w:pPr>
            <w:r w:rsidRPr="00F6119D">
              <w:rPr>
                <w:b w:val="0"/>
                <w:szCs w:val="22"/>
                <w:lang w:eastAsia="zh-CN"/>
              </w:rPr>
              <w:t>–</w:t>
            </w:r>
            <w:r w:rsidRPr="00F6119D">
              <w:rPr>
                <w:b w:val="0"/>
                <w:szCs w:val="22"/>
                <w:lang w:eastAsia="zh-CN"/>
              </w:rPr>
              <w:tab/>
            </w:r>
            <w:r w:rsidRPr="00F6119D">
              <w:rPr>
                <w:rFonts w:hint="eastAsia"/>
                <w:b w:val="0"/>
                <w:szCs w:val="22"/>
                <w:lang w:eastAsia="zh-CN"/>
              </w:rPr>
              <w:t>乌克兰国家信息系统，基辅</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ED4F3" w14:textId="77777777" w:rsidR="004C18AD" w:rsidRPr="00790B9B" w:rsidRDefault="004C18AD" w:rsidP="00042C67">
            <w:pPr>
              <w:pStyle w:val="Tablehead"/>
              <w:jc w:val="left"/>
              <w:rPr>
                <w:szCs w:val="22"/>
                <w:lang w:eastAsia="zh-CN"/>
              </w:rPr>
            </w:pPr>
            <w:r w:rsidRPr="00F6119D">
              <w:rPr>
                <w:b w:val="0"/>
                <w:szCs w:val="22"/>
              </w:rPr>
              <w:t>2014-2015</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C5D2C" w14:textId="77777777" w:rsidR="004C18AD" w:rsidRPr="00790B9B" w:rsidRDefault="004C18AD" w:rsidP="00042C67">
            <w:pPr>
              <w:pStyle w:val="Tablehead"/>
              <w:jc w:val="right"/>
              <w:rPr>
                <w:szCs w:val="22"/>
                <w:lang w:eastAsia="zh-CN"/>
              </w:rPr>
            </w:pPr>
            <w:r w:rsidRPr="00F6119D">
              <w:rPr>
                <w:b w:val="0"/>
                <w:szCs w:val="22"/>
              </w:rPr>
              <w:t>24</w:t>
            </w:r>
            <w:r>
              <w:rPr>
                <w:b w:val="0"/>
                <w:szCs w:val="22"/>
              </w:rPr>
              <w:t> </w:t>
            </w:r>
            <w:r w:rsidRPr="00F6119D">
              <w:rPr>
                <w:b w:val="0"/>
                <w:szCs w:val="22"/>
              </w:rPr>
              <w:t>160.99</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F4B4E" w14:textId="77777777" w:rsidR="004C18AD" w:rsidRPr="00790B9B" w:rsidRDefault="004C18AD" w:rsidP="00042C67">
            <w:pPr>
              <w:pStyle w:val="Tablehead"/>
              <w:jc w:val="right"/>
              <w:rPr>
                <w:szCs w:val="22"/>
                <w:lang w:eastAsia="zh-CN"/>
              </w:rPr>
            </w:pPr>
            <w:r w:rsidRPr="00F6119D">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E5F3" w14:textId="77777777" w:rsidR="004C18AD" w:rsidRPr="00790B9B" w:rsidRDefault="004C18AD" w:rsidP="00042C67">
            <w:pPr>
              <w:pStyle w:val="Tablehead"/>
              <w:jc w:val="right"/>
              <w:rPr>
                <w:szCs w:val="22"/>
                <w:lang w:eastAsia="zh-CN"/>
              </w:rPr>
            </w:pPr>
            <w:r w:rsidRPr="00F6119D">
              <w:rPr>
                <w:b w:val="0"/>
                <w:szCs w:val="22"/>
              </w:rPr>
              <w:t>24</w:t>
            </w:r>
            <w:r>
              <w:rPr>
                <w:b w:val="0"/>
                <w:szCs w:val="22"/>
              </w:rPr>
              <w:t> </w:t>
            </w:r>
            <w:r w:rsidRPr="00F6119D">
              <w:rPr>
                <w:b w:val="0"/>
                <w:szCs w:val="22"/>
              </w:rPr>
              <w:t>160.99</w:t>
            </w:r>
          </w:p>
        </w:tc>
      </w:tr>
      <w:tr w:rsidR="004C18AD" w:rsidRPr="00F6119D" w14:paraId="2D56B350"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29039" w14:textId="77777777" w:rsidR="004C18AD" w:rsidRPr="00F6119D" w:rsidRDefault="004C18AD" w:rsidP="00042C67">
            <w:pPr>
              <w:pStyle w:val="Tablehead"/>
              <w:jc w:val="left"/>
              <w:rPr>
                <w:b w:val="0"/>
                <w:szCs w:val="22"/>
                <w:lang w:val="en-US" w:eastAsia="zh-CN"/>
              </w:rPr>
            </w:pPr>
            <w:r w:rsidRPr="000C156A">
              <w:rPr>
                <w:rFonts w:cs="Calibri"/>
                <w:bCs/>
                <w:szCs w:val="22"/>
              </w:rPr>
              <w:t>阿拉伯联合酋长国</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A39F58" w14:textId="77777777" w:rsidR="004C18AD" w:rsidRPr="00F6119D"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24B521" w14:textId="77777777" w:rsidR="004C18AD" w:rsidRPr="00F6119D"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459BBE" w14:textId="77777777" w:rsidR="004C18AD" w:rsidRPr="00F6119D"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74791A" w14:textId="77777777" w:rsidR="004C18AD" w:rsidRPr="00F6119D" w:rsidRDefault="004C18AD" w:rsidP="00042C67">
            <w:pPr>
              <w:pStyle w:val="Tablehead"/>
              <w:jc w:val="right"/>
              <w:rPr>
                <w:b w:val="0"/>
                <w:szCs w:val="22"/>
              </w:rPr>
            </w:pPr>
          </w:p>
        </w:tc>
      </w:tr>
      <w:tr w:rsidR="004C18AD" w:rsidRPr="00790B9B" w14:paraId="21A5315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29C7DF" w14:textId="77777777" w:rsidR="004C18AD" w:rsidRPr="002C248C" w:rsidRDefault="004C18AD" w:rsidP="00042C67">
            <w:pPr>
              <w:pStyle w:val="Tablehead"/>
              <w:jc w:val="left"/>
              <w:rPr>
                <w:szCs w:val="22"/>
                <w:lang w:val="en-US" w:eastAsia="zh-CN"/>
              </w:rPr>
            </w:pPr>
            <w:r w:rsidRPr="00860575">
              <w:rPr>
                <w:rFonts w:cs="Calibri"/>
                <w:b w:val="0"/>
                <w:szCs w:val="22"/>
              </w:rPr>
              <w:t>–</w:t>
            </w:r>
            <w:r w:rsidRPr="00860575">
              <w:rPr>
                <w:rFonts w:cs="Calibri"/>
                <w:b w:val="0"/>
                <w:szCs w:val="22"/>
              </w:rPr>
              <w:tab/>
              <w:t>Teralight FZ</w:t>
            </w:r>
            <w:r w:rsidRPr="00860575">
              <w:rPr>
                <w:rFonts w:cs="Calibri" w:hint="eastAsia"/>
                <w:b w:val="0"/>
                <w:szCs w:val="22"/>
                <w:lang w:eastAsia="zh-CN"/>
              </w:rPr>
              <w:t>公司，迪拜</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59E9D" w14:textId="77777777" w:rsidR="004C18AD" w:rsidRPr="00790B9B" w:rsidRDefault="004C18AD" w:rsidP="00042C67">
            <w:pPr>
              <w:pStyle w:val="Tablehead"/>
              <w:jc w:val="left"/>
              <w:rPr>
                <w:szCs w:val="22"/>
              </w:rPr>
            </w:pPr>
            <w:r w:rsidRPr="00860575">
              <w:rPr>
                <w:b w:val="0"/>
                <w:szCs w:val="22"/>
              </w:rPr>
              <w:t>2016</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2B664" w14:textId="77777777" w:rsidR="004C18AD" w:rsidRPr="00790B9B" w:rsidRDefault="004C18AD" w:rsidP="00042C67">
            <w:pPr>
              <w:pStyle w:val="Tablehead"/>
              <w:jc w:val="right"/>
              <w:rPr>
                <w:szCs w:val="22"/>
              </w:rPr>
            </w:pPr>
            <w:r w:rsidRPr="00860575">
              <w:rPr>
                <w:b w:val="0"/>
                <w:szCs w:val="22"/>
              </w:rPr>
              <w:t>5</w:t>
            </w:r>
            <w:r>
              <w:rPr>
                <w:b w:val="0"/>
                <w:szCs w:val="22"/>
              </w:rPr>
              <w:t> </w:t>
            </w:r>
            <w:r w:rsidRPr="00860575">
              <w:rPr>
                <w:b w:val="0"/>
                <w:szCs w:val="22"/>
              </w:rPr>
              <w:t>518.95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BED80" w14:textId="77777777" w:rsidR="004C18AD" w:rsidRPr="00790B9B" w:rsidRDefault="004C18AD" w:rsidP="00042C67">
            <w:pPr>
              <w:pStyle w:val="Tablehead"/>
              <w:jc w:val="right"/>
              <w:rPr>
                <w:szCs w:val="22"/>
              </w:rPr>
            </w:pPr>
            <w:r w:rsidRPr="00860575">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312CD" w14:textId="77777777" w:rsidR="004C18AD" w:rsidRPr="00790B9B" w:rsidRDefault="004C18AD" w:rsidP="00042C67">
            <w:pPr>
              <w:pStyle w:val="Tablehead"/>
              <w:jc w:val="right"/>
              <w:rPr>
                <w:szCs w:val="22"/>
              </w:rPr>
            </w:pPr>
            <w:r w:rsidRPr="00860575">
              <w:rPr>
                <w:b w:val="0"/>
                <w:szCs w:val="22"/>
              </w:rPr>
              <w:t>5</w:t>
            </w:r>
            <w:r>
              <w:rPr>
                <w:b w:val="0"/>
                <w:szCs w:val="22"/>
              </w:rPr>
              <w:t> </w:t>
            </w:r>
            <w:r w:rsidRPr="00860575">
              <w:rPr>
                <w:b w:val="0"/>
                <w:szCs w:val="22"/>
              </w:rPr>
              <w:t>518.95</w:t>
            </w:r>
          </w:p>
        </w:tc>
      </w:tr>
      <w:tr w:rsidR="004C18AD" w:rsidRPr="00860575" w14:paraId="2B4AB789"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63B664" w14:textId="77777777" w:rsidR="004C18AD" w:rsidRPr="00860575" w:rsidRDefault="004C18AD" w:rsidP="00042C67">
            <w:pPr>
              <w:pStyle w:val="Tablehead"/>
              <w:jc w:val="left"/>
              <w:rPr>
                <w:b w:val="0"/>
                <w:szCs w:val="22"/>
                <w:lang w:val="en-US" w:eastAsia="zh-CN"/>
              </w:rPr>
            </w:pPr>
            <w:r w:rsidRPr="000C156A">
              <w:rPr>
                <w:rFonts w:hint="eastAsia"/>
                <w:bCs/>
                <w:szCs w:val="22"/>
                <w:lang w:eastAsia="zh-CN"/>
              </w:rPr>
              <w:t>大不</w:t>
            </w:r>
            <w:r w:rsidRPr="000C156A">
              <w:rPr>
                <w:bCs/>
                <w:szCs w:val="22"/>
                <w:lang w:eastAsia="zh-CN"/>
              </w:rPr>
              <w:t>列颠及北爱尔兰联合王国</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5912F6" w14:textId="77777777" w:rsidR="004C18AD" w:rsidRPr="00860575" w:rsidRDefault="004C18AD" w:rsidP="00042C67">
            <w:pPr>
              <w:pStyle w:val="Tablehead"/>
              <w:jc w:val="left"/>
              <w:rPr>
                <w:b w:val="0"/>
                <w:szCs w:val="22"/>
                <w:lang w:eastAsia="zh-CN"/>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395224" w14:textId="77777777" w:rsidR="004C18AD" w:rsidRPr="00860575" w:rsidRDefault="004C18AD" w:rsidP="00042C67">
            <w:pPr>
              <w:pStyle w:val="Tablehead"/>
              <w:jc w:val="right"/>
              <w:rPr>
                <w:b w:val="0"/>
                <w:szCs w:val="22"/>
                <w:lang w:eastAsia="zh-CN"/>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1102B2" w14:textId="77777777" w:rsidR="004C18AD" w:rsidRPr="00860575" w:rsidRDefault="004C18AD" w:rsidP="00042C67">
            <w:pPr>
              <w:pStyle w:val="Tablehead"/>
              <w:jc w:val="right"/>
              <w:rPr>
                <w:b w:val="0"/>
                <w:szCs w:val="22"/>
                <w:lang w:eastAsia="zh-CN"/>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A15BC7" w14:textId="77777777" w:rsidR="004C18AD" w:rsidRPr="00860575" w:rsidRDefault="004C18AD" w:rsidP="00042C67">
            <w:pPr>
              <w:pStyle w:val="Tablehead"/>
              <w:jc w:val="right"/>
              <w:rPr>
                <w:b w:val="0"/>
                <w:szCs w:val="22"/>
                <w:lang w:eastAsia="zh-CN"/>
              </w:rPr>
            </w:pPr>
          </w:p>
        </w:tc>
      </w:tr>
      <w:tr w:rsidR="004C18AD" w:rsidRPr="00790B9B" w14:paraId="5E3D376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FDF3B" w14:textId="77777777" w:rsidR="004C18AD" w:rsidRPr="00790B9B" w:rsidRDefault="004C18AD" w:rsidP="00042C67">
            <w:pPr>
              <w:pStyle w:val="Tablehead"/>
              <w:jc w:val="left"/>
              <w:rPr>
                <w:szCs w:val="22"/>
                <w:lang w:val="en-US" w:eastAsia="zh-CN"/>
              </w:rPr>
            </w:pPr>
            <w:r w:rsidRPr="008D1971">
              <w:rPr>
                <w:b w:val="0"/>
                <w:szCs w:val="22"/>
                <w:lang w:eastAsia="zh-CN"/>
              </w:rPr>
              <w:t>–</w:t>
            </w:r>
            <w:r w:rsidRPr="008D1971">
              <w:rPr>
                <w:b w:val="0"/>
                <w:szCs w:val="22"/>
                <w:lang w:eastAsia="zh-CN"/>
              </w:rPr>
              <w:tab/>
            </w:r>
            <w:r w:rsidRPr="008D1971">
              <w:rPr>
                <w:rFonts w:cs="Calibri"/>
                <w:b w:val="0"/>
                <w:szCs w:val="22"/>
                <w:lang w:val="fr-FR"/>
              </w:rPr>
              <w:t>KRE</w:t>
            </w:r>
            <w:r w:rsidRPr="008D1971">
              <w:rPr>
                <w:rFonts w:hint="eastAsia"/>
                <w:b w:val="0"/>
                <w:szCs w:val="22"/>
                <w:lang w:eastAsia="zh-CN"/>
              </w:rPr>
              <w:t>企业恢复公司（原</w:t>
            </w:r>
            <w:r w:rsidRPr="008D1971">
              <w:rPr>
                <w:b w:val="0"/>
                <w:szCs w:val="22"/>
              </w:rPr>
              <w:t>ICO Satellite Limited</w:t>
            </w:r>
            <w:r w:rsidRPr="008D1971">
              <w:rPr>
                <w:rFonts w:hint="eastAsia"/>
                <w:b w:val="0"/>
                <w:szCs w:val="22"/>
                <w:lang w:eastAsia="zh-CN"/>
              </w:rPr>
              <w:t>），</w:t>
            </w:r>
            <w:r w:rsidRPr="008D1971">
              <w:rPr>
                <w:rFonts w:hint="eastAsia"/>
                <w:b w:val="0"/>
                <w:szCs w:val="22"/>
              </w:rPr>
              <w:t>伯克郡</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3B9D2" w14:textId="77777777" w:rsidR="004C18AD" w:rsidRPr="00790B9B" w:rsidRDefault="004C18AD" w:rsidP="00042C67">
            <w:pPr>
              <w:pStyle w:val="Tablehead"/>
              <w:jc w:val="left"/>
              <w:rPr>
                <w:szCs w:val="22"/>
                <w:lang w:eastAsia="zh-CN"/>
              </w:rPr>
            </w:pPr>
            <w:r w:rsidRPr="008D1971">
              <w:rPr>
                <w:b w:val="0"/>
                <w:szCs w:val="22"/>
              </w:rPr>
              <w:t>2012-2013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C699B" w14:textId="77777777" w:rsidR="004C18AD" w:rsidRPr="00790B9B" w:rsidRDefault="004C18AD" w:rsidP="00042C67">
            <w:pPr>
              <w:pStyle w:val="Tablehead"/>
              <w:jc w:val="right"/>
              <w:rPr>
                <w:szCs w:val="22"/>
                <w:lang w:eastAsia="zh-CN"/>
              </w:rPr>
            </w:pPr>
            <w:r w:rsidRPr="008D1971">
              <w:rPr>
                <w:b w:val="0"/>
                <w:szCs w:val="22"/>
              </w:rPr>
              <w:t>26</w:t>
            </w:r>
            <w:r>
              <w:rPr>
                <w:b w:val="0"/>
                <w:szCs w:val="22"/>
              </w:rPr>
              <w:t> </w:t>
            </w:r>
            <w:r w:rsidRPr="008D1971">
              <w:rPr>
                <w:b w:val="0"/>
                <w:szCs w:val="22"/>
              </w:rPr>
              <w:t>815.50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419D" w14:textId="77777777" w:rsidR="004C18AD" w:rsidRPr="00790B9B" w:rsidRDefault="004C18AD" w:rsidP="00042C67">
            <w:pPr>
              <w:pStyle w:val="Tablehead"/>
              <w:jc w:val="right"/>
              <w:rPr>
                <w:szCs w:val="22"/>
                <w:lang w:eastAsia="zh-CN"/>
              </w:rPr>
            </w:pPr>
            <w:r w:rsidRPr="008D1971">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E09DE" w14:textId="77777777" w:rsidR="004C18AD" w:rsidRPr="00790B9B" w:rsidRDefault="004C18AD" w:rsidP="00042C67">
            <w:pPr>
              <w:pStyle w:val="Tablehead"/>
              <w:jc w:val="right"/>
              <w:rPr>
                <w:szCs w:val="22"/>
                <w:lang w:eastAsia="zh-CN"/>
              </w:rPr>
            </w:pPr>
            <w:r w:rsidRPr="008D1971">
              <w:rPr>
                <w:b w:val="0"/>
                <w:szCs w:val="22"/>
              </w:rPr>
              <w:t>26</w:t>
            </w:r>
            <w:r>
              <w:rPr>
                <w:b w:val="0"/>
                <w:szCs w:val="22"/>
              </w:rPr>
              <w:t> </w:t>
            </w:r>
            <w:r w:rsidRPr="008D1971">
              <w:rPr>
                <w:b w:val="0"/>
                <w:szCs w:val="22"/>
              </w:rPr>
              <w:t>815.50</w:t>
            </w:r>
          </w:p>
        </w:tc>
      </w:tr>
      <w:tr w:rsidR="004C18AD" w:rsidRPr="008D1971" w14:paraId="55AE0C3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845020" w14:textId="77777777" w:rsidR="004C18AD" w:rsidRPr="008D1971" w:rsidRDefault="004C18AD" w:rsidP="00042C67">
            <w:pPr>
              <w:pStyle w:val="Tablehead"/>
              <w:jc w:val="left"/>
              <w:rPr>
                <w:b w:val="0"/>
                <w:szCs w:val="22"/>
                <w:lang w:val="fr-CH" w:eastAsia="zh-CN"/>
              </w:rPr>
            </w:pPr>
            <w:r w:rsidRPr="008D1971">
              <w:rPr>
                <w:rFonts w:cs="Calibri"/>
                <w:b w:val="0"/>
                <w:szCs w:val="22"/>
                <w:lang w:val="fr-FR"/>
              </w:rPr>
              <w:t>–</w:t>
            </w:r>
            <w:r w:rsidRPr="008D1971">
              <w:rPr>
                <w:rFonts w:cs="Calibri"/>
                <w:b w:val="0"/>
                <w:szCs w:val="22"/>
                <w:lang w:val="fr-FR"/>
              </w:rPr>
              <w:tab/>
              <w:t>Malden</w:t>
            </w:r>
            <w:r w:rsidRPr="008D1971">
              <w:rPr>
                <w:rFonts w:cs="Calibri" w:hint="eastAsia"/>
                <w:b w:val="0"/>
                <w:szCs w:val="22"/>
                <w:lang w:val="fr-FR"/>
              </w:rPr>
              <w:t>电子公司，尤厄尔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2C6C7" w14:textId="77777777" w:rsidR="004C18AD" w:rsidRPr="008D1971" w:rsidRDefault="004C18AD" w:rsidP="00042C67">
            <w:pPr>
              <w:pStyle w:val="Tablehead"/>
              <w:jc w:val="left"/>
              <w:rPr>
                <w:b w:val="0"/>
                <w:szCs w:val="22"/>
              </w:rPr>
            </w:pPr>
            <w:r w:rsidRPr="008D1971">
              <w:rPr>
                <w:b w:val="0"/>
                <w:szCs w:val="22"/>
              </w:rPr>
              <w:t>2016</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906A2D" w14:textId="77777777" w:rsidR="004C18AD" w:rsidRPr="008D1971" w:rsidRDefault="004C18AD" w:rsidP="00042C67">
            <w:pPr>
              <w:pStyle w:val="Tablehead"/>
              <w:jc w:val="right"/>
              <w:rPr>
                <w:b w:val="0"/>
                <w:szCs w:val="22"/>
              </w:rPr>
            </w:pPr>
            <w:r w:rsidRPr="008D1971">
              <w:rPr>
                <w:b w:val="0"/>
                <w:szCs w:val="22"/>
              </w:rPr>
              <w:t>14</w:t>
            </w:r>
            <w:r>
              <w:rPr>
                <w:b w:val="0"/>
                <w:szCs w:val="22"/>
              </w:rPr>
              <w:t> </w:t>
            </w:r>
            <w:r w:rsidRPr="008D1971">
              <w:rPr>
                <w:b w:val="0"/>
                <w:szCs w:val="22"/>
              </w:rPr>
              <w:t>717.15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462ECA" w14:textId="77777777" w:rsidR="004C18AD" w:rsidRPr="008D1971" w:rsidRDefault="004C18AD" w:rsidP="00042C67">
            <w:pPr>
              <w:pStyle w:val="Tablehead"/>
              <w:jc w:val="right"/>
              <w:rPr>
                <w:b w:val="0"/>
                <w:szCs w:val="22"/>
              </w:rPr>
            </w:pPr>
            <w:r w:rsidRPr="008D1971">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7DF1B3" w14:textId="77777777" w:rsidR="004C18AD" w:rsidRPr="008D1971" w:rsidRDefault="004C18AD" w:rsidP="00042C67">
            <w:pPr>
              <w:pStyle w:val="Tablehead"/>
              <w:jc w:val="right"/>
              <w:rPr>
                <w:b w:val="0"/>
                <w:szCs w:val="22"/>
              </w:rPr>
            </w:pPr>
            <w:r w:rsidRPr="008D1971">
              <w:rPr>
                <w:b w:val="0"/>
                <w:szCs w:val="22"/>
              </w:rPr>
              <w:t>14</w:t>
            </w:r>
            <w:r>
              <w:rPr>
                <w:b w:val="0"/>
                <w:szCs w:val="22"/>
              </w:rPr>
              <w:t> </w:t>
            </w:r>
            <w:r w:rsidRPr="008D1971">
              <w:rPr>
                <w:b w:val="0"/>
                <w:szCs w:val="22"/>
              </w:rPr>
              <w:t>717.15</w:t>
            </w:r>
          </w:p>
        </w:tc>
      </w:tr>
      <w:tr w:rsidR="004C18AD" w:rsidRPr="008D1971" w14:paraId="44D3F0D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83A15" w14:textId="77777777" w:rsidR="004C18AD" w:rsidRPr="008D1971" w:rsidRDefault="004C18AD" w:rsidP="00042C67">
            <w:pPr>
              <w:pStyle w:val="Tablehead"/>
              <w:jc w:val="left"/>
              <w:rPr>
                <w:b w:val="0"/>
                <w:szCs w:val="22"/>
                <w:lang w:val="fr-CH" w:eastAsia="zh-CN"/>
              </w:rPr>
            </w:pPr>
            <w:r w:rsidRPr="008D1971">
              <w:rPr>
                <w:rFonts w:cs="Calibri"/>
                <w:b w:val="0"/>
                <w:szCs w:val="22"/>
                <w:lang w:val="fr-FR"/>
              </w:rPr>
              <w:t>–</w:t>
            </w:r>
            <w:r w:rsidRPr="008D1971">
              <w:rPr>
                <w:rFonts w:cs="Calibri"/>
                <w:b w:val="0"/>
                <w:szCs w:val="22"/>
                <w:lang w:val="fr-FR"/>
              </w:rPr>
              <w:tab/>
              <w:t>Tinklabs</w:t>
            </w:r>
            <w:r w:rsidRPr="008D1971">
              <w:rPr>
                <w:rFonts w:cs="Calibri" w:hint="eastAsia"/>
                <w:b w:val="0"/>
                <w:szCs w:val="22"/>
                <w:lang w:val="fr-FR"/>
              </w:rPr>
              <w:t>有限公司，伦敦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78FAC3" w14:textId="77777777" w:rsidR="004C18AD" w:rsidRPr="008D1971" w:rsidRDefault="004C18AD" w:rsidP="00042C67">
            <w:pPr>
              <w:pStyle w:val="Tablehead"/>
              <w:jc w:val="left"/>
              <w:rPr>
                <w:b w:val="0"/>
                <w:szCs w:val="22"/>
              </w:rPr>
            </w:pPr>
            <w:r w:rsidRPr="008D1971">
              <w:rPr>
                <w:b w:val="0"/>
                <w:szCs w:val="22"/>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390173" w14:textId="77777777" w:rsidR="004C18AD" w:rsidRPr="008D1971" w:rsidRDefault="004C18AD" w:rsidP="00042C67">
            <w:pPr>
              <w:pStyle w:val="Tablehead"/>
              <w:jc w:val="right"/>
              <w:rPr>
                <w:b w:val="0"/>
                <w:szCs w:val="22"/>
              </w:rPr>
            </w:pPr>
            <w:r w:rsidRPr="008D1971">
              <w:rPr>
                <w:b w:val="0"/>
                <w:szCs w:val="22"/>
              </w:rPr>
              <w:t>10</w:t>
            </w:r>
            <w:r>
              <w:rPr>
                <w:b w:val="0"/>
                <w:szCs w:val="22"/>
              </w:rPr>
              <w:t> </w:t>
            </w:r>
            <w:r w:rsidRPr="008D1971">
              <w:rPr>
                <w:b w:val="0"/>
                <w:szCs w:val="22"/>
              </w:rPr>
              <w:t>685.92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F98738" w14:textId="77777777" w:rsidR="004C18AD" w:rsidRPr="008D1971" w:rsidRDefault="004C18AD" w:rsidP="00042C67">
            <w:pPr>
              <w:pStyle w:val="Tablehead"/>
              <w:jc w:val="right"/>
              <w:rPr>
                <w:b w:val="0"/>
                <w:szCs w:val="22"/>
              </w:rPr>
            </w:pPr>
            <w:r w:rsidRPr="008D1971">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C56582" w14:textId="77777777" w:rsidR="004C18AD" w:rsidRPr="008D1971" w:rsidRDefault="004C18AD" w:rsidP="00042C67">
            <w:pPr>
              <w:pStyle w:val="Tablehead"/>
              <w:jc w:val="right"/>
              <w:rPr>
                <w:b w:val="0"/>
                <w:szCs w:val="22"/>
              </w:rPr>
            </w:pPr>
            <w:r w:rsidRPr="008D1971">
              <w:rPr>
                <w:b w:val="0"/>
                <w:szCs w:val="22"/>
              </w:rPr>
              <w:t>10</w:t>
            </w:r>
            <w:r>
              <w:rPr>
                <w:b w:val="0"/>
                <w:szCs w:val="22"/>
              </w:rPr>
              <w:t> </w:t>
            </w:r>
            <w:r w:rsidRPr="008D1971">
              <w:rPr>
                <w:b w:val="0"/>
                <w:szCs w:val="22"/>
              </w:rPr>
              <w:t>685.92</w:t>
            </w:r>
          </w:p>
        </w:tc>
      </w:tr>
      <w:tr w:rsidR="004C18AD" w:rsidRPr="008D1971" w14:paraId="4C5A043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C1073" w14:textId="77777777" w:rsidR="004C18AD" w:rsidRPr="008D1971" w:rsidRDefault="004C18AD" w:rsidP="00042C67">
            <w:pPr>
              <w:pStyle w:val="Tablehead"/>
              <w:jc w:val="left"/>
              <w:rPr>
                <w:b w:val="0"/>
                <w:szCs w:val="22"/>
                <w:lang w:val="fr-CH" w:eastAsia="zh-CN"/>
              </w:rPr>
            </w:pPr>
            <w:r w:rsidRPr="000C156A">
              <w:rPr>
                <w:rFonts w:hint="eastAsia"/>
                <w:bCs/>
                <w:szCs w:val="22"/>
              </w:rPr>
              <w:t>美国</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9FCE2A" w14:textId="77777777" w:rsidR="004C18AD" w:rsidRPr="008D1971"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B4F88C" w14:textId="77777777" w:rsidR="004C18AD" w:rsidRPr="008D1971"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B00427" w14:textId="77777777" w:rsidR="004C18AD" w:rsidRPr="008D1971"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9C1839" w14:textId="77777777" w:rsidR="004C18AD" w:rsidRPr="008D1971" w:rsidRDefault="004C18AD" w:rsidP="00042C67">
            <w:pPr>
              <w:pStyle w:val="Tablehead"/>
              <w:jc w:val="right"/>
              <w:rPr>
                <w:b w:val="0"/>
                <w:szCs w:val="22"/>
              </w:rPr>
            </w:pPr>
          </w:p>
        </w:tc>
      </w:tr>
      <w:tr w:rsidR="004C18AD" w:rsidRPr="00790B9B" w14:paraId="7B359FB7"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FC290" w14:textId="77777777" w:rsidR="004C18AD" w:rsidRPr="00790B9B" w:rsidRDefault="004C18AD" w:rsidP="00042C67">
            <w:pPr>
              <w:pStyle w:val="Tablehead"/>
              <w:jc w:val="left"/>
              <w:rPr>
                <w:szCs w:val="22"/>
                <w:lang w:val="fr-CH" w:eastAsia="zh-CN"/>
              </w:rPr>
            </w:pPr>
            <w:r w:rsidRPr="008D1971">
              <w:rPr>
                <w:rFonts w:cs="Calibri"/>
                <w:b w:val="0"/>
                <w:szCs w:val="22"/>
                <w:lang w:val="fr-FR"/>
              </w:rPr>
              <w:t>–</w:t>
            </w:r>
            <w:r w:rsidRPr="008D1971">
              <w:rPr>
                <w:rFonts w:cs="Calibri"/>
                <w:b w:val="0"/>
                <w:szCs w:val="22"/>
                <w:lang w:val="fr-FR"/>
              </w:rPr>
              <w:tab/>
              <w:t>Actiontec</w:t>
            </w:r>
            <w:r w:rsidRPr="008D1971">
              <w:rPr>
                <w:rFonts w:cs="Calibri" w:hint="eastAsia"/>
                <w:b w:val="0"/>
                <w:szCs w:val="22"/>
                <w:lang w:val="fr-FR"/>
              </w:rPr>
              <w:t>电子公司，桑尼维尔</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7E454" w14:textId="77777777" w:rsidR="004C18AD" w:rsidRPr="00790B9B" w:rsidRDefault="004C18AD" w:rsidP="00042C67">
            <w:pPr>
              <w:pStyle w:val="Tablehead"/>
              <w:jc w:val="left"/>
              <w:rPr>
                <w:szCs w:val="22"/>
              </w:rPr>
            </w:pPr>
            <w:r w:rsidRPr="008D1971">
              <w:rPr>
                <w:b w:val="0"/>
                <w:szCs w:val="22"/>
              </w:rPr>
              <w:t>2008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5870" w14:textId="77777777" w:rsidR="004C18AD" w:rsidRPr="00790B9B" w:rsidRDefault="004C18AD" w:rsidP="00042C67">
            <w:pPr>
              <w:pStyle w:val="Tablehead"/>
              <w:jc w:val="right"/>
              <w:rPr>
                <w:szCs w:val="22"/>
              </w:rPr>
            </w:pPr>
            <w:r w:rsidRPr="008D1971">
              <w:rPr>
                <w:b w:val="0"/>
                <w:szCs w:val="22"/>
              </w:rPr>
              <w:t>23</w:t>
            </w:r>
            <w:r>
              <w:rPr>
                <w:b w:val="0"/>
                <w:szCs w:val="22"/>
              </w:rPr>
              <w:t> </w:t>
            </w:r>
            <w:r w:rsidRPr="008D1971">
              <w:rPr>
                <w:b w:val="0"/>
                <w:szCs w:val="22"/>
              </w:rPr>
              <w:t>456.90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08612" w14:textId="77777777" w:rsidR="004C18AD" w:rsidRPr="00790B9B" w:rsidRDefault="004C18AD" w:rsidP="00042C67">
            <w:pPr>
              <w:pStyle w:val="Tablehead"/>
              <w:jc w:val="right"/>
              <w:rPr>
                <w:szCs w:val="22"/>
              </w:rPr>
            </w:pPr>
            <w:r w:rsidRPr="008D1971">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44205" w14:textId="77777777" w:rsidR="004C18AD" w:rsidRPr="00790B9B" w:rsidRDefault="004C18AD" w:rsidP="00042C67">
            <w:pPr>
              <w:pStyle w:val="Tablehead"/>
              <w:jc w:val="right"/>
              <w:rPr>
                <w:szCs w:val="22"/>
              </w:rPr>
            </w:pPr>
            <w:r w:rsidRPr="008D1971">
              <w:rPr>
                <w:b w:val="0"/>
                <w:szCs w:val="22"/>
              </w:rPr>
              <w:t>23</w:t>
            </w:r>
            <w:r>
              <w:rPr>
                <w:b w:val="0"/>
                <w:szCs w:val="22"/>
              </w:rPr>
              <w:t> </w:t>
            </w:r>
            <w:r w:rsidRPr="008D1971">
              <w:rPr>
                <w:b w:val="0"/>
                <w:szCs w:val="22"/>
              </w:rPr>
              <w:t>456.90</w:t>
            </w:r>
          </w:p>
        </w:tc>
      </w:tr>
      <w:tr w:rsidR="004C18AD" w:rsidRPr="008D1971" w14:paraId="1D8977A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D30E1" w14:textId="77777777" w:rsidR="004C18AD" w:rsidRPr="008D1971" w:rsidRDefault="004C18AD" w:rsidP="00042C67">
            <w:pPr>
              <w:pStyle w:val="Tablehead"/>
              <w:jc w:val="left"/>
              <w:rPr>
                <w:b w:val="0"/>
                <w:szCs w:val="22"/>
                <w:lang w:val="fr-CH" w:eastAsia="zh-CN"/>
              </w:rPr>
            </w:pPr>
            <w:r w:rsidRPr="00790B9B">
              <w:rPr>
                <w:b w:val="0"/>
                <w:szCs w:val="22"/>
                <w:lang w:val="fr-CH" w:eastAsia="zh-CN"/>
              </w:rPr>
              <w:t xml:space="preserve"> - Analog Devices Inc., San José</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891C40" w14:textId="77777777" w:rsidR="004C18AD" w:rsidRPr="008D1971" w:rsidRDefault="004C18AD" w:rsidP="00042C67">
            <w:pPr>
              <w:pStyle w:val="Tablehead"/>
              <w:jc w:val="left"/>
              <w:rPr>
                <w:b w:val="0"/>
                <w:szCs w:val="22"/>
              </w:rPr>
            </w:pPr>
            <w:r w:rsidRPr="00790B9B">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0DAE66" w14:textId="77777777" w:rsidR="004C18AD" w:rsidRPr="008D1971" w:rsidRDefault="004C18AD" w:rsidP="00042C67">
            <w:pPr>
              <w:pStyle w:val="Tablehead"/>
              <w:jc w:val="right"/>
              <w:rPr>
                <w:b w:val="0"/>
                <w:szCs w:val="22"/>
              </w:rPr>
            </w:pPr>
            <w:r w:rsidRPr="00790B9B">
              <w:rPr>
                <w:b w:val="0"/>
                <w:szCs w:val="22"/>
              </w:rPr>
              <w:t>11</w:t>
            </w:r>
            <w:r>
              <w:rPr>
                <w:b w:val="0"/>
                <w:szCs w:val="22"/>
              </w:rPr>
              <w:t> </w:t>
            </w:r>
            <w:r w:rsidRPr="00790B9B">
              <w:rPr>
                <w:b w:val="0"/>
                <w:szCs w:val="22"/>
              </w:rPr>
              <w:t>320.25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E84F4D" w14:textId="77777777" w:rsidR="004C18AD" w:rsidRPr="008D1971"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372B6A" w14:textId="77777777" w:rsidR="004C18AD" w:rsidRPr="008D1971" w:rsidRDefault="004C18AD" w:rsidP="00042C67">
            <w:pPr>
              <w:pStyle w:val="Tablehead"/>
              <w:jc w:val="right"/>
              <w:rPr>
                <w:b w:val="0"/>
                <w:szCs w:val="22"/>
              </w:rPr>
            </w:pPr>
            <w:r w:rsidRPr="00790B9B">
              <w:rPr>
                <w:b w:val="0"/>
                <w:szCs w:val="22"/>
              </w:rPr>
              <w:t>11</w:t>
            </w:r>
            <w:r>
              <w:rPr>
                <w:b w:val="0"/>
                <w:szCs w:val="22"/>
              </w:rPr>
              <w:t> </w:t>
            </w:r>
            <w:r w:rsidRPr="00790B9B">
              <w:rPr>
                <w:b w:val="0"/>
                <w:szCs w:val="22"/>
              </w:rPr>
              <w:t>320.25</w:t>
            </w:r>
          </w:p>
        </w:tc>
      </w:tr>
      <w:tr w:rsidR="004C18AD" w:rsidRPr="00910F82" w14:paraId="4655FE5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C0C61F" w14:textId="77777777" w:rsidR="004C18AD" w:rsidRPr="00790B9B" w:rsidRDefault="004C18AD" w:rsidP="00042C67">
            <w:pPr>
              <w:pStyle w:val="Tablehead"/>
              <w:jc w:val="left"/>
              <w:rPr>
                <w:b w:val="0"/>
                <w:szCs w:val="22"/>
                <w:lang w:val="fr-CH" w:eastAsia="zh-CN"/>
              </w:rPr>
            </w:pPr>
            <w:r w:rsidRPr="007D7076">
              <w:rPr>
                <w:rFonts w:cs="Calibri"/>
                <w:b w:val="0"/>
                <w:szCs w:val="22"/>
                <w:lang w:val="fr-FR"/>
              </w:rPr>
              <w:t>–</w:t>
            </w:r>
            <w:r w:rsidRPr="007D7076">
              <w:rPr>
                <w:rFonts w:cs="Calibri"/>
                <w:b w:val="0"/>
                <w:szCs w:val="22"/>
                <w:lang w:val="fr-FR"/>
              </w:rPr>
              <w:tab/>
              <w:t>Animatele</w:t>
            </w:r>
            <w:r w:rsidRPr="007D7076">
              <w:rPr>
                <w:rFonts w:cs="Calibri" w:hint="eastAsia"/>
                <w:b w:val="0"/>
                <w:szCs w:val="22"/>
                <w:lang w:val="fr-FR"/>
              </w:rPr>
              <w:t>公司，纽约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D556D" w14:textId="77777777" w:rsidR="004C18AD" w:rsidRPr="00790B9B" w:rsidRDefault="004C18AD" w:rsidP="00042C67">
            <w:pPr>
              <w:pStyle w:val="Tablehead"/>
              <w:jc w:val="left"/>
              <w:rPr>
                <w:b w:val="0"/>
                <w:szCs w:val="22"/>
              </w:rPr>
            </w:pPr>
            <w:r w:rsidRPr="00790B9B">
              <w:rPr>
                <w:b w:val="0"/>
                <w:szCs w:val="22"/>
              </w:rPr>
              <w:t>2011</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42F8FD" w14:textId="77777777" w:rsidR="004C18AD" w:rsidRPr="00790B9B" w:rsidRDefault="004C18AD" w:rsidP="00042C67">
            <w:pPr>
              <w:pStyle w:val="Tablehead"/>
              <w:jc w:val="right"/>
              <w:rPr>
                <w:b w:val="0"/>
                <w:szCs w:val="22"/>
              </w:rPr>
            </w:pPr>
            <w:r w:rsidRPr="00790B9B">
              <w:rPr>
                <w:b w:val="0"/>
                <w:szCs w:val="22"/>
              </w:rPr>
              <w:t>19</w:t>
            </w:r>
            <w:r>
              <w:rPr>
                <w:b w:val="0"/>
                <w:szCs w:val="22"/>
              </w:rPr>
              <w:t> </w:t>
            </w:r>
            <w:r w:rsidRPr="00790B9B">
              <w:rPr>
                <w:b w:val="0"/>
                <w:szCs w:val="22"/>
              </w:rPr>
              <w:t>694.85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56B2D7"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17AD09" w14:textId="77777777" w:rsidR="004C18AD" w:rsidRPr="00790B9B" w:rsidRDefault="004C18AD" w:rsidP="00042C67">
            <w:pPr>
              <w:pStyle w:val="Tablehead"/>
              <w:jc w:val="right"/>
              <w:rPr>
                <w:b w:val="0"/>
                <w:szCs w:val="22"/>
              </w:rPr>
            </w:pPr>
            <w:r w:rsidRPr="00790B9B">
              <w:rPr>
                <w:b w:val="0"/>
                <w:szCs w:val="22"/>
              </w:rPr>
              <w:t>19</w:t>
            </w:r>
            <w:r>
              <w:rPr>
                <w:b w:val="0"/>
                <w:szCs w:val="22"/>
              </w:rPr>
              <w:t> </w:t>
            </w:r>
            <w:r w:rsidRPr="00790B9B">
              <w:rPr>
                <w:b w:val="0"/>
                <w:szCs w:val="22"/>
              </w:rPr>
              <w:t>694.85</w:t>
            </w:r>
          </w:p>
        </w:tc>
      </w:tr>
      <w:tr w:rsidR="004C18AD" w:rsidRPr="00910F82" w14:paraId="1AFF2AC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A77A3" w14:textId="77777777" w:rsidR="004C18AD" w:rsidRPr="007D7076" w:rsidRDefault="004C18AD" w:rsidP="00042C67">
            <w:pPr>
              <w:pStyle w:val="Tablehead"/>
              <w:jc w:val="left"/>
              <w:rPr>
                <w:b w:val="0"/>
                <w:szCs w:val="22"/>
                <w:lang w:val="fr-CH" w:eastAsia="zh-CN"/>
              </w:rPr>
            </w:pPr>
            <w:r w:rsidRPr="007D7076">
              <w:rPr>
                <w:rFonts w:cs="Calibri"/>
                <w:b w:val="0"/>
                <w:szCs w:val="22"/>
                <w:lang w:val="fr-FR"/>
              </w:rPr>
              <w:t>–</w:t>
            </w:r>
            <w:r w:rsidRPr="007D7076">
              <w:rPr>
                <w:rFonts w:cs="Calibri"/>
                <w:b w:val="0"/>
                <w:szCs w:val="22"/>
                <w:lang w:val="fr-FR"/>
              </w:rPr>
              <w:tab/>
              <w:t>AOL</w:t>
            </w:r>
            <w:r w:rsidRPr="007D7076">
              <w:rPr>
                <w:rFonts w:cs="Calibri" w:hint="eastAsia"/>
                <w:b w:val="0"/>
                <w:szCs w:val="22"/>
                <w:lang w:val="fr-FR"/>
              </w:rPr>
              <w:t>，纽约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9C9EF9" w14:textId="77777777" w:rsidR="004C18AD" w:rsidRPr="00790B9B" w:rsidRDefault="004C18AD" w:rsidP="00042C67">
            <w:pPr>
              <w:pStyle w:val="Tablehead"/>
              <w:jc w:val="left"/>
              <w:rPr>
                <w:b w:val="0"/>
                <w:szCs w:val="22"/>
              </w:rPr>
            </w:pPr>
            <w:r w:rsidRPr="00790B9B">
              <w:rPr>
                <w:b w:val="0"/>
                <w:szCs w:val="22"/>
              </w:rPr>
              <w:t>2002-2003</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8BB2E9" w14:textId="77777777" w:rsidR="004C18AD" w:rsidRPr="00790B9B" w:rsidRDefault="004C18AD" w:rsidP="00042C67">
            <w:pPr>
              <w:pStyle w:val="Tablehead"/>
              <w:jc w:val="right"/>
              <w:rPr>
                <w:b w:val="0"/>
                <w:szCs w:val="22"/>
              </w:rPr>
            </w:pPr>
            <w:r w:rsidRPr="00790B9B">
              <w:rPr>
                <w:b w:val="0"/>
                <w:szCs w:val="22"/>
              </w:rPr>
              <w:t>239</w:t>
            </w:r>
            <w:r>
              <w:rPr>
                <w:b w:val="0"/>
                <w:szCs w:val="22"/>
              </w:rPr>
              <w:t> </w:t>
            </w:r>
            <w:r w:rsidRPr="00790B9B">
              <w:rPr>
                <w:b w:val="0"/>
                <w:szCs w:val="22"/>
              </w:rPr>
              <w:t>793.75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5B8989"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B80E08" w14:textId="77777777" w:rsidR="004C18AD" w:rsidRPr="00790B9B" w:rsidRDefault="004C18AD" w:rsidP="00042C67">
            <w:pPr>
              <w:pStyle w:val="Tablehead"/>
              <w:jc w:val="right"/>
              <w:rPr>
                <w:b w:val="0"/>
                <w:szCs w:val="22"/>
              </w:rPr>
            </w:pPr>
            <w:r w:rsidRPr="00790B9B">
              <w:rPr>
                <w:b w:val="0"/>
                <w:szCs w:val="22"/>
              </w:rPr>
              <w:t>239</w:t>
            </w:r>
            <w:r>
              <w:rPr>
                <w:b w:val="0"/>
                <w:szCs w:val="22"/>
              </w:rPr>
              <w:t> </w:t>
            </w:r>
            <w:r w:rsidRPr="00790B9B">
              <w:rPr>
                <w:b w:val="0"/>
                <w:szCs w:val="22"/>
              </w:rPr>
              <w:t>793.75</w:t>
            </w:r>
          </w:p>
        </w:tc>
      </w:tr>
      <w:tr w:rsidR="004C18AD" w:rsidRPr="00910F82" w14:paraId="4DDFED6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85D38" w14:textId="77777777" w:rsidR="004C18AD" w:rsidRPr="007D7076" w:rsidRDefault="004C18AD" w:rsidP="00042C67">
            <w:pPr>
              <w:pStyle w:val="Tablehead"/>
              <w:jc w:val="left"/>
              <w:rPr>
                <w:b w:val="0"/>
                <w:szCs w:val="22"/>
                <w:lang w:val="fr-CH" w:eastAsia="zh-CN"/>
              </w:rPr>
            </w:pPr>
            <w:r w:rsidRPr="007D7076">
              <w:rPr>
                <w:rFonts w:cs="Calibri"/>
                <w:b w:val="0"/>
                <w:szCs w:val="22"/>
                <w:lang w:val="fr-FR" w:eastAsia="zh-CN"/>
              </w:rPr>
              <w:t>–</w:t>
            </w:r>
            <w:r w:rsidRPr="007D7076">
              <w:rPr>
                <w:rFonts w:cs="Calibri"/>
                <w:b w:val="0"/>
                <w:szCs w:val="22"/>
                <w:lang w:val="fr-FR" w:eastAsia="zh-CN"/>
              </w:rPr>
              <w:tab/>
            </w:r>
            <w:r w:rsidRPr="007D7076">
              <w:rPr>
                <w:rFonts w:cs="Calibri" w:hint="eastAsia"/>
                <w:b w:val="0"/>
                <w:szCs w:val="22"/>
                <w:lang w:val="fr-FR" w:eastAsia="zh-CN"/>
              </w:rPr>
              <w:t>应用微电路公司，安多弗</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BD1A24" w14:textId="77777777" w:rsidR="004C18AD" w:rsidRPr="00790B9B" w:rsidRDefault="004C18AD" w:rsidP="00042C67">
            <w:pPr>
              <w:pStyle w:val="Tablehead"/>
              <w:jc w:val="left"/>
              <w:rPr>
                <w:b w:val="0"/>
                <w:szCs w:val="22"/>
              </w:rPr>
            </w:pPr>
            <w:r w:rsidRPr="00790B9B">
              <w:rPr>
                <w:b w:val="0"/>
                <w:szCs w:val="22"/>
              </w:rPr>
              <w:t>2017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A0A707" w14:textId="77777777" w:rsidR="004C18AD" w:rsidRPr="00790B9B" w:rsidRDefault="004C18AD" w:rsidP="00042C67">
            <w:pPr>
              <w:pStyle w:val="Tablehead"/>
              <w:jc w:val="right"/>
              <w:rPr>
                <w:b w:val="0"/>
                <w:szCs w:val="22"/>
              </w:rPr>
            </w:pPr>
            <w:r w:rsidRPr="00790B9B">
              <w:rPr>
                <w:b w:val="0"/>
                <w:szCs w:val="22"/>
              </w:rPr>
              <w:t>41</w:t>
            </w:r>
            <w:r>
              <w:rPr>
                <w:b w:val="0"/>
                <w:szCs w:val="22"/>
              </w:rPr>
              <w:t> </w:t>
            </w:r>
            <w:r w:rsidRPr="00790B9B">
              <w:rPr>
                <w:b w:val="0"/>
                <w:szCs w:val="22"/>
              </w:rPr>
              <w:t>652.20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348A1D"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A35AD2" w14:textId="77777777" w:rsidR="004C18AD" w:rsidRPr="00790B9B" w:rsidRDefault="004C18AD" w:rsidP="00042C67">
            <w:pPr>
              <w:pStyle w:val="Tablehead"/>
              <w:jc w:val="right"/>
              <w:rPr>
                <w:b w:val="0"/>
                <w:szCs w:val="22"/>
              </w:rPr>
            </w:pPr>
            <w:r w:rsidRPr="00790B9B">
              <w:rPr>
                <w:b w:val="0"/>
                <w:szCs w:val="22"/>
              </w:rPr>
              <w:t>41</w:t>
            </w:r>
            <w:r>
              <w:rPr>
                <w:b w:val="0"/>
                <w:szCs w:val="22"/>
              </w:rPr>
              <w:t> </w:t>
            </w:r>
            <w:r w:rsidRPr="00790B9B">
              <w:rPr>
                <w:b w:val="0"/>
                <w:szCs w:val="22"/>
              </w:rPr>
              <w:t>652.20</w:t>
            </w:r>
          </w:p>
        </w:tc>
      </w:tr>
      <w:tr w:rsidR="004C18AD" w:rsidRPr="00910F82" w14:paraId="0DA3D0A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43ED9" w14:textId="77777777" w:rsidR="004C18AD" w:rsidRPr="007D7076" w:rsidRDefault="004C18AD" w:rsidP="00042C67">
            <w:pPr>
              <w:pStyle w:val="Tablehead"/>
              <w:jc w:val="left"/>
              <w:rPr>
                <w:b w:val="0"/>
                <w:szCs w:val="22"/>
                <w:lang w:val="en-US" w:eastAsia="zh-CN"/>
              </w:rPr>
            </w:pPr>
            <w:r w:rsidRPr="007D7076">
              <w:rPr>
                <w:rFonts w:cs="Calibri"/>
                <w:b w:val="0"/>
                <w:szCs w:val="22"/>
                <w:lang w:val="fr-FR"/>
              </w:rPr>
              <w:t>–</w:t>
            </w:r>
            <w:r w:rsidRPr="007D7076">
              <w:rPr>
                <w:rFonts w:cs="Calibri"/>
                <w:b w:val="0"/>
                <w:szCs w:val="22"/>
                <w:lang w:val="fr-FR"/>
              </w:rPr>
              <w:tab/>
              <w:t>Compuware</w:t>
            </w:r>
            <w:r w:rsidRPr="007D7076">
              <w:rPr>
                <w:rFonts w:cs="Calibri" w:hint="eastAsia"/>
                <w:b w:val="0"/>
                <w:szCs w:val="22"/>
                <w:lang w:val="fr-FR"/>
              </w:rPr>
              <w:t>公司，底特律</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0BD2EB" w14:textId="77777777" w:rsidR="004C18AD" w:rsidRPr="00790B9B" w:rsidRDefault="004C18AD" w:rsidP="00042C67">
            <w:pPr>
              <w:pStyle w:val="Tablehead"/>
              <w:jc w:val="left"/>
              <w:rPr>
                <w:b w:val="0"/>
                <w:szCs w:val="22"/>
              </w:rPr>
            </w:pPr>
            <w:r w:rsidRPr="00790B9B">
              <w:rPr>
                <w:b w:val="0"/>
                <w:szCs w:val="22"/>
              </w:rPr>
              <w:t>2009-2010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A72ACE" w14:textId="77777777" w:rsidR="004C18AD" w:rsidRPr="00790B9B" w:rsidRDefault="004C18AD" w:rsidP="00042C67">
            <w:pPr>
              <w:pStyle w:val="Tablehead"/>
              <w:jc w:val="right"/>
              <w:rPr>
                <w:b w:val="0"/>
                <w:szCs w:val="22"/>
              </w:rPr>
            </w:pPr>
            <w:r w:rsidRPr="00790B9B">
              <w:rPr>
                <w:b w:val="0"/>
                <w:szCs w:val="22"/>
              </w:rPr>
              <w:t>15</w:t>
            </w:r>
            <w:r>
              <w:rPr>
                <w:b w:val="0"/>
                <w:szCs w:val="22"/>
              </w:rPr>
              <w:t> </w:t>
            </w:r>
            <w:r w:rsidRPr="00790B9B">
              <w:rPr>
                <w:b w:val="0"/>
                <w:szCs w:val="22"/>
              </w:rPr>
              <w:t>836.40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220BD6"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2CD2E7" w14:textId="77777777" w:rsidR="004C18AD" w:rsidRPr="00790B9B" w:rsidRDefault="004C18AD" w:rsidP="00042C67">
            <w:pPr>
              <w:pStyle w:val="Tablehead"/>
              <w:jc w:val="right"/>
              <w:rPr>
                <w:b w:val="0"/>
                <w:szCs w:val="22"/>
              </w:rPr>
            </w:pPr>
            <w:r w:rsidRPr="00790B9B">
              <w:rPr>
                <w:b w:val="0"/>
                <w:szCs w:val="22"/>
              </w:rPr>
              <w:t>15</w:t>
            </w:r>
            <w:r>
              <w:rPr>
                <w:b w:val="0"/>
                <w:szCs w:val="22"/>
              </w:rPr>
              <w:t> </w:t>
            </w:r>
            <w:r w:rsidRPr="00790B9B">
              <w:rPr>
                <w:b w:val="0"/>
                <w:szCs w:val="22"/>
              </w:rPr>
              <w:t>836.40</w:t>
            </w:r>
          </w:p>
        </w:tc>
      </w:tr>
      <w:tr w:rsidR="004C18AD" w:rsidRPr="00910F82" w14:paraId="0DF678B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90790" w14:textId="77777777" w:rsidR="004C18AD" w:rsidRPr="007D7076" w:rsidRDefault="004C18AD" w:rsidP="00042C67">
            <w:pPr>
              <w:pStyle w:val="Tablehead"/>
              <w:jc w:val="left"/>
              <w:rPr>
                <w:b w:val="0"/>
                <w:szCs w:val="22"/>
                <w:lang w:val="fr-CH" w:eastAsia="zh-CN"/>
              </w:rPr>
            </w:pPr>
            <w:r w:rsidRPr="007D7076">
              <w:rPr>
                <w:rFonts w:cs="Calibri"/>
                <w:b w:val="0"/>
                <w:szCs w:val="22"/>
                <w:lang w:val="fr-FR"/>
              </w:rPr>
              <w:t>–</w:t>
            </w:r>
            <w:r w:rsidRPr="007D7076">
              <w:rPr>
                <w:rFonts w:cs="Calibri"/>
                <w:b w:val="0"/>
                <w:szCs w:val="22"/>
                <w:lang w:val="fr-FR"/>
              </w:rPr>
              <w:tab/>
              <w:t>ConceroConnect</w:t>
            </w:r>
            <w:r w:rsidRPr="007D7076">
              <w:rPr>
                <w:rFonts w:cs="Calibri" w:hint="eastAsia"/>
                <w:b w:val="0"/>
                <w:szCs w:val="22"/>
                <w:lang w:val="fr-FR"/>
              </w:rPr>
              <w:t>，</w:t>
            </w:r>
            <w:r w:rsidRPr="007D7076">
              <w:rPr>
                <w:rFonts w:cs="Calibri"/>
                <w:b w:val="0"/>
                <w:szCs w:val="22"/>
                <w:lang w:val="fr-FR"/>
              </w:rPr>
              <w:t>L3C</w:t>
            </w:r>
            <w:r w:rsidRPr="007D7076">
              <w:rPr>
                <w:rFonts w:cs="Calibri" w:hint="eastAsia"/>
                <w:b w:val="0"/>
                <w:szCs w:val="22"/>
                <w:lang w:val="fr-FR"/>
              </w:rPr>
              <w:t>，帕克城</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F3F82E" w14:textId="77777777" w:rsidR="004C18AD" w:rsidRPr="00790B9B" w:rsidRDefault="004C18AD" w:rsidP="00042C67">
            <w:pPr>
              <w:pStyle w:val="Tablehead"/>
              <w:jc w:val="left"/>
              <w:rPr>
                <w:b w:val="0"/>
                <w:szCs w:val="22"/>
              </w:rPr>
            </w:pPr>
            <w:r w:rsidRPr="00790B9B">
              <w:rPr>
                <w:b w:val="0"/>
                <w:szCs w:val="22"/>
              </w:rPr>
              <w:t>2015</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84C085" w14:textId="77777777" w:rsidR="004C18AD" w:rsidRPr="00790B9B" w:rsidRDefault="004C18AD" w:rsidP="00042C67">
            <w:pPr>
              <w:pStyle w:val="Tablehead"/>
              <w:jc w:val="right"/>
              <w:rPr>
                <w:b w:val="0"/>
                <w:szCs w:val="22"/>
              </w:rPr>
            </w:pPr>
            <w:r w:rsidRPr="00790B9B">
              <w:rPr>
                <w:b w:val="0"/>
                <w:szCs w:val="22"/>
              </w:rPr>
              <w:t>11</w:t>
            </w:r>
            <w:r>
              <w:rPr>
                <w:b w:val="0"/>
                <w:szCs w:val="22"/>
              </w:rPr>
              <w:t> </w:t>
            </w:r>
            <w:r w:rsidRPr="00790B9B">
              <w:rPr>
                <w:b w:val="0"/>
                <w:szCs w:val="22"/>
              </w:rPr>
              <w:t>700.15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DA96EB"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DC7EBB" w14:textId="77777777" w:rsidR="004C18AD" w:rsidRPr="00790B9B" w:rsidRDefault="004C18AD" w:rsidP="00042C67">
            <w:pPr>
              <w:pStyle w:val="Tablehead"/>
              <w:jc w:val="right"/>
              <w:rPr>
                <w:b w:val="0"/>
                <w:szCs w:val="22"/>
              </w:rPr>
            </w:pPr>
            <w:r w:rsidRPr="00790B9B">
              <w:rPr>
                <w:b w:val="0"/>
                <w:szCs w:val="22"/>
              </w:rPr>
              <w:t>11</w:t>
            </w:r>
            <w:r>
              <w:rPr>
                <w:b w:val="0"/>
                <w:szCs w:val="22"/>
              </w:rPr>
              <w:t> </w:t>
            </w:r>
            <w:r w:rsidRPr="00790B9B">
              <w:rPr>
                <w:b w:val="0"/>
                <w:szCs w:val="22"/>
              </w:rPr>
              <w:t>700.15</w:t>
            </w:r>
          </w:p>
        </w:tc>
      </w:tr>
      <w:tr w:rsidR="004C18AD" w:rsidRPr="00910F82" w14:paraId="63C6BB7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82DC54" w14:textId="77777777" w:rsidR="004C18AD" w:rsidRPr="002C248C" w:rsidRDefault="004C18AD" w:rsidP="00042C67">
            <w:pPr>
              <w:pStyle w:val="Tablehead"/>
              <w:jc w:val="left"/>
              <w:rPr>
                <w:b w:val="0"/>
                <w:szCs w:val="22"/>
                <w:lang w:val="en-US" w:eastAsia="zh-CN"/>
              </w:rPr>
            </w:pPr>
            <w:r w:rsidRPr="000B6118">
              <w:rPr>
                <w:b w:val="0"/>
                <w:szCs w:val="22"/>
                <w:lang w:val="fr-FR" w:eastAsia="zh-CN"/>
              </w:rPr>
              <w:t>–</w:t>
            </w:r>
            <w:r w:rsidRPr="000B6118">
              <w:rPr>
                <w:b w:val="0"/>
                <w:szCs w:val="22"/>
                <w:lang w:val="fr-FR" w:eastAsia="zh-CN"/>
              </w:rPr>
              <w:tab/>
            </w:r>
            <w:r w:rsidRPr="000B6118">
              <w:rPr>
                <w:rFonts w:hint="eastAsia"/>
                <w:b w:val="0"/>
                <w:szCs w:val="22"/>
                <w:lang w:val="en-US" w:eastAsia="zh-CN"/>
              </w:rPr>
              <w:t>大陆汽车系统</w:t>
            </w:r>
            <w:r>
              <w:rPr>
                <w:rFonts w:hint="eastAsia"/>
                <w:b w:val="0"/>
                <w:szCs w:val="22"/>
                <w:lang w:val="en-US" w:eastAsia="zh-CN"/>
              </w:rPr>
              <w:t>公司，</w:t>
            </w:r>
            <w:r w:rsidRPr="0044017D">
              <w:rPr>
                <w:rFonts w:hint="eastAsia"/>
                <w:b w:val="0"/>
                <w:szCs w:val="22"/>
                <w:lang w:val="en-US" w:eastAsia="zh-CN"/>
              </w:rPr>
              <w:t>鹿园</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4B4B0D" w14:textId="77777777" w:rsidR="004C18AD" w:rsidRPr="00790B9B" w:rsidRDefault="004C18AD" w:rsidP="00042C67">
            <w:pPr>
              <w:pStyle w:val="Tablehead"/>
              <w:jc w:val="left"/>
              <w:rPr>
                <w:b w:val="0"/>
                <w:szCs w:val="22"/>
              </w:rPr>
            </w:pPr>
            <w:r w:rsidRPr="00790B9B">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ADE9A" w14:textId="77777777" w:rsidR="004C18AD" w:rsidRPr="00790B9B" w:rsidRDefault="004C18AD" w:rsidP="00042C67">
            <w:pPr>
              <w:pStyle w:val="Tablehead"/>
              <w:jc w:val="right"/>
              <w:rPr>
                <w:b w:val="0"/>
                <w:szCs w:val="22"/>
              </w:rPr>
            </w:pPr>
            <w:r w:rsidRPr="00790B9B">
              <w:rPr>
                <w:b w:val="0"/>
                <w:szCs w:val="22"/>
              </w:rPr>
              <w:t>6</w:t>
            </w:r>
            <w:r>
              <w:rPr>
                <w:b w:val="0"/>
                <w:szCs w:val="22"/>
              </w:rPr>
              <w:t> </w:t>
            </w:r>
            <w:r w:rsidRPr="00790B9B">
              <w:rPr>
                <w:b w:val="0"/>
                <w:szCs w:val="22"/>
              </w:rPr>
              <w:t>554.33</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8AB294"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F1C2B0" w14:textId="77777777" w:rsidR="004C18AD" w:rsidRPr="00790B9B" w:rsidRDefault="004C18AD" w:rsidP="00042C67">
            <w:pPr>
              <w:pStyle w:val="Tablehead"/>
              <w:jc w:val="right"/>
              <w:rPr>
                <w:b w:val="0"/>
                <w:szCs w:val="22"/>
              </w:rPr>
            </w:pPr>
            <w:r w:rsidRPr="00790B9B">
              <w:rPr>
                <w:b w:val="0"/>
                <w:szCs w:val="22"/>
              </w:rPr>
              <w:t>6</w:t>
            </w:r>
            <w:r>
              <w:rPr>
                <w:b w:val="0"/>
                <w:szCs w:val="22"/>
              </w:rPr>
              <w:t> </w:t>
            </w:r>
            <w:r w:rsidRPr="00790B9B">
              <w:rPr>
                <w:b w:val="0"/>
                <w:szCs w:val="22"/>
              </w:rPr>
              <w:t>554.33</w:t>
            </w:r>
          </w:p>
        </w:tc>
      </w:tr>
      <w:tr w:rsidR="004C18AD" w:rsidRPr="00910F82" w14:paraId="5C089696"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3BDA5" w14:textId="77777777" w:rsidR="004C18AD" w:rsidRPr="00790B9B" w:rsidRDefault="004C18AD" w:rsidP="00042C67">
            <w:pPr>
              <w:pStyle w:val="Tablehead"/>
              <w:jc w:val="left"/>
              <w:rPr>
                <w:b w:val="0"/>
                <w:szCs w:val="22"/>
                <w:lang w:val="en-US" w:eastAsia="zh-CN"/>
              </w:rPr>
            </w:pPr>
            <w:r w:rsidRPr="007D7076">
              <w:rPr>
                <w:rFonts w:cs="Calibri"/>
                <w:b w:val="0"/>
                <w:szCs w:val="22"/>
                <w:lang w:val="fr-FR"/>
              </w:rPr>
              <w:t>–</w:t>
            </w:r>
            <w:r w:rsidRPr="007D7076">
              <w:rPr>
                <w:rFonts w:cs="Calibri"/>
                <w:b w:val="0"/>
                <w:szCs w:val="22"/>
                <w:lang w:val="fr-FR"/>
              </w:rPr>
              <w:tab/>
              <w:t>Conversay</w:t>
            </w:r>
            <w:r w:rsidRPr="007D7076">
              <w:rPr>
                <w:rFonts w:cs="Calibri" w:hint="eastAsia"/>
                <w:b w:val="0"/>
                <w:szCs w:val="22"/>
                <w:lang w:val="fr-FR"/>
              </w:rPr>
              <w:t>，雷德蒙德</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5F39DC" w14:textId="77777777" w:rsidR="004C18AD" w:rsidRPr="00790B9B" w:rsidRDefault="004C18AD" w:rsidP="00042C67">
            <w:pPr>
              <w:pStyle w:val="Tablehead"/>
              <w:jc w:val="left"/>
              <w:rPr>
                <w:b w:val="0"/>
                <w:szCs w:val="22"/>
              </w:rPr>
            </w:pPr>
            <w:r w:rsidRPr="00790B9B">
              <w:rPr>
                <w:b w:val="0"/>
                <w:szCs w:val="22"/>
              </w:rPr>
              <w:t>2007-2008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3B7B5F" w14:textId="77777777" w:rsidR="004C18AD" w:rsidRPr="00790B9B" w:rsidRDefault="004C18AD" w:rsidP="00042C67">
            <w:pPr>
              <w:pStyle w:val="Tablehead"/>
              <w:jc w:val="right"/>
              <w:rPr>
                <w:b w:val="0"/>
                <w:szCs w:val="22"/>
              </w:rPr>
            </w:pPr>
            <w:r w:rsidRPr="00790B9B">
              <w:rPr>
                <w:b w:val="0"/>
                <w:szCs w:val="22"/>
              </w:rPr>
              <w:t>94</w:t>
            </w:r>
            <w:r>
              <w:rPr>
                <w:b w:val="0"/>
                <w:szCs w:val="22"/>
              </w:rPr>
              <w:t> </w:t>
            </w:r>
            <w:r w:rsidRPr="00790B9B">
              <w:rPr>
                <w:b w:val="0"/>
                <w:szCs w:val="22"/>
              </w:rPr>
              <w:t>531.20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F8CC2C"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BD739A" w14:textId="77777777" w:rsidR="004C18AD" w:rsidRPr="00790B9B" w:rsidRDefault="004C18AD" w:rsidP="00042C67">
            <w:pPr>
              <w:pStyle w:val="Tablehead"/>
              <w:jc w:val="right"/>
              <w:rPr>
                <w:b w:val="0"/>
                <w:szCs w:val="22"/>
              </w:rPr>
            </w:pPr>
            <w:r w:rsidRPr="00790B9B">
              <w:rPr>
                <w:b w:val="0"/>
                <w:szCs w:val="22"/>
              </w:rPr>
              <w:t>94</w:t>
            </w:r>
            <w:r>
              <w:rPr>
                <w:b w:val="0"/>
                <w:szCs w:val="22"/>
              </w:rPr>
              <w:t> </w:t>
            </w:r>
            <w:r w:rsidRPr="00790B9B">
              <w:rPr>
                <w:b w:val="0"/>
                <w:szCs w:val="22"/>
              </w:rPr>
              <w:t>531.20</w:t>
            </w:r>
          </w:p>
        </w:tc>
      </w:tr>
      <w:tr w:rsidR="004C18AD" w:rsidRPr="00910F82" w14:paraId="0534C7E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5E8D0" w14:textId="77777777" w:rsidR="004C18AD" w:rsidRPr="007D7076" w:rsidRDefault="004C18AD" w:rsidP="00042C67">
            <w:pPr>
              <w:pStyle w:val="Tablehead"/>
              <w:jc w:val="left"/>
              <w:rPr>
                <w:b w:val="0"/>
                <w:szCs w:val="22"/>
                <w:lang w:val="fr-CH" w:eastAsia="zh-CN"/>
              </w:rPr>
            </w:pPr>
            <w:r w:rsidRPr="007D7076">
              <w:rPr>
                <w:rFonts w:cs="Calibri"/>
                <w:b w:val="0"/>
                <w:szCs w:val="22"/>
                <w:lang w:val="fr-FR"/>
              </w:rPr>
              <w:t>–</w:t>
            </w:r>
            <w:r w:rsidRPr="007D7076">
              <w:rPr>
                <w:rFonts w:cs="Calibri"/>
                <w:b w:val="0"/>
                <w:szCs w:val="22"/>
                <w:lang w:val="fr-FR"/>
              </w:rPr>
              <w:tab/>
              <w:t>Covad</w:t>
            </w:r>
            <w:r w:rsidRPr="007D7076">
              <w:rPr>
                <w:rFonts w:cs="Calibri" w:hint="eastAsia"/>
                <w:b w:val="0"/>
                <w:szCs w:val="22"/>
                <w:lang w:val="fr-FR"/>
              </w:rPr>
              <w:t>通信公司</w:t>
            </w:r>
            <w:r w:rsidRPr="007D7076">
              <w:rPr>
                <w:rFonts w:cs="Calibri"/>
                <w:b w:val="0"/>
                <w:szCs w:val="22"/>
                <w:lang w:val="fr-FR"/>
              </w:rPr>
              <w:t>，</w:t>
            </w:r>
            <w:r w:rsidRPr="007D7076">
              <w:rPr>
                <w:rFonts w:cs="Calibri" w:hint="eastAsia"/>
                <w:b w:val="0"/>
                <w:szCs w:val="22"/>
                <w:lang w:val="fr-FR"/>
              </w:rPr>
              <w:t>圣何塞</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4148C2" w14:textId="77777777" w:rsidR="004C18AD" w:rsidRPr="00790B9B" w:rsidRDefault="004C18AD" w:rsidP="00042C67">
            <w:pPr>
              <w:pStyle w:val="Tablehead"/>
              <w:jc w:val="left"/>
              <w:rPr>
                <w:b w:val="0"/>
                <w:szCs w:val="22"/>
              </w:rPr>
            </w:pPr>
            <w:r w:rsidRPr="00790B9B">
              <w:rPr>
                <w:b w:val="0"/>
                <w:szCs w:val="22"/>
              </w:rPr>
              <w:t>2001-2002</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1021C" w14:textId="77777777" w:rsidR="004C18AD" w:rsidRPr="00790B9B" w:rsidRDefault="004C18AD" w:rsidP="00042C67">
            <w:pPr>
              <w:pStyle w:val="Tablehead"/>
              <w:jc w:val="right"/>
              <w:rPr>
                <w:b w:val="0"/>
                <w:szCs w:val="22"/>
              </w:rPr>
            </w:pPr>
            <w:r w:rsidRPr="00790B9B">
              <w:rPr>
                <w:b w:val="0"/>
                <w:szCs w:val="22"/>
              </w:rPr>
              <w:t>150</w:t>
            </w:r>
            <w:r>
              <w:rPr>
                <w:b w:val="0"/>
                <w:szCs w:val="22"/>
              </w:rPr>
              <w:t> </w:t>
            </w:r>
            <w:r w:rsidRPr="00790B9B">
              <w:rPr>
                <w:b w:val="0"/>
                <w:szCs w:val="22"/>
              </w:rPr>
              <w:t>172.60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0AB886"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55CA0A" w14:textId="77777777" w:rsidR="004C18AD" w:rsidRPr="00790B9B" w:rsidRDefault="004C18AD" w:rsidP="00042C67">
            <w:pPr>
              <w:pStyle w:val="Tablehead"/>
              <w:jc w:val="right"/>
              <w:rPr>
                <w:b w:val="0"/>
                <w:szCs w:val="22"/>
              </w:rPr>
            </w:pPr>
            <w:r w:rsidRPr="00790B9B">
              <w:rPr>
                <w:b w:val="0"/>
                <w:szCs w:val="22"/>
              </w:rPr>
              <w:t>150</w:t>
            </w:r>
            <w:r>
              <w:rPr>
                <w:b w:val="0"/>
                <w:szCs w:val="22"/>
              </w:rPr>
              <w:t> </w:t>
            </w:r>
            <w:r w:rsidRPr="00790B9B">
              <w:rPr>
                <w:b w:val="0"/>
                <w:szCs w:val="22"/>
              </w:rPr>
              <w:t>172.60</w:t>
            </w:r>
          </w:p>
        </w:tc>
      </w:tr>
      <w:tr w:rsidR="004C18AD" w:rsidRPr="00910F82" w14:paraId="27A0209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60D29" w14:textId="77777777" w:rsidR="004C18AD" w:rsidRPr="007D7076" w:rsidRDefault="004C18AD" w:rsidP="00042C67">
            <w:pPr>
              <w:pStyle w:val="Tablehead"/>
              <w:jc w:val="left"/>
              <w:rPr>
                <w:b w:val="0"/>
                <w:szCs w:val="22"/>
                <w:lang w:val="en-US" w:eastAsia="zh-CN"/>
              </w:rPr>
            </w:pPr>
            <w:r w:rsidRPr="007D7076">
              <w:rPr>
                <w:rFonts w:cs="Calibri"/>
                <w:b w:val="0"/>
                <w:szCs w:val="22"/>
                <w:lang w:val="fr-FR"/>
              </w:rPr>
              <w:t>–</w:t>
            </w:r>
            <w:r w:rsidRPr="007D7076">
              <w:rPr>
                <w:rFonts w:cs="Calibri"/>
                <w:b w:val="0"/>
                <w:szCs w:val="22"/>
                <w:lang w:val="fr-FR"/>
              </w:rPr>
              <w:tab/>
              <w:t>Cypress</w:t>
            </w:r>
            <w:r w:rsidRPr="007D7076">
              <w:rPr>
                <w:rFonts w:cs="Calibri" w:hint="eastAsia"/>
                <w:b w:val="0"/>
                <w:szCs w:val="22"/>
                <w:lang w:val="fr-FR"/>
              </w:rPr>
              <w:t>半导体公司，圣何塞</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3BDBB" w14:textId="77777777" w:rsidR="004C18AD" w:rsidRPr="00790B9B" w:rsidRDefault="004C18AD" w:rsidP="00042C67">
            <w:pPr>
              <w:pStyle w:val="Tablehead"/>
              <w:jc w:val="left"/>
              <w:rPr>
                <w:b w:val="0"/>
                <w:szCs w:val="22"/>
              </w:rPr>
            </w:pPr>
            <w:r w:rsidRPr="00790B9B">
              <w:rPr>
                <w:b w:val="0"/>
                <w:szCs w:val="22"/>
              </w:rPr>
              <w:t>2004-2005</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E26E9F" w14:textId="77777777" w:rsidR="004C18AD" w:rsidRPr="00790B9B" w:rsidRDefault="004C18AD" w:rsidP="00042C67">
            <w:pPr>
              <w:pStyle w:val="Tablehead"/>
              <w:jc w:val="right"/>
              <w:rPr>
                <w:b w:val="0"/>
                <w:szCs w:val="22"/>
              </w:rPr>
            </w:pPr>
            <w:r w:rsidRPr="00790B9B">
              <w:rPr>
                <w:b w:val="0"/>
                <w:szCs w:val="22"/>
              </w:rPr>
              <w:t>45</w:t>
            </w:r>
            <w:r>
              <w:rPr>
                <w:b w:val="0"/>
                <w:szCs w:val="22"/>
              </w:rPr>
              <w:t> </w:t>
            </w:r>
            <w:r w:rsidRPr="00790B9B">
              <w:rPr>
                <w:b w:val="0"/>
                <w:szCs w:val="22"/>
              </w:rPr>
              <w:t>005.75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BAB2BC"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67C293" w14:textId="77777777" w:rsidR="004C18AD" w:rsidRPr="00790B9B" w:rsidRDefault="004C18AD" w:rsidP="00042C67">
            <w:pPr>
              <w:pStyle w:val="Tablehead"/>
              <w:jc w:val="right"/>
              <w:rPr>
                <w:b w:val="0"/>
                <w:szCs w:val="22"/>
              </w:rPr>
            </w:pPr>
            <w:r w:rsidRPr="00790B9B">
              <w:rPr>
                <w:b w:val="0"/>
                <w:szCs w:val="22"/>
              </w:rPr>
              <w:t>45</w:t>
            </w:r>
            <w:r>
              <w:rPr>
                <w:b w:val="0"/>
                <w:szCs w:val="22"/>
              </w:rPr>
              <w:t> </w:t>
            </w:r>
            <w:r w:rsidRPr="00790B9B">
              <w:rPr>
                <w:b w:val="0"/>
                <w:szCs w:val="22"/>
              </w:rPr>
              <w:t>005.75</w:t>
            </w:r>
          </w:p>
        </w:tc>
      </w:tr>
      <w:tr w:rsidR="004C18AD" w:rsidRPr="00910F82" w14:paraId="27FE1F36"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E7075" w14:textId="77777777" w:rsidR="004C18AD" w:rsidRPr="007D7076" w:rsidRDefault="004C18AD" w:rsidP="00042C67">
            <w:pPr>
              <w:pStyle w:val="Tablehead"/>
              <w:jc w:val="left"/>
              <w:rPr>
                <w:b w:val="0"/>
                <w:szCs w:val="22"/>
                <w:lang w:val="en-US" w:eastAsia="zh-CN"/>
              </w:rPr>
            </w:pPr>
            <w:r w:rsidRPr="007D7076">
              <w:rPr>
                <w:rFonts w:cs="Calibri"/>
                <w:b w:val="0"/>
                <w:szCs w:val="22"/>
                <w:lang w:val="fr-FR"/>
              </w:rPr>
              <w:t>–</w:t>
            </w:r>
            <w:r w:rsidRPr="007D7076">
              <w:rPr>
                <w:rFonts w:cs="Calibri"/>
                <w:b w:val="0"/>
                <w:szCs w:val="22"/>
                <w:lang w:val="fr-FR"/>
              </w:rPr>
              <w:tab/>
              <w:t>E-MAC</w:t>
            </w:r>
            <w:r w:rsidRPr="007D7076">
              <w:rPr>
                <w:rFonts w:cs="Calibri" w:hint="eastAsia"/>
                <w:b w:val="0"/>
                <w:szCs w:val="22"/>
                <w:lang w:val="fr-FR"/>
              </w:rPr>
              <w:t>公司，阿灵顿</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FD248D" w14:textId="77777777" w:rsidR="004C18AD" w:rsidRPr="00790B9B" w:rsidRDefault="004C18AD" w:rsidP="00042C67">
            <w:pPr>
              <w:pStyle w:val="Tablehead"/>
              <w:jc w:val="left"/>
              <w:rPr>
                <w:b w:val="0"/>
                <w:szCs w:val="22"/>
              </w:rPr>
            </w:pPr>
            <w:r w:rsidRPr="00790B9B">
              <w:rPr>
                <w:b w:val="0"/>
                <w:szCs w:val="22"/>
              </w:rPr>
              <w:t>2005-2007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700C36" w14:textId="77777777" w:rsidR="004C18AD" w:rsidRPr="00790B9B" w:rsidRDefault="004C18AD" w:rsidP="00042C67">
            <w:pPr>
              <w:pStyle w:val="Tablehead"/>
              <w:jc w:val="right"/>
              <w:rPr>
                <w:b w:val="0"/>
                <w:szCs w:val="22"/>
              </w:rPr>
            </w:pPr>
            <w:r w:rsidRPr="00790B9B">
              <w:rPr>
                <w:b w:val="0"/>
                <w:szCs w:val="22"/>
              </w:rPr>
              <w:t>57</w:t>
            </w:r>
            <w:r>
              <w:rPr>
                <w:b w:val="0"/>
                <w:szCs w:val="22"/>
              </w:rPr>
              <w:t> </w:t>
            </w:r>
            <w:r w:rsidRPr="00790B9B">
              <w:rPr>
                <w:b w:val="0"/>
                <w:szCs w:val="22"/>
              </w:rPr>
              <w:t>166.10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916F66"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6B7898" w14:textId="77777777" w:rsidR="004C18AD" w:rsidRPr="00790B9B" w:rsidRDefault="004C18AD" w:rsidP="00042C67">
            <w:pPr>
              <w:pStyle w:val="Tablehead"/>
              <w:jc w:val="right"/>
              <w:rPr>
                <w:b w:val="0"/>
                <w:szCs w:val="22"/>
              </w:rPr>
            </w:pPr>
            <w:r w:rsidRPr="00790B9B">
              <w:rPr>
                <w:b w:val="0"/>
                <w:szCs w:val="22"/>
              </w:rPr>
              <w:t>57</w:t>
            </w:r>
            <w:r>
              <w:rPr>
                <w:b w:val="0"/>
                <w:szCs w:val="22"/>
              </w:rPr>
              <w:t> </w:t>
            </w:r>
            <w:r w:rsidRPr="00790B9B">
              <w:rPr>
                <w:b w:val="0"/>
                <w:szCs w:val="22"/>
              </w:rPr>
              <w:t>166.10</w:t>
            </w:r>
          </w:p>
        </w:tc>
      </w:tr>
      <w:tr w:rsidR="004C18AD" w:rsidRPr="00910F82" w14:paraId="5BD6D56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012BD" w14:textId="77777777" w:rsidR="004C18AD" w:rsidRPr="007D7076" w:rsidRDefault="004C18AD" w:rsidP="00042C67">
            <w:pPr>
              <w:pStyle w:val="Tablehead"/>
              <w:jc w:val="left"/>
              <w:rPr>
                <w:b w:val="0"/>
                <w:szCs w:val="22"/>
                <w:lang w:val="fr-CH" w:eastAsia="zh-CN"/>
              </w:rPr>
            </w:pPr>
            <w:r w:rsidRPr="007D7076">
              <w:rPr>
                <w:rFonts w:cs="Calibri"/>
                <w:b w:val="0"/>
                <w:szCs w:val="22"/>
                <w:lang w:val="fr-FR"/>
              </w:rPr>
              <w:t>–</w:t>
            </w:r>
            <w:r w:rsidRPr="007D7076">
              <w:rPr>
                <w:rFonts w:cs="Calibri"/>
                <w:b w:val="0"/>
                <w:szCs w:val="22"/>
                <w:lang w:val="fr-FR"/>
              </w:rPr>
              <w:tab/>
              <w:t>eCurrency</w:t>
            </w:r>
            <w:r w:rsidRPr="007D7076">
              <w:rPr>
                <w:rFonts w:cs="Calibri" w:hint="eastAsia"/>
                <w:b w:val="0"/>
                <w:szCs w:val="22"/>
                <w:lang w:val="fr-FR"/>
              </w:rPr>
              <w:t>，奥克兰</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BB860" w14:textId="77777777" w:rsidR="004C18AD" w:rsidRPr="00790B9B" w:rsidRDefault="004C18AD" w:rsidP="00042C67">
            <w:pPr>
              <w:pStyle w:val="Tablehead"/>
              <w:jc w:val="left"/>
              <w:rPr>
                <w:b w:val="0"/>
                <w:szCs w:val="22"/>
              </w:rPr>
            </w:pPr>
            <w:r w:rsidRPr="00790B9B">
              <w:rPr>
                <w:b w:val="0"/>
                <w:szCs w:val="22"/>
              </w:rPr>
              <w:t>2018-2019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3CFAF1" w14:textId="77777777" w:rsidR="004C18AD" w:rsidRPr="00790B9B" w:rsidRDefault="004C18AD" w:rsidP="00042C67">
            <w:pPr>
              <w:pStyle w:val="Tablehead"/>
              <w:jc w:val="right"/>
              <w:rPr>
                <w:b w:val="0"/>
                <w:szCs w:val="22"/>
              </w:rPr>
            </w:pPr>
            <w:r w:rsidRPr="00790B9B">
              <w:rPr>
                <w:b w:val="0"/>
                <w:szCs w:val="22"/>
              </w:rPr>
              <w:t>37</w:t>
            </w:r>
            <w:r>
              <w:rPr>
                <w:b w:val="0"/>
                <w:szCs w:val="22"/>
              </w:rPr>
              <w:t> </w:t>
            </w:r>
            <w:r w:rsidRPr="00790B9B">
              <w:rPr>
                <w:b w:val="0"/>
                <w:szCs w:val="22"/>
              </w:rPr>
              <w:t>157.80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73AEA4"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FFA12C" w14:textId="77777777" w:rsidR="004C18AD" w:rsidRPr="00790B9B" w:rsidRDefault="004C18AD" w:rsidP="00042C67">
            <w:pPr>
              <w:pStyle w:val="Tablehead"/>
              <w:jc w:val="right"/>
              <w:rPr>
                <w:b w:val="0"/>
                <w:szCs w:val="22"/>
              </w:rPr>
            </w:pPr>
            <w:r w:rsidRPr="00790B9B">
              <w:rPr>
                <w:b w:val="0"/>
                <w:szCs w:val="22"/>
              </w:rPr>
              <w:t>37</w:t>
            </w:r>
            <w:r>
              <w:rPr>
                <w:b w:val="0"/>
                <w:szCs w:val="22"/>
              </w:rPr>
              <w:t> </w:t>
            </w:r>
            <w:r w:rsidRPr="00790B9B">
              <w:rPr>
                <w:b w:val="0"/>
                <w:szCs w:val="22"/>
              </w:rPr>
              <w:t>157.80</w:t>
            </w:r>
          </w:p>
        </w:tc>
      </w:tr>
      <w:tr w:rsidR="004C18AD" w:rsidRPr="00910F82" w14:paraId="0100567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6722A" w14:textId="77777777" w:rsidR="004C18AD" w:rsidRPr="007D7076" w:rsidRDefault="004C18AD" w:rsidP="00042C67">
            <w:pPr>
              <w:pStyle w:val="Tablehead"/>
              <w:jc w:val="left"/>
              <w:rPr>
                <w:b w:val="0"/>
                <w:szCs w:val="22"/>
                <w:lang w:val="fr-CH" w:eastAsia="zh-CN"/>
              </w:rPr>
            </w:pPr>
            <w:r w:rsidRPr="007D7076">
              <w:rPr>
                <w:rFonts w:cs="Calibri"/>
                <w:b w:val="0"/>
                <w:szCs w:val="22"/>
                <w:lang w:val="fr-FR"/>
              </w:rPr>
              <w:t>–</w:t>
            </w:r>
            <w:r w:rsidRPr="007D7076">
              <w:rPr>
                <w:rFonts w:cs="Calibri"/>
                <w:b w:val="0"/>
                <w:szCs w:val="22"/>
                <w:lang w:val="fr-FR"/>
              </w:rPr>
              <w:tab/>
              <w:t>Ellipsat</w:t>
            </w:r>
            <w:r w:rsidRPr="007D7076">
              <w:rPr>
                <w:rFonts w:cs="Calibri" w:hint="eastAsia"/>
                <w:b w:val="0"/>
                <w:szCs w:val="22"/>
                <w:lang w:val="fr-FR"/>
              </w:rPr>
              <w:t>公司，华盛顿</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169E9B" w14:textId="77777777" w:rsidR="004C18AD" w:rsidRPr="00790B9B" w:rsidRDefault="004C18AD" w:rsidP="00042C67">
            <w:pPr>
              <w:pStyle w:val="Tablehead"/>
              <w:jc w:val="left"/>
              <w:rPr>
                <w:b w:val="0"/>
                <w:szCs w:val="22"/>
              </w:rPr>
            </w:pPr>
            <w:r w:rsidRPr="00790B9B">
              <w:rPr>
                <w:b w:val="0"/>
                <w:szCs w:val="22"/>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CF88FB" w14:textId="77777777" w:rsidR="004C18AD" w:rsidRPr="00790B9B" w:rsidRDefault="004C18AD" w:rsidP="00042C67">
            <w:pPr>
              <w:pStyle w:val="Tablehead"/>
              <w:jc w:val="right"/>
              <w:rPr>
                <w:b w:val="0"/>
                <w:szCs w:val="22"/>
              </w:rPr>
            </w:pPr>
            <w:r w:rsidRPr="00790B9B">
              <w:rPr>
                <w:b w:val="0"/>
                <w:szCs w:val="22"/>
              </w:rPr>
              <w:t>10</w:t>
            </w:r>
            <w:r>
              <w:rPr>
                <w:b w:val="0"/>
                <w:szCs w:val="22"/>
              </w:rPr>
              <w:t> </w:t>
            </w:r>
            <w:r w:rsidRPr="00790B9B">
              <w:rPr>
                <w:b w:val="0"/>
                <w:szCs w:val="22"/>
              </w:rPr>
              <w:t>204.95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C6FBDE"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B96910" w14:textId="77777777" w:rsidR="004C18AD" w:rsidRPr="00790B9B" w:rsidRDefault="004C18AD" w:rsidP="00042C67">
            <w:pPr>
              <w:pStyle w:val="Tablehead"/>
              <w:jc w:val="right"/>
              <w:rPr>
                <w:b w:val="0"/>
                <w:szCs w:val="22"/>
              </w:rPr>
            </w:pPr>
            <w:r w:rsidRPr="00790B9B">
              <w:rPr>
                <w:b w:val="0"/>
                <w:szCs w:val="22"/>
              </w:rPr>
              <w:t>10</w:t>
            </w:r>
            <w:r>
              <w:rPr>
                <w:b w:val="0"/>
                <w:szCs w:val="22"/>
              </w:rPr>
              <w:t> </w:t>
            </w:r>
            <w:r w:rsidRPr="00790B9B">
              <w:rPr>
                <w:b w:val="0"/>
                <w:szCs w:val="22"/>
              </w:rPr>
              <w:t>204.95</w:t>
            </w:r>
          </w:p>
        </w:tc>
      </w:tr>
      <w:tr w:rsidR="004C18AD" w:rsidRPr="00910F82" w14:paraId="0B990291"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2E4C9" w14:textId="77777777" w:rsidR="004C18AD" w:rsidRPr="007D7076" w:rsidRDefault="004C18AD" w:rsidP="00042C67">
            <w:pPr>
              <w:pStyle w:val="Tablehead"/>
              <w:jc w:val="left"/>
              <w:rPr>
                <w:b w:val="0"/>
                <w:szCs w:val="22"/>
                <w:lang w:val="fr-CH" w:eastAsia="zh-CN"/>
              </w:rPr>
            </w:pPr>
            <w:r w:rsidRPr="007D7076">
              <w:rPr>
                <w:rFonts w:cs="Calibri"/>
                <w:b w:val="0"/>
                <w:szCs w:val="22"/>
                <w:lang w:val="fr-FR"/>
              </w:rPr>
              <w:t>–</w:t>
            </w:r>
            <w:r w:rsidRPr="007D7076">
              <w:rPr>
                <w:rFonts w:cs="Calibri"/>
                <w:b w:val="0"/>
                <w:szCs w:val="22"/>
                <w:lang w:val="fr-FR"/>
              </w:rPr>
              <w:tab/>
              <w:t>EnVerv</w:t>
            </w:r>
            <w:r w:rsidRPr="007D7076">
              <w:rPr>
                <w:rFonts w:cs="Calibri" w:hint="eastAsia"/>
                <w:b w:val="0"/>
                <w:szCs w:val="22"/>
                <w:lang w:val="fr-FR"/>
              </w:rPr>
              <w:t>公司，苗必达</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0FB1A9" w14:textId="77777777" w:rsidR="004C18AD" w:rsidRPr="00790B9B" w:rsidRDefault="004C18AD" w:rsidP="00042C67">
            <w:pPr>
              <w:pStyle w:val="Tablehead"/>
              <w:jc w:val="left"/>
              <w:rPr>
                <w:b w:val="0"/>
                <w:szCs w:val="22"/>
              </w:rPr>
            </w:pPr>
            <w:r w:rsidRPr="00790B9B">
              <w:rPr>
                <w:b w:val="0"/>
                <w:szCs w:val="22"/>
              </w:rPr>
              <w:t>2015</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1F800A" w14:textId="77777777" w:rsidR="004C18AD" w:rsidRPr="00790B9B" w:rsidRDefault="004C18AD" w:rsidP="00042C67">
            <w:pPr>
              <w:pStyle w:val="Tablehead"/>
              <w:jc w:val="right"/>
              <w:rPr>
                <w:b w:val="0"/>
                <w:szCs w:val="22"/>
              </w:rPr>
            </w:pPr>
            <w:r w:rsidRPr="00790B9B">
              <w:rPr>
                <w:b w:val="0"/>
                <w:szCs w:val="22"/>
              </w:rPr>
              <w:t>15</w:t>
            </w:r>
            <w:r>
              <w:rPr>
                <w:b w:val="0"/>
                <w:szCs w:val="22"/>
              </w:rPr>
              <w:t> </w:t>
            </w:r>
            <w:r w:rsidRPr="00790B9B">
              <w:rPr>
                <w:b w:val="0"/>
                <w:szCs w:val="22"/>
              </w:rPr>
              <w:t>600.20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7FB97A"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FB5FDB" w14:textId="77777777" w:rsidR="004C18AD" w:rsidRPr="00790B9B" w:rsidRDefault="004C18AD" w:rsidP="00042C67">
            <w:pPr>
              <w:pStyle w:val="Tablehead"/>
              <w:jc w:val="right"/>
              <w:rPr>
                <w:b w:val="0"/>
                <w:szCs w:val="22"/>
              </w:rPr>
            </w:pPr>
            <w:r w:rsidRPr="00790B9B">
              <w:rPr>
                <w:b w:val="0"/>
                <w:szCs w:val="22"/>
              </w:rPr>
              <w:t>15</w:t>
            </w:r>
            <w:r>
              <w:rPr>
                <w:b w:val="0"/>
                <w:szCs w:val="22"/>
              </w:rPr>
              <w:t> </w:t>
            </w:r>
            <w:r w:rsidRPr="00790B9B">
              <w:rPr>
                <w:b w:val="0"/>
                <w:szCs w:val="22"/>
              </w:rPr>
              <w:t>600.20</w:t>
            </w:r>
          </w:p>
        </w:tc>
      </w:tr>
      <w:tr w:rsidR="004C18AD" w:rsidRPr="00910F82" w14:paraId="640E55D9"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43C63" w14:textId="77777777" w:rsidR="004C18AD" w:rsidRPr="002C248C" w:rsidRDefault="004C18AD" w:rsidP="00042C67">
            <w:pPr>
              <w:pStyle w:val="Tablehead"/>
              <w:jc w:val="left"/>
              <w:rPr>
                <w:b w:val="0"/>
                <w:szCs w:val="22"/>
                <w:lang w:val="en-US" w:eastAsia="zh-CN"/>
              </w:rPr>
            </w:pPr>
            <w:r w:rsidRPr="0044017D">
              <w:rPr>
                <w:b w:val="0"/>
                <w:szCs w:val="22"/>
                <w:lang w:val="fr-FR" w:eastAsia="zh-CN"/>
              </w:rPr>
              <w:t>–</w:t>
            </w:r>
            <w:r w:rsidRPr="0044017D">
              <w:rPr>
                <w:b w:val="0"/>
                <w:szCs w:val="22"/>
                <w:lang w:val="fr-FR" w:eastAsia="zh-CN"/>
              </w:rPr>
              <w:tab/>
            </w:r>
            <w:r w:rsidRPr="0044017D">
              <w:rPr>
                <w:rFonts w:hint="eastAsia"/>
                <w:b w:val="0"/>
                <w:szCs w:val="22"/>
                <w:lang w:val="en-US" w:eastAsia="zh-CN"/>
              </w:rPr>
              <w:t>佐治亚理工学院</w:t>
            </w:r>
            <w:r>
              <w:rPr>
                <w:rFonts w:hint="eastAsia"/>
                <w:b w:val="0"/>
                <w:szCs w:val="22"/>
                <w:lang w:val="en-US" w:eastAsia="zh-CN"/>
              </w:rPr>
              <w:t>，亚特兰大</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8D4EEC" w14:textId="77777777" w:rsidR="004C18AD" w:rsidRPr="00790B9B" w:rsidRDefault="004C18AD" w:rsidP="00042C67">
            <w:pPr>
              <w:pStyle w:val="Tablehead"/>
              <w:jc w:val="left"/>
              <w:rPr>
                <w:b w:val="0"/>
                <w:szCs w:val="22"/>
              </w:rPr>
            </w:pPr>
            <w:r w:rsidRPr="00790B9B">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9198CFA" w14:textId="77777777" w:rsidR="004C18AD" w:rsidRPr="00790B9B" w:rsidRDefault="004C18AD" w:rsidP="00042C67">
            <w:pPr>
              <w:pStyle w:val="Tablehead"/>
              <w:jc w:val="right"/>
              <w:rPr>
                <w:b w:val="0"/>
                <w:szCs w:val="22"/>
              </w:rPr>
            </w:pPr>
            <w:r w:rsidRPr="00790B9B">
              <w:rPr>
                <w:b w:val="0"/>
                <w:szCs w:val="22"/>
              </w:rPr>
              <w:t>4</w:t>
            </w:r>
            <w:r>
              <w:rPr>
                <w:b w:val="0"/>
                <w:szCs w:val="22"/>
              </w:rPr>
              <w:t> </w:t>
            </w:r>
            <w:r w:rsidRPr="00790B9B">
              <w:rPr>
                <w:b w:val="0"/>
                <w:szCs w:val="22"/>
              </w:rPr>
              <w:t>213.50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42131C"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E3ED2B" w14:textId="77777777" w:rsidR="004C18AD" w:rsidRPr="00790B9B" w:rsidRDefault="004C18AD" w:rsidP="00042C67">
            <w:pPr>
              <w:pStyle w:val="Tablehead"/>
              <w:jc w:val="right"/>
              <w:rPr>
                <w:b w:val="0"/>
                <w:szCs w:val="22"/>
              </w:rPr>
            </w:pPr>
            <w:r w:rsidRPr="00790B9B">
              <w:rPr>
                <w:b w:val="0"/>
                <w:szCs w:val="22"/>
              </w:rPr>
              <w:t>4</w:t>
            </w:r>
            <w:r>
              <w:rPr>
                <w:b w:val="0"/>
                <w:szCs w:val="22"/>
              </w:rPr>
              <w:t> </w:t>
            </w:r>
            <w:r w:rsidRPr="00790B9B">
              <w:rPr>
                <w:b w:val="0"/>
                <w:szCs w:val="22"/>
              </w:rPr>
              <w:t>213.50</w:t>
            </w:r>
          </w:p>
        </w:tc>
      </w:tr>
      <w:tr w:rsidR="004C18AD" w:rsidRPr="00910F82" w14:paraId="1B5A59A7"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04DC3" w14:textId="77777777" w:rsidR="004C18AD" w:rsidRPr="00790B9B" w:rsidRDefault="004C18AD" w:rsidP="00042C67">
            <w:pPr>
              <w:pStyle w:val="Tablehead"/>
              <w:jc w:val="left"/>
              <w:rPr>
                <w:b w:val="0"/>
                <w:szCs w:val="22"/>
                <w:lang w:val="en-US" w:eastAsia="zh-CN"/>
              </w:rPr>
            </w:pPr>
            <w:r w:rsidRPr="00C157BA">
              <w:rPr>
                <w:rFonts w:cs="Calibri"/>
                <w:b w:val="0"/>
                <w:szCs w:val="22"/>
                <w:lang w:val="fr-FR"/>
              </w:rPr>
              <w:t>–</w:t>
            </w:r>
            <w:r w:rsidRPr="00C157BA">
              <w:rPr>
                <w:rFonts w:cs="Calibri"/>
                <w:b w:val="0"/>
                <w:szCs w:val="22"/>
                <w:lang w:val="fr-FR"/>
              </w:rPr>
              <w:tab/>
              <w:t>Graphnet</w:t>
            </w:r>
            <w:r w:rsidRPr="00C157BA">
              <w:rPr>
                <w:rFonts w:cs="Calibri" w:hint="eastAsia"/>
                <w:b w:val="0"/>
                <w:szCs w:val="22"/>
                <w:lang w:val="fr-FR"/>
              </w:rPr>
              <w:t>公司，纽约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B3E2D8" w14:textId="77777777" w:rsidR="004C18AD" w:rsidRPr="00790B9B" w:rsidRDefault="004C18AD" w:rsidP="00042C67">
            <w:pPr>
              <w:pStyle w:val="Tablehead"/>
              <w:jc w:val="left"/>
              <w:rPr>
                <w:b w:val="0"/>
                <w:szCs w:val="22"/>
              </w:rPr>
            </w:pPr>
            <w:r w:rsidRPr="00790B9B">
              <w:rPr>
                <w:b w:val="0"/>
                <w:szCs w:val="22"/>
              </w:rPr>
              <w:t>1987-2002</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124A5D" w14:textId="77777777" w:rsidR="004C18AD" w:rsidRPr="00790B9B" w:rsidRDefault="004C18AD" w:rsidP="00042C67">
            <w:pPr>
              <w:pStyle w:val="Tablehead"/>
              <w:jc w:val="right"/>
              <w:rPr>
                <w:b w:val="0"/>
                <w:szCs w:val="22"/>
              </w:rPr>
            </w:pPr>
            <w:r w:rsidRPr="00790B9B">
              <w:rPr>
                <w:b w:val="0"/>
                <w:szCs w:val="22"/>
              </w:rPr>
              <w:t>1</w:t>
            </w:r>
            <w:r>
              <w:rPr>
                <w:b w:val="0"/>
                <w:szCs w:val="22"/>
              </w:rPr>
              <w:t> </w:t>
            </w:r>
            <w:r w:rsidRPr="00790B9B">
              <w:rPr>
                <w:b w:val="0"/>
                <w:szCs w:val="22"/>
              </w:rPr>
              <w:t>739</w:t>
            </w:r>
            <w:r>
              <w:rPr>
                <w:b w:val="0"/>
                <w:szCs w:val="22"/>
              </w:rPr>
              <w:t> </w:t>
            </w:r>
            <w:r w:rsidRPr="00790B9B">
              <w:rPr>
                <w:b w:val="0"/>
                <w:szCs w:val="22"/>
              </w:rPr>
              <w:t>186.95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BBC014"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C4A77E" w14:textId="77777777" w:rsidR="004C18AD" w:rsidRPr="00790B9B" w:rsidRDefault="004C18AD" w:rsidP="00042C67">
            <w:pPr>
              <w:pStyle w:val="Tablehead"/>
              <w:jc w:val="right"/>
              <w:rPr>
                <w:b w:val="0"/>
                <w:szCs w:val="22"/>
              </w:rPr>
            </w:pPr>
            <w:r w:rsidRPr="00790B9B">
              <w:rPr>
                <w:b w:val="0"/>
                <w:szCs w:val="22"/>
              </w:rPr>
              <w:t>1</w:t>
            </w:r>
            <w:r>
              <w:rPr>
                <w:b w:val="0"/>
                <w:szCs w:val="22"/>
              </w:rPr>
              <w:t> </w:t>
            </w:r>
            <w:r w:rsidRPr="00790B9B">
              <w:rPr>
                <w:b w:val="0"/>
                <w:szCs w:val="22"/>
              </w:rPr>
              <w:t>739</w:t>
            </w:r>
            <w:r>
              <w:rPr>
                <w:b w:val="0"/>
                <w:szCs w:val="22"/>
              </w:rPr>
              <w:t> </w:t>
            </w:r>
            <w:r w:rsidRPr="00790B9B">
              <w:rPr>
                <w:b w:val="0"/>
                <w:szCs w:val="22"/>
              </w:rPr>
              <w:t>186.95</w:t>
            </w:r>
          </w:p>
        </w:tc>
      </w:tr>
      <w:tr w:rsidR="004C18AD" w:rsidRPr="00910F82" w14:paraId="0991C2D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2E1D14" w14:textId="77777777" w:rsidR="004C18AD" w:rsidRPr="00C157BA" w:rsidRDefault="004C18AD" w:rsidP="00042C67">
            <w:pPr>
              <w:pStyle w:val="Tablehead"/>
              <w:jc w:val="left"/>
              <w:rPr>
                <w:b w:val="0"/>
                <w:szCs w:val="22"/>
                <w:lang w:val="fr-CH" w:eastAsia="zh-CN"/>
              </w:rPr>
            </w:pPr>
            <w:r w:rsidRPr="00C157BA">
              <w:rPr>
                <w:rFonts w:cs="Calibri"/>
                <w:b w:val="0"/>
                <w:szCs w:val="22"/>
                <w:lang w:val="fr-FR"/>
              </w:rPr>
              <w:t>–</w:t>
            </w:r>
            <w:r w:rsidRPr="00C157BA">
              <w:rPr>
                <w:rFonts w:cs="Calibri"/>
                <w:b w:val="0"/>
                <w:szCs w:val="22"/>
                <w:lang w:val="fr-FR"/>
              </w:rPr>
              <w:tab/>
              <w:t>Ikanos</w:t>
            </w:r>
            <w:r w:rsidRPr="00C157BA">
              <w:rPr>
                <w:rFonts w:cs="Calibri" w:hint="eastAsia"/>
                <w:b w:val="0"/>
                <w:szCs w:val="22"/>
                <w:lang w:val="fr-FR"/>
              </w:rPr>
              <w:t>通信公司，新泽西州</w:t>
            </w:r>
            <w:r w:rsidRPr="00C157BA">
              <w:rPr>
                <w:rFonts w:cs="Calibri"/>
                <w:b w:val="0"/>
                <w:szCs w:val="22"/>
                <w:lang w:val="fr-FR"/>
              </w:rPr>
              <w:t>Red Bank</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1E780F" w14:textId="77777777" w:rsidR="004C18AD" w:rsidRPr="00790B9B" w:rsidRDefault="004C18AD" w:rsidP="00042C67">
            <w:pPr>
              <w:pStyle w:val="Tablehead"/>
              <w:jc w:val="left"/>
              <w:rPr>
                <w:b w:val="0"/>
                <w:szCs w:val="22"/>
              </w:rPr>
            </w:pPr>
            <w:r w:rsidRPr="00790B9B">
              <w:rPr>
                <w:b w:val="0"/>
                <w:szCs w:val="22"/>
              </w:rPr>
              <w:t>2016</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F0B197" w14:textId="77777777" w:rsidR="004C18AD" w:rsidRPr="00790B9B" w:rsidRDefault="004C18AD" w:rsidP="00042C67">
            <w:pPr>
              <w:pStyle w:val="Tablehead"/>
              <w:jc w:val="right"/>
              <w:rPr>
                <w:b w:val="0"/>
                <w:szCs w:val="22"/>
              </w:rPr>
            </w:pPr>
            <w:r w:rsidRPr="00790B9B">
              <w:rPr>
                <w:b w:val="0"/>
                <w:szCs w:val="22"/>
              </w:rPr>
              <w:t>44</w:t>
            </w:r>
            <w:r>
              <w:rPr>
                <w:b w:val="0"/>
                <w:szCs w:val="22"/>
              </w:rPr>
              <w:t> </w:t>
            </w:r>
            <w:r w:rsidRPr="00790B9B">
              <w:rPr>
                <w:b w:val="0"/>
                <w:szCs w:val="22"/>
              </w:rPr>
              <w:t>151.35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D9B50A"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03098A" w14:textId="77777777" w:rsidR="004C18AD" w:rsidRPr="00790B9B" w:rsidRDefault="004C18AD" w:rsidP="00042C67">
            <w:pPr>
              <w:pStyle w:val="Tablehead"/>
              <w:jc w:val="right"/>
              <w:rPr>
                <w:b w:val="0"/>
                <w:szCs w:val="22"/>
              </w:rPr>
            </w:pPr>
            <w:r w:rsidRPr="00790B9B">
              <w:rPr>
                <w:b w:val="0"/>
                <w:szCs w:val="22"/>
              </w:rPr>
              <w:t>44</w:t>
            </w:r>
            <w:r>
              <w:rPr>
                <w:b w:val="0"/>
                <w:szCs w:val="22"/>
              </w:rPr>
              <w:t> </w:t>
            </w:r>
            <w:r w:rsidRPr="00790B9B">
              <w:rPr>
                <w:b w:val="0"/>
                <w:szCs w:val="22"/>
              </w:rPr>
              <w:t>151.35</w:t>
            </w:r>
          </w:p>
        </w:tc>
      </w:tr>
      <w:tr w:rsidR="004C18AD" w:rsidRPr="00910F82" w14:paraId="130607B7"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D2F97" w14:textId="77777777" w:rsidR="004C18AD" w:rsidRPr="00C157BA" w:rsidRDefault="004C18AD" w:rsidP="00042C67">
            <w:pPr>
              <w:pStyle w:val="Tablehead"/>
              <w:jc w:val="left"/>
              <w:rPr>
                <w:b w:val="0"/>
                <w:szCs w:val="22"/>
                <w:lang w:val="en-US" w:eastAsia="zh-CN"/>
              </w:rPr>
            </w:pPr>
            <w:r w:rsidRPr="00C157BA">
              <w:rPr>
                <w:rFonts w:cs="Calibri"/>
                <w:b w:val="0"/>
                <w:szCs w:val="22"/>
                <w:lang w:val="fr-FR" w:eastAsia="zh-CN"/>
              </w:rPr>
              <w:t>–</w:t>
            </w:r>
            <w:r w:rsidRPr="00C157BA">
              <w:rPr>
                <w:rFonts w:cs="Calibri"/>
                <w:b w:val="0"/>
                <w:szCs w:val="22"/>
                <w:lang w:val="fr-FR" w:eastAsia="zh-CN"/>
              </w:rPr>
              <w:tab/>
              <w:t>ITXC</w:t>
            </w:r>
            <w:r w:rsidRPr="00C157BA">
              <w:rPr>
                <w:rFonts w:cs="Calibri" w:hint="eastAsia"/>
                <w:b w:val="0"/>
                <w:szCs w:val="22"/>
                <w:lang w:val="fr-FR" w:eastAsia="zh-CN"/>
              </w:rPr>
              <w:t>公司，普林斯顿</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477A24" w14:textId="77777777" w:rsidR="004C18AD" w:rsidRPr="00790B9B" w:rsidRDefault="004C18AD" w:rsidP="00042C67">
            <w:pPr>
              <w:pStyle w:val="Tablehead"/>
              <w:jc w:val="left"/>
              <w:rPr>
                <w:b w:val="0"/>
                <w:szCs w:val="22"/>
              </w:rPr>
            </w:pPr>
            <w:r w:rsidRPr="00790B9B">
              <w:rPr>
                <w:b w:val="0"/>
                <w:szCs w:val="22"/>
              </w:rPr>
              <w:t>2004-2007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257917" w14:textId="77777777" w:rsidR="004C18AD" w:rsidRPr="00790B9B" w:rsidRDefault="004C18AD" w:rsidP="00042C67">
            <w:pPr>
              <w:pStyle w:val="Tablehead"/>
              <w:jc w:val="right"/>
              <w:rPr>
                <w:b w:val="0"/>
                <w:szCs w:val="22"/>
              </w:rPr>
            </w:pPr>
            <w:r w:rsidRPr="00790B9B">
              <w:rPr>
                <w:b w:val="0"/>
                <w:szCs w:val="22"/>
              </w:rPr>
              <w:t>81</w:t>
            </w:r>
            <w:r>
              <w:rPr>
                <w:b w:val="0"/>
                <w:szCs w:val="22"/>
              </w:rPr>
              <w:t> </w:t>
            </w:r>
            <w:r w:rsidRPr="00790B9B">
              <w:rPr>
                <w:b w:val="0"/>
                <w:szCs w:val="22"/>
              </w:rPr>
              <w:t>160.40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A3422C"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E4B28" w14:textId="77777777" w:rsidR="004C18AD" w:rsidRPr="00790B9B" w:rsidRDefault="004C18AD" w:rsidP="00042C67">
            <w:pPr>
              <w:pStyle w:val="Tablehead"/>
              <w:jc w:val="right"/>
              <w:rPr>
                <w:b w:val="0"/>
                <w:szCs w:val="22"/>
              </w:rPr>
            </w:pPr>
            <w:r w:rsidRPr="00790B9B">
              <w:rPr>
                <w:b w:val="0"/>
                <w:szCs w:val="22"/>
              </w:rPr>
              <w:t>81</w:t>
            </w:r>
            <w:r>
              <w:rPr>
                <w:b w:val="0"/>
                <w:szCs w:val="22"/>
              </w:rPr>
              <w:t> </w:t>
            </w:r>
            <w:r w:rsidRPr="00790B9B">
              <w:rPr>
                <w:b w:val="0"/>
                <w:szCs w:val="22"/>
              </w:rPr>
              <w:t>160.40</w:t>
            </w:r>
          </w:p>
        </w:tc>
      </w:tr>
      <w:tr w:rsidR="004C18AD" w:rsidRPr="00910F82" w14:paraId="56D85FF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62A436" w14:textId="77777777" w:rsidR="004C18AD" w:rsidRPr="00C157BA" w:rsidRDefault="004C18AD" w:rsidP="00042C67">
            <w:pPr>
              <w:pStyle w:val="Tablehead"/>
              <w:jc w:val="left"/>
              <w:rPr>
                <w:b w:val="0"/>
                <w:szCs w:val="22"/>
                <w:lang w:val="fr-CH" w:eastAsia="zh-CN"/>
              </w:rPr>
            </w:pPr>
            <w:r w:rsidRPr="00C157BA">
              <w:rPr>
                <w:rFonts w:cs="Calibri"/>
                <w:b w:val="0"/>
                <w:szCs w:val="22"/>
                <w:lang w:val="fr-FR"/>
              </w:rPr>
              <w:t>–</w:t>
            </w:r>
            <w:r w:rsidRPr="00C157BA">
              <w:rPr>
                <w:rFonts w:cs="Calibri"/>
                <w:b w:val="0"/>
                <w:szCs w:val="22"/>
                <w:lang w:val="fr-FR"/>
              </w:rPr>
              <w:tab/>
              <w:t>Lightwaves</w:t>
            </w:r>
            <w:r w:rsidRPr="00C157BA">
              <w:rPr>
                <w:rFonts w:cs="Calibri" w:hint="eastAsia"/>
                <w:b w:val="0"/>
                <w:szCs w:val="22"/>
                <w:lang w:val="fr-FR"/>
              </w:rPr>
              <w:t>公司，奥斯丁</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429652" w14:textId="77777777" w:rsidR="004C18AD" w:rsidRPr="00790B9B" w:rsidRDefault="004C18AD" w:rsidP="00042C67">
            <w:pPr>
              <w:pStyle w:val="Tablehead"/>
              <w:jc w:val="left"/>
              <w:rPr>
                <w:b w:val="0"/>
                <w:szCs w:val="22"/>
              </w:rPr>
            </w:pPr>
            <w:r w:rsidRPr="00790B9B">
              <w:rPr>
                <w:b w:val="0"/>
                <w:szCs w:val="22"/>
              </w:rPr>
              <w:t>2009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8D6E13" w14:textId="77777777" w:rsidR="004C18AD" w:rsidRPr="00790B9B" w:rsidRDefault="004C18AD" w:rsidP="00042C67">
            <w:pPr>
              <w:pStyle w:val="Tablehead"/>
              <w:jc w:val="right"/>
              <w:rPr>
                <w:b w:val="0"/>
                <w:szCs w:val="22"/>
              </w:rPr>
            </w:pPr>
            <w:r w:rsidRPr="00790B9B">
              <w:rPr>
                <w:b w:val="0"/>
                <w:szCs w:val="22"/>
              </w:rPr>
              <w:t>22</w:t>
            </w:r>
            <w:r>
              <w:rPr>
                <w:b w:val="0"/>
                <w:szCs w:val="22"/>
              </w:rPr>
              <w:t> </w:t>
            </w:r>
            <w:r w:rsidRPr="00790B9B">
              <w:rPr>
                <w:b w:val="0"/>
                <w:szCs w:val="22"/>
              </w:rPr>
              <w:t>129.15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C4C823"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EBCA8" w14:textId="77777777" w:rsidR="004C18AD" w:rsidRPr="00790B9B" w:rsidRDefault="004C18AD" w:rsidP="00042C67">
            <w:pPr>
              <w:pStyle w:val="Tablehead"/>
              <w:jc w:val="right"/>
              <w:rPr>
                <w:b w:val="0"/>
                <w:szCs w:val="22"/>
              </w:rPr>
            </w:pPr>
            <w:r w:rsidRPr="00790B9B">
              <w:rPr>
                <w:b w:val="0"/>
                <w:szCs w:val="22"/>
              </w:rPr>
              <w:t>22</w:t>
            </w:r>
            <w:r>
              <w:rPr>
                <w:b w:val="0"/>
                <w:szCs w:val="22"/>
              </w:rPr>
              <w:t> </w:t>
            </w:r>
            <w:r w:rsidRPr="00790B9B">
              <w:rPr>
                <w:b w:val="0"/>
                <w:szCs w:val="22"/>
              </w:rPr>
              <w:t>129.15</w:t>
            </w:r>
          </w:p>
        </w:tc>
      </w:tr>
      <w:tr w:rsidR="004C18AD" w:rsidRPr="00910F82" w14:paraId="4F52AB0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7100D" w14:textId="77777777" w:rsidR="004C18AD" w:rsidRPr="00C157BA" w:rsidRDefault="004C18AD" w:rsidP="00042C67">
            <w:pPr>
              <w:pStyle w:val="Tablehead"/>
              <w:jc w:val="left"/>
              <w:rPr>
                <w:b w:val="0"/>
                <w:szCs w:val="22"/>
                <w:lang w:val="fr-CH" w:eastAsia="zh-CN"/>
              </w:rPr>
            </w:pPr>
            <w:r w:rsidRPr="00C157BA">
              <w:rPr>
                <w:rFonts w:cs="Calibri"/>
                <w:b w:val="0"/>
                <w:szCs w:val="22"/>
                <w:lang w:val="fr-FR"/>
              </w:rPr>
              <w:lastRenderedPageBreak/>
              <w:t>–</w:t>
            </w:r>
            <w:r w:rsidRPr="00C157BA">
              <w:rPr>
                <w:rFonts w:cs="Calibri"/>
                <w:b w:val="0"/>
                <w:szCs w:val="22"/>
                <w:lang w:val="fr-FR"/>
              </w:rPr>
              <w:tab/>
              <w:t>Nextwave</w:t>
            </w:r>
            <w:r w:rsidRPr="00C157BA">
              <w:rPr>
                <w:rFonts w:cs="Calibri" w:hint="eastAsia"/>
                <w:b w:val="0"/>
                <w:szCs w:val="22"/>
                <w:lang w:val="fr-FR"/>
              </w:rPr>
              <w:t>无线公司，圣地亚哥</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5FA3D4" w14:textId="77777777" w:rsidR="004C18AD" w:rsidRPr="00790B9B" w:rsidRDefault="004C18AD" w:rsidP="00042C67">
            <w:pPr>
              <w:pStyle w:val="Tablehead"/>
              <w:jc w:val="left"/>
              <w:rPr>
                <w:b w:val="0"/>
                <w:szCs w:val="22"/>
              </w:rPr>
            </w:pPr>
            <w:r w:rsidRPr="00790B9B">
              <w:rPr>
                <w:b w:val="0"/>
                <w:szCs w:val="22"/>
              </w:rPr>
              <w:t>2009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1CE571" w14:textId="77777777" w:rsidR="004C18AD" w:rsidRPr="00790B9B" w:rsidRDefault="004C18AD" w:rsidP="00042C67">
            <w:pPr>
              <w:pStyle w:val="Tablehead"/>
              <w:jc w:val="right"/>
              <w:rPr>
                <w:b w:val="0"/>
                <w:szCs w:val="22"/>
              </w:rPr>
            </w:pPr>
            <w:r w:rsidRPr="00790B9B">
              <w:rPr>
                <w:b w:val="0"/>
                <w:szCs w:val="22"/>
              </w:rPr>
              <w:t>37</w:t>
            </w:r>
            <w:r>
              <w:rPr>
                <w:b w:val="0"/>
                <w:szCs w:val="22"/>
              </w:rPr>
              <w:t> </w:t>
            </w:r>
            <w:r w:rsidRPr="00790B9B">
              <w:rPr>
                <w:b w:val="0"/>
                <w:szCs w:val="22"/>
              </w:rPr>
              <w:t>326.25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9AE955"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F62E16" w14:textId="77777777" w:rsidR="004C18AD" w:rsidRPr="00790B9B" w:rsidRDefault="004C18AD" w:rsidP="00042C67">
            <w:pPr>
              <w:pStyle w:val="Tablehead"/>
              <w:jc w:val="right"/>
              <w:rPr>
                <w:b w:val="0"/>
                <w:szCs w:val="22"/>
              </w:rPr>
            </w:pPr>
            <w:r w:rsidRPr="00790B9B">
              <w:rPr>
                <w:b w:val="0"/>
                <w:szCs w:val="22"/>
              </w:rPr>
              <w:t>37</w:t>
            </w:r>
            <w:r>
              <w:rPr>
                <w:b w:val="0"/>
                <w:szCs w:val="22"/>
              </w:rPr>
              <w:t> </w:t>
            </w:r>
            <w:r w:rsidRPr="00790B9B">
              <w:rPr>
                <w:b w:val="0"/>
                <w:szCs w:val="22"/>
              </w:rPr>
              <w:t>326.25</w:t>
            </w:r>
          </w:p>
        </w:tc>
      </w:tr>
      <w:tr w:rsidR="004C18AD" w:rsidRPr="00910F82" w14:paraId="316BEB7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9003E" w14:textId="77777777" w:rsidR="004C18AD" w:rsidRPr="00C157BA" w:rsidRDefault="004C18AD" w:rsidP="00042C67">
            <w:pPr>
              <w:pStyle w:val="Tablehead"/>
              <w:jc w:val="left"/>
              <w:rPr>
                <w:b w:val="0"/>
                <w:szCs w:val="22"/>
                <w:lang w:val="en-US" w:eastAsia="zh-CN"/>
              </w:rPr>
            </w:pPr>
            <w:r w:rsidRPr="00C157BA">
              <w:rPr>
                <w:rFonts w:cs="Calibri"/>
                <w:b w:val="0"/>
                <w:szCs w:val="22"/>
                <w:lang w:val="fr-FR"/>
              </w:rPr>
              <w:t>–</w:t>
            </w:r>
            <w:r w:rsidRPr="00C157BA">
              <w:rPr>
                <w:rFonts w:cs="Calibri"/>
                <w:b w:val="0"/>
                <w:szCs w:val="22"/>
                <w:lang w:val="fr-FR"/>
              </w:rPr>
              <w:tab/>
              <w:t>Nortel Networks</w:t>
            </w:r>
            <w:r w:rsidRPr="00C157BA">
              <w:rPr>
                <w:rFonts w:cs="Calibri" w:hint="eastAsia"/>
                <w:b w:val="0"/>
                <w:szCs w:val="22"/>
                <w:lang w:val="fr-FR"/>
              </w:rPr>
              <w:t>美国</w:t>
            </w:r>
            <w:r w:rsidRPr="00C157BA">
              <w:rPr>
                <w:rFonts w:cs="Calibri"/>
                <w:b w:val="0"/>
                <w:szCs w:val="22"/>
                <w:lang w:val="fr-FR"/>
              </w:rPr>
              <w:t>Richardson</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0B214B" w14:textId="77777777" w:rsidR="004C18AD" w:rsidRPr="00790B9B" w:rsidRDefault="004C18AD" w:rsidP="00042C67">
            <w:pPr>
              <w:pStyle w:val="Tablehead"/>
              <w:jc w:val="left"/>
              <w:rPr>
                <w:b w:val="0"/>
                <w:szCs w:val="22"/>
              </w:rPr>
            </w:pPr>
            <w:r w:rsidRPr="00790B9B">
              <w:rPr>
                <w:b w:val="0"/>
                <w:szCs w:val="22"/>
              </w:rPr>
              <w:t>2009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08FAC2" w14:textId="77777777" w:rsidR="004C18AD" w:rsidRPr="00790B9B" w:rsidRDefault="004C18AD" w:rsidP="00042C67">
            <w:pPr>
              <w:pStyle w:val="Tablehead"/>
              <w:jc w:val="right"/>
              <w:rPr>
                <w:b w:val="0"/>
                <w:szCs w:val="22"/>
              </w:rPr>
            </w:pPr>
            <w:r w:rsidRPr="00790B9B">
              <w:rPr>
                <w:b w:val="0"/>
                <w:szCs w:val="22"/>
              </w:rPr>
              <w:t>29</w:t>
            </w:r>
            <w:r>
              <w:rPr>
                <w:b w:val="0"/>
                <w:szCs w:val="22"/>
              </w:rPr>
              <w:t> </w:t>
            </w:r>
            <w:r w:rsidRPr="00790B9B">
              <w:rPr>
                <w:b w:val="0"/>
                <w:szCs w:val="22"/>
              </w:rPr>
              <w:t>812.50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88CD60"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3BC11B" w14:textId="77777777" w:rsidR="004C18AD" w:rsidRPr="00790B9B" w:rsidRDefault="004C18AD" w:rsidP="00042C67">
            <w:pPr>
              <w:pStyle w:val="Tablehead"/>
              <w:jc w:val="right"/>
              <w:rPr>
                <w:b w:val="0"/>
                <w:szCs w:val="22"/>
              </w:rPr>
            </w:pPr>
            <w:r w:rsidRPr="00790B9B">
              <w:rPr>
                <w:b w:val="0"/>
                <w:szCs w:val="22"/>
              </w:rPr>
              <w:t>29</w:t>
            </w:r>
            <w:r>
              <w:rPr>
                <w:b w:val="0"/>
                <w:szCs w:val="22"/>
              </w:rPr>
              <w:t> </w:t>
            </w:r>
            <w:r w:rsidRPr="00790B9B">
              <w:rPr>
                <w:b w:val="0"/>
                <w:szCs w:val="22"/>
              </w:rPr>
              <w:t>812.50</w:t>
            </w:r>
          </w:p>
        </w:tc>
      </w:tr>
      <w:tr w:rsidR="004C18AD" w:rsidRPr="00910F82" w14:paraId="47FEA49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633F1" w14:textId="77777777" w:rsidR="004C18AD" w:rsidRPr="00C157BA" w:rsidRDefault="004C18AD" w:rsidP="00042C67">
            <w:pPr>
              <w:pStyle w:val="Tablehead"/>
              <w:jc w:val="left"/>
              <w:rPr>
                <w:b w:val="0"/>
                <w:szCs w:val="22"/>
                <w:lang w:val="fr-CH" w:eastAsia="zh-CN"/>
              </w:rPr>
            </w:pPr>
            <w:r w:rsidRPr="004C11F9">
              <w:rPr>
                <w:b w:val="0"/>
                <w:szCs w:val="22"/>
                <w:lang w:val="fr-FR" w:eastAsia="zh-CN"/>
              </w:rPr>
              <w:t>–</w:t>
            </w:r>
            <w:r w:rsidRPr="004C11F9">
              <w:rPr>
                <w:b w:val="0"/>
                <w:szCs w:val="22"/>
                <w:lang w:val="fr-FR" w:eastAsia="zh-CN"/>
              </w:rPr>
              <w:tab/>
            </w:r>
            <w:r w:rsidRPr="004C11F9">
              <w:rPr>
                <w:rFonts w:hint="eastAsia"/>
                <w:b w:val="0"/>
                <w:szCs w:val="22"/>
                <w:lang w:val="fr-CH" w:eastAsia="zh-CN"/>
              </w:rPr>
              <w:t>奥瑞许科技公司</w:t>
            </w:r>
            <w:r>
              <w:rPr>
                <w:rFonts w:hint="eastAsia"/>
                <w:b w:val="0"/>
                <w:szCs w:val="22"/>
                <w:lang w:val="fr-CH" w:eastAsia="zh-CN"/>
              </w:rPr>
              <w:t>，</w:t>
            </w:r>
            <w:r w:rsidRPr="004C11F9">
              <w:rPr>
                <w:rFonts w:hint="eastAsia"/>
                <w:b w:val="0"/>
                <w:szCs w:val="22"/>
                <w:lang w:val="fr-CH" w:eastAsia="zh-CN"/>
              </w:rPr>
              <w:t>奥马哈</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735EFE" w14:textId="77777777" w:rsidR="004C18AD" w:rsidRPr="00790B9B" w:rsidRDefault="004C18AD" w:rsidP="00042C67">
            <w:pPr>
              <w:pStyle w:val="Tablehead"/>
              <w:jc w:val="left"/>
              <w:rPr>
                <w:b w:val="0"/>
                <w:szCs w:val="22"/>
              </w:rPr>
            </w:pPr>
            <w:r w:rsidRPr="00790B9B">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102A30" w14:textId="77777777" w:rsidR="004C18AD" w:rsidRPr="00790B9B" w:rsidRDefault="004C18AD" w:rsidP="00042C67">
            <w:pPr>
              <w:pStyle w:val="Tablehead"/>
              <w:jc w:val="right"/>
              <w:rPr>
                <w:b w:val="0"/>
                <w:szCs w:val="22"/>
              </w:rPr>
            </w:pPr>
            <w:r w:rsidRPr="00790B9B">
              <w:rPr>
                <w:b w:val="0"/>
                <w:szCs w:val="22"/>
              </w:rPr>
              <w:t>11</w:t>
            </w:r>
            <w:r>
              <w:rPr>
                <w:b w:val="0"/>
                <w:szCs w:val="22"/>
              </w:rPr>
              <w:t> </w:t>
            </w:r>
            <w:r w:rsidRPr="00790B9B">
              <w:rPr>
                <w:b w:val="0"/>
                <w:szCs w:val="22"/>
              </w:rPr>
              <w:t>320.25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2F4D47"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B46E76" w14:textId="77777777" w:rsidR="004C18AD" w:rsidRPr="00790B9B" w:rsidRDefault="004C18AD" w:rsidP="00042C67">
            <w:pPr>
              <w:pStyle w:val="Tablehead"/>
              <w:jc w:val="right"/>
              <w:rPr>
                <w:b w:val="0"/>
                <w:szCs w:val="22"/>
              </w:rPr>
            </w:pPr>
            <w:r w:rsidRPr="00790B9B">
              <w:rPr>
                <w:b w:val="0"/>
                <w:szCs w:val="22"/>
              </w:rPr>
              <w:t>11</w:t>
            </w:r>
            <w:r>
              <w:rPr>
                <w:b w:val="0"/>
                <w:szCs w:val="22"/>
              </w:rPr>
              <w:t> </w:t>
            </w:r>
            <w:r w:rsidRPr="00790B9B">
              <w:rPr>
                <w:b w:val="0"/>
                <w:szCs w:val="22"/>
              </w:rPr>
              <w:t>320.25</w:t>
            </w:r>
          </w:p>
        </w:tc>
      </w:tr>
      <w:tr w:rsidR="004C18AD" w:rsidRPr="00910F82" w14:paraId="1A1948B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E3611" w14:textId="77777777" w:rsidR="004C18AD" w:rsidRPr="00790B9B" w:rsidRDefault="004C18AD" w:rsidP="00042C67">
            <w:pPr>
              <w:pStyle w:val="Tablehead"/>
              <w:jc w:val="left"/>
              <w:rPr>
                <w:b w:val="0"/>
                <w:szCs w:val="22"/>
                <w:lang w:val="fr-CH" w:eastAsia="zh-CN"/>
              </w:rPr>
            </w:pPr>
            <w:r w:rsidRPr="00C7554C">
              <w:rPr>
                <w:rFonts w:cs="Calibri"/>
                <w:b w:val="0"/>
                <w:szCs w:val="22"/>
                <w:lang w:val="fr-FR"/>
              </w:rPr>
              <w:t>–</w:t>
            </w:r>
            <w:r w:rsidRPr="00C7554C">
              <w:rPr>
                <w:rFonts w:cs="Calibri"/>
                <w:b w:val="0"/>
                <w:szCs w:val="22"/>
                <w:lang w:val="fr-FR"/>
              </w:rPr>
              <w:tab/>
              <w:t>Ossia</w:t>
            </w:r>
            <w:r w:rsidRPr="00C7554C">
              <w:rPr>
                <w:rFonts w:cs="Calibri" w:hint="eastAsia"/>
                <w:b w:val="0"/>
                <w:szCs w:val="22"/>
                <w:lang w:val="fr-FR"/>
              </w:rPr>
              <w:t>公司，</w:t>
            </w:r>
            <w:r w:rsidRPr="00C7554C">
              <w:rPr>
                <w:rFonts w:cs="Calibri"/>
                <w:b w:val="0"/>
                <w:szCs w:val="22"/>
                <w:lang w:val="fr-FR"/>
              </w:rPr>
              <w:t>Bellevue WA</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6CD688" w14:textId="77777777" w:rsidR="004C18AD" w:rsidRPr="00790B9B" w:rsidRDefault="004C18AD" w:rsidP="00042C67">
            <w:pPr>
              <w:pStyle w:val="Tablehead"/>
              <w:jc w:val="left"/>
              <w:rPr>
                <w:b w:val="0"/>
                <w:szCs w:val="22"/>
              </w:rPr>
            </w:pPr>
            <w:r w:rsidRPr="00790B9B">
              <w:rPr>
                <w:b w:val="0"/>
                <w:szCs w:val="22"/>
              </w:rPr>
              <w:t>2017-2018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6F0DA0" w14:textId="77777777" w:rsidR="004C18AD" w:rsidRPr="00790B9B" w:rsidRDefault="004C18AD" w:rsidP="00042C67">
            <w:pPr>
              <w:pStyle w:val="Tablehead"/>
              <w:jc w:val="right"/>
              <w:rPr>
                <w:b w:val="0"/>
                <w:szCs w:val="22"/>
              </w:rPr>
            </w:pPr>
            <w:r w:rsidRPr="00790B9B">
              <w:rPr>
                <w:b w:val="0"/>
                <w:szCs w:val="22"/>
              </w:rPr>
              <w:t>39</w:t>
            </w:r>
            <w:r>
              <w:rPr>
                <w:b w:val="0"/>
                <w:szCs w:val="22"/>
              </w:rPr>
              <w:t> </w:t>
            </w:r>
            <w:r w:rsidRPr="00790B9B">
              <w:rPr>
                <w:b w:val="0"/>
                <w:szCs w:val="22"/>
              </w:rPr>
              <w:t>597.10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6A9463"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CB44C0" w14:textId="77777777" w:rsidR="004C18AD" w:rsidRPr="00790B9B" w:rsidRDefault="004C18AD" w:rsidP="00042C67">
            <w:pPr>
              <w:pStyle w:val="Tablehead"/>
              <w:jc w:val="right"/>
              <w:rPr>
                <w:b w:val="0"/>
                <w:szCs w:val="22"/>
              </w:rPr>
            </w:pPr>
            <w:r w:rsidRPr="00790B9B">
              <w:rPr>
                <w:b w:val="0"/>
                <w:szCs w:val="22"/>
              </w:rPr>
              <w:t>39</w:t>
            </w:r>
            <w:r>
              <w:rPr>
                <w:b w:val="0"/>
                <w:szCs w:val="22"/>
              </w:rPr>
              <w:t> </w:t>
            </w:r>
            <w:r w:rsidRPr="00790B9B">
              <w:rPr>
                <w:b w:val="0"/>
                <w:szCs w:val="22"/>
              </w:rPr>
              <w:t>597.10</w:t>
            </w:r>
          </w:p>
        </w:tc>
      </w:tr>
      <w:tr w:rsidR="004C18AD" w:rsidRPr="00910F82" w14:paraId="56E90B98"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7CC47" w14:textId="77777777" w:rsidR="004C18AD" w:rsidRPr="00C7554C" w:rsidRDefault="004C18AD" w:rsidP="00042C67">
            <w:pPr>
              <w:pStyle w:val="Tablehead"/>
              <w:jc w:val="left"/>
              <w:rPr>
                <w:b w:val="0"/>
                <w:szCs w:val="22"/>
                <w:lang w:val="fr-CH" w:eastAsia="zh-CN"/>
              </w:rPr>
            </w:pPr>
            <w:r w:rsidRPr="00C7554C">
              <w:rPr>
                <w:rFonts w:cs="Calibri"/>
                <w:b w:val="0"/>
                <w:szCs w:val="22"/>
                <w:lang w:val="fr-FR"/>
              </w:rPr>
              <w:t>–</w:t>
            </w:r>
            <w:r w:rsidRPr="00C7554C">
              <w:rPr>
                <w:rFonts w:cs="Calibri"/>
                <w:b w:val="0"/>
                <w:szCs w:val="22"/>
                <w:lang w:val="fr-FR"/>
              </w:rPr>
              <w:tab/>
              <w:t>Range</w:t>
            </w:r>
            <w:r w:rsidRPr="00C7554C">
              <w:rPr>
                <w:rFonts w:cs="Calibri" w:hint="eastAsia"/>
                <w:b w:val="0"/>
                <w:szCs w:val="22"/>
                <w:lang w:val="fr-FR"/>
              </w:rPr>
              <w:t>网络公司，圣克拉拉</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34AF49" w14:textId="77777777" w:rsidR="004C18AD" w:rsidRPr="00790B9B" w:rsidRDefault="004C18AD" w:rsidP="00042C67">
            <w:pPr>
              <w:pStyle w:val="Tablehead"/>
              <w:jc w:val="left"/>
              <w:rPr>
                <w:b w:val="0"/>
                <w:szCs w:val="22"/>
              </w:rPr>
            </w:pPr>
            <w:r w:rsidRPr="00790B9B">
              <w:rPr>
                <w:b w:val="0"/>
                <w:szCs w:val="22"/>
              </w:rPr>
              <w:t>2013-2014</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356826" w14:textId="77777777" w:rsidR="004C18AD" w:rsidRPr="00790B9B" w:rsidRDefault="004C18AD" w:rsidP="00042C67">
            <w:pPr>
              <w:pStyle w:val="Tablehead"/>
              <w:jc w:val="right"/>
              <w:rPr>
                <w:b w:val="0"/>
                <w:szCs w:val="22"/>
              </w:rPr>
            </w:pPr>
            <w:r w:rsidRPr="00790B9B">
              <w:rPr>
                <w:b w:val="0"/>
                <w:szCs w:val="22"/>
              </w:rPr>
              <w:t>16</w:t>
            </w:r>
            <w:r>
              <w:rPr>
                <w:b w:val="0"/>
                <w:szCs w:val="22"/>
              </w:rPr>
              <w:t> </w:t>
            </w:r>
            <w:r w:rsidRPr="00790B9B">
              <w:rPr>
                <w:b w:val="0"/>
                <w:szCs w:val="22"/>
              </w:rPr>
              <w:t>582.60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E95179"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E7565D" w14:textId="77777777" w:rsidR="004C18AD" w:rsidRPr="00790B9B" w:rsidRDefault="004C18AD" w:rsidP="00042C67">
            <w:pPr>
              <w:pStyle w:val="Tablehead"/>
              <w:jc w:val="right"/>
              <w:rPr>
                <w:b w:val="0"/>
                <w:szCs w:val="22"/>
              </w:rPr>
            </w:pPr>
            <w:r w:rsidRPr="00790B9B">
              <w:rPr>
                <w:b w:val="0"/>
                <w:szCs w:val="22"/>
              </w:rPr>
              <w:t>16</w:t>
            </w:r>
            <w:r>
              <w:rPr>
                <w:b w:val="0"/>
                <w:szCs w:val="22"/>
              </w:rPr>
              <w:t> </w:t>
            </w:r>
            <w:r w:rsidRPr="00790B9B">
              <w:rPr>
                <w:b w:val="0"/>
                <w:szCs w:val="22"/>
              </w:rPr>
              <w:t>582.60</w:t>
            </w:r>
          </w:p>
        </w:tc>
      </w:tr>
      <w:tr w:rsidR="004C18AD" w:rsidRPr="00910F82" w14:paraId="70328F21"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EAFF1" w14:textId="77777777" w:rsidR="004C18AD" w:rsidRPr="00C7554C" w:rsidRDefault="004C18AD" w:rsidP="00042C67">
            <w:pPr>
              <w:pStyle w:val="Tablehead"/>
              <w:jc w:val="left"/>
              <w:rPr>
                <w:b w:val="0"/>
                <w:szCs w:val="22"/>
                <w:lang w:val="fr-CH" w:eastAsia="zh-CN"/>
              </w:rPr>
            </w:pPr>
            <w:r w:rsidRPr="00BB5333">
              <w:rPr>
                <w:b w:val="0"/>
                <w:szCs w:val="22"/>
                <w:lang w:val="fr-FR" w:eastAsia="zh-CN"/>
              </w:rPr>
              <w:t>–</w:t>
            </w:r>
            <w:r w:rsidRPr="00BB5333">
              <w:rPr>
                <w:b w:val="0"/>
                <w:szCs w:val="22"/>
                <w:lang w:val="fr-FR" w:eastAsia="zh-CN"/>
              </w:rPr>
              <w:tab/>
            </w:r>
            <w:r w:rsidRPr="00790B9B">
              <w:rPr>
                <w:b w:val="0"/>
                <w:szCs w:val="22"/>
                <w:lang w:val="fr-CH" w:eastAsia="zh-CN"/>
              </w:rPr>
              <w:t>Razoom Inc</w:t>
            </w:r>
            <w:r>
              <w:rPr>
                <w:rFonts w:hint="eastAsia"/>
                <w:b w:val="0"/>
                <w:szCs w:val="22"/>
                <w:lang w:val="fr-CH" w:eastAsia="zh-CN"/>
              </w:rPr>
              <w:t>，</w:t>
            </w:r>
            <w:r w:rsidRPr="004C11F9">
              <w:rPr>
                <w:rFonts w:hint="eastAsia"/>
                <w:b w:val="0"/>
                <w:szCs w:val="22"/>
                <w:lang w:val="fr-CH" w:eastAsia="zh-CN"/>
              </w:rPr>
              <w:t>帕洛阿尔托</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6095B4" w14:textId="77777777" w:rsidR="004C18AD" w:rsidRPr="00790B9B" w:rsidRDefault="004C18AD" w:rsidP="00042C67">
            <w:pPr>
              <w:pStyle w:val="Tablehead"/>
              <w:jc w:val="left"/>
              <w:rPr>
                <w:b w:val="0"/>
                <w:szCs w:val="22"/>
              </w:rPr>
            </w:pPr>
            <w:r w:rsidRPr="00790B9B">
              <w:rPr>
                <w:b w:val="0"/>
                <w:szCs w:val="22"/>
              </w:rPr>
              <w:t>2010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5BFC7A" w14:textId="77777777" w:rsidR="004C18AD" w:rsidRPr="00790B9B" w:rsidRDefault="004C18AD" w:rsidP="00042C67">
            <w:pPr>
              <w:pStyle w:val="Tablehead"/>
              <w:jc w:val="right"/>
              <w:rPr>
                <w:b w:val="0"/>
                <w:szCs w:val="22"/>
              </w:rPr>
            </w:pPr>
            <w:r w:rsidRPr="00790B9B">
              <w:rPr>
                <w:b w:val="0"/>
                <w:szCs w:val="22"/>
              </w:rPr>
              <w:t>20</w:t>
            </w:r>
            <w:r>
              <w:rPr>
                <w:b w:val="0"/>
                <w:szCs w:val="22"/>
              </w:rPr>
              <w:t> </w:t>
            </w:r>
            <w:r w:rsidRPr="00790B9B">
              <w:rPr>
                <w:b w:val="0"/>
                <w:szCs w:val="22"/>
              </w:rPr>
              <w:t>876.55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17EE0"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9D5E2C" w14:textId="77777777" w:rsidR="004C18AD" w:rsidRPr="00790B9B" w:rsidRDefault="004C18AD" w:rsidP="00042C67">
            <w:pPr>
              <w:pStyle w:val="Tablehead"/>
              <w:jc w:val="right"/>
              <w:rPr>
                <w:b w:val="0"/>
                <w:szCs w:val="22"/>
              </w:rPr>
            </w:pPr>
            <w:r w:rsidRPr="00790B9B">
              <w:rPr>
                <w:b w:val="0"/>
                <w:szCs w:val="22"/>
              </w:rPr>
              <w:t>20</w:t>
            </w:r>
            <w:r>
              <w:rPr>
                <w:b w:val="0"/>
                <w:szCs w:val="22"/>
              </w:rPr>
              <w:t> </w:t>
            </w:r>
            <w:r w:rsidRPr="00790B9B">
              <w:rPr>
                <w:b w:val="0"/>
                <w:szCs w:val="22"/>
              </w:rPr>
              <w:t>876.55</w:t>
            </w:r>
          </w:p>
        </w:tc>
      </w:tr>
      <w:tr w:rsidR="004C18AD" w:rsidRPr="00910F82" w14:paraId="0898E8A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9DA53" w14:textId="77777777" w:rsidR="004C18AD" w:rsidRPr="002C248C" w:rsidRDefault="004C18AD" w:rsidP="00042C67">
            <w:pPr>
              <w:pStyle w:val="Tablehead"/>
              <w:jc w:val="left"/>
              <w:rPr>
                <w:b w:val="0"/>
                <w:szCs w:val="22"/>
                <w:lang w:val="en-US" w:eastAsia="zh-CN"/>
              </w:rPr>
            </w:pPr>
            <w:r w:rsidRPr="00BB5333">
              <w:rPr>
                <w:b w:val="0"/>
                <w:szCs w:val="22"/>
                <w:lang w:val="fr-FR" w:eastAsia="zh-CN"/>
              </w:rPr>
              <w:t>–</w:t>
            </w:r>
            <w:r w:rsidRPr="00BB5333">
              <w:rPr>
                <w:b w:val="0"/>
                <w:szCs w:val="22"/>
                <w:lang w:val="fr-FR" w:eastAsia="zh-CN"/>
              </w:rPr>
              <w:tab/>
            </w:r>
            <w:r w:rsidRPr="00790B9B">
              <w:rPr>
                <w:b w:val="0"/>
                <w:szCs w:val="22"/>
                <w:lang w:val="en-US" w:eastAsia="zh-CN"/>
              </w:rPr>
              <w:t>Space Systems Loral</w:t>
            </w:r>
            <w:r>
              <w:rPr>
                <w:rFonts w:hint="eastAsia"/>
                <w:b w:val="0"/>
                <w:szCs w:val="22"/>
                <w:lang w:val="en-US" w:eastAsia="zh-CN"/>
              </w:rPr>
              <w:t>，</w:t>
            </w:r>
            <w:r w:rsidRPr="004C11F9">
              <w:rPr>
                <w:rFonts w:hint="eastAsia"/>
                <w:b w:val="0"/>
                <w:szCs w:val="22"/>
                <w:lang w:val="en-US" w:eastAsia="zh-CN"/>
              </w:rPr>
              <w:t>帕洛阿尔托</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298D60" w14:textId="77777777" w:rsidR="004C18AD" w:rsidRPr="00790B9B" w:rsidRDefault="004C18AD" w:rsidP="00042C67">
            <w:pPr>
              <w:pStyle w:val="Tablehead"/>
              <w:jc w:val="left"/>
              <w:rPr>
                <w:b w:val="0"/>
                <w:szCs w:val="22"/>
              </w:rPr>
            </w:pPr>
            <w:r w:rsidRPr="00790B9B">
              <w:rPr>
                <w:b w:val="0"/>
                <w:szCs w:val="22"/>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2172F2" w14:textId="77777777" w:rsidR="004C18AD" w:rsidRPr="00790B9B" w:rsidRDefault="004C18AD" w:rsidP="00042C67">
            <w:pPr>
              <w:pStyle w:val="Tablehead"/>
              <w:jc w:val="right"/>
              <w:rPr>
                <w:b w:val="0"/>
                <w:szCs w:val="22"/>
              </w:rPr>
            </w:pPr>
            <w:r w:rsidRPr="00790B9B">
              <w:rPr>
                <w:b w:val="0"/>
                <w:szCs w:val="22"/>
              </w:rPr>
              <w:t>12</w:t>
            </w:r>
            <w:r>
              <w:rPr>
                <w:b w:val="0"/>
                <w:szCs w:val="22"/>
              </w:rPr>
              <w:t> </w:t>
            </w:r>
            <w:r w:rsidRPr="00790B9B">
              <w:rPr>
                <w:b w:val="0"/>
                <w:szCs w:val="22"/>
              </w:rPr>
              <w:t>356.80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4363F1"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5DC69A" w14:textId="77777777" w:rsidR="004C18AD" w:rsidRPr="00790B9B" w:rsidRDefault="004C18AD" w:rsidP="00042C67">
            <w:pPr>
              <w:pStyle w:val="Tablehead"/>
              <w:jc w:val="right"/>
              <w:rPr>
                <w:b w:val="0"/>
                <w:szCs w:val="22"/>
              </w:rPr>
            </w:pPr>
            <w:r w:rsidRPr="00790B9B">
              <w:rPr>
                <w:b w:val="0"/>
                <w:szCs w:val="22"/>
              </w:rPr>
              <w:t>12</w:t>
            </w:r>
            <w:r>
              <w:rPr>
                <w:b w:val="0"/>
                <w:szCs w:val="22"/>
              </w:rPr>
              <w:t> </w:t>
            </w:r>
            <w:r w:rsidRPr="00790B9B">
              <w:rPr>
                <w:b w:val="0"/>
                <w:szCs w:val="22"/>
              </w:rPr>
              <w:t>356.80</w:t>
            </w:r>
          </w:p>
        </w:tc>
      </w:tr>
      <w:tr w:rsidR="004C18AD" w:rsidRPr="00910F82" w14:paraId="3444A389"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22E972" w14:textId="77777777" w:rsidR="004C18AD" w:rsidRPr="00790B9B" w:rsidRDefault="004C18AD" w:rsidP="00042C67">
            <w:pPr>
              <w:pStyle w:val="Tablehead"/>
              <w:jc w:val="left"/>
              <w:rPr>
                <w:b w:val="0"/>
                <w:szCs w:val="22"/>
                <w:lang w:val="en-US" w:eastAsia="zh-CN"/>
              </w:rPr>
            </w:pPr>
            <w:r w:rsidRPr="00B660CA">
              <w:rPr>
                <w:b w:val="0"/>
                <w:szCs w:val="22"/>
                <w:lang w:val="fr-FR" w:eastAsia="zh-CN"/>
              </w:rPr>
              <w:t>–</w:t>
            </w:r>
            <w:r w:rsidRPr="00B660CA">
              <w:rPr>
                <w:b w:val="0"/>
                <w:szCs w:val="22"/>
                <w:lang w:val="fr-FR" w:eastAsia="zh-CN"/>
              </w:rPr>
              <w:tab/>
            </w:r>
            <w:r w:rsidRPr="00790B9B">
              <w:rPr>
                <w:b w:val="0"/>
                <w:szCs w:val="22"/>
                <w:lang w:val="fr-CH" w:eastAsia="zh-CN"/>
              </w:rPr>
              <w:t>Tektronix, Inc.</w:t>
            </w:r>
            <w:r>
              <w:rPr>
                <w:rFonts w:hint="eastAsia"/>
                <w:b w:val="0"/>
                <w:szCs w:val="22"/>
                <w:lang w:val="fr-CH" w:eastAsia="zh-CN"/>
              </w:rPr>
              <w:t>，</w:t>
            </w:r>
            <w:r w:rsidRPr="003413E6">
              <w:rPr>
                <w:rFonts w:hint="eastAsia"/>
                <w:b w:val="0"/>
                <w:szCs w:val="22"/>
                <w:lang w:val="fr-CH" w:eastAsia="zh-CN"/>
              </w:rPr>
              <w:t>比弗顿</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62A7E2" w14:textId="77777777" w:rsidR="004C18AD" w:rsidRPr="00790B9B" w:rsidRDefault="004C18AD" w:rsidP="00042C67">
            <w:pPr>
              <w:pStyle w:val="Tablehead"/>
              <w:jc w:val="left"/>
              <w:rPr>
                <w:b w:val="0"/>
                <w:szCs w:val="22"/>
              </w:rPr>
            </w:pPr>
            <w:r w:rsidRPr="00790B9B">
              <w:rPr>
                <w:b w:val="0"/>
                <w:szCs w:val="22"/>
              </w:rPr>
              <w:t>2017-2019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CF717A" w14:textId="77777777" w:rsidR="004C18AD" w:rsidRPr="00790B9B" w:rsidRDefault="004C18AD" w:rsidP="00042C67">
            <w:pPr>
              <w:pStyle w:val="Tablehead"/>
              <w:jc w:val="right"/>
              <w:rPr>
                <w:b w:val="0"/>
                <w:szCs w:val="22"/>
              </w:rPr>
            </w:pPr>
            <w:r w:rsidRPr="00790B9B">
              <w:rPr>
                <w:b w:val="0"/>
                <w:szCs w:val="22"/>
              </w:rPr>
              <w:t>12</w:t>
            </w:r>
            <w:r>
              <w:rPr>
                <w:b w:val="0"/>
                <w:szCs w:val="22"/>
              </w:rPr>
              <w:t> </w:t>
            </w:r>
            <w:r w:rsidRPr="00790B9B">
              <w:rPr>
                <w:b w:val="0"/>
                <w:szCs w:val="22"/>
              </w:rPr>
              <w:t>980.40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413035"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E347C2" w14:textId="77777777" w:rsidR="004C18AD" w:rsidRPr="00790B9B" w:rsidRDefault="004C18AD" w:rsidP="00042C67">
            <w:pPr>
              <w:pStyle w:val="Tablehead"/>
              <w:jc w:val="right"/>
              <w:rPr>
                <w:b w:val="0"/>
                <w:szCs w:val="22"/>
              </w:rPr>
            </w:pPr>
            <w:r w:rsidRPr="00790B9B">
              <w:rPr>
                <w:b w:val="0"/>
                <w:szCs w:val="22"/>
              </w:rPr>
              <w:t>12</w:t>
            </w:r>
            <w:r>
              <w:rPr>
                <w:b w:val="0"/>
                <w:szCs w:val="22"/>
              </w:rPr>
              <w:t> </w:t>
            </w:r>
            <w:r w:rsidRPr="00790B9B">
              <w:rPr>
                <w:b w:val="0"/>
                <w:szCs w:val="22"/>
              </w:rPr>
              <w:t>980.40</w:t>
            </w:r>
          </w:p>
        </w:tc>
      </w:tr>
      <w:tr w:rsidR="004C18AD" w:rsidRPr="00910F82" w14:paraId="77299660"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2923D" w14:textId="77777777" w:rsidR="004C18AD" w:rsidRPr="002C248C" w:rsidRDefault="004C18AD" w:rsidP="00042C67">
            <w:pPr>
              <w:pStyle w:val="Tablehead"/>
              <w:jc w:val="left"/>
              <w:rPr>
                <w:b w:val="0"/>
                <w:szCs w:val="22"/>
                <w:lang w:val="en-US" w:eastAsia="zh-CN"/>
              </w:rPr>
            </w:pPr>
            <w:r w:rsidRPr="00B660CA">
              <w:rPr>
                <w:b w:val="0"/>
                <w:szCs w:val="22"/>
                <w:lang w:val="fr-FR" w:eastAsia="zh-CN"/>
              </w:rPr>
              <w:t>–</w:t>
            </w:r>
            <w:r w:rsidRPr="00B660CA">
              <w:rPr>
                <w:b w:val="0"/>
                <w:szCs w:val="22"/>
                <w:lang w:val="fr-FR" w:eastAsia="zh-CN"/>
              </w:rPr>
              <w:tab/>
            </w:r>
            <w:r w:rsidRPr="00790B9B">
              <w:rPr>
                <w:b w:val="0"/>
                <w:szCs w:val="22"/>
                <w:lang w:val="en-US" w:eastAsia="zh-CN"/>
              </w:rPr>
              <w:t>The Village Group Inc.</w:t>
            </w:r>
            <w:r>
              <w:rPr>
                <w:rFonts w:hint="eastAsia"/>
                <w:b w:val="0"/>
                <w:szCs w:val="22"/>
                <w:lang w:val="en-US" w:eastAsia="zh-CN"/>
              </w:rPr>
              <w:t>，</w:t>
            </w:r>
            <w:r w:rsidRPr="003413E6">
              <w:rPr>
                <w:rFonts w:hint="eastAsia"/>
                <w:b w:val="0"/>
                <w:szCs w:val="22"/>
                <w:lang w:val="en-US" w:eastAsia="zh-CN"/>
              </w:rPr>
              <w:t>沃尔瑟姆</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F11556" w14:textId="77777777" w:rsidR="004C18AD" w:rsidRPr="00790B9B" w:rsidRDefault="004C18AD" w:rsidP="00042C67">
            <w:pPr>
              <w:pStyle w:val="Tablehead"/>
              <w:jc w:val="left"/>
              <w:rPr>
                <w:b w:val="0"/>
                <w:szCs w:val="22"/>
              </w:rPr>
            </w:pPr>
            <w:r w:rsidRPr="00790B9B">
              <w:rPr>
                <w:b w:val="0"/>
                <w:szCs w:val="22"/>
              </w:rPr>
              <w:t>2007-2008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CC62A8" w14:textId="77777777" w:rsidR="004C18AD" w:rsidRPr="00790B9B" w:rsidRDefault="004C18AD" w:rsidP="00042C67">
            <w:pPr>
              <w:pStyle w:val="Tablehead"/>
              <w:jc w:val="right"/>
              <w:rPr>
                <w:b w:val="0"/>
                <w:szCs w:val="22"/>
              </w:rPr>
            </w:pPr>
            <w:r w:rsidRPr="00790B9B">
              <w:rPr>
                <w:b w:val="0"/>
                <w:szCs w:val="22"/>
              </w:rPr>
              <w:t>17</w:t>
            </w:r>
            <w:r>
              <w:rPr>
                <w:b w:val="0"/>
                <w:szCs w:val="22"/>
              </w:rPr>
              <w:t> </w:t>
            </w:r>
            <w:r w:rsidRPr="00790B9B">
              <w:rPr>
                <w:b w:val="0"/>
                <w:szCs w:val="22"/>
              </w:rPr>
              <w:t>629.70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F17569"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3227B2" w14:textId="77777777" w:rsidR="004C18AD" w:rsidRPr="00790B9B" w:rsidRDefault="004C18AD" w:rsidP="00042C67">
            <w:pPr>
              <w:pStyle w:val="Tablehead"/>
              <w:jc w:val="right"/>
              <w:rPr>
                <w:b w:val="0"/>
                <w:szCs w:val="22"/>
              </w:rPr>
            </w:pPr>
            <w:r w:rsidRPr="00790B9B">
              <w:rPr>
                <w:b w:val="0"/>
                <w:szCs w:val="22"/>
              </w:rPr>
              <w:t>17</w:t>
            </w:r>
            <w:r>
              <w:rPr>
                <w:b w:val="0"/>
                <w:szCs w:val="22"/>
              </w:rPr>
              <w:t> </w:t>
            </w:r>
            <w:r w:rsidRPr="00790B9B">
              <w:rPr>
                <w:b w:val="0"/>
                <w:szCs w:val="22"/>
              </w:rPr>
              <w:t>629.70</w:t>
            </w:r>
          </w:p>
        </w:tc>
      </w:tr>
      <w:tr w:rsidR="004C18AD" w:rsidRPr="00910F82" w14:paraId="27CE55C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AE25B" w14:textId="77777777" w:rsidR="004C18AD" w:rsidRPr="00790B9B" w:rsidRDefault="004C18AD" w:rsidP="00042C67">
            <w:pPr>
              <w:pStyle w:val="Tablehead"/>
              <w:jc w:val="left"/>
              <w:rPr>
                <w:b w:val="0"/>
                <w:szCs w:val="22"/>
                <w:lang w:val="en-US" w:eastAsia="zh-CN"/>
              </w:rPr>
            </w:pPr>
            <w:r w:rsidRPr="00B660CA">
              <w:rPr>
                <w:b w:val="0"/>
                <w:szCs w:val="22"/>
                <w:lang w:val="fr-FR" w:eastAsia="zh-CN"/>
              </w:rPr>
              <w:t>–</w:t>
            </w:r>
            <w:r w:rsidRPr="00B660CA">
              <w:rPr>
                <w:b w:val="0"/>
                <w:szCs w:val="22"/>
                <w:lang w:val="fr-FR" w:eastAsia="zh-CN"/>
              </w:rPr>
              <w:tab/>
            </w:r>
            <w:r w:rsidRPr="003413E6">
              <w:rPr>
                <w:rFonts w:hint="eastAsia"/>
                <w:b w:val="0"/>
                <w:szCs w:val="22"/>
                <w:lang w:val="en-US" w:eastAsia="zh-CN"/>
              </w:rPr>
              <w:t>通达网络有限公司</w:t>
            </w:r>
            <w:r>
              <w:rPr>
                <w:rFonts w:hint="eastAsia"/>
                <w:b w:val="0"/>
                <w:szCs w:val="22"/>
                <w:lang w:val="en-US" w:eastAsia="zh-CN"/>
              </w:rPr>
              <w:t>，旧金山</w:t>
            </w:r>
            <w:r w:rsidRPr="00790B9B">
              <w:rPr>
                <w:b w:val="0"/>
                <w:szCs w:val="22"/>
                <w:lang w:val="en-US" w:eastAsia="zh-CN"/>
              </w:rPr>
              <w:t xml:space="preserve"> </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4A6BBD" w14:textId="77777777" w:rsidR="004C18AD" w:rsidRPr="00790B9B" w:rsidRDefault="004C18AD" w:rsidP="00042C67">
            <w:pPr>
              <w:pStyle w:val="Tablehead"/>
              <w:jc w:val="left"/>
              <w:rPr>
                <w:b w:val="0"/>
                <w:szCs w:val="22"/>
              </w:rPr>
            </w:pPr>
            <w:r w:rsidRPr="00790B9B">
              <w:rPr>
                <w:b w:val="0"/>
                <w:szCs w:val="22"/>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1411B7" w14:textId="77777777" w:rsidR="004C18AD" w:rsidRPr="00790B9B" w:rsidRDefault="004C18AD" w:rsidP="00042C67">
            <w:pPr>
              <w:pStyle w:val="Tablehead"/>
              <w:jc w:val="right"/>
              <w:rPr>
                <w:b w:val="0"/>
                <w:szCs w:val="22"/>
              </w:rPr>
            </w:pPr>
            <w:r w:rsidRPr="00790B9B">
              <w:rPr>
                <w:b w:val="0"/>
                <w:szCs w:val="22"/>
              </w:rPr>
              <w:t>6</w:t>
            </w:r>
            <w:r>
              <w:rPr>
                <w:b w:val="0"/>
                <w:szCs w:val="22"/>
              </w:rPr>
              <w:t> </w:t>
            </w:r>
            <w:r w:rsidRPr="00790B9B">
              <w:rPr>
                <w:b w:val="0"/>
                <w:szCs w:val="22"/>
              </w:rPr>
              <w:t>178.40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F89470"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63695F" w14:textId="77777777" w:rsidR="004C18AD" w:rsidRPr="00790B9B" w:rsidRDefault="004C18AD" w:rsidP="00042C67">
            <w:pPr>
              <w:pStyle w:val="Tablehead"/>
              <w:jc w:val="right"/>
              <w:rPr>
                <w:b w:val="0"/>
                <w:szCs w:val="22"/>
              </w:rPr>
            </w:pPr>
            <w:r w:rsidRPr="00790B9B">
              <w:rPr>
                <w:b w:val="0"/>
                <w:szCs w:val="22"/>
              </w:rPr>
              <w:t>6</w:t>
            </w:r>
            <w:r>
              <w:rPr>
                <w:b w:val="0"/>
                <w:szCs w:val="22"/>
              </w:rPr>
              <w:t> </w:t>
            </w:r>
            <w:r w:rsidRPr="00790B9B">
              <w:rPr>
                <w:b w:val="0"/>
                <w:szCs w:val="22"/>
              </w:rPr>
              <w:t>178.40</w:t>
            </w:r>
          </w:p>
        </w:tc>
      </w:tr>
      <w:tr w:rsidR="004C18AD" w:rsidRPr="00910F82" w14:paraId="52D8345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E6FB7" w14:textId="77777777" w:rsidR="004C18AD" w:rsidRPr="00790B9B" w:rsidRDefault="004C18AD" w:rsidP="00042C67">
            <w:pPr>
              <w:pStyle w:val="Tablehead"/>
              <w:jc w:val="left"/>
              <w:rPr>
                <w:b w:val="0"/>
                <w:szCs w:val="22"/>
                <w:lang w:val="en-US" w:eastAsia="zh-CN"/>
              </w:rPr>
            </w:pPr>
            <w:r w:rsidRPr="00B660CA">
              <w:rPr>
                <w:b w:val="0"/>
                <w:szCs w:val="22"/>
                <w:lang w:val="fr-FR" w:eastAsia="zh-CN"/>
              </w:rPr>
              <w:t>–</w:t>
            </w:r>
            <w:r w:rsidRPr="00B660CA">
              <w:rPr>
                <w:b w:val="0"/>
                <w:szCs w:val="22"/>
                <w:lang w:val="fr-FR" w:eastAsia="zh-CN"/>
              </w:rPr>
              <w:tab/>
            </w:r>
            <w:r w:rsidRPr="003413E6">
              <w:rPr>
                <w:rFonts w:hint="eastAsia"/>
                <w:b w:val="0"/>
                <w:szCs w:val="22"/>
                <w:lang w:val="fr-CH" w:eastAsia="zh-CN"/>
              </w:rPr>
              <w:t>UT</w:t>
            </w:r>
            <w:r w:rsidRPr="003413E6">
              <w:rPr>
                <w:rFonts w:hint="eastAsia"/>
                <w:b w:val="0"/>
                <w:szCs w:val="22"/>
                <w:lang w:val="fr-CH" w:eastAsia="zh-CN"/>
              </w:rPr>
              <w:t>斯达康通讯有限公司</w:t>
            </w:r>
            <w:r>
              <w:rPr>
                <w:rFonts w:hint="eastAsia"/>
                <w:b w:val="0"/>
                <w:szCs w:val="22"/>
                <w:lang w:val="fr-CH" w:eastAsia="zh-CN"/>
              </w:rPr>
              <w:t>，</w:t>
            </w:r>
            <w:r w:rsidRPr="003413E6">
              <w:rPr>
                <w:rFonts w:hint="eastAsia"/>
                <w:b w:val="0"/>
                <w:szCs w:val="22"/>
                <w:lang w:val="fr-CH" w:eastAsia="zh-CN"/>
              </w:rPr>
              <w:t>弗里蒙特</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D09BF0" w14:textId="77777777" w:rsidR="004C18AD" w:rsidRPr="00790B9B" w:rsidRDefault="004C18AD" w:rsidP="00042C67">
            <w:pPr>
              <w:pStyle w:val="Tablehead"/>
              <w:jc w:val="left"/>
              <w:rPr>
                <w:b w:val="0"/>
                <w:szCs w:val="22"/>
              </w:rPr>
            </w:pPr>
            <w:r w:rsidRPr="00790B9B">
              <w:rPr>
                <w:b w:val="0"/>
                <w:szCs w:val="22"/>
              </w:rPr>
              <w:t>2004-2010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FB4BEF" w14:textId="77777777" w:rsidR="004C18AD" w:rsidRPr="00790B9B" w:rsidRDefault="004C18AD" w:rsidP="00042C67">
            <w:pPr>
              <w:pStyle w:val="Tablehead"/>
              <w:jc w:val="right"/>
              <w:rPr>
                <w:b w:val="0"/>
                <w:szCs w:val="22"/>
              </w:rPr>
            </w:pPr>
            <w:r w:rsidRPr="00790B9B">
              <w:rPr>
                <w:b w:val="0"/>
                <w:szCs w:val="22"/>
              </w:rPr>
              <w:t>70</w:t>
            </w:r>
            <w:r>
              <w:rPr>
                <w:b w:val="0"/>
                <w:szCs w:val="22"/>
              </w:rPr>
              <w:t> </w:t>
            </w:r>
            <w:r w:rsidRPr="00790B9B">
              <w:rPr>
                <w:b w:val="0"/>
                <w:szCs w:val="22"/>
              </w:rPr>
              <w:t>464.15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9CF281"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10213F" w14:textId="77777777" w:rsidR="004C18AD" w:rsidRPr="00790B9B" w:rsidRDefault="004C18AD" w:rsidP="00042C67">
            <w:pPr>
              <w:pStyle w:val="Tablehead"/>
              <w:jc w:val="right"/>
              <w:rPr>
                <w:b w:val="0"/>
                <w:szCs w:val="22"/>
              </w:rPr>
            </w:pPr>
            <w:r w:rsidRPr="00790B9B">
              <w:rPr>
                <w:b w:val="0"/>
                <w:szCs w:val="22"/>
              </w:rPr>
              <w:t>70</w:t>
            </w:r>
            <w:r>
              <w:rPr>
                <w:b w:val="0"/>
                <w:szCs w:val="22"/>
              </w:rPr>
              <w:t> </w:t>
            </w:r>
            <w:r w:rsidRPr="00790B9B">
              <w:rPr>
                <w:b w:val="0"/>
                <w:szCs w:val="22"/>
              </w:rPr>
              <w:t>464.15</w:t>
            </w:r>
          </w:p>
        </w:tc>
      </w:tr>
      <w:tr w:rsidR="004C18AD" w:rsidRPr="00910F82" w14:paraId="72DCC167"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5BFDBD" w14:textId="77777777" w:rsidR="004C18AD" w:rsidRPr="002C248C" w:rsidRDefault="004C18AD" w:rsidP="00042C67">
            <w:pPr>
              <w:pStyle w:val="Tablehead"/>
              <w:jc w:val="left"/>
              <w:rPr>
                <w:b w:val="0"/>
                <w:szCs w:val="22"/>
                <w:lang w:val="en-US" w:eastAsia="zh-CN"/>
              </w:rPr>
            </w:pPr>
            <w:r w:rsidRPr="00B660CA">
              <w:rPr>
                <w:b w:val="0"/>
                <w:szCs w:val="22"/>
                <w:lang w:val="fr-FR" w:eastAsia="zh-CN"/>
              </w:rPr>
              <w:t>–</w:t>
            </w:r>
            <w:r w:rsidRPr="00B660CA">
              <w:rPr>
                <w:b w:val="0"/>
                <w:szCs w:val="22"/>
                <w:lang w:val="fr-FR" w:eastAsia="zh-CN"/>
              </w:rPr>
              <w:tab/>
            </w:r>
            <w:r w:rsidRPr="00790B9B">
              <w:rPr>
                <w:b w:val="0"/>
                <w:szCs w:val="22"/>
                <w:lang w:val="en-US" w:eastAsia="zh-CN"/>
              </w:rPr>
              <w:t>Visible Energy Inc.</w:t>
            </w:r>
            <w:r>
              <w:rPr>
                <w:rFonts w:hint="eastAsia"/>
              </w:rPr>
              <w:t xml:space="preserve"> </w:t>
            </w:r>
            <w:r w:rsidRPr="00BB5333">
              <w:rPr>
                <w:rFonts w:hint="eastAsia"/>
                <w:b w:val="0"/>
                <w:szCs w:val="22"/>
                <w:lang w:val="en-US" w:eastAsia="zh-CN"/>
              </w:rPr>
              <w:t>l</w:t>
            </w:r>
            <w:r w:rsidRPr="00BB5333">
              <w:rPr>
                <w:rFonts w:hint="eastAsia"/>
                <w:b w:val="0"/>
                <w:szCs w:val="22"/>
                <w:lang w:val="en-US" w:eastAsia="zh-CN"/>
              </w:rPr>
              <w:t>，帕洛阿尔托</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220E3C" w14:textId="77777777" w:rsidR="004C18AD" w:rsidRPr="00790B9B" w:rsidRDefault="004C18AD" w:rsidP="00042C67">
            <w:pPr>
              <w:pStyle w:val="Tablehead"/>
              <w:jc w:val="left"/>
              <w:rPr>
                <w:b w:val="0"/>
                <w:szCs w:val="22"/>
              </w:rPr>
            </w:pPr>
            <w:r w:rsidRPr="00790B9B">
              <w:rPr>
                <w:b w:val="0"/>
                <w:szCs w:val="22"/>
              </w:rPr>
              <w:t>2010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88CDB7" w14:textId="77777777" w:rsidR="004C18AD" w:rsidRPr="00790B9B" w:rsidRDefault="004C18AD" w:rsidP="00042C67">
            <w:pPr>
              <w:pStyle w:val="Tablehead"/>
              <w:jc w:val="right"/>
              <w:rPr>
                <w:b w:val="0"/>
                <w:szCs w:val="22"/>
              </w:rPr>
            </w:pPr>
            <w:r w:rsidRPr="00790B9B">
              <w:rPr>
                <w:b w:val="0"/>
                <w:szCs w:val="22"/>
              </w:rPr>
              <w:t>19</w:t>
            </w:r>
            <w:r>
              <w:rPr>
                <w:b w:val="0"/>
                <w:szCs w:val="22"/>
              </w:rPr>
              <w:t> </w:t>
            </w:r>
            <w:r w:rsidRPr="00790B9B">
              <w:rPr>
                <w:b w:val="0"/>
                <w:szCs w:val="22"/>
              </w:rPr>
              <w:t>136.20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48CEFA"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39436F" w14:textId="77777777" w:rsidR="004C18AD" w:rsidRPr="00790B9B" w:rsidRDefault="004C18AD" w:rsidP="00042C67">
            <w:pPr>
              <w:pStyle w:val="Tablehead"/>
              <w:jc w:val="right"/>
              <w:rPr>
                <w:b w:val="0"/>
                <w:szCs w:val="22"/>
              </w:rPr>
            </w:pPr>
            <w:r w:rsidRPr="00790B9B">
              <w:rPr>
                <w:b w:val="0"/>
                <w:szCs w:val="22"/>
              </w:rPr>
              <w:t>19</w:t>
            </w:r>
            <w:r>
              <w:rPr>
                <w:b w:val="0"/>
                <w:szCs w:val="22"/>
              </w:rPr>
              <w:t> </w:t>
            </w:r>
            <w:r w:rsidRPr="00790B9B">
              <w:rPr>
                <w:b w:val="0"/>
                <w:szCs w:val="22"/>
              </w:rPr>
              <w:t>136.20</w:t>
            </w:r>
          </w:p>
        </w:tc>
      </w:tr>
      <w:tr w:rsidR="004C18AD" w:rsidRPr="00910F82" w14:paraId="1032BA43"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48295" w14:textId="77777777" w:rsidR="004C18AD" w:rsidRPr="00FC2ACC" w:rsidRDefault="004C18AD" w:rsidP="00042C67">
            <w:pPr>
              <w:pStyle w:val="Tablehead"/>
              <w:jc w:val="left"/>
              <w:rPr>
                <w:b w:val="0"/>
                <w:szCs w:val="22"/>
                <w:lang w:val="fr-FR" w:eastAsia="zh-CN"/>
              </w:rPr>
            </w:pPr>
            <w:r w:rsidRPr="00B660CA">
              <w:rPr>
                <w:b w:val="0"/>
                <w:szCs w:val="22"/>
                <w:lang w:val="fr-FR" w:eastAsia="zh-CN"/>
              </w:rPr>
              <w:t>–</w:t>
            </w:r>
            <w:r w:rsidRPr="00B660CA">
              <w:rPr>
                <w:b w:val="0"/>
                <w:szCs w:val="22"/>
                <w:lang w:val="fr-FR" w:eastAsia="zh-CN"/>
              </w:rPr>
              <w:tab/>
            </w:r>
            <w:r w:rsidRPr="00790B9B">
              <w:rPr>
                <w:b w:val="0"/>
                <w:szCs w:val="22"/>
                <w:lang w:val="fr-CH" w:eastAsia="zh-CN"/>
              </w:rPr>
              <w:t>Vocal Technologies Ltd.</w:t>
            </w:r>
            <w:r>
              <w:rPr>
                <w:rFonts w:hint="eastAsia"/>
                <w:b w:val="0"/>
                <w:szCs w:val="22"/>
                <w:lang w:val="fr-CH" w:eastAsia="zh-CN"/>
              </w:rPr>
              <w:t>，</w:t>
            </w:r>
            <w:r w:rsidRPr="00BB5333">
              <w:rPr>
                <w:rFonts w:hint="eastAsia"/>
                <w:b w:val="0"/>
                <w:szCs w:val="22"/>
                <w:lang w:val="fr-CH" w:eastAsia="zh-CN"/>
              </w:rPr>
              <w:t>阿默斯特</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4252D6" w14:textId="77777777" w:rsidR="004C18AD" w:rsidRPr="00790B9B" w:rsidRDefault="004C18AD" w:rsidP="00042C67">
            <w:pPr>
              <w:pStyle w:val="Tablehead"/>
              <w:jc w:val="left"/>
              <w:rPr>
                <w:b w:val="0"/>
                <w:szCs w:val="22"/>
              </w:rPr>
            </w:pPr>
            <w:r w:rsidRPr="00790B9B">
              <w:rPr>
                <w:b w:val="0"/>
                <w:szCs w:val="22"/>
              </w:rPr>
              <w:t>1998-2002</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70CB3D" w14:textId="77777777" w:rsidR="004C18AD" w:rsidRPr="00790B9B" w:rsidRDefault="004C18AD" w:rsidP="00042C67">
            <w:pPr>
              <w:pStyle w:val="Tablehead"/>
              <w:jc w:val="right"/>
              <w:rPr>
                <w:b w:val="0"/>
                <w:szCs w:val="22"/>
              </w:rPr>
            </w:pPr>
            <w:r w:rsidRPr="00790B9B">
              <w:rPr>
                <w:b w:val="0"/>
                <w:szCs w:val="22"/>
              </w:rPr>
              <w:t>499</w:t>
            </w:r>
            <w:r>
              <w:rPr>
                <w:b w:val="0"/>
                <w:szCs w:val="22"/>
              </w:rPr>
              <w:t> </w:t>
            </w:r>
            <w:r w:rsidRPr="00790B9B">
              <w:rPr>
                <w:b w:val="0"/>
                <w:szCs w:val="22"/>
              </w:rPr>
              <w:t>715.90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31A16C"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0AAA44" w14:textId="77777777" w:rsidR="004C18AD" w:rsidRPr="00790B9B" w:rsidRDefault="004C18AD" w:rsidP="00042C67">
            <w:pPr>
              <w:pStyle w:val="Tablehead"/>
              <w:jc w:val="right"/>
              <w:rPr>
                <w:b w:val="0"/>
                <w:szCs w:val="22"/>
              </w:rPr>
            </w:pPr>
            <w:r w:rsidRPr="00790B9B">
              <w:rPr>
                <w:b w:val="0"/>
                <w:szCs w:val="22"/>
              </w:rPr>
              <w:t>499</w:t>
            </w:r>
            <w:r>
              <w:rPr>
                <w:b w:val="0"/>
                <w:szCs w:val="22"/>
              </w:rPr>
              <w:t> </w:t>
            </w:r>
            <w:r w:rsidRPr="00790B9B">
              <w:rPr>
                <w:b w:val="0"/>
                <w:szCs w:val="22"/>
              </w:rPr>
              <w:t>715.90</w:t>
            </w:r>
          </w:p>
        </w:tc>
      </w:tr>
      <w:tr w:rsidR="004C18AD" w:rsidRPr="00910F82" w14:paraId="3F69CC2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061BA" w14:textId="77777777" w:rsidR="004C18AD" w:rsidRPr="00790B9B" w:rsidRDefault="004C18AD" w:rsidP="00042C67">
            <w:pPr>
              <w:pStyle w:val="Tablehead"/>
              <w:jc w:val="left"/>
              <w:rPr>
                <w:b w:val="0"/>
                <w:szCs w:val="22"/>
                <w:lang w:val="fr-CH" w:eastAsia="zh-CN"/>
              </w:rPr>
            </w:pPr>
            <w:r w:rsidRPr="00B660CA">
              <w:rPr>
                <w:b w:val="0"/>
                <w:szCs w:val="22"/>
                <w:lang w:val="fr-FR" w:eastAsia="zh-CN"/>
              </w:rPr>
              <w:t>–</w:t>
            </w:r>
            <w:r w:rsidRPr="00B660CA">
              <w:rPr>
                <w:b w:val="0"/>
                <w:szCs w:val="22"/>
                <w:lang w:val="fr-FR" w:eastAsia="zh-CN"/>
              </w:rPr>
              <w:tab/>
            </w:r>
            <w:r w:rsidRPr="00BB5333">
              <w:rPr>
                <w:rFonts w:hint="eastAsia"/>
                <w:b w:val="0"/>
                <w:szCs w:val="22"/>
                <w:lang w:val="fr-CH" w:eastAsia="zh-CN"/>
              </w:rPr>
              <w:t>施乐有限公司</w:t>
            </w:r>
            <w:r>
              <w:rPr>
                <w:rFonts w:hint="eastAsia"/>
                <w:b w:val="0"/>
                <w:szCs w:val="22"/>
                <w:lang w:val="fr-CH" w:eastAsia="zh-CN"/>
              </w:rPr>
              <w:t>，华盛顿</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51D7B0" w14:textId="77777777" w:rsidR="004C18AD" w:rsidRPr="00790B9B" w:rsidRDefault="004C18AD" w:rsidP="00042C67">
            <w:pPr>
              <w:pStyle w:val="Tablehead"/>
              <w:jc w:val="left"/>
              <w:rPr>
                <w:b w:val="0"/>
                <w:szCs w:val="22"/>
              </w:rPr>
            </w:pPr>
            <w:r w:rsidRPr="00790B9B">
              <w:rPr>
                <w:b w:val="0"/>
                <w:szCs w:val="22"/>
              </w:rPr>
              <w:t>2004-2007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CC60D7" w14:textId="77777777" w:rsidR="004C18AD" w:rsidRPr="00790B9B" w:rsidRDefault="004C18AD" w:rsidP="00042C67">
            <w:pPr>
              <w:pStyle w:val="Tablehead"/>
              <w:jc w:val="right"/>
              <w:rPr>
                <w:b w:val="0"/>
                <w:szCs w:val="22"/>
              </w:rPr>
            </w:pPr>
            <w:r w:rsidRPr="00790B9B">
              <w:rPr>
                <w:b w:val="0"/>
                <w:szCs w:val="22"/>
              </w:rPr>
              <w:t>95</w:t>
            </w:r>
            <w:r>
              <w:rPr>
                <w:b w:val="0"/>
                <w:szCs w:val="22"/>
              </w:rPr>
              <w:t> </w:t>
            </w:r>
            <w:r w:rsidRPr="00790B9B">
              <w:rPr>
                <w:b w:val="0"/>
                <w:szCs w:val="22"/>
              </w:rPr>
              <w:t>676.75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ABF324"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9BA083" w14:textId="77777777" w:rsidR="004C18AD" w:rsidRPr="00790B9B" w:rsidRDefault="004C18AD" w:rsidP="00042C67">
            <w:pPr>
              <w:pStyle w:val="Tablehead"/>
              <w:jc w:val="right"/>
              <w:rPr>
                <w:b w:val="0"/>
                <w:szCs w:val="22"/>
              </w:rPr>
            </w:pPr>
            <w:r w:rsidRPr="00790B9B">
              <w:rPr>
                <w:b w:val="0"/>
                <w:szCs w:val="22"/>
              </w:rPr>
              <w:t>95</w:t>
            </w:r>
            <w:r>
              <w:rPr>
                <w:b w:val="0"/>
                <w:szCs w:val="22"/>
              </w:rPr>
              <w:t> </w:t>
            </w:r>
            <w:r w:rsidRPr="00790B9B">
              <w:rPr>
                <w:b w:val="0"/>
                <w:szCs w:val="22"/>
              </w:rPr>
              <w:t>676.75</w:t>
            </w:r>
          </w:p>
        </w:tc>
      </w:tr>
      <w:tr w:rsidR="004C18AD" w:rsidRPr="00910F82" w14:paraId="5EA8BD4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C908A5" w14:textId="77777777" w:rsidR="004C18AD" w:rsidRPr="00790B9B" w:rsidRDefault="004C18AD" w:rsidP="00042C67">
            <w:pPr>
              <w:pStyle w:val="Tablehead"/>
              <w:jc w:val="left"/>
              <w:rPr>
                <w:b w:val="0"/>
                <w:szCs w:val="22"/>
                <w:lang w:val="fr-CH" w:eastAsia="zh-CN"/>
              </w:rPr>
            </w:pPr>
            <w:r w:rsidRPr="00254BAD">
              <w:rPr>
                <w:rFonts w:hint="eastAsia"/>
                <w:bCs/>
                <w:szCs w:val="22"/>
              </w:rPr>
              <w:t>乌兹别克斯坦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5D890B" w14:textId="77777777" w:rsidR="004C18AD" w:rsidRPr="00790B9B"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5F4270" w14:textId="77777777" w:rsidR="004C18AD" w:rsidRPr="00790B9B"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849B8E" w14:textId="77777777" w:rsidR="004C18AD" w:rsidRPr="00790B9B"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505A66" w14:textId="77777777" w:rsidR="004C18AD" w:rsidRPr="00790B9B" w:rsidRDefault="004C18AD" w:rsidP="00042C67">
            <w:pPr>
              <w:pStyle w:val="Tablehead"/>
              <w:jc w:val="right"/>
              <w:rPr>
                <w:b w:val="0"/>
                <w:szCs w:val="22"/>
              </w:rPr>
            </w:pPr>
          </w:p>
        </w:tc>
      </w:tr>
      <w:tr w:rsidR="004C18AD" w:rsidRPr="00254BAD" w14:paraId="2A00DBD9"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2AF9B" w14:textId="77777777" w:rsidR="004C18AD" w:rsidRPr="00254BAD" w:rsidRDefault="004C18AD" w:rsidP="00042C67">
            <w:pPr>
              <w:pStyle w:val="Tablehead"/>
              <w:jc w:val="left"/>
              <w:rPr>
                <w:szCs w:val="22"/>
                <w:lang w:val="fr-CH" w:eastAsia="zh-CN"/>
              </w:rPr>
            </w:pPr>
            <w:r w:rsidRPr="00254BAD">
              <w:rPr>
                <w:b w:val="0"/>
                <w:szCs w:val="22"/>
                <w:lang w:eastAsia="zh-CN"/>
              </w:rPr>
              <w:t>–</w:t>
            </w:r>
            <w:r w:rsidRPr="00254BAD">
              <w:rPr>
                <w:b w:val="0"/>
                <w:szCs w:val="22"/>
                <w:lang w:eastAsia="zh-CN"/>
              </w:rPr>
              <w:tab/>
            </w:r>
            <w:r w:rsidRPr="00254BAD">
              <w:rPr>
                <w:rFonts w:hint="eastAsia"/>
                <w:b w:val="0"/>
                <w:szCs w:val="22"/>
                <w:lang w:eastAsia="zh-CN"/>
              </w:rPr>
              <w:t>塔什干信息技术大学，塔什干</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77A1D" w14:textId="77777777" w:rsidR="004C18AD" w:rsidRPr="00254BAD" w:rsidRDefault="004C18AD" w:rsidP="00042C67">
            <w:pPr>
              <w:pStyle w:val="Tablehead"/>
              <w:jc w:val="left"/>
              <w:rPr>
                <w:szCs w:val="22"/>
                <w:lang w:eastAsia="zh-CN"/>
              </w:rPr>
            </w:pPr>
            <w:r w:rsidRPr="00790B9B">
              <w:rPr>
                <w:b w:val="0"/>
                <w:szCs w:val="22"/>
              </w:rPr>
              <w:t>2014</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9C34" w14:textId="77777777" w:rsidR="004C18AD" w:rsidRPr="00254BAD" w:rsidRDefault="004C18AD" w:rsidP="00042C67">
            <w:pPr>
              <w:pStyle w:val="Tablehead"/>
              <w:jc w:val="right"/>
              <w:rPr>
                <w:szCs w:val="22"/>
                <w:lang w:eastAsia="zh-CN"/>
              </w:rPr>
            </w:pPr>
            <w:r w:rsidRPr="00790B9B">
              <w:rPr>
                <w:b w:val="0"/>
                <w:szCs w:val="22"/>
              </w:rPr>
              <w:t>3</w:t>
            </w:r>
            <w:r>
              <w:rPr>
                <w:b w:val="0"/>
                <w:szCs w:val="22"/>
              </w:rPr>
              <w:t> </w:t>
            </w:r>
            <w:r w:rsidRPr="00790B9B">
              <w:rPr>
                <w:b w:val="0"/>
                <w:szCs w:val="22"/>
              </w:rPr>
              <w:t>100.50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93F7F" w14:textId="77777777" w:rsidR="004C18AD" w:rsidRPr="00254BAD" w:rsidRDefault="004C18AD" w:rsidP="00042C67">
            <w:pPr>
              <w:pStyle w:val="Tablehead"/>
              <w:jc w:val="right"/>
              <w:rPr>
                <w:szCs w:val="22"/>
                <w:lang w:eastAsia="zh-CN"/>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5C55A" w14:textId="77777777" w:rsidR="004C18AD" w:rsidRPr="00254BAD" w:rsidRDefault="004C18AD" w:rsidP="00042C67">
            <w:pPr>
              <w:pStyle w:val="Tablehead"/>
              <w:jc w:val="right"/>
              <w:rPr>
                <w:szCs w:val="22"/>
                <w:lang w:eastAsia="zh-CN"/>
              </w:rPr>
            </w:pPr>
            <w:r w:rsidRPr="00790B9B">
              <w:rPr>
                <w:b w:val="0"/>
                <w:szCs w:val="22"/>
              </w:rPr>
              <w:t>3</w:t>
            </w:r>
            <w:r>
              <w:rPr>
                <w:b w:val="0"/>
                <w:szCs w:val="22"/>
              </w:rPr>
              <w:t> </w:t>
            </w:r>
            <w:r w:rsidRPr="00790B9B">
              <w:rPr>
                <w:b w:val="0"/>
                <w:szCs w:val="22"/>
              </w:rPr>
              <w:t>100.50</w:t>
            </w:r>
          </w:p>
        </w:tc>
      </w:tr>
      <w:tr w:rsidR="004C18AD" w:rsidRPr="00910F82" w14:paraId="7ADD2CB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FED89D" w14:textId="77777777" w:rsidR="004C18AD" w:rsidRPr="00254BAD" w:rsidRDefault="004C18AD" w:rsidP="00042C67">
            <w:pPr>
              <w:pStyle w:val="Tablehead"/>
              <w:jc w:val="left"/>
              <w:rPr>
                <w:b w:val="0"/>
                <w:szCs w:val="22"/>
                <w:lang w:val="fr-CH" w:eastAsia="zh-CN"/>
              </w:rPr>
            </w:pPr>
            <w:r w:rsidRPr="00254BAD">
              <w:rPr>
                <w:rFonts w:cs="Calibri"/>
                <w:bCs/>
                <w:szCs w:val="22"/>
              </w:rPr>
              <w:t>委内瑞拉</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C8F57F" w14:textId="77777777" w:rsidR="004C18AD" w:rsidRPr="00790B9B"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7EE9B9" w14:textId="77777777" w:rsidR="004C18AD" w:rsidRPr="00790B9B"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D916DA" w14:textId="77777777" w:rsidR="004C18AD" w:rsidRPr="00790B9B"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4E8F52" w14:textId="77777777" w:rsidR="004C18AD" w:rsidRPr="00790B9B" w:rsidRDefault="004C18AD" w:rsidP="00042C67">
            <w:pPr>
              <w:pStyle w:val="Tablehead"/>
              <w:jc w:val="right"/>
              <w:rPr>
                <w:b w:val="0"/>
                <w:szCs w:val="22"/>
              </w:rPr>
            </w:pPr>
          </w:p>
        </w:tc>
      </w:tr>
      <w:tr w:rsidR="004C18AD" w:rsidRPr="00254BAD" w14:paraId="36FF32C6"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9EA03" w14:textId="77777777" w:rsidR="004C18AD" w:rsidRPr="00254BAD" w:rsidRDefault="004C18AD" w:rsidP="00042C67">
            <w:pPr>
              <w:pStyle w:val="Tablehead"/>
              <w:jc w:val="left"/>
              <w:rPr>
                <w:szCs w:val="22"/>
                <w:lang w:val="fr-CH" w:eastAsia="zh-CN"/>
              </w:rPr>
            </w:pPr>
            <w:r w:rsidRPr="00254BAD">
              <w:rPr>
                <w:rFonts w:cs="Calibri"/>
                <w:b w:val="0"/>
                <w:szCs w:val="22"/>
              </w:rPr>
              <w:t>–</w:t>
            </w:r>
            <w:r w:rsidRPr="00254BAD">
              <w:rPr>
                <w:rFonts w:cs="Calibri"/>
                <w:b w:val="0"/>
                <w:szCs w:val="22"/>
              </w:rPr>
              <w:tab/>
            </w:r>
            <w:r w:rsidRPr="00254BAD">
              <w:rPr>
                <w:rFonts w:cs="Calibri"/>
                <w:b w:val="0"/>
                <w:szCs w:val="22"/>
                <w:lang w:val="fr-FR"/>
              </w:rPr>
              <w:t>CANTV</w:t>
            </w:r>
            <w:r w:rsidRPr="00254BAD">
              <w:rPr>
                <w:rFonts w:cs="Calibri" w:hint="eastAsia"/>
                <w:b w:val="0"/>
                <w:szCs w:val="22"/>
                <w:lang w:eastAsia="zh-CN"/>
              </w:rPr>
              <w:t>，</w:t>
            </w:r>
            <w:r w:rsidRPr="00254BAD">
              <w:rPr>
                <w:rFonts w:cs="Calibri" w:hint="eastAsia"/>
                <w:b w:val="0"/>
                <w:szCs w:val="22"/>
              </w:rPr>
              <w:t>加拉加斯</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3341B" w14:textId="77777777" w:rsidR="004C18AD" w:rsidRPr="00254BAD" w:rsidRDefault="004C18AD" w:rsidP="00042C67">
            <w:pPr>
              <w:pStyle w:val="Tablehead"/>
              <w:jc w:val="left"/>
              <w:rPr>
                <w:szCs w:val="22"/>
              </w:rPr>
            </w:pPr>
            <w:r w:rsidRPr="00790B9B">
              <w:rPr>
                <w:b w:val="0"/>
                <w:szCs w:val="22"/>
              </w:rPr>
              <w:t>2018-2019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C06E" w14:textId="77777777" w:rsidR="004C18AD" w:rsidRPr="00254BAD" w:rsidRDefault="004C18AD" w:rsidP="00042C67">
            <w:pPr>
              <w:pStyle w:val="Tablehead"/>
              <w:jc w:val="right"/>
              <w:rPr>
                <w:szCs w:val="22"/>
              </w:rPr>
            </w:pPr>
            <w:r w:rsidRPr="00790B9B">
              <w:rPr>
                <w:b w:val="0"/>
                <w:szCs w:val="22"/>
              </w:rPr>
              <w:t>93</w:t>
            </w:r>
            <w:r>
              <w:rPr>
                <w:b w:val="0"/>
                <w:szCs w:val="22"/>
              </w:rPr>
              <w:t> </w:t>
            </w:r>
            <w:r w:rsidRPr="00790B9B">
              <w:rPr>
                <w:b w:val="0"/>
                <w:szCs w:val="22"/>
              </w:rPr>
              <w:t>338.45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D26E3" w14:textId="77777777" w:rsidR="004C18AD" w:rsidRPr="00254BAD" w:rsidRDefault="004C18AD" w:rsidP="00042C67">
            <w:pPr>
              <w:pStyle w:val="Tablehead"/>
              <w:jc w:val="right"/>
              <w:rPr>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98DBC" w14:textId="77777777" w:rsidR="004C18AD" w:rsidRPr="00254BAD" w:rsidRDefault="004C18AD" w:rsidP="00042C67">
            <w:pPr>
              <w:pStyle w:val="Tablehead"/>
              <w:jc w:val="right"/>
              <w:rPr>
                <w:szCs w:val="22"/>
              </w:rPr>
            </w:pPr>
            <w:r w:rsidRPr="00790B9B">
              <w:rPr>
                <w:b w:val="0"/>
                <w:szCs w:val="22"/>
              </w:rPr>
              <w:t>93</w:t>
            </w:r>
            <w:r>
              <w:rPr>
                <w:b w:val="0"/>
                <w:szCs w:val="22"/>
              </w:rPr>
              <w:t> </w:t>
            </w:r>
            <w:r w:rsidRPr="00790B9B">
              <w:rPr>
                <w:b w:val="0"/>
                <w:szCs w:val="22"/>
              </w:rPr>
              <w:t>338.45</w:t>
            </w:r>
          </w:p>
        </w:tc>
      </w:tr>
      <w:tr w:rsidR="004C18AD" w:rsidRPr="00910F82" w14:paraId="4ADBC92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4BA8B9" w14:textId="77777777" w:rsidR="004C18AD" w:rsidRPr="00254BAD" w:rsidRDefault="004C18AD" w:rsidP="00042C67">
            <w:pPr>
              <w:pStyle w:val="Tablehead"/>
              <w:jc w:val="left"/>
              <w:rPr>
                <w:b w:val="0"/>
                <w:szCs w:val="22"/>
                <w:lang w:val="fr-CH" w:eastAsia="zh-CN"/>
              </w:rPr>
            </w:pPr>
            <w:r w:rsidRPr="00254BAD">
              <w:rPr>
                <w:rFonts w:hint="eastAsia"/>
                <w:bCs/>
                <w:szCs w:val="22"/>
              </w:rPr>
              <w:t>赞比亚</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94B665" w14:textId="77777777" w:rsidR="004C18AD" w:rsidRPr="00790B9B"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261DD3" w14:textId="77777777" w:rsidR="004C18AD" w:rsidRPr="00790B9B"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531F64" w14:textId="77777777" w:rsidR="004C18AD" w:rsidRPr="00790B9B"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E7FCD8" w14:textId="77777777" w:rsidR="004C18AD" w:rsidRPr="00790B9B" w:rsidRDefault="004C18AD" w:rsidP="00042C67">
            <w:pPr>
              <w:pStyle w:val="Tablehead"/>
              <w:jc w:val="right"/>
              <w:rPr>
                <w:b w:val="0"/>
                <w:szCs w:val="22"/>
              </w:rPr>
            </w:pPr>
          </w:p>
        </w:tc>
      </w:tr>
      <w:tr w:rsidR="004C18AD" w:rsidRPr="00254BAD" w14:paraId="42B1CE7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C1B3F6" w14:textId="77777777" w:rsidR="004C18AD" w:rsidRPr="00254BAD" w:rsidRDefault="004C18AD" w:rsidP="00042C67">
            <w:pPr>
              <w:pStyle w:val="Tablehead"/>
              <w:jc w:val="left"/>
              <w:rPr>
                <w:szCs w:val="22"/>
                <w:lang w:val="fr-CH" w:eastAsia="zh-CN"/>
              </w:rPr>
            </w:pPr>
            <w:r w:rsidRPr="00254BAD">
              <w:rPr>
                <w:b w:val="0"/>
                <w:szCs w:val="22"/>
                <w:lang w:eastAsia="zh-CN"/>
              </w:rPr>
              <w:t>–</w:t>
            </w:r>
            <w:r w:rsidRPr="00254BAD">
              <w:rPr>
                <w:b w:val="0"/>
                <w:szCs w:val="22"/>
                <w:lang w:eastAsia="zh-CN"/>
              </w:rPr>
              <w:tab/>
            </w:r>
            <w:r w:rsidRPr="00254BAD">
              <w:rPr>
                <w:rFonts w:cs="Calibri"/>
                <w:b w:val="0"/>
                <w:szCs w:val="22"/>
                <w:lang w:val="fr-FR" w:eastAsia="zh-CN"/>
              </w:rPr>
              <w:t>Airtel</w:t>
            </w:r>
            <w:r w:rsidRPr="00254BAD">
              <w:rPr>
                <w:b w:val="0"/>
                <w:szCs w:val="22"/>
                <w:lang w:eastAsia="zh-CN"/>
              </w:rPr>
              <w:t>赞比亚，</w:t>
            </w:r>
            <w:r w:rsidRPr="00254BAD">
              <w:rPr>
                <w:rFonts w:hint="eastAsia"/>
                <w:b w:val="0"/>
                <w:szCs w:val="22"/>
                <w:lang w:eastAsia="zh-CN"/>
              </w:rPr>
              <w:t>卢萨卡</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1E4CB" w14:textId="77777777" w:rsidR="004C18AD" w:rsidRPr="00254BAD" w:rsidRDefault="004C18AD" w:rsidP="00042C67">
            <w:pPr>
              <w:pStyle w:val="Tablehead"/>
              <w:jc w:val="left"/>
              <w:rPr>
                <w:szCs w:val="22"/>
                <w:lang w:eastAsia="zh-CN"/>
              </w:rPr>
            </w:pPr>
            <w:r w:rsidRPr="00790B9B">
              <w:rPr>
                <w:b w:val="0"/>
                <w:szCs w:val="22"/>
              </w:rPr>
              <w:t>2014</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32679" w14:textId="77777777" w:rsidR="004C18AD" w:rsidRPr="00254BAD" w:rsidRDefault="004C18AD" w:rsidP="00042C67">
            <w:pPr>
              <w:pStyle w:val="Tablehead"/>
              <w:jc w:val="right"/>
              <w:rPr>
                <w:szCs w:val="22"/>
                <w:lang w:eastAsia="zh-CN"/>
              </w:rPr>
            </w:pPr>
            <w:r w:rsidRPr="00790B9B">
              <w:rPr>
                <w:b w:val="0"/>
                <w:szCs w:val="22"/>
              </w:rPr>
              <w:t>100</w:t>
            </w:r>
            <w:r>
              <w:rPr>
                <w:b w:val="0"/>
                <w:szCs w:val="22"/>
              </w:rPr>
              <w:t> </w:t>
            </w:r>
            <w:r w:rsidRPr="00790B9B">
              <w:rPr>
                <w:b w:val="0"/>
                <w:szCs w:val="22"/>
              </w:rPr>
              <w:t>776.65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7CAEB" w14:textId="77777777" w:rsidR="004C18AD" w:rsidRPr="00254BAD" w:rsidRDefault="004C18AD" w:rsidP="00042C67">
            <w:pPr>
              <w:pStyle w:val="Tablehead"/>
              <w:jc w:val="right"/>
              <w:rPr>
                <w:szCs w:val="22"/>
                <w:lang w:eastAsia="zh-CN"/>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086D7" w14:textId="77777777" w:rsidR="004C18AD" w:rsidRPr="00254BAD" w:rsidRDefault="004C18AD" w:rsidP="00042C67">
            <w:pPr>
              <w:pStyle w:val="Tablehead"/>
              <w:jc w:val="right"/>
              <w:rPr>
                <w:szCs w:val="22"/>
                <w:lang w:eastAsia="zh-CN"/>
              </w:rPr>
            </w:pPr>
            <w:r w:rsidRPr="00790B9B">
              <w:rPr>
                <w:b w:val="0"/>
                <w:szCs w:val="22"/>
              </w:rPr>
              <w:t>100</w:t>
            </w:r>
            <w:r>
              <w:rPr>
                <w:b w:val="0"/>
                <w:szCs w:val="22"/>
              </w:rPr>
              <w:t> </w:t>
            </w:r>
            <w:r w:rsidRPr="00790B9B">
              <w:rPr>
                <w:b w:val="0"/>
                <w:szCs w:val="22"/>
              </w:rPr>
              <w:t>776.65</w:t>
            </w:r>
          </w:p>
        </w:tc>
      </w:tr>
      <w:tr w:rsidR="004C18AD" w:rsidRPr="00910F82" w14:paraId="4E23D8A0"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B1F7F" w14:textId="77777777" w:rsidR="004C18AD" w:rsidRPr="002C248C" w:rsidRDefault="004C18AD" w:rsidP="00042C67">
            <w:pPr>
              <w:pStyle w:val="Tablehead"/>
              <w:jc w:val="left"/>
              <w:rPr>
                <w:b w:val="0"/>
                <w:szCs w:val="22"/>
                <w:lang w:val="en-US" w:eastAsia="zh-CN"/>
              </w:rPr>
            </w:pPr>
            <w:r w:rsidRPr="00B660CA">
              <w:rPr>
                <w:b w:val="0"/>
                <w:szCs w:val="22"/>
                <w:lang w:val="fr-FR" w:eastAsia="zh-CN"/>
              </w:rPr>
              <w:t>–</w:t>
            </w:r>
            <w:r w:rsidRPr="00B660CA">
              <w:rPr>
                <w:b w:val="0"/>
                <w:szCs w:val="22"/>
                <w:lang w:val="fr-FR" w:eastAsia="zh-CN"/>
              </w:rPr>
              <w:tab/>
            </w:r>
            <w:r>
              <w:rPr>
                <w:rFonts w:hint="eastAsia"/>
                <w:b w:val="0"/>
                <w:szCs w:val="22"/>
                <w:lang w:val="fr-FR" w:eastAsia="zh-CN"/>
              </w:rPr>
              <w:t>赞比亚大学，卢萨卡</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042AAB" w14:textId="77777777" w:rsidR="004C18AD" w:rsidRPr="00790B9B" w:rsidRDefault="004C18AD" w:rsidP="00042C67">
            <w:pPr>
              <w:pStyle w:val="Tablehead"/>
              <w:jc w:val="left"/>
              <w:rPr>
                <w:b w:val="0"/>
                <w:szCs w:val="22"/>
              </w:rPr>
            </w:pPr>
            <w:r w:rsidRPr="00790B9B">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E5D2AB" w14:textId="77777777" w:rsidR="004C18AD" w:rsidRPr="00790B9B" w:rsidRDefault="004C18AD" w:rsidP="00042C67">
            <w:pPr>
              <w:pStyle w:val="Tablehead"/>
              <w:jc w:val="right"/>
              <w:rPr>
                <w:b w:val="0"/>
                <w:szCs w:val="22"/>
              </w:rPr>
            </w:pPr>
            <w:r w:rsidRPr="00790B9B">
              <w:rPr>
                <w:b w:val="0"/>
                <w:szCs w:val="22"/>
              </w:rPr>
              <w:t>2</w:t>
            </w:r>
            <w:r>
              <w:rPr>
                <w:b w:val="0"/>
                <w:szCs w:val="22"/>
              </w:rPr>
              <w:t> </w:t>
            </w:r>
            <w:r w:rsidRPr="00790B9B">
              <w:rPr>
                <w:b w:val="0"/>
                <w:szCs w:val="22"/>
              </w:rPr>
              <w:t>160.05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CF9701"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E0D3A2" w14:textId="77777777" w:rsidR="004C18AD" w:rsidRPr="00790B9B" w:rsidRDefault="004C18AD" w:rsidP="00042C67">
            <w:pPr>
              <w:pStyle w:val="Tablehead"/>
              <w:jc w:val="right"/>
              <w:rPr>
                <w:b w:val="0"/>
                <w:szCs w:val="22"/>
              </w:rPr>
            </w:pPr>
            <w:r w:rsidRPr="00790B9B">
              <w:rPr>
                <w:b w:val="0"/>
                <w:szCs w:val="22"/>
              </w:rPr>
              <w:t>2</w:t>
            </w:r>
            <w:r>
              <w:rPr>
                <w:b w:val="0"/>
                <w:szCs w:val="22"/>
              </w:rPr>
              <w:t> </w:t>
            </w:r>
            <w:r w:rsidRPr="00790B9B">
              <w:rPr>
                <w:b w:val="0"/>
                <w:szCs w:val="22"/>
              </w:rPr>
              <w:t>160.05</w:t>
            </w:r>
          </w:p>
        </w:tc>
      </w:tr>
      <w:tr w:rsidR="004C18AD" w:rsidRPr="00910F82" w14:paraId="1B3E3E59"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A45D2" w14:textId="77777777" w:rsidR="004C18AD" w:rsidRPr="00790B9B" w:rsidRDefault="004C18AD" w:rsidP="00042C67">
            <w:pPr>
              <w:pStyle w:val="Tablehead"/>
              <w:jc w:val="left"/>
              <w:rPr>
                <w:b w:val="0"/>
                <w:szCs w:val="22"/>
                <w:lang w:val="en-US" w:eastAsia="zh-CN"/>
              </w:rPr>
            </w:pPr>
            <w:r w:rsidRPr="00755BBA">
              <w:rPr>
                <w:rFonts w:hint="eastAsia"/>
                <w:bCs/>
                <w:szCs w:val="22"/>
                <w:lang w:val="en-US" w:eastAsia="zh-CN"/>
              </w:rPr>
              <w:t>津巴布韦</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955F01" w14:textId="77777777" w:rsidR="004C18AD" w:rsidRPr="00790B9B"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6AA1C7" w14:textId="77777777" w:rsidR="004C18AD" w:rsidRPr="00790B9B"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CCFECD" w14:textId="77777777" w:rsidR="004C18AD" w:rsidRPr="00790B9B"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57B818" w14:textId="77777777" w:rsidR="004C18AD" w:rsidRPr="00790B9B" w:rsidRDefault="004C18AD" w:rsidP="00042C67">
            <w:pPr>
              <w:pStyle w:val="Tablehead"/>
              <w:jc w:val="right"/>
              <w:rPr>
                <w:b w:val="0"/>
                <w:szCs w:val="22"/>
              </w:rPr>
            </w:pPr>
          </w:p>
        </w:tc>
      </w:tr>
      <w:tr w:rsidR="004C18AD" w:rsidRPr="00790B9B" w14:paraId="31D790E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A96B4" w14:textId="77777777" w:rsidR="004C18AD" w:rsidRPr="002C248C" w:rsidRDefault="004C18AD" w:rsidP="00042C67">
            <w:pPr>
              <w:pStyle w:val="Tablehead"/>
              <w:jc w:val="left"/>
              <w:rPr>
                <w:szCs w:val="22"/>
                <w:lang w:val="en-US" w:eastAsia="zh-CN"/>
              </w:rPr>
            </w:pPr>
            <w:r w:rsidRPr="00C00286">
              <w:rPr>
                <w:rFonts w:cs="Calibri"/>
                <w:b w:val="0"/>
                <w:szCs w:val="22"/>
              </w:rPr>
              <w:t>–</w:t>
            </w:r>
            <w:r w:rsidRPr="00C00286">
              <w:rPr>
                <w:rFonts w:cs="Calibri"/>
                <w:b w:val="0"/>
                <w:szCs w:val="22"/>
              </w:rPr>
              <w:tab/>
              <w:t>TelOne (Pvt)</w:t>
            </w:r>
            <w:r w:rsidRPr="00C00286">
              <w:rPr>
                <w:rFonts w:cs="Calibri" w:hint="eastAsia"/>
                <w:b w:val="0"/>
                <w:szCs w:val="22"/>
                <w:lang w:val="fr-FR"/>
              </w:rPr>
              <w:t>有限公司</w:t>
            </w:r>
            <w:r w:rsidRPr="00C00286">
              <w:rPr>
                <w:rFonts w:cs="Calibri" w:hint="eastAsia"/>
                <w:b w:val="0"/>
                <w:szCs w:val="22"/>
              </w:rPr>
              <w:t>，</w:t>
            </w:r>
            <w:r w:rsidRPr="00C00286">
              <w:rPr>
                <w:rFonts w:cs="Calibri" w:hint="eastAsia"/>
                <w:b w:val="0"/>
                <w:szCs w:val="22"/>
                <w:lang w:val="fr-FR"/>
              </w:rPr>
              <w:t>哈拉雷</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43DF9" w14:textId="77777777" w:rsidR="004C18AD" w:rsidRPr="00790B9B" w:rsidRDefault="004C18AD" w:rsidP="00042C67">
            <w:pPr>
              <w:pStyle w:val="Tablehead"/>
              <w:jc w:val="left"/>
              <w:rPr>
                <w:szCs w:val="22"/>
              </w:rPr>
            </w:pPr>
            <w:r w:rsidRPr="00790B9B">
              <w:rPr>
                <w:b w:val="0"/>
                <w:szCs w:val="22"/>
              </w:rPr>
              <w:t>2016-2018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5758" w14:textId="77777777" w:rsidR="004C18AD" w:rsidRPr="00790B9B" w:rsidRDefault="004C18AD" w:rsidP="00042C67">
            <w:pPr>
              <w:pStyle w:val="Tablehead"/>
              <w:jc w:val="right"/>
              <w:rPr>
                <w:szCs w:val="22"/>
              </w:rPr>
            </w:pPr>
            <w:r w:rsidRPr="00790B9B">
              <w:rPr>
                <w:b w:val="0"/>
                <w:szCs w:val="22"/>
              </w:rPr>
              <w:t>31</w:t>
            </w:r>
            <w:r>
              <w:rPr>
                <w:b w:val="0"/>
                <w:szCs w:val="22"/>
              </w:rPr>
              <w:t> </w:t>
            </w:r>
            <w:r w:rsidRPr="00790B9B">
              <w:rPr>
                <w:b w:val="0"/>
                <w:szCs w:val="22"/>
              </w:rPr>
              <w:t>289.17</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59560" w14:textId="77777777" w:rsidR="004C18AD" w:rsidRPr="00790B9B" w:rsidRDefault="004C18AD" w:rsidP="00042C67">
            <w:pPr>
              <w:pStyle w:val="Tablehead"/>
              <w:jc w:val="right"/>
              <w:rPr>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04583" w14:textId="77777777" w:rsidR="004C18AD" w:rsidRPr="00790B9B" w:rsidRDefault="004C18AD" w:rsidP="00042C67">
            <w:pPr>
              <w:pStyle w:val="Tablehead"/>
              <w:jc w:val="right"/>
              <w:rPr>
                <w:szCs w:val="22"/>
              </w:rPr>
            </w:pPr>
            <w:r w:rsidRPr="00790B9B">
              <w:rPr>
                <w:b w:val="0"/>
                <w:szCs w:val="22"/>
              </w:rPr>
              <w:t>31</w:t>
            </w:r>
            <w:r>
              <w:rPr>
                <w:b w:val="0"/>
                <w:szCs w:val="22"/>
              </w:rPr>
              <w:t> </w:t>
            </w:r>
            <w:r w:rsidRPr="00790B9B">
              <w:rPr>
                <w:b w:val="0"/>
                <w:szCs w:val="22"/>
              </w:rPr>
              <w:t>289.17</w:t>
            </w:r>
          </w:p>
        </w:tc>
      </w:tr>
      <w:tr w:rsidR="004C18AD" w:rsidRPr="00910F82" w14:paraId="21FC2842"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FA1E0" w14:textId="77777777" w:rsidR="004C18AD" w:rsidRPr="00C00286" w:rsidRDefault="004C18AD" w:rsidP="00042C67">
            <w:pPr>
              <w:pStyle w:val="Tablehead"/>
              <w:jc w:val="left"/>
              <w:rPr>
                <w:b w:val="0"/>
                <w:szCs w:val="22"/>
                <w:lang w:val="en-US" w:eastAsia="zh-CN"/>
              </w:rPr>
            </w:pPr>
            <w:r w:rsidRPr="0076544D">
              <w:rPr>
                <w:rFonts w:cs="Calibri"/>
                <w:b w:val="0"/>
                <w:szCs w:val="22"/>
                <w:lang w:eastAsia="zh-CN"/>
              </w:rPr>
              <w:t>–</w:t>
            </w:r>
            <w:r w:rsidRPr="0076544D">
              <w:rPr>
                <w:rFonts w:cs="Calibri"/>
                <w:b w:val="0"/>
                <w:szCs w:val="22"/>
                <w:lang w:eastAsia="zh-CN"/>
              </w:rPr>
              <w:tab/>
            </w:r>
            <w:r w:rsidRPr="00C00286">
              <w:rPr>
                <w:rFonts w:cs="Calibri" w:hint="eastAsia"/>
                <w:b w:val="0"/>
                <w:szCs w:val="22"/>
                <w:lang w:val="fr-FR" w:eastAsia="zh-CN"/>
              </w:rPr>
              <w:t>津巴布韦大学</w:t>
            </w:r>
            <w:r w:rsidRPr="0076544D">
              <w:rPr>
                <w:rFonts w:cs="Calibri" w:hint="eastAsia"/>
                <w:b w:val="0"/>
                <w:szCs w:val="22"/>
                <w:lang w:eastAsia="zh-CN"/>
              </w:rPr>
              <w:t>，</w:t>
            </w:r>
            <w:r w:rsidRPr="00C00286">
              <w:rPr>
                <w:rFonts w:cs="Calibri" w:hint="eastAsia"/>
                <w:b w:val="0"/>
                <w:szCs w:val="22"/>
                <w:lang w:val="fr-FR" w:eastAsia="zh-CN"/>
              </w:rPr>
              <w:t>哈拉雷</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51D6AE" w14:textId="77777777" w:rsidR="004C18AD" w:rsidRPr="00790B9B" w:rsidRDefault="004C18AD" w:rsidP="00042C67">
            <w:pPr>
              <w:pStyle w:val="Tablehead"/>
              <w:jc w:val="left"/>
              <w:rPr>
                <w:b w:val="0"/>
                <w:szCs w:val="22"/>
              </w:rPr>
            </w:pPr>
            <w:r w:rsidRPr="00790B9B">
              <w:rPr>
                <w:b w:val="0"/>
                <w:szCs w:val="22"/>
              </w:rPr>
              <w:t>2008-2009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A5B5EA" w14:textId="77777777" w:rsidR="004C18AD" w:rsidRPr="00790B9B" w:rsidRDefault="004C18AD" w:rsidP="00042C67">
            <w:pPr>
              <w:pStyle w:val="Tablehead"/>
              <w:jc w:val="right"/>
              <w:rPr>
                <w:b w:val="0"/>
                <w:szCs w:val="22"/>
              </w:rPr>
            </w:pPr>
            <w:r w:rsidRPr="00790B9B">
              <w:rPr>
                <w:b w:val="0"/>
                <w:szCs w:val="22"/>
              </w:rPr>
              <w:t>26</w:t>
            </w:r>
            <w:r>
              <w:rPr>
                <w:b w:val="0"/>
                <w:szCs w:val="22"/>
              </w:rPr>
              <w:t> </w:t>
            </w:r>
            <w:r w:rsidRPr="00790B9B">
              <w:rPr>
                <w:b w:val="0"/>
                <w:szCs w:val="22"/>
              </w:rPr>
              <w:t>722.45</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40B0A5"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C56D3B" w14:textId="77777777" w:rsidR="004C18AD" w:rsidRPr="00790B9B" w:rsidRDefault="004C18AD" w:rsidP="00042C67">
            <w:pPr>
              <w:pStyle w:val="Tablehead"/>
              <w:jc w:val="right"/>
              <w:rPr>
                <w:b w:val="0"/>
                <w:szCs w:val="22"/>
              </w:rPr>
            </w:pPr>
            <w:r w:rsidRPr="00790B9B">
              <w:rPr>
                <w:b w:val="0"/>
                <w:szCs w:val="22"/>
              </w:rPr>
              <w:t>26</w:t>
            </w:r>
            <w:r>
              <w:rPr>
                <w:b w:val="0"/>
                <w:szCs w:val="22"/>
              </w:rPr>
              <w:t> </w:t>
            </w:r>
            <w:r w:rsidRPr="00790B9B">
              <w:rPr>
                <w:b w:val="0"/>
                <w:szCs w:val="22"/>
              </w:rPr>
              <w:t>722.45</w:t>
            </w:r>
          </w:p>
        </w:tc>
      </w:tr>
      <w:tr w:rsidR="004C18AD" w:rsidRPr="00910F82" w14:paraId="4059D48A"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12BD0" w14:textId="77777777" w:rsidR="004C18AD" w:rsidRDefault="004C18AD" w:rsidP="00042C67">
            <w:pPr>
              <w:rPr>
                <w:lang w:eastAsia="zh-CN"/>
              </w:rPr>
            </w:pPr>
            <w:r w:rsidRPr="000C156A">
              <w:rPr>
                <w:rFonts w:hint="eastAsia"/>
                <w:b/>
                <w:bCs/>
                <w:sz w:val="22"/>
                <w:szCs w:val="22"/>
                <w:lang w:eastAsia="zh-CN"/>
              </w:rPr>
              <w:t>第</w:t>
            </w:r>
            <w:r w:rsidRPr="000C156A">
              <w:rPr>
                <w:rFonts w:hint="eastAsia"/>
                <w:b/>
                <w:bCs/>
                <w:sz w:val="22"/>
                <w:szCs w:val="22"/>
                <w:lang w:eastAsia="zh-CN"/>
              </w:rPr>
              <w:t>99</w:t>
            </w:r>
            <w:r w:rsidRPr="000C156A">
              <w:rPr>
                <w:rFonts w:hint="eastAsia"/>
                <w:b/>
                <w:bCs/>
                <w:sz w:val="22"/>
                <w:szCs w:val="22"/>
                <w:lang w:eastAsia="zh-CN"/>
              </w:rPr>
              <w:t>号</w:t>
            </w:r>
            <w:r w:rsidRPr="000C156A">
              <w:rPr>
                <w:b/>
                <w:bCs/>
                <w:sz w:val="22"/>
                <w:szCs w:val="22"/>
                <w:lang w:eastAsia="zh-CN"/>
              </w:rPr>
              <w:t>决议（</w:t>
            </w:r>
            <w:r w:rsidRPr="000C156A">
              <w:rPr>
                <w:rFonts w:hint="eastAsia"/>
                <w:b/>
                <w:bCs/>
                <w:sz w:val="22"/>
                <w:szCs w:val="22"/>
                <w:lang w:eastAsia="zh-CN"/>
              </w:rPr>
              <w:t>2018</w:t>
            </w:r>
            <w:r w:rsidRPr="000C156A">
              <w:rPr>
                <w:rFonts w:hint="eastAsia"/>
                <w:b/>
                <w:bCs/>
                <w:sz w:val="22"/>
                <w:szCs w:val="22"/>
                <w:lang w:eastAsia="zh-CN"/>
              </w:rPr>
              <w:t>年，迪拜</w:t>
            </w:r>
            <w:r w:rsidRPr="000C156A">
              <w:rPr>
                <w:b/>
                <w:bCs/>
                <w:sz w:val="22"/>
                <w:szCs w:val="22"/>
                <w:lang w:eastAsia="zh-CN"/>
              </w:rPr>
              <w:t>，修订版）</w:t>
            </w:r>
          </w:p>
          <w:p w14:paraId="7F1AC178" w14:textId="77777777" w:rsidR="004C18AD" w:rsidRPr="0076544D" w:rsidRDefault="004C18AD" w:rsidP="00042C67">
            <w:pPr>
              <w:pStyle w:val="Tablehead"/>
              <w:jc w:val="left"/>
              <w:rPr>
                <w:b w:val="0"/>
                <w:szCs w:val="22"/>
                <w:lang w:eastAsia="zh-CN"/>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7D22E9" w14:textId="77777777" w:rsidR="004C18AD" w:rsidRPr="00790B9B" w:rsidRDefault="004C18AD" w:rsidP="00042C67">
            <w:pPr>
              <w:pStyle w:val="Tablehead"/>
              <w:jc w:val="left"/>
              <w:rPr>
                <w:b w:val="0"/>
                <w:szCs w:val="22"/>
                <w:lang w:eastAsia="zh-CN"/>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B12A7A" w14:textId="77777777" w:rsidR="004C18AD" w:rsidRPr="00790B9B" w:rsidRDefault="004C18AD" w:rsidP="00042C67">
            <w:pPr>
              <w:pStyle w:val="Tablehead"/>
              <w:jc w:val="right"/>
              <w:rPr>
                <w:b w:val="0"/>
                <w:szCs w:val="22"/>
                <w:lang w:eastAsia="zh-CN"/>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73806" w14:textId="77777777" w:rsidR="004C18AD" w:rsidRPr="00790B9B" w:rsidRDefault="004C18AD" w:rsidP="00042C67">
            <w:pPr>
              <w:pStyle w:val="Tablehead"/>
              <w:jc w:val="right"/>
              <w:rPr>
                <w:b w:val="0"/>
                <w:szCs w:val="22"/>
                <w:lang w:eastAsia="zh-CN"/>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ED36BD" w14:textId="77777777" w:rsidR="004C18AD" w:rsidRPr="00790B9B" w:rsidRDefault="004C18AD" w:rsidP="00042C67">
            <w:pPr>
              <w:pStyle w:val="Tablehead"/>
              <w:jc w:val="right"/>
              <w:rPr>
                <w:b w:val="0"/>
                <w:szCs w:val="22"/>
                <w:lang w:eastAsia="zh-CN"/>
              </w:rPr>
            </w:pPr>
          </w:p>
        </w:tc>
      </w:tr>
      <w:tr w:rsidR="004C18AD" w:rsidRPr="00790B9B" w14:paraId="4129103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3B90EB" w14:textId="77777777" w:rsidR="004C18AD" w:rsidRPr="00B660CA" w:rsidRDefault="004C18AD" w:rsidP="00042C67">
            <w:pPr>
              <w:pStyle w:val="ListParagraph"/>
              <w:numPr>
                <w:ilvl w:val="0"/>
                <w:numId w:val="37"/>
              </w:numPr>
              <w:rPr>
                <w:szCs w:val="22"/>
                <w:lang w:eastAsia="zh-CN"/>
              </w:rPr>
            </w:pPr>
            <w:r w:rsidRPr="00B660CA">
              <w:rPr>
                <w:rFonts w:ascii="SimSun" w:eastAsia="SimSun" w:hAnsi="SimSun" w:cs="SimSun" w:hint="eastAsia"/>
                <w:szCs w:val="22"/>
                <w:lang w:val="fr-CH" w:eastAsia="zh-CN"/>
              </w:rPr>
              <w:t>巴勒斯坦技术大学，图勒凯尔姆</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35897" w14:textId="77777777" w:rsidR="004C18AD" w:rsidRPr="00790B9B" w:rsidRDefault="004C18AD" w:rsidP="00042C67">
            <w:pPr>
              <w:pStyle w:val="Tablehead"/>
              <w:jc w:val="left"/>
              <w:rPr>
                <w:szCs w:val="22"/>
                <w:lang w:eastAsia="zh-CN"/>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A9529" w14:textId="77777777" w:rsidR="004C18AD" w:rsidRPr="00790B9B" w:rsidRDefault="004C18AD" w:rsidP="00042C67">
            <w:pPr>
              <w:pStyle w:val="Tablehead"/>
              <w:jc w:val="right"/>
              <w:rPr>
                <w:szCs w:val="22"/>
                <w:lang w:eastAsia="zh-CN"/>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92CEC" w14:textId="77777777" w:rsidR="004C18AD" w:rsidRPr="00790B9B" w:rsidRDefault="004C18AD" w:rsidP="00042C67">
            <w:pPr>
              <w:pStyle w:val="Tablehead"/>
              <w:jc w:val="right"/>
              <w:rPr>
                <w:szCs w:val="22"/>
                <w:lang w:eastAsia="zh-CN"/>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D2A34" w14:textId="77777777" w:rsidR="004C18AD" w:rsidRPr="00790B9B" w:rsidRDefault="004C18AD" w:rsidP="00042C67">
            <w:pPr>
              <w:pStyle w:val="Tablehead"/>
              <w:jc w:val="right"/>
              <w:rPr>
                <w:szCs w:val="22"/>
                <w:lang w:eastAsia="zh-CN"/>
              </w:rPr>
            </w:pPr>
          </w:p>
        </w:tc>
      </w:tr>
      <w:tr w:rsidR="004C18AD" w:rsidRPr="00910F82" w14:paraId="4ABE98FC"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0DE08" w14:textId="77777777" w:rsidR="004C18AD" w:rsidRPr="00790B9B" w:rsidRDefault="004C18AD" w:rsidP="00042C67">
            <w:pPr>
              <w:pStyle w:val="Tablehead"/>
              <w:jc w:val="left"/>
              <w:rPr>
                <w:b w:val="0"/>
                <w:szCs w:val="22"/>
                <w:lang w:val="fr-CH" w:eastAsia="zh-CN"/>
              </w:rPr>
            </w:pPr>
            <w:r w:rsidRPr="000F6D74">
              <w:rPr>
                <w:rFonts w:cs="Calibri"/>
                <w:b w:val="0"/>
                <w:szCs w:val="22"/>
                <w:lang w:val="fr-FR" w:eastAsia="zh-CN"/>
              </w:rPr>
              <w:t>–</w:t>
            </w:r>
            <w:r w:rsidRPr="000F6D74">
              <w:rPr>
                <w:rFonts w:cs="Calibri"/>
                <w:b w:val="0"/>
                <w:szCs w:val="22"/>
                <w:lang w:val="fr-FR" w:eastAsia="zh-CN"/>
              </w:rPr>
              <w:tab/>
            </w:r>
            <w:r w:rsidRPr="000F6D74">
              <w:rPr>
                <w:rFonts w:cs="Calibri" w:hint="eastAsia"/>
                <w:b w:val="0"/>
                <w:szCs w:val="22"/>
                <w:lang w:val="fr-FR" w:eastAsia="zh-CN"/>
              </w:rPr>
              <w:t>巴勒斯坦技术大学，图勒凯尔姆</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CC00" w14:textId="77777777" w:rsidR="004C18AD" w:rsidRPr="00790B9B" w:rsidRDefault="004C18AD" w:rsidP="00042C67">
            <w:pPr>
              <w:pStyle w:val="Tablehead"/>
              <w:jc w:val="left"/>
              <w:rPr>
                <w:b w:val="0"/>
                <w:szCs w:val="22"/>
              </w:rPr>
            </w:pPr>
            <w:r w:rsidRPr="00790B9B">
              <w:rPr>
                <w:b w:val="0"/>
                <w:szCs w:val="22"/>
              </w:rPr>
              <w:t>2019</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8CF7B" w14:textId="77777777" w:rsidR="004C18AD" w:rsidRPr="00790B9B" w:rsidRDefault="004C18AD" w:rsidP="00042C67">
            <w:pPr>
              <w:pStyle w:val="Tablehead"/>
              <w:jc w:val="right"/>
              <w:rPr>
                <w:b w:val="0"/>
                <w:szCs w:val="22"/>
              </w:rPr>
            </w:pPr>
            <w:r w:rsidRPr="00790B9B">
              <w:rPr>
                <w:b w:val="0"/>
                <w:szCs w:val="22"/>
              </w:rPr>
              <w:t>2</w:t>
            </w:r>
            <w:r>
              <w:rPr>
                <w:b w:val="0"/>
                <w:szCs w:val="22"/>
              </w:rPr>
              <w:t> </w:t>
            </w:r>
            <w:r w:rsidRPr="00790B9B">
              <w:rPr>
                <w:b w:val="0"/>
                <w:szCs w:val="22"/>
              </w:rPr>
              <w:t>316.90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C4CFE"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285AA" w14:textId="77777777" w:rsidR="004C18AD" w:rsidRPr="00790B9B" w:rsidRDefault="004C18AD" w:rsidP="00042C67">
            <w:pPr>
              <w:pStyle w:val="Tablehead"/>
              <w:jc w:val="right"/>
              <w:rPr>
                <w:b w:val="0"/>
                <w:szCs w:val="22"/>
              </w:rPr>
            </w:pPr>
            <w:r w:rsidRPr="00790B9B">
              <w:rPr>
                <w:b w:val="0"/>
                <w:szCs w:val="22"/>
              </w:rPr>
              <w:t>2</w:t>
            </w:r>
            <w:r>
              <w:rPr>
                <w:b w:val="0"/>
                <w:szCs w:val="22"/>
              </w:rPr>
              <w:t> </w:t>
            </w:r>
            <w:r w:rsidRPr="00790B9B">
              <w:rPr>
                <w:b w:val="0"/>
                <w:szCs w:val="22"/>
              </w:rPr>
              <w:t>316.90</w:t>
            </w:r>
          </w:p>
        </w:tc>
      </w:tr>
      <w:tr w:rsidR="004C18AD" w:rsidRPr="00910F82" w14:paraId="481A133F"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FFC74E" w14:textId="77777777" w:rsidR="004C18AD" w:rsidRPr="00F4747E" w:rsidRDefault="004C18AD" w:rsidP="00042C67">
            <w:pPr>
              <w:rPr>
                <w:lang w:eastAsia="zh-CN"/>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A0F3" w14:textId="77777777" w:rsidR="004C18AD" w:rsidRPr="00790B9B" w:rsidRDefault="004C18AD" w:rsidP="00042C67">
            <w:pPr>
              <w:pStyle w:val="Tablehead"/>
              <w:jc w:val="left"/>
              <w:rPr>
                <w:b w:val="0"/>
                <w:szCs w:val="22"/>
                <w:lang w:eastAsia="zh-CN"/>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46B2A" w14:textId="77777777" w:rsidR="004C18AD" w:rsidRPr="00790B9B" w:rsidRDefault="004C18AD" w:rsidP="00042C67">
            <w:pPr>
              <w:pStyle w:val="Tablehead"/>
              <w:jc w:val="right"/>
              <w:rPr>
                <w:b w:val="0"/>
                <w:szCs w:val="22"/>
              </w:rPr>
            </w:pPr>
            <w:r w:rsidRPr="00790B9B">
              <w:rPr>
                <w:b w:val="0"/>
                <w:szCs w:val="22"/>
              </w:rPr>
              <w:t>7</w:t>
            </w:r>
            <w:r>
              <w:rPr>
                <w:b w:val="0"/>
                <w:szCs w:val="22"/>
              </w:rPr>
              <w:t> </w:t>
            </w:r>
            <w:r w:rsidRPr="00790B9B">
              <w:rPr>
                <w:b w:val="0"/>
                <w:szCs w:val="22"/>
              </w:rPr>
              <w:t>537</w:t>
            </w:r>
            <w:r>
              <w:rPr>
                <w:b w:val="0"/>
                <w:szCs w:val="22"/>
              </w:rPr>
              <w:t> </w:t>
            </w:r>
            <w:r w:rsidRPr="00790B9B">
              <w:rPr>
                <w:b w:val="0"/>
                <w:szCs w:val="22"/>
              </w:rPr>
              <w:t>517.03</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FD86B" w14:textId="77777777" w:rsidR="004C18AD" w:rsidRPr="00790B9B" w:rsidRDefault="004C18AD" w:rsidP="00042C67">
            <w:pPr>
              <w:pStyle w:val="Tablehead"/>
              <w:jc w:val="right"/>
              <w:rPr>
                <w:b w:val="0"/>
                <w:szCs w:val="22"/>
              </w:rPr>
            </w:pPr>
            <w:r w:rsidRPr="00790B9B">
              <w:rPr>
                <w:b w:val="0"/>
                <w:szCs w:val="22"/>
              </w:rPr>
              <w:t>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E3026" w14:textId="77777777" w:rsidR="004C18AD" w:rsidRPr="00790B9B" w:rsidRDefault="004C18AD" w:rsidP="00042C67">
            <w:pPr>
              <w:pStyle w:val="Tablehead"/>
              <w:jc w:val="right"/>
              <w:rPr>
                <w:b w:val="0"/>
                <w:szCs w:val="22"/>
              </w:rPr>
            </w:pPr>
            <w:r w:rsidRPr="00790B9B">
              <w:rPr>
                <w:b w:val="0"/>
                <w:szCs w:val="22"/>
              </w:rPr>
              <w:t>7</w:t>
            </w:r>
            <w:r>
              <w:rPr>
                <w:b w:val="0"/>
                <w:szCs w:val="22"/>
              </w:rPr>
              <w:t> </w:t>
            </w:r>
            <w:r w:rsidRPr="00790B9B">
              <w:rPr>
                <w:b w:val="0"/>
                <w:szCs w:val="22"/>
              </w:rPr>
              <w:t>537</w:t>
            </w:r>
            <w:r>
              <w:rPr>
                <w:b w:val="0"/>
                <w:szCs w:val="22"/>
              </w:rPr>
              <w:t> </w:t>
            </w:r>
            <w:r w:rsidRPr="00790B9B">
              <w:rPr>
                <w:b w:val="0"/>
                <w:szCs w:val="22"/>
              </w:rPr>
              <w:t>517.03</w:t>
            </w:r>
          </w:p>
        </w:tc>
      </w:tr>
      <w:tr w:rsidR="004C18AD" w:rsidRPr="00910F82" w14:paraId="0EE0A1D4"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13207" w14:textId="77777777" w:rsidR="004C18AD" w:rsidRPr="00790B9B" w:rsidRDefault="004C18AD" w:rsidP="00042C67">
            <w:pPr>
              <w:pStyle w:val="Tablehead"/>
              <w:jc w:val="left"/>
              <w:rPr>
                <w:b w:val="0"/>
                <w:szCs w:val="22"/>
                <w:lang w:val="fr-CH" w:eastAsia="zh-CN"/>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8FDB9" w14:textId="77777777" w:rsidR="004C18AD" w:rsidRPr="00790B9B"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A917A" w14:textId="77777777" w:rsidR="004C18AD" w:rsidRPr="00790B9B"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BC50B" w14:textId="77777777" w:rsidR="004C18AD" w:rsidRPr="00790B9B"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31B07" w14:textId="77777777" w:rsidR="004C18AD" w:rsidRPr="00790B9B" w:rsidRDefault="004C18AD" w:rsidP="00042C67">
            <w:pPr>
              <w:pStyle w:val="Tablehead"/>
              <w:jc w:val="right"/>
              <w:rPr>
                <w:b w:val="0"/>
                <w:szCs w:val="22"/>
              </w:rPr>
            </w:pPr>
          </w:p>
        </w:tc>
      </w:tr>
      <w:tr w:rsidR="004C18AD" w:rsidRPr="00790B9B" w14:paraId="0AE67695"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AD0407" w14:textId="77777777" w:rsidR="004C18AD" w:rsidRPr="00790B9B" w:rsidRDefault="004C18AD" w:rsidP="00042C67">
            <w:pPr>
              <w:pStyle w:val="Tablehead"/>
              <w:jc w:val="left"/>
              <w:rPr>
                <w:szCs w:val="22"/>
                <w:lang w:val="fr-CH" w:eastAsia="zh-CN"/>
              </w:rPr>
            </w:pPr>
            <w:r w:rsidRPr="000C156A">
              <w:rPr>
                <w:rFonts w:eastAsiaTheme="minorEastAsia" w:cs="Calibri"/>
                <w:bCs/>
                <w:szCs w:val="22"/>
              </w:rPr>
              <w:t>C.</w:t>
            </w:r>
            <w:r w:rsidRPr="000C156A">
              <w:rPr>
                <w:rFonts w:eastAsiaTheme="minorEastAsia" w:cs="Calibri"/>
                <w:bCs/>
                <w:szCs w:val="22"/>
              </w:rPr>
              <w:t>其他债务方</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5B5B" w14:textId="77777777" w:rsidR="004C18AD" w:rsidRPr="00790B9B" w:rsidRDefault="004C18AD" w:rsidP="00042C67">
            <w:pPr>
              <w:pStyle w:val="Tablehead"/>
              <w:jc w:val="left"/>
              <w:rPr>
                <w:szCs w:val="22"/>
              </w:rPr>
            </w:pPr>
            <w:r w:rsidRPr="000C156A">
              <w:rPr>
                <w:rFonts w:eastAsiaTheme="minorEastAsia" w:cs="Calibri"/>
                <w:bCs/>
                <w:szCs w:val="22"/>
              </w:rPr>
              <w:t>年</w:t>
            </w:r>
            <w:r w:rsidRPr="000C156A">
              <w:rPr>
                <w:rFonts w:eastAsiaTheme="minorEastAsia" w:cs="Calibri"/>
                <w:bCs/>
                <w:szCs w:val="22"/>
                <w:lang w:eastAsia="zh-CN"/>
              </w:rPr>
              <w:t>份</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D9197" w14:textId="77777777" w:rsidR="004C18AD" w:rsidRPr="00790B9B" w:rsidRDefault="004C18AD" w:rsidP="00042C67">
            <w:pPr>
              <w:pStyle w:val="Tablehead"/>
              <w:jc w:val="right"/>
              <w:rPr>
                <w:szCs w:val="22"/>
              </w:rPr>
            </w:pPr>
            <w:r w:rsidRPr="000C156A">
              <w:rPr>
                <w:rFonts w:eastAsiaTheme="minorEastAsia" w:cs="Calibri"/>
                <w:bCs/>
                <w:szCs w:val="22"/>
              </w:rPr>
              <w:t>会费</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73E65" w14:textId="77777777" w:rsidR="004C18AD" w:rsidRPr="00790B9B" w:rsidRDefault="004C18AD" w:rsidP="00042C67">
            <w:pPr>
              <w:pStyle w:val="Tablehead"/>
              <w:jc w:val="right"/>
              <w:rPr>
                <w:szCs w:val="22"/>
              </w:rPr>
            </w:pPr>
            <w:r w:rsidRPr="000C156A">
              <w:rPr>
                <w:rFonts w:eastAsiaTheme="minorEastAsia" w:cs="Calibri"/>
                <w:bCs/>
                <w:szCs w:val="22"/>
              </w:rPr>
              <w:t>出版物</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1A227" w14:textId="77777777" w:rsidR="004C18AD" w:rsidRPr="00790B9B" w:rsidRDefault="004C18AD" w:rsidP="00042C67">
            <w:pPr>
              <w:pStyle w:val="Tablehead"/>
              <w:jc w:val="right"/>
              <w:rPr>
                <w:szCs w:val="22"/>
              </w:rPr>
            </w:pPr>
            <w:r w:rsidRPr="000C156A">
              <w:rPr>
                <w:rFonts w:eastAsiaTheme="minorEastAsia" w:cs="Calibri"/>
                <w:bCs/>
                <w:szCs w:val="22"/>
              </w:rPr>
              <w:t>合计</w:t>
            </w:r>
          </w:p>
        </w:tc>
      </w:tr>
      <w:tr w:rsidR="004C18AD" w:rsidRPr="00910F82" w14:paraId="02C5358E"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FDF63" w14:textId="77777777" w:rsidR="004C18AD" w:rsidRPr="0076544D" w:rsidRDefault="004C18AD" w:rsidP="00042C67">
            <w:pPr>
              <w:pStyle w:val="Tablehead"/>
              <w:jc w:val="left"/>
              <w:rPr>
                <w:b w:val="0"/>
                <w:szCs w:val="22"/>
                <w:lang w:eastAsia="zh-CN"/>
              </w:rPr>
            </w:pPr>
            <w:r w:rsidRPr="00DF7559">
              <w:rPr>
                <w:rFonts w:cs="Calibri"/>
                <w:b w:val="0"/>
                <w:szCs w:val="22"/>
                <w:lang w:eastAsia="zh-CN"/>
              </w:rPr>
              <w:t>–</w:t>
            </w:r>
            <w:r w:rsidRPr="00DF7559">
              <w:rPr>
                <w:rFonts w:cs="Calibri"/>
                <w:b w:val="0"/>
                <w:szCs w:val="22"/>
                <w:lang w:eastAsia="zh-CN"/>
              </w:rPr>
              <w:tab/>
            </w:r>
            <w:r w:rsidRPr="00DF7559">
              <w:rPr>
                <w:rFonts w:cs="Calibri" w:hint="eastAsia"/>
                <w:b w:val="0"/>
                <w:szCs w:val="22"/>
                <w:lang w:eastAsia="zh-CN"/>
              </w:rPr>
              <w:t>C&amp;C</w:t>
            </w:r>
            <w:r w:rsidRPr="00DF7559">
              <w:rPr>
                <w:rFonts w:cs="Calibri" w:hint="eastAsia"/>
                <w:b w:val="0"/>
                <w:szCs w:val="22"/>
                <w:lang w:eastAsia="zh-CN"/>
              </w:rPr>
              <w:t>海洋联合公司，孟买</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9BEB5" w14:textId="77777777" w:rsidR="004C18AD" w:rsidRPr="00790B9B" w:rsidRDefault="004C18AD" w:rsidP="00042C67">
            <w:pPr>
              <w:pStyle w:val="Tablehead"/>
              <w:jc w:val="left"/>
              <w:rPr>
                <w:b w:val="0"/>
                <w:szCs w:val="22"/>
                <w:lang w:eastAsia="zh-CN"/>
              </w:rPr>
            </w:pPr>
            <w:r w:rsidRPr="00790B9B">
              <w:rPr>
                <w:b w:val="0"/>
                <w:szCs w:val="22"/>
              </w:rPr>
              <w:t>2017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609EE" w14:textId="77777777" w:rsidR="004C18AD" w:rsidRPr="00790B9B" w:rsidRDefault="004C18AD" w:rsidP="00042C67">
            <w:pPr>
              <w:pStyle w:val="Tablehead"/>
              <w:jc w:val="right"/>
              <w:rPr>
                <w:b w:val="0"/>
                <w:szCs w:val="22"/>
                <w:lang w:eastAsia="zh-CN"/>
              </w:rPr>
            </w:pPr>
            <w:r w:rsidRPr="00790B9B">
              <w:rPr>
                <w:b w:val="0"/>
                <w:szCs w:val="22"/>
              </w:rPr>
              <w:t>0.00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7EA0B" w14:textId="77777777" w:rsidR="004C18AD" w:rsidRPr="00790B9B" w:rsidRDefault="004C18AD" w:rsidP="00042C67">
            <w:pPr>
              <w:pStyle w:val="Tablehead"/>
              <w:jc w:val="right"/>
              <w:rPr>
                <w:b w:val="0"/>
                <w:szCs w:val="22"/>
                <w:lang w:eastAsia="zh-CN"/>
              </w:rPr>
            </w:pPr>
            <w:r w:rsidRPr="00790B9B">
              <w:rPr>
                <w:b w:val="0"/>
                <w:szCs w:val="22"/>
              </w:rPr>
              <w:t>48</w:t>
            </w:r>
            <w:r>
              <w:rPr>
                <w:b w:val="0"/>
                <w:szCs w:val="22"/>
              </w:rPr>
              <w:t> </w:t>
            </w:r>
            <w:r w:rsidRPr="00790B9B">
              <w:rPr>
                <w:b w:val="0"/>
                <w:szCs w:val="22"/>
              </w:rPr>
              <w:t>443.95</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A8822" w14:textId="77777777" w:rsidR="004C18AD" w:rsidRPr="00790B9B" w:rsidRDefault="004C18AD" w:rsidP="00042C67">
            <w:pPr>
              <w:pStyle w:val="Tablehead"/>
              <w:jc w:val="right"/>
              <w:rPr>
                <w:b w:val="0"/>
                <w:szCs w:val="22"/>
                <w:lang w:eastAsia="zh-CN"/>
              </w:rPr>
            </w:pPr>
            <w:r w:rsidRPr="00790B9B">
              <w:rPr>
                <w:b w:val="0"/>
                <w:szCs w:val="22"/>
              </w:rPr>
              <w:t>48</w:t>
            </w:r>
            <w:r>
              <w:rPr>
                <w:b w:val="0"/>
                <w:szCs w:val="22"/>
              </w:rPr>
              <w:t> </w:t>
            </w:r>
            <w:r w:rsidRPr="00790B9B">
              <w:rPr>
                <w:b w:val="0"/>
                <w:szCs w:val="22"/>
              </w:rPr>
              <w:t>443.95</w:t>
            </w:r>
          </w:p>
        </w:tc>
      </w:tr>
      <w:tr w:rsidR="004C18AD" w:rsidRPr="00910F82" w14:paraId="0BB6C9C1"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A43AB6" w14:textId="77777777" w:rsidR="004C18AD" w:rsidRPr="002C248C" w:rsidRDefault="004C18AD" w:rsidP="00042C67">
            <w:pPr>
              <w:pStyle w:val="Tablehead"/>
              <w:jc w:val="left"/>
              <w:rPr>
                <w:b w:val="0"/>
                <w:szCs w:val="22"/>
                <w:lang w:val="en-US" w:eastAsia="zh-CN"/>
              </w:rPr>
            </w:pPr>
            <w:r w:rsidRPr="00B660CA">
              <w:rPr>
                <w:b w:val="0"/>
                <w:szCs w:val="22"/>
                <w:lang w:eastAsia="zh-CN"/>
              </w:rPr>
              <w:t>–</w:t>
            </w:r>
            <w:r w:rsidRPr="00B660CA">
              <w:rPr>
                <w:b w:val="0"/>
                <w:szCs w:val="22"/>
                <w:lang w:eastAsia="zh-CN"/>
              </w:rPr>
              <w:tab/>
            </w:r>
            <w:r w:rsidRPr="00790B9B">
              <w:rPr>
                <w:b w:val="0"/>
                <w:szCs w:val="22"/>
                <w:lang w:val="en-US" w:eastAsia="zh-CN"/>
              </w:rPr>
              <w:t>Wiley Rein LLP</w:t>
            </w:r>
            <w:r>
              <w:rPr>
                <w:rFonts w:hint="eastAsia"/>
                <w:b w:val="0"/>
                <w:szCs w:val="22"/>
                <w:lang w:val="en-US" w:eastAsia="zh-CN"/>
              </w:rPr>
              <w:t>，华盛顿特区</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6D45D0" w14:textId="77777777" w:rsidR="004C18AD" w:rsidRPr="00790B9B" w:rsidRDefault="004C18AD" w:rsidP="00042C67">
            <w:pPr>
              <w:pStyle w:val="Tablehead"/>
              <w:jc w:val="left"/>
              <w:rPr>
                <w:b w:val="0"/>
                <w:szCs w:val="22"/>
              </w:rPr>
            </w:pPr>
            <w:r w:rsidRPr="00790B9B">
              <w:rPr>
                <w:b w:val="0"/>
                <w:szCs w:val="22"/>
              </w:rPr>
              <w:t>2020</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1C2A68" w14:textId="77777777" w:rsidR="004C18AD" w:rsidRPr="00790B9B" w:rsidRDefault="004C18AD" w:rsidP="00042C67">
            <w:pPr>
              <w:pStyle w:val="Tablehead"/>
              <w:jc w:val="right"/>
              <w:rPr>
                <w:b w:val="0"/>
                <w:szCs w:val="22"/>
              </w:rPr>
            </w:pPr>
            <w:r w:rsidRPr="00790B9B">
              <w:rPr>
                <w:b w:val="0"/>
                <w:szCs w:val="22"/>
              </w:rPr>
              <w:t>0.00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93BC90" w14:textId="77777777" w:rsidR="004C18AD" w:rsidRPr="00790B9B" w:rsidRDefault="004C18AD" w:rsidP="00042C67">
            <w:pPr>
              <w:pStyle w:val="Tablehead"/>
              <w:jc w:val="right"/>
              <w:rPr>
                <w:b w:val="0"/>
                <w:szCs w:val="22"/>
              </w:rPr>
            </w:pPr>
            <w:r w:rsidRPr="00790B9B">
              <w:rPr>
                <w:b w:val="0"/>
                <w:szCs w:val="22"/>
              </w:rPr>
              <w:t>3</w:t>
            </w:r>
            <w:r>
              <w:rPr>
                <w:b w:val="0"/>
                <w:szCs w:val="22"/>
              </w:rPr>
              <w:t> </w:t>
            </w:r>
            <w:r w:rsidRPr="00790B9B">
              <w:rPr>
                <w:b w:val="0"/>
                <w:szCs w:val="22"/>
              </w:rPr>
              <w:t>530.00</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DB59F8E" w14:textId="77777777" w:rsidR="004C18AD" w:rsidRPr="00790B9B" w:rsidRDefault="004C18AD" w:rsidP="00042C67">
            <w:pPr>
              <w:pStyle w:val="Tablehead"/>
              <w:jc w:val="right"/>
              <w:rPr>
                <w:b w:val="0"/>
                <w:szCs w:val="22"/>
              </w:rPr>
            </w:pPr>
            <w:r w:rsidRPr="00790B9B">
              <w:rPr>
                <w:b w:val="0"/>
                <w:szCs w:val="22"/>
              </w:rPr>
              <w:t>3</w:t>
            </w:r>
            <w:r>
              <w:rPr>
                <w:b w:val="0"/>
                <w:szCs w:val="22"/>
              </w:rPr>
              <w:t> </w:t>
            </w:r>
            <w:r w:rsidRPr="00790B9B">
              <w:rPr>
                <w:b w:val="0"/>
                <w:szCs w:val="22"/>
              </w:rPr>
              <w:t>530.00</w:t>
            </w:r>
          </w:p>
        </w:tc>
      </w:tr>
      <w:tr w:rsidR="004C18AD" w:rsidRPr="00910F82" w14:paraId="4D5A001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6A94E" w14:textId="77777777" w:rsidR="004C18AD" w:rsidRPr="00790B9B" w:rsidRDefault="004C18AD" w:rsidP="00042C67">
            <w:pPr>
              <w:pStyle w:val="Tablehead"/>
              <w:jc w:val="left"/>
              <w:rPr>
                <w:b w:val="0"/>
                <w:szCs w:val="22"/>
                <w:lang w:val="en-US" w:eastAsia="zh-CN"/>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7A1E61" w14:textId="77777777" w:rsidR="004C18AD" w:rsidRPr="00790B9B"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EC519F" w14:textId="77777777" w:rsidR="004C18AD" w:rsidRPr="00790B9B" w:rsidRDefault="004C18AD" w:rsidP="00042C67">
            <w:pPr>
              <w:pStyle w:val="Tablehead"/>
              <w:jc w:val="right"/>
              <w:rPr>
                <w:b w:val="0"/>
                <w:szCs w:val="22"/>
              </w:rPr>
            </w:pPr>
            <w:r w:rsidRPr="00790B9B">
              <w:rPr>
                <w:b w:val="0"/>
                <w:szCs w:val="22"/>
              </w:rPr>
              <w:t>0.00</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040733" w14:textId="77777777" w:rsidR="004C18AD" w:rsidRPr="00790B9B" w:rsidRDefault="004C18AD" w:rsidP="00042C67">
            <w:pPr>
              <w:pStyle w:val="Tablehead"/>
              <w:jc w:val="right"/>
              <w:rPr>
                <w:b w:val="0"/>
                <w:szCs w:val="22"/>
              </w:rPr>
            </w:pPr>
            <w:r w:rsidRPr="00790B9B">
              <w:rPr>
                <w:b w:val="0"/>
                <w:szCs w:val="22"/>
              </w:rPr>
              <w:t>51</w:t>
            </w:r>
            <w:r>
              <w:rPr>
                <w:b w:val="0"/>
                <w:szCs w:val="22"/>
              </w:rPr>
              <w:t> </w:t>
            </w:r>
            <w:r w:rsidRPr="00790B9B">
              <w:rPr>
                <w:b w:val="0"/>
                <w:szCs w:val="22"/>
              </w:rPr>
              <w:t>973.95</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94D91D" w14:textId="77777777" w:rsidR="004C18AD" w:rsidRPr="00790B9B" w:rsidRDefault="004C18AD" w:rsidP="00042C67">
            <w:pPr>
              <w:pStyle w:val="Tablehead"/>
              <w:jc w:val="right"/>
              <w:rPr>
                <w:b w:val="0"/>
                <w:szCs w:val="22"/>
              </w:rPr>
            </w:pPr>
            <w:r w:rsidRPr="00790B9B">
              <w:rPr>
                <w:b w:val="0"/>
                <w:szCs w:val="22"/>
              </w:rPr>
              <w:t>51</w:t>
            </w:r>
            <w:r>
              <w:rPr>
                <w:b w:val="0"/>
                <w:szCs w:val="22"/>
              </w:rPr>
              <w:t> </w:t>
            </w:r>
            <w:r w:rsidRPr="00790B9B">
              <w:rPr>
                <w:b w:val="0"/>
                <w:szCs w:val="22"/>
              </w:rPr>
              <w:t>973.95</w:t>
            </w:r>
          </w:p>
        </w:tc>
      </w:tr>
      <w:tr w:rsidR="004C18AD" w:rsidRPr="00910F82" w14:paraId="119F08A5"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2EC18" w14:textId="77777777" w:rsidR="004C18AD" w:rsidRPr="0076544D" w:rsidRDefault="004C18AD" w:rsidP="00042C67">
            <w:pPr>
              <w:pStyle w:val="Tablehead"/>
              <w:jc w:val="left"/>
              <w:rPr>
                <w:b w:val="0"/>
                <w:szCs w:val="22"/>
                <w:lang w:eastAsia="zh-CN"/>
              </w:rPr>
            </w:pPr>
            <w:r w:rsidRPr="000C156A">
              <w:rPr>
                <w:rFonts w:eastAsiaTheme="minorEastAsia" w:cs="Calibri"/>
                <w:bCs/>
                <w:szCs w:val="22"/>
                <w:lang w:eastAsia="zh-CN"/>
              </w:rPr>
              <w:t>D.</w:t>
            </w:r>
            <w:r w:rsidRPr="000C156A">
              <w:rPr>
                <w:rFonts w:eastAsiaTheme="minorEastAsia" w:cs="Calibri"/>
                <w:bCs/>
                <w:szCs w:val="22"/>
                <w:lang w:eastAsia="zh-CN"/>
              </w:rPr>
              <w:t>其他债务方（杂项）</w:t>
            </w:r>
            <w:r w:rsidRPr="000C156A">
              <w:rPr>
                <w:rFonts w:eastAsiaTheme="minorEastAsia" w:cs="Calibri"/>
                <w:bCs/>
                <w:szCs w:val="22"/>
                <w:lang w:eastAsia="zh-CN"/>
              </w:rPr>
              <w:t>*</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817DB" w14:textId="77777777" w:rsidR="004C18AD" w:rsidRPr="00790B9B" w:rsidRDefault="004C18AD" w:rsidP="00042C67">
            <w:pPr>
              <w:pStyle w:val="Tablehead"/>
              <w:jc w:val="left"/>
              <w:rPr>
                <w:b w:val="0"/>
                <w:szCs w:val="22"/>
                <w:lang w:eastAsia="zh-CN"/>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E7FCD0" w14:textId="77777777" w:rsidR="004C18AD" w:rsidRPr="00790B9B" w:rsidRDefault="004C18AD" w:rsidP="00042C67">
            <w:pPr>
              <w:pStyle w:val="Tablehead"/>
              <w:jc w:val="right"/>
              <w:rPr>
                <w:b w:val="0"/>
                <w:szCs w:val="22"/>
              </w:rPr>
            </w:pPr>
            <w:r w:rsidRPr="00561DDC">
              <w:rPr>
                <w:b w:val="0"/>
                <w:szCs w:val="22"/>
              </w:rPr>
              <w:t>42</w:t>
            </w:r>
            <w:r>
              <w:rPr>
                <w:b w:val="0"/>
                <w:szCs w:val="22"/>
              </w:rPr>
              <w:t> </w:t>
            </w:r>
            <w:r w:rsidRPr="00561DDC">
              <w:rPr>
                <w:b w:val="0"/>
                <w:szCs w:val="22"/>
              </w:rPr>
              <w:t>606.62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DA5948" w14:textId="77777777" w:rsidR="004C18AD" w:rsidRPr="00790B9B" w:rsidRDefault="004C18AD" w:rsidP="00042C67">
            <w:pPr>
              <w:pStyle w:val="Tablehead"/>
              <w:jc w:val="right"/>
              <w:rPr>
                <w:b w:val="0"/>
                <w:szCs w:val="22"/>
              </w:rPr>
            </w:pPr>
            <w:r w:rsidRPr="00561DDC">
              <w:rPr>
                <w:b w:val="0"/>
                <w:szCs w:val="22"/>
              </w:rPr>
              <w:t>1</w:t>
            </w:r>
            <w:r>
              <w:rPr>
                <w:b w:val="0"/>
                <w:szCs w:val="22"/>
              </w:rPr>
              <w:t> </w:t>
            </w:r>
            <w:r w:rsidRPr="00561DDC">
              <w:rPr>
                <w:b w:val="0"/>
                <w:szCs w:val="22"/>
              </w:rPr>
              <w:t>384.33</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FEEF6" w14:textId="77777777" w:rsidR="004C18AD" w:rsidRPr="00790B9B" w:rsidRDefault="004C18AD" w:rsidP="00042C67">
            <w:pPr>
              <w:pStyle w:val="Tablehead"/>
              <w:jc w:val="right"/>
              <w:rPr>
                <w:b w:val="0"/>
                <w:szCs w:val="22"/>
              </w:rPr>
            </w:pPr>
            <w:r w:rsidRPr="00561DDC">
              <w:rPr>
                <w:b w:val="0"/>
                <w:szCs w:val="22"/>
              </w:rPr>
              <w:t>43</w:t>
            </w:r>
            <w:r>
              <w:rPr>
                <w:b w:val="0"/>
                <w:szCs w:val="22"/>
              </w:rPr>
              <w:t> </w:t>
            </w:r>
            <w:r w:rsidRPr="00561DDC">
              <w:rPr>
                <w:b w:val="0"/>
                <w:szCs w:val="22"/>
              </w:rPr>
              <w:t>990.95</w:t>
            </w:r>
          </w:p>
        </w:tc>
      </w:tr>
      <w:tr w:rsidR="004C18AD" w:rsidRPr="00790B9B" w14:paraId="521716EB"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B5B0A" w14:textId="77777777" w:rsidR="004C18AD" w:rsidRPr="00790B9B" w:rsidRDefault="004C18AD" w:rsidP="00042C67">
            <w:pPr>
              <w:pStyle w:val="Tablehead"/>
              <w:jc w:val="left"/>
              <w:rPr>
                <w:szCs w:val="22"/>
                <w:lang w:val="fr-CH" w:eastAsia="zh-CN"/>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51D8" w14:textId="77777777" w:rsidR="004C18AD" w:rsidRPr="00561DDC" w:rsidRDefault="004C18AD" w:rsidP="00042C67">
            <w:pPr>
              <w:pStyle w:val="Tablehead"/>
              <w:jc w:val="left"/>
              <w:rPr>
                <w:b w:val="0"/>
                <w:szCs w:val="22"/>
                <w:lang w:eastAsia="zh-CN"/>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D0A2AF" w14:textId="77777777" w:rsidR="004C18AD" w:rsidRPr="00561DDC" w:rsidRDefault="004C18AD" w:rsidP="00042C67">
            <w:pPr>
              <w:pStyle w:val="Tablehead"/>
              <w:jc w:val="right"/>
              <w:rPr>
                <w:b w:val="0"/>
                <w:szCs w:val="22"/>
              </w:rPr>
            </w:pP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FDFDE6" w14:textId="77777777" w:rsidR="004C18AD" w:rsidRPr="00561DDC" w:rsidRDefault="004C18AD" w:rsidP="00042C67">
            <w:pPr>
              <w:pStyle w:val="Tablehead"/>
              <w:jc w:val="right"/>
              <w:rPr>
                <w:b w:val="0"/>
                <w:szCs w:val="22"/>
              </w:rPr>
            </w:pP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0230CE" w14:textId="77777777" w:rsidR="004C18AD" w:rsidRPr="00561DDC" w:rsidRDefault="004C18AD" w:rsidP="00042C67">
            <w:pPr>
              <w:pStyle w:val="Tablehead"/>
              <w:jc w:val="right"/>
              <w:rPr>
                <w:b w:val="0"/>
                <w:szCs w:val="22"/>
              </w:rPr>
            </w:pPr>
          </w:p>
        </w:tc>
      </w:tr>
      <w:tr w:rsidR="004C18AD" w:rsidRPr="00910F82" w14:paraId="0CCDAC9D" w14:textId="77777777" w:rsidTr="00042C67">
        <w:trPr>
          <w:gridAfter w:val="1"/>
          <w:wAfter w:w="165" w:type="dxa"/>
          <w:trHeight w:val="301"/>
          <w:jc w:val="center"/>
        </w:trPr>
        <w:tc>
          <w:tcPr>
            <w:tcW w:w="41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7052B" w14:textId="77777777" w:rsidR="004C18AD" w:rsidRPr="00790B9B" w:rsidRDefault="004C18AD" w:rsidP="00042C67">
            <w:pPr>
              <w:pStyle w:val="Tablehead"/>
              <w:jc w:val="left"/>
              <w:rPr>
                <w:b w:val="0"/>
                <w:szCs w:val="22"/>
                <w:lang w:val="fr-CH" w:eastAsia="zh-CN"/>
              </w:rPr>
            </w:pPr>
            <w:r w:rsidRPr="00A250D8">
              <w:rPr>
                <w:bCs/>
                <w:szCs w:val="22"/>
                <w:lang w:eastAsia="zh-CN"/>
              </w:rPr>
              <w:t>截至</w:t>
            </w:r>
            <w:r w:rsidRPr="00A250D8">
              <w:rPr>
                <w:bCs/>
                <w:szCs w:val="22"/>
                <w:lang w:eastAsia="zh-CN"/>
              </w:rPr>
              <w:t>20</w:t>
            </w:r>
            <w:r>
              <w:rPr>
                <w:rFonts w:hint="eastAsia"/>
                <w:bCs/>
                <w:szCs w:val="22"/>
                <w:lang w:eastAsia="zh-CN"/>
              </w:rPr>
              <w:t>21</w:t>
            </w:r>
            <w:r w:rsidRPr="00A250D8">
              <w:rPr>
                <w:bCs/>
                <w:szCs w:val="22"/>
                <w:lang w:eastAsia="zh-CN"/>
              </w:rPr>
              <w:t>年</w:t>
            </w:r>
            <w:r w:rsidRPr="00A250D8">
              <w:rPr>
                <w:bCs/>
                <w:szCs w:val="22"/>
                <w:lang w:eastAsia="zh-CN"/>
              </w:rPr>
              <w:t>12</w:t>
            </w:r>
            <w:r w:rsidRPr="00A250D8">
              <w:rPr>
                <w:bCs/>
                <w:szCs w:val="22"/>
                <w:lang w:eastAsia="zh-CN"/>
              </w:rPr>
              <w:t>月</w:t>
            </w:r>
            <w:r w:rsidRPr="00A250D8">
              <w:rPr>
                <w:bCs/>
                <w:szCs w:val="22"/>
                <w:lang w:eastAsia="zh-CN"/>
              </w:rPr>
              <w:t>31</w:t>
            </w:r>
            <w:r w:rsidRPr="00A250D8">
              <w:rPr>
                <w:bCs/>
                <w:szCs w:val="22"/>
                <w:lang w:eastAsia="zh-CN"/>
              </w:rPr>
              <w:t>日</w:t>
            </w:r>
            <w:r>
              <w:rPr>
                <w:rFonts w:hint="eastAsia"/>
                <w:bCs/>
                <w:szCs w:val="22"/>
                <w:lang w:eastAsia="zh-CN"/>
              </w:rPr>
              <w:t>欠款</w:t>
            </w:r>
            <w:r w:rsidRPr="00A250D8">
              <w:rPr>
                <w:bCs/>
                <w:szCs w:val="22"/>
                <w:lang w:eastAsia="zh-CN"/>
              </w:rPr>
              <w:t>合计</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E2D9F" w14:textId="77777777" w:rsidR="004C18AD" w:rsidRPr="00561DDC" w:rsidRDefault="004C18AD" w:rsidP="00042C67">
            <w:pPr>
              <w:pStyle w:val="Tablehead"/>
              <w:jc w:val="left"/>
              <w:rPr>
                <w:b w:val="0"/>
                <w:szCs w:val="22"/>
              </w:rPr>
            </w:pP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EEED" w14:textId="77777777" w:rsidR="004C18AD" w:rsidRPr="00561DDC" w:rsidRDefault="004C18AD" w:rsidP="00042C67">
            <w:pPr>
              <w:pStyle w:val="Tablehead"/>
              <w:jc w:val="right"/>
              <w:rPr>
                <w:b w:val="0"/>
                <w:szCs w:val="22"/>
              </w:rPr>
            </w:pPr>
            <w:r w:rsidRPr="00561DDC">
              <w:rPr>
                <w:b w:val="0"/>
                <w:szCs w:val="22"/>
              </w:rPr>
              <w:t>19</w:t>
            </w:r>
            <w:r>
              <w:rPr>
                <w:b w:val="0"/>
                <w:szCs w:val="22"/>
              </w:rPr>
              <w:t> </w:t>
            </w:r>
            <w:r w:rsidRPr="00561DDC">
              <w:rPr>
                <w:b w:val="0"/>
                <w:szCs w:val="22"/>
              </w:rPr>
              <w:t>911</w:t>
            </w:r>
            <w:r>
              <w:rPr>
                <w:b w:val="0"/>
                <w:szCs w:val="22"/>
              </w:rPr>
              <w:t> </w:t>
            </w:r>
            <w:r w:rsidRPr="00561DDC">
              <w:rPr>
                <w:b w:val="0"/>
                <w:szCs w:val="22"/>
              </w:rPr>
              <w:t>786.22</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2BC7B" w14:textId="77777777" w:rsidR="004C18AD" w:rsidRPr="00561DDC" w:rsidRDefault="004C18AD" w:rsidP="00042C67">
            <w:pPr>
              <w:pStyle w:val="Tablehead"/>
              <w:jc w:val="right"/>
              <w:rPr>
                <w:b w:val="0"/>
                <w:szCs w:val="22"/>
              </w:rPr>
            </w:pPr>
            <w:r w:rsidRPr="00561DDC">
              <w:rPr>
                <w:b w:val="0"/>
                <w:szCs w:val="22"/>
              </w:rPr>
              <w:t>99</w:t>
            </w:r>
            <w:r>
              <w:rPr>
                <w:b w:val="0"/>
                <w:szCs w:val="22"/>
              </w:rPr>
              <w:t> </w:t>
            </w:r>
            <w:r w:rsidRPr="00561DDC">
              <w:rPr>
                <w:b w:val="0"/>
                <w:szCs w:val="22"/>
              </w:rPr>
              <w:t>721.83</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B856" w14:textId="77777777" w:rsidR="004C18AD" w:rsidRPr="00561DDC" w:rsidRDefault="004C18AD" w:rsidP="00042C67">
            <w:pPr>
              <w:pStyle w:val="Tablehead"/>
              <w:jc w:val="right"/>
              <w:rPr>
                <w:b w:val="0"/>
                <w:szCs w:val="22"/>
              </w:rPr>
            </w:pPr>
            <w:r w:rsidRPr="00561DDC">
              <w:rPr>
                <w:b w:val="0"/>
                <w:szCs w:val="22"/>
              </w:rPr>
              <w:t>20</w:t>
            </w:r>
            <w:r>
              <w:rPr>
                <w:b w:val="0"/>
                <w:szCs w:val="22"/>
              </w:rPr>
              <w:t> </w:t>
            </w:r>
            <w:r w:rsidRPr="00561DDC">
              <w:rPr>
                <w:b w:val="0"/>
                <w:szCs w:val="22"/>
              </w:rPr>
              <w:t>011</w:t>
            </w:r>
            <w:r>
              <w:rPr>
                <w:b w:val="0"/>
                <w:szCs w:val="22"/>
              </w:rPr>
              <w:t> </w:t>
            </w:r>
            <w:r w:rsidRPr="00561DDC">
              <w:rPr>
                <w:b w:val="0"/>
                <w:szCs w:val="22"/>
              </w:rPr>
              <w:t>508.05</w:t>
            </w:r>
          </w:p>
        </w:tc>
      </w:tr>
      <w:tr w:rsidR="004C18AD" w:rsidRPr="00790B9B" w14:paraId="1057FD09" w14:textId="77777777" w:rsidTr="00042C67">
        <w:trPr>
          <w:gridAfter w:val="1"/>
          <w:wAfter w:w="165" w:type="dxa"/>
          <w:trHeight w:val="301"/>
          <w:jc w:val="center"/>
        </w:trPr>
        <w:tc>
          <w:tcPr>
            <w:tcW w:w="10234" w:type="dxa"/>
            <w:gridSpan w:val="9"/>
            <w:tcBorders>
              <w:top w:val="nil"/>
              <w:left w:val="nil"/>
              <w:bottom w:val="nil"/>
              <w:right w:val="single" w:sz="4" w:space="0" w:color="auto"/>
            </w:tcBorders>
            <w:shd w:val="clear" w:color="auto" w:fill="auto"/>
            <w:hideMark/>
          </w:tcPr>
          <w:p w14:paraId="4963AFB1" w14:textId="77777777" w:rsidR="004C18AD" w:rsidRPr="00483BE4" w:rsidRDefault="004C18AD" w:rsidP="00483BE4">
            <w:pPr>
              <w:pStyle w:val="Tablehead"/>
              <w:jc w:val="left"/>
              <w:rPr>
                <w:b w:val="0"/>
                <w:bCs/>
                <w:sz w:val="20"/>
                <w:lang w:eastAsia="zh-CN"/>
              </w:rPr>
            </w:pPr>
            <w:r w:rsidRPr="00483BE4">
              <w:rPr>
                <w:rFonts w:cs="Calibri"/>
                <w:b w:val="0"/>
                <w:bCs/>
                <w:sz w:val="20"/>
                <w:lang w:eastAsia="zh-CN"/>
              </w:rPr>
              <w:t xml:space="preserve">* </w:t>
            </w:r>
            <w:r w:rsidRPr="00483BE4">
              <w:rPr>
                <w:rFonts w:asciiTheme="minorHAnsi" w:eastAsiaTheme="minorEastAsia" w:hAnsiTheme="minorHAnsi" w:cstheme="minorHAnsi"/>
                <w:b w:val="0"/>
                <w:bCs/>
                <w:sz w:val="20"/>
                <w:lang w:eastAsia="zh-CN"/>
              </w:rPr>
              <w:t>包括欠款额低于</w:t>
            </w:r>
            <w:r w:rsidRPr="00483BE4">
              <w:rPr>
                <w:rFonts w:asciiTheme="minorHAnsi" w:eastAsiaTheme="minorEastAsia" w:hAnsiTheme="minorHAnsi" w:cstheme="minorHAnsi"/>
                <w:b w:val="0"/>
                <w:bCs/>
                <w:sz w:val="20"/>
                <w:lang w:eastAsia="zh-CN"/>
              </w:rPr>
              <w:t>5 000</w:t>
            </w:r>
            <w:r w:rsidRPr="00483BE4">
              <w:rPr>
                <w:rFonts w:asciiTheme="minorHAnsi" w:eastAsiaTheme="minorEastAsia" w:hAnsiTheme="minorHAnsi" w:cstheme="minorHAnsi"/>
                <w:b w:val="0"/>
                <w:bCs/>
                <w:sz w:val="20"/>
                <w:lang w:eastAsia="zh-CN"/>
              </w:rPr>
              <w:t>瑞郎的国际电联成员国债务方和欠款额低于</w:t>
            </w:r>
            <w:r w:rsidRPr="00483BE4">
              <w:rPr>
                <w:rFonts w:asciiTheme="minorHAnsi" w:eastAsiaTheme="minorEastAsia" w:hAnsiTheme="minorHAnsi" w:cstheme="minorHAnsi"/>
                <w:b w:val="0"/>
                <w:bCs/>
                <w:sz w:val="20"/>
                <w:lang w:eastAsia="zh-CN"/>
              </w:rPr>
              <w:t>2 000</w:t>
            </w:r>
            <w:r w:rsidRPr="00483BE4">
              <w:rPr>
                <w:rFonts w:asciiTheme="minorHAnsi" w:eastAsiaTheme="minorEastAsia" w:hAnsiTheme="minorHAnsi" w:cstheme="minorHAnsi"/>
                <w:b w:val="0"/>
                <w:bCs/>
                <w:sz w:val="20"/>
                <w:lang w:eastAsia="zh-CN"/>
              </w:rPr>
              <w:t>瑞郎的部门成员、其它实体或组织及其它债务方。</w:t>
            </w:r>
          </w:p>
        </w:tc>
      </w:tr>
      <w:tr w:rsidR="004C18AD" w:rsidRPr="00B04ABF" w14:paraId="118EA1B6" w14:textId="77777777" w:rsidTr="00042C67">
        <w:trPr>
          <w:trHeight w:val="210"/>
          <w:jc w:val="center"/>
        </w:trPr>
        <w:tc>
          <w:tcPr>
            <w:tcW w:w="10399" w:type="dxa"/>
            <w:gridSpan w:val="10"/>
            <w:tcBorders>
              <w:top w:val="nil"/>
              <w:left w:val="nil"/>
              <w:bottom w:val="nil"/>
              <w:right w:val="nil"/>
            </w:tcBorders>
            <w:shd w:val="clear" w:color="auto" w:fill="auto"/>
            <w:noWrap/>
            <w:vAlign w:val="bottom"/>
            <w:hideMark/>
          </w:tcPr>
          <w:p w14:paraId="1A92ECAE" w14:textId="77777777" w:rsidR="004C18AD" w:rsidRPr="00B04ABF" w:rsidRDefault="004C18AD" w:rsidP="00042C67">
            <w:pPr>
              <w:jc w:val="right"/>
              <w:rPr>
                <w:rFonts w:cs="Calibri"/>
                <w:sz w:val="20"/>
                <w:lang w:eastAsia="zh-CN"/>
              </w:rPr>
            </w:pPr>
          </w:p>
        </w:tc>
      </w:tr>
      <w:tr w:rsidR="004C18AD" w:rsidRPr="00B04ABF" w14:paraId="5DEB8B60" w14:textId="77777777" w:rsidTr="00042C67">
        <w:trPr>
          <w:trHeight w:val="276"/>
          <w:jc w:val="center"/>
        </w:trPr>
        <w:tc>
          <w:tcPr>
            <w:tcW w:w="4461" w:type="dxa"/>
            <w:gridSpan w:val="2"/>
            <w:tcBorders>
              <w:top w:val="nil"/>
              <w:left w:val="nil"/>
              <w:bottom w:val="nil"/>
              <w:right w:val="nil"/>
            </w:tcBorders>
            <w:shd w:val="clear" w:color="auto" w:fill="auto"/>
            <w:noWrap/>
            <w:vAlign w:val="bottom"/>
          </w:tcPr>
          <w:p w14:paraId="27DE7612" w14:textId="77777777" w:rsidR="004C18AD" w:rsidRPr="00B04ABF" w:rsidRDefault="004C18AD" w:rsidP="00042C67">
            <w:pPr>
              <w:rPr>
                <w:rFonts w:cs="Calibri"/>
                <w:sz w:val="20"/>
                <w:lang w:eastAsia="zh-CN"/>
              </w:rPr>
            </w:pPr>
          </w:p>
        </w:tc>
        <w:tc>
          <w:tcPr>
            <w:tcW w:w="1601" w:type="dxa"/>
            <w:gridSpan w:val="2"/>
            <w:tcBorders>
              <w:top w:val="nil"/>
              <w:left w:val="nil"/>
              <w:bottom w:val="nil"/>
              <w:right w:val="nil"/>
            </w:tcBorders>
            <w:shd w:val="clear" w:color="auto" w:fill="auto"/>
            <w:noWrap/>
            <w:vAlign w:val="bottom"/>
            <w:hideMark/>
          </w:tcPr>
          <w:p w14:paraId="1C6457CC" w14:textId="77777777" w:rsidR="004C18AD" w:rsidRPr="00B04ABF" w:rsidRDefault="004C18AD" w:rsidP="00042C67">
            <w:pPr>
              <w:jc w:val="right"/>
              <w:rPr>
                <w:rFonts w:cs="Calibri"/>
                <w:sz w:val="18"/>
                <w:szCs w:val="18"/>
                <w:lang w:eastAsia="zh-CN"/>
              </w:rPr>
            </w:pPr>
          </w:p>
        </w:tc>
        <w:tc>
          <w:tcPr>
            <w:tcW w:w="1498" w:type="dxa"/>
            <w:gridSpan w:val="2"/>
            <w:tcBorders>
              <w:top w:val="nil"/>
              <w:left w:val="nil"/>
              <w:bottom w:val="nil"/>
              <w:right w:val="nil"/>
            </w:tcBorders>
            <w:shd w:val="clear" w:color="auto" w:fill="auto"/>
            <w:noWrap/>
            <w:vAlign w:val="bottom"/>
            <w:hideMark/>
          </w:tcPr>
          <w:p w14:paraId="5088FCFB" w14:textId="77777777" w:rsidR="004C18AD" w:rsidRPr="00B04ABF" w:rsidRDefault="004C18AD" w:rsidP="00042C67">
            <w:pPr>
              <w:jc w:val="right"/>
              <w:rPr>
                <w:rFonts w:ascii="Times New Roman" w:hAnsi="Times New Roman"/>
                <w:sz w:val="20"/>
                <w:lang w:eastAsia="zh-CN"/>
              </w:rPr>
            </w:pPr>
          </w:p>
        </w:tc>
        <w:tc>
          <w:tcPr>
            <w:tcW w:w="1341" w:type="dxa"/>
            <w:gridSpan w:val="2"/>
            <w:tcBorders>
              <w:top w:val="nil"/>
              <w:left w:val="nil"/>
              <w:bottom w:val="nil"/>
              <w:right w:val="nil"/>
            </w:tcBorders>
            <w:shd w:val="clear" w:color="auto" w:fill="auto"/>
            <w:noWrap/>
            <w:vAlign w:val="bottom"/>
            <w:hideMark/>
          </w:tcPr>
          <w:p w14:paraId="325E1B27" w14:textId="77777777" w:rsidR="004C18AD" w:rsidRPr="00B04ABF" w:rsidRDefault="004C18AD" w:rsidP="00042C67">
            <w:pPr>
              <w:jc w:val="right"/>
              <w:rPr>
                <w:rFonts w:ascii="Times New Roman" w:hAnsi="Times New Roman"/>
                <w:sz w:val="20"/>
                <w:lang w:eastAsia="zh-CN"/>
              </w:rPr>
            </w:pPr>
          </w:p>
        </w:tc>
        <w:tc>
          <w:tcPr>
            <w:tcW w:w="1498" w:type="dxa"/>
            <w:gridSpan w:val="2"/>
            <w:tcBorders>
              <w:top w:val="nil"/>
              <w:left w:val="nil"/>
              <w:bottom w:val="nil"/>
              <w:right w:val="nil"/>
            </w:tcBorders>
            <w:shd w:val="clear" w:color="auto" w:fill="auto"/>
            <w:noWrap/>
            <w:vAlign w:val="bottom"/>
            <w:hideMark/>
          </w:tcPr>
          <w:p w14:paraId="5F446535" w14:textId="77777777" w:rsidR="004C18AD" w:rsidRPr="00B04ABF" w:rsidRDefault="004C18AD" w:rsidP="00042C67">
            <w:pPr>
              <w:jc w:val="right"/>
              <w:rPr>
                <w:rFonts w:ascii="Times New Roman" w:hAnsi="Times New Roman"/>
                <w:sz w:val="20"/>
                <w:lang w:eastAsia="zh-CN"/>
              </w:rPr>
            </w:pPr>
          </w:p>
        </w:tc>
      </w:tr>
    </w:tbl>
    <w:p w14:paraId="304EDC02" w14:textId="77777777" w:rsidR="004C18AD" w:rsidRPr="000C156A" w:rsidRDefault="004C18AD" w:rsidP="004C18AD">
      <w:pPr>
        <w:rPr>
          <w:rFonts w:eastAsia="Times New Roman"/>
          <w:lang w:eastAsia="zh-CN"/>
        </w:rPr>
      </w:pPr>
    </w:p>
    <w:p w14:paraId="5C5B1569" w14:textId="77777777" w:rsidR="004C18AD" w:rsidRPr="000C156A" w:rsidRDefault="004C18AD" w:rsidP="004C18AD">
      <w:pPr>
        <w:rPr>
          <w:lang w:eastAsia="zh-CN"/>
        </w:rPr>
        <w:sectPr w:rsidR="004C18AD" w:rsidRPr="000C156A" w:rsidSect="003A64C9">
          <w:pgSz w:w="11907" w:h="16834"/>
          <w:pgMar w:top="1418" w:right="1134" w:bottom="1418" w:left="1134" w:header="720" w:footer="720" w:gutter="0"/>
          <w:paperSrc w:first="15" w:other="15"/>
          <w:cols w:space="720"/>
          <w:titlePg/>
          <w:docGrid w:linePitch="326"/>
        </w:sectPr>
      </w:pPr>
    </w:p>
    <w:tbl>
      <w:tblPr>
        <w:tblW w:w="9880" w:type="dxa"/>
        <w:jc w:val="center"/>
        <w:tblLook w:val="04A0" w:firstRow="1" w:lastRow="0" w:firstColumn="1" w:lastColumn="0" w:noHBand="0" w:noVBand="1"/>
      </w:tblPr>
      <w:tblGrid>
        <w:gridCol w:w="2901"/>
        <w:gridCol w:w="4199"/>
        <w:gridCol w:w="1142"/>
        <w:gridCol w:w="1638"/>
      </w:tblGrid>
      <w:tr w:rsidR="004C18AD" w:rsidRPr="00171093" w14:paraId="614CC823" w14:textId="77777777" w:rsidTr="00042C67">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D51516F" w14:textId="77777777" w:rsidR="004C18AD" w:rsidRPr="00C07F0A" w:rsidRDefault="004C18AD" w:rsidP="00042C67">
            <w:pPr>
              <w:overflowPunct/>
              <w:autoSpaceDE/>
              <w:autoSpaceDN/>
              <w:adjustRightInd/>
              <w:spacing w:before="0"/>
              <w:jc w:val="center"/>
              <w:textAlignment w:val="auto"/>
              <w:rPr>
                <w:lang w:eastAsia="zh-CN"/>
              </w:rPr>
            </w:pPr>
            <w:r w:rsidRPr="00C07F0A">
              <w:rPr>
                <w:lang w:eastAsia="zh-CN"/>
              </w:rPr>
              <w:lastRenderedPageBreak/>
              <w:br w:type="page"/>
            </w:r>
          </w:p>
          <w:p w14:paraId="23ADE592" w14:textId="77777777" w:rsidR="004C18AD" w:rsidRPr="00C07F0A" w:rsidRDefault="004C18AD" w:rsidP="00042C67">
            <w:pPr>
              <w:overflowPunct/>
              <w:autoSpaceDE/>
              <w:autoSpaceDN/>
              <w:adjustRightInd/>
              <w:spacing w:before="0"/>
              <w:jc w:val="center"/>
              <w:textAlignment w:val="auto"/>
              <w:rPr>
                <w:rFonts w:cs="Calibri"/>
                <w:b/>
                <w:bCs/>
                <w:szCs w:val="24"/>
                <w:lang w:val="en-US" w:eastAsia="zh-CN"/>
              </w:rPr>
            </w:pPr>
            <w:r w:rsidRPr="00C07F0A">
              <w:rPr>
                <w:rFonts w:cs="Calibri" w:hint="eastAsia"/>
                <w:b/>
                <w:bCs/>
                <w:szCs w:val="24"/>
                <w:lang w:val="fr-FR" w:eastAsia="zh-CN"/>
              </w:rPr>
              <w:t>卫星网络申报发票欠款</w:t>
            </w:r>
          </w:p>
        </w:tc>
      </w:tr>
      <w:tr w:rsidR="004C18AD" w:rsidRPr="00171093" w14:paraId="7C31C5CD" w14:textId="77777777" w:rsidTr="00042C67">
        <w:trPr>
          <w:trHeight w:val="150"/>
          <w:jc w:val="center"/>
        </w:trPr>
        <w:tc>
          <w:tcPr>
            <w:tcW w:w="2901" w:type="dxa"/>
            <w:tcBorders>
              <w:top w:val="nil"/>
              <w:left w:val="single" w:sz="4" w:space="0" w:color="auto"/>
              <w:bottom w:val="nil"/>
              <w:right w:val="single" w:sz="4" w:space="0" w:color="auto"/>
            </w:tcBorders>
            <w:shd w:val="clear" w:color="auto" w:fill="auto"/>
            <w:noWrap/>
            <w:vAlign w:val="bottom"/>
            <w:hideMark/>
          </w:tcPr>
          <w:p w14:paraId="59A6C619" w14:textId="77777777" w:rsidR="004C18AD" w:rsidRPr="00C07F0A" w:rsidRDefault="004C18AD" w:rsidP="00042C67">
            <w:pPr>
              <w:overflowPunct/>
              <w:autoSpaceDE/>
              <w:autoSpaceDN/>
              <w:adjustRightInd/>
              <w:spacing w:before="0"/>
              <w:textAlignment w:val="auto"/>
              <w:rPr>
                <w:rFonts w:cs="Calibri"/>
                <w:sz w:val="22"/>
                <w:szCs w:val="22"/>
                <w:lang w:val="en-US" w:eastAsia="zh-CN"/>
              </w:rPr>
            </w:pPr>
            <w:r w:rsidRPr="00C07F0A">
              <w:rPr>
                <w:rFonts w:cs="Calibri"/>
                <w:sz w:val="22"/>
                <w:szCs w:val="22"/>
                <w:lang w:val="en-US" w:eastAsia="zh-CN"/>
              </w:rPr>
              <w:t> </w:t>
            </w:r>
          </w:p>
        </w:tc>
        <w:tc>
          <w:tcPr>
            <w:tcW w:w="4199" w:type="dxa"/>
            <w:tcBorders>
              <w:top w:val="nil"/>
              <w:left w:val="nil"/>
              <w:bottom w:val="nil"/>
              <w:right w:val="single" w:sz="4" w:space="0" w:color="auto"/>
            </w:tcBorders>
            <w:shd w:val="clear" w:color="auto" w:fill="auto"/>
            <w:noWrap/>
            <w:vAlign w:val="bottom"/>
            <w:hideMark/>
          </w:tcPr>
          <w:p w14:paraId="6E0A8FAF" w14:textId="77777777" w:rsidR="004C18AD" w:rsidRPr="00C07F0A" w:rsidRDefault="004C18AD" w:rsidP="00042C67">
            <w:pPr>
              <w:overflowPunct/>
              <w:autoSpaceDE/>
              <w:autoSpaceDN/>
              <w:adjustRightInd/>
              <w:spacing w:before="0"/>
              <w:textAlignment w:val="auto"/>
              <w:rPr>
                <w:rFonts w:cs="Calibri"/>
                <w:sz w:val="22"/>
                <w:szCs w:val="22"/>
                <w:lang w:val="en-US" w:eastAsia="zh-CN"/>
              </w:rPr>
            </w:pPr>
            <w:r w:rsidRPr="00C07F0A">
              <w:rPr>
                <w:rFonts w:cs="Calibri"/>
                <w:sz w:val="22"/>
                <w:szCs w:val="22"/>
                <w:lang w:val="en-US" w:eastAsia="zh-CN"/>
              </w:rPr>
              <w:t> </w:t>
            </w:r>
          </w:p>
        </w:tc>
        <w:tc>
          <w:tcPr>
            <w:tcW w:w="1142" w:type="dxa"/>
            <w:tcBorders>
              <w:top w:val="nil"/>
              <w:left w:val="nil"/>
              <w:bottom w:val="nil"/>
              <w:right w:val="single" w:sz="4" w:space="0" w:color="auto"/>
            </w:tcBorders>
            <w:shd w:val="clear" w:color="auto" w:fill="auto"/>
            <w:noWrap/>
            <w:vAlign w:val="bottom"/>
            <w:hideMark/>
          </w:tcPr>
          <w:p w14:paraId="26372E47" w14:textId="77777777" w:rsidR="004C18AD" w:rsidRPr="00C07F0A" w:rsidRDefault="004C18AD" w:rsidP="00042C67">
            <w:pPr>
              <w:overflowPunct/>
              <w:autoSpaceDE/>
              <w:autoSpaceDN/>
              <w:adjustRightInd/>
              <w:spacing w:before="0"/>
              <w:textAlignment w:val="auto"/>
              <w:rPr>
                <w:rFonts w:cs="Calibri"/>
                <w:sz w:val="22"/>
                <w:szCs w:val="22"/>
                <w:lang w:val="en-US" w:eastAsia="zh-CN"/>
              </w:rPr>
            </w:pPr>
            <w:r w:rsidRPr="00C07F0A">
              <w:rPr>
                <w:rFonts w:cs="Calibri"/>
                <w:sz w:val="22"/>
                <w:szCs w:val="22"/>
                <w:lang w:val="en-US" w:eastAsia="zh-CN"/>
              </w:rPr>
              <w:t> </w:t>
            </w:r>
          </w:p>
        </w:tc>
        <w:tc>
          <w:tcPr>
            <w:tcW w:w="1638" w:type="dxa"/>
            <w:tcBorders>
              <w:top w:val="nil"/>
              <w:left w:val="nil"/>
              <w:bottom w:val="nil"/>
              <w:right w:val="single" w:sz="4" w:space="0" w:color="auto"/>
            </w:tcBorders>
            <w:shd w:val="clear" w:color="auto" w:fill="auto"/>
            <w:noWrap/>
            <w:vAlign w:val="bottom"/>
            <w:hideMark/>
          </w:tcPr>
          <w:p w14:paraId="2DF71D74" w14:textId="77777777" w:rsidR="004C18AD" w:rsidRPr="00C07F0A" w:rsidRDefault="004C18AD" w:rsidP="00042C67">
            <w:pPr>
              <w:overflowPunct/>
              <w:autoSpaceDE/>
              <w:autoSpaceDN/>
              <w:adjustRightInd/>
              <w:spacing w:before="0"/>
              <w:textAlignment w:val="auto"/>
              <w:rPr>
                <w:rFonts w:cs="Calibri"/>
                <w:sz w:val="22"/>
                <w:szCs w:val="22"/>
                <w:lang w:val="en-US" w:eastAsia="zh-CN"/>
              </w:rPr>
            </w:pPr>
            <w:r w:rsidRPr="00C07F0A">
              <w:rPr>
                <w:rFonts w:cs="Calibri"/>
                <w:sz w:val="22"/>
                <w:szCs w:val="22"/>
                <w:lang w:val="en-US" w:eastAsia="zh-CN"/>
              </w:rPr>
              <w:t> </w:t>
            </w:r>
          </w:p>
        </w:tc>
      </w:tr>
      <w:tr w:rsidR="004C18AD" w:rsidRPr="00171093" w14:paraId="2162D58D" w14:textId="77777777" w:rsidTr="00042C67">
        <w:trPr>
          <w:trHeight w:val="600"/>
          <w:jc w:val="center"/>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1C7E416F" w14:textId="77777777" w:rsidR="004C18AD" w:rsidRPr="00C07F0A" w:rsidRDefault="004C18AD" w:rsidP="00042C67">
            <w:pPr>
              <w:overflowPunct/>
              <w:autoSpaceDE/>
              <w:autoSpaceDN/>
              <w:adjustRightInd/>
              <w:spacing w:before="0"/>
              <w:jc w:val="center"/>
              <w:textAlignment w:val="auto"/>
              <w:rPr>
                <w:rFonts w:cs="Calibri"/>
                <w:b/>
                <w:bCs/>
                <w:sz w:val="22"/>
                <w:szCs w:val="22"/>
                <w:lang w:val="en-US"/>
              </w:rPr>
            </w:pPr>
            <w:r w:rsidRPr="00C07F0A">
              <w:rPr>
                <w:rFonts w:asciiTheme="minorHAnsi" w:eastAsiaTheme="minorEastAsia" w:hAnsiTheme="minorHAnsi" w:cs="Calibri" w:hint="eastAsia"/>
                <w:b/>
                <w:bCs/>
                <w:sz w:val="22"/>
                <w:szCs w:val="22"/>
              </w:rPr>
              <w:t>通知主管部门</w:t>
            </w:r>
          </w:p>
        </w:tc>
        <w:tc>
          <w:tcPr>
            <w:tcW w:w="4199" w:type="dxa"/>
            <w:tcBorders>
              <w:top w:val="nil"/>
              <w:left w:val="nil"/>
              <w:bottom w:val="single" w:sz="4" w:space="0" w:color="auto"/>
              <w:right w:val="single" w:sz="4" w:space="0" w:color="auto"/>
            </w:tcBorders>
            <w:shd w:val="clear" w:color="auto" w:fill="auto"/>
            <w:noWrap/>
            <w:vAlign w:val="center"/>
            <w:hideMark/>
          </w:tcPr>
          <w:p w14:paraId="32A111D2" w14:textId="77777777" w:rsidR="004C18AD" w:rsidRPr="00C07F0A" w:rsidRDefault="004C18AD" w:rsidP="00042C67">
            <w:pPr>
              <w:overflowPunct/>
              <w:autoSpaceDE/>
              <w:autoSpaceDN/>
              <w:adjustRightInd/>
              <w:spacing w:before="0"/>
              <w:jc w:val="center"/>
              <w:textAlignment w:val="auto"/>
              <w:rPr>
                <w:rFonts w:cs="Calibri"/>
                <w:b/>
                <w:bCs/>
                <w:sz w:val="22"/>
                <w:szCs w:val="22"/>
                <w:lang w:val="en-US"/>
              </w:rPr>
            </w:pPr>
            <w:r w:rsidRPr="00C07F0A">
              <w:rPr>
                <w:rFonts w:asciiTheme="minorHAnsi" w:eastAsiaTheme="minorEastAsia" w:hAnsiTheme="minorHAnsi" w:cs="Calibri" w:hint="eastAsia"/>
                <w:b/>
                <w:bCs/>
                <w:sz w:val="22"/>
                <w:szCs w:val="22"/>
              </w:rPr>
              <w:t>运营实体</w:t>
            </w:r>
          </w:p>
        </w:tc>
        <w:tc>
          <w:tcPr>
            <w:tcW w:w="1142" w:type="dxa"/>
            <w:tcBorders>
              <w:top w:val="nil"/>
              <w:left w:val="nil"/>
              <w:bottom w:val="single" w:sz="4" w:space="0" w:color="auto"/>
              <w:right w:val="single" w:sz="4" w:space="0" w:color="auto"/>
            </w:tcBorders>
            <w:shd w:val="clear" w:color="auto" w:fill="auto"/>
            <w:noWrap/>
            <w:vAlign w:val="center"/>
            <w:hideMark/>
          </w:tcPr>
          <w:p w14:paraId="68357E9A" w14:textId="77777777" w:rsidR="004C18AD" w:rsidRPr="00C07F0A" w:rsidRDefault="004C18AD" w:rsidP="00042C67">
            <w:pPr>
              <w:overflowPunct/>
              <w:autoSpaceDE/>
              <w:autoSpaceDN/>
              <w:adjustRightInd/>
              <w:spacing w:before="0"/>
              <w:jc w:val="center"/>
              <w:textAlignment w:val="auto"/>
              <w:rPr>
                <w:rFonts w:cs="Calibri"/>
                <w:b/>
                <w:bCs/>
                <w:sz w:val="22"/>
                <w:szCs w:val="22"/>
                <w:lang w:val="en-US"/>
              </w:rPr>
            </w:pPr>
            <w:r w:rsidRPr="00C07F0A">
              <w:rPr>
                <w:rFonts w:asciiTheme="minorHAnsi" w:eastAsiaTheme="minorEastAsia" w:hAnsiTheme="minorHAnsi" w:cs="Calibri" w:hint="eastAsia"/>
                <w:b/>
                <w:bCs/>
                <w:sz w:val="22"/>
                <w:szCs w:val="22"/>
              </w:rPr>
              <w:t>年份</w:t>
            </w:r>
          </w:p>
        </w:tc>
        <w:tc>
          <w:tcPr>
            <w:tcW w:w="1638" w:type="dxa"/>
            <w:tcBorders>
              <w:top w:val="nil"/>
              <w:left w:val="nil"/>
              <w:bottom w:val="single" w:sz="4" w:space="0" w:color="auto"/>
              <w:right w:val="single" w:sz="4" w:space="0" w:color="auto"/>
            </w:tcBorders>
            <w:shd w:val="clear" w:color="auto" w:fill="auto"/>
            <w:vAlign w:val="bottom"/>
            <w:hideMark/>
          </w:tcPr>
          <w:p w14:paraId="6746C790" w14:textId="77777777" w:rsidR="004C18AD" w:rsidRPr="00C07F0A" w:rsidRDefault="004C18AD" w:rsidP="00042C67">
            <w:pPr>
              <w:overflowPunct/>
              <w:autoSpaceDE/>
              <w:autoSpaceDN/>
              <w:adjustRightInd/>
              <w:spacing w:before="0"/>
              <w:jc w:val="center"/>
              <w:textAlignment w:val="auto"/>
              <w:rPr>
                <w:rFonts w:cs="Calibri"/>
                <w:b/>
                <w:bCs/>
                <w:sz w:val="22"/>
                <w:szCs w:val="22"/>
                <w:lang w:val="en-US"/>
              </w:rPr>
            </w:pPr>
            <w:r w:rsidRPr="00C07F0A">
              <w:rPr>
                <w:rFonts w:cs="Calibri" w:hint="eastAsia"/>
                <w:b/>
                <w:bCs/>
                <w:sz w:val="22"/>
                <w:szCs w:val="22"/>
                <w:lang w:eastAsia="zh-CN"/>
              </w:rPr>
              <w:t>欠款额</w:t>
            </w:r>
            <w:r w:rsidRPr="00C07F0A">
              <w:rPr>
                <w:rFonts w:cs="Calibri"/>
                <w:b/>
                <w:bCs/>
                <w:sz w:val="22"/>
                <w:szCs w:val="22"/>
                <w:lang w:eastAsia="zh-CN"/>
              </w:rPr>
              <w:br/>
            </w:r>
            <w:r w:rsidRPr="00C07F0A">
              <w:rPr>
                <w:rFonts w:cs="Calibri" w:hint="eastAsia"/>
                <w:b/>
                <w:bCs/>
                <w:sz w:val="22"/>
                <w:szCs w:val="22"/>
                <w:lang w:eastAsia="zh-CN"/>
              </w:rPr>
              <w:t>（瑞郎）</w:t>
            </w:r>
          </w:p>
        </w:tc>
      </w:tr>
      <w:tr w:rsidR="004C18AD" w:rsidRPr="00171093" w14:paraId="34A10FCD" w14:textId="77777777" w:rsidTr="00042C67">
        <w:trPr>
          <w:trHeight w:val="600"/>
          <w:jc w:val="center"/>
        </w:trPr>
        <w:tc>
          <w:tcPr>
            <w:tcW w:w="2901" w:type="dxa"/>
            <w:tcBorders>
              <w:top w:val="nil"/>
              <w:left w:val="single" w:sz="4" w:space="0" w:color="auto"/>
              <w:bottom w:val="nil"/>
              <w:right w:val="single" w:sz="4" w:space="0" w:color="auto"/>
            </w:tcBorders>
            <w:shd w:val="clear" w:color="auto" w:fill="auto"/>
            <w:noWrap/>
            <w:hideMark/>
          </w:tcPr>
          <w:p w14:paraId="67A74DD3"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asciiTheme="minorHAnsi" w:eastAsiaTheme="minorEastAsia" w:hAnsiTheme="minorHAnsi" w:hint="eastAsia"/>
                <w:b/>
                <w:bCs/>
                <w:sz w:val="22"/>
                <w:szCs w:val="22"/>
                <w:lang w:eastAsia="zh-CN"/>
              </w:rPr>
              <w:t>中国</w:t>
            </w:r>
          </w:p>
        </w:tc>
        <w:tc>
          <w:tcPr>
            <w:tcW w:w="4199" w:type="dxa"/>
            <w:tcBorders>
              <w:top w:val="nil"/>
              <w:left w:val="nil"/>
              <w:bottom w:val="nil"/>
              <w:right w:val="single" w:sz="4" w:space="0" w:color="auto"/>
            </w:tcBorders>
            <w:shd w:val="clear" w:color="auto" w:fill="auto"/>
            <w:hideMark/>
          </w:tcPr>
          <w:p w14:paraId="18617C0F"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hint="eastAsia"/>
                <w:sz w:val="22"/>
                <w:szCs w:val="22"/>
                <w:lang w:eastAsia="zh-CN"/>
              </w:rPr>
              <w:t>工信部无线电管理局</w:t>
            </w:r>
          </w:p>
        </w:tc>
        <w:tc>
          <w:tcPr>
            <w:tcW w:w="1142" w:type="dxa"/>
            <w:tcBorders>
              <w:top w:val="nil"/>
              <w:left w:val="nil"/>
              <w:bottom w:val="nil"/>
              <w:right w:val="single" w:sz="4" w:space="0" w:color="auto"/>
            </w:tcBorders>
            <w:shd w:val="clear" w:color="auto" w:fill="auto"/>
            <w:noWrap/>
            <w:hideMark/>
          </w:tcPr>
          <w:p w14:paraId="6EE10E35"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eastAsia="zh-CN"/>
              </w:rPr>
              <w:t>2019</w:t>
            </w:r>
          </w:p>
        </w:tc>
        <w:tc>
          <w:tcPr>
            <w:tcW w:w="1638" w:type="dxa"/>
            <w:tcBorders>
              <w:top w:val="nil"/>
              <w:left w:val="nil"/>
              <w:bottom w:val="nil"/>
              <w:right w:val="single" w:sz="4" w:space="0" w:color="auto"/>
            </w:tcBorders>
            <w:shd w:val="clear" w:color="auto" w:fill="auto"/>
            <w:hideMark/>
          </w:tcPr>
          <w:p w14:paraId="4AEB0163" w14:textId="77777777" w:rsidR="004C18AD" w:rsidRPr="00C07F0A" w:rsidRDefault="004C18AD" w:rsidP="00042C67">
            <w:pPr>
              <w:overflowPunct/>
              <w:autoSpaceDE/>
              <w:autoSpaceDN/>
              <w:adjustRightInd/>
              <w:spacing w:before="0"/>
              <w:jc w:val="right"/>
              <w:textAlignment w:val="auto"/>
              <w:rPr>
                <w:rFonts w:cs="Calibri"/>
                <w:sz w:val="22"/>
                <w:szCs w:val="22"/>
                <w:lang w:val="en-US"/>
              </w:rPr>
            </w:pPr>
            <w:r w:rsidRPr="00C07F0A">
              <w:rPr>
                <w:rFonts w:cs="Calibri"/>
                <w:sz w:val="22"/>
                <w:szCs w:val="22"/>
                <w:lang w:val="en-US"/>
              </w:rPr>
              <w:t>106.60</w:t>
            </w:r>
          </w:p>
        </w:tc>
      </w:tr>
      <w:tr w:rsidR="004C18AD" w:rsidRPr="00171093" w14:paraId="2DDA8BFA" w14:textId="77777777" w:rsidTr="00042C67">
        <w:trPr>
          <w:trHeight w:val="192"/>
          <w:jc w:val="center"/>
        </w:trPr>
        <w:tc>
          <w:tcPr>
            <w:tcW w:w="2901" w:type="dxa"/>
            <w:tcBorders>
              <w:top w:val="nil"/>
              <w:left w:val="single" w:sz="4" w:space="0" w:color="auto"/>
              <w:bottom w:val="nil"/>
              <w:right w:val="single" w:sz="4" w:space="0" w:color="auto"/>
            </w:tcBorders>
            <w:shd w:val="clear" w:color="auto" w:fill="auto"/>
            <w:noWrap/>
            <w:hideMark/>
          </w:tcPr>
          <w:p w14:paraId="21E80756" w14:textId="77777777" w:rsidR="004C18AD" w:rsidRPr="00C07F0A" w:rsidRDefault="004C18AD" w:rsidP="00042C67">
            <w:pPr>
              <w:overflowPunct/>
              <w:autoSpaceDE/>
              <w:autoSpaceDN/>
              <w:adjustRightInd/>
              <w:spacing w:before="0"/>
              <w:jc w:val="center"/>
              <w:textAlignment w:val="auto"/>
              <w:rPr>
                <w:rFonts w:cs="Calibri"/>
                <w:b/>
                <w:bCs/>
                <w:sz w:val="22"/>
                <w:szCs w:val="22"/>
                <w:lang w:val="en-US"/>
              </w:rPr>
            </w:pPr>
          </w:p>
        </w:tc>
        <w:tc>
          <w:tcPr>
            <w:tcW w:w="4199" w:type="dxa"/>
            <w:tcBorders>
              <w:top w:val="nil"/>
              <w:left w:val="nil"/>
              <w:bottom w:val="nil"/>
              <w:right w:val="single" w:sz="4" w:space="0" w:color="auto"/>
            </w:tcBorders>
            <w:shd w:val="clear" w:color="auto" w:fill="auto"/>
            <w:noWrap/>
            <w:hideMark/>
          </w:tcPr>
          <w:p w14:paraId="5D6E3C3E" w14:textId="77777777" w:rsidR="004C18AD" w:rsidRPr="00C07F0A" w:rsidRDefault="004C18AD" w:rsidP="00042C67">
            <w:pPr>
              <w:overflowPunct/>
              <w:autoSpaceDE/>
              <w:autoSpaceDN/>
              <w:adjustRightInd/>
              <w:spacing w:before="0"/>
              <w:jc w:val="center"/>
              <w:textAlignment w:val="auto"/>
              <w:rPr>
                <w:rFonts w:cs="Calibri"/>
                <w:b/>
                <w:bCs/>
                <w:sz w:val="22"/>
                <w:szCs w:val="22"/>
                <w:lang w:val="en-US"/>
              </w:rPr>
            </w:pPr>
          </w:p>
        </w:tc>
        <w:tc>
          <w:tcPr>
            <w:tcW w:w="1142" w:type="dxa"/>
            <w:tcBorders>
              <w:top w:val="nil"/>
              <w:left w:val="nil"/>
              <w:bottom w:val="nil"/>
              <w:right w:val="single" w:sz="4" w:space="0" w:color="auto"/>
            </w:tcBorders>
            <w:shd w:val="clear" w:color="auto" w:fill="auto"/>
            <w:noWrap/>
            <w:hideMark/>
          </w:tcPr>
          <w:p w14:paraId="6909F3BB" w14:textId="77777777" w:rsidR="004C18AD" w:rsidRPr="00C07F0A" w:rsidRDefault="004C18AD" w:rsidP="00042C67">
            <w:pPr>
              <w:overflowPunct/>
              <w:autoSpaceDE/>
              <w:autoSpaceDN/>
              <w:adjustRightInd/>
              <w:spacing w:before="0"/>
              <w:jc w:val="center"/>
              <w:textAlignment w:val="auto"/>
              <w:rPr>
                <w:rFonts w:cs="Calibri"/>
                <w:b/>
                <w:bCs/>
                <w:sz w:val="22"/>
                <w:szCs w:val="22"/>
                <w:lang w:val="en-US"/>
              </w:rPr>
            </w:pPr>
          </w:p>
        </w:tc>
        <w:tc>
          <w:tcPr>
            <w:tcW w:w="1638" w:type="dxa"/>
            <w:tcBorders>
              <w:top w:val="nil"/>
              <w:left w:val="nil"/>
              <w:bottom w:val="nil"/>
              <w:right w:val="single" w:sz="4" w:space="0" w:color="auto"/>
            </w:tcBorders>
            <w:shd w:val="clear" w:color="auto" w:fill="auto"/>
            <w:vAlign w:val="bottom"/>
            <w:hideMark/>
          </w:tcPr>
          <w:p w14:paraId="3DD84BA3" w14:textId="77777777" w:rsidR="004C18AD" w:rsidRPr="00C07F0A" w:rsidRDefault="004C18AD" w:rsidP="00042C67">
            <w:pPr>
              <w:overflowPunct/>
              <w:autoSpaceDE/>
              <w:autoSpaceDN/>
              <w:adjustRightInd/>
              <w:spacing w:before="0"/>
              <w:jc w:val="center"/>
              <w:textAlignment w:val="auto"/>
              <w:rPr>
                <w:rFonts w:cs="Calibri"/>
                <w:b/>
                <w:bCs/>
                <w:sz w:val="22"/>
                <w:szCs w:val="22"/>
                <w:lang w:val="en-US"/>
              </w:rPr>
            </w:pPr>
            <w:r w:rsidRPr="00C07F0A">
              <w:rPr>
                <w:rFonts w:cs="Calibri"/>
                <w:b/>
                <w:bCs/>
                <w:sz w:val="22"/>
                <w:szCs w:val="22"/>
                <w:lang w:val="en-US"/>
              </w:rPr>
              <w:t> </w:t>
            </w:r>
          </w:p>
        </w:tc>
      </w:tr>
      <w:tr w:rsidR="004C18AD" w:rsidRPr="00171093" w14:paraId="4E31DD72" w14:textId="77777777" w:rsidTr="00042C67">
        <w:trPr>
          <w:trHeight w:val="600"/>
          <w:jc w:val="center"/>
        </w:trPr>
        <w:tc>
          <w:tcPr>
            <w:tcW w:w="2901" w:type="dxa"/>
            <w:tcBorders>
              <w:top w:val="nil"/>
              <w:left w:val="single" w:sz="4" w:space="0" w:color="auto"/>
              <w:bottom w:val="nil"/>
              <w:right w:val="single" w:sz="4" w:space="0" w:color="auto"/>
            </w:tcBorders>
            <w:shd w:val="clear" w:color="auto" w:fill="auto"/>
            <w:noWrap/>
            <w:hideMark/>
          </w:tcPr>
          <w:p w14:paraId="3438AE8B"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asciiTheme="minorHAnsi" w:eastAsiaTheme="minorEastAsia" w:hAnsiTheme="minorHAnsi" w:hint="eastAsia"/>
                <w:b/>
                <w:bCs/>
                <w:sz w:val="22"/>
                <w:szCs w:val="22"/>
                <w:lang w:eastAsia="zh-CN"/>
              </w:rPr>
              <w:t>尼日利亚</w:t>
            </w:r>
          </w:p>
        </w:tc>
        <w:tc>
          <w:tcPr>
            <w:tcW w:w="4199" w:type="dxa"/>
            <w:tcBorders>
              <w:top w:val="nil"/>
              <w:left w:val="nil"/>
              <w:bottom w:val="nil"/>
              <w:right w:val="single" w:sz="4" w:space="0" w:color="auto"/>
            </w:tcBorders>
            <w:shd w:val="clear" w:color="auto" w:fill="auto"/>
            <w:hideMark/>
          </w:tcPr>
          <w:p w14:paraId="7D8CD13A" w14:textId="77777777" w:rsidR="004C18AD" w:rsidRPr="00C07F0A" w:rsidRDefault="004C18AD" w:rsidP="00042C67">
            <w:pPr>
              <w:overflowPunct/>
              <w:autoSpaceDE/>
              <w:autoSpaceDN/>
              <w:adjustRightInd/>
              <w:spacing w:before="0"/>
              <w:textAlignment w:val="auto"/>
              <w:rPr>
                <w:rFonts w:cs="Calibri"/>
                <w:sz w:val="22"/>
                <w:szCs w:val="22"/>
                <w:lang w:val="en-US" w:eastAsia="zh-CN"/>
              </w:rPr>
            </w:pPr>
            <w:r w:rsidRPr="00C07F0A">
              <w:rPr>
                <w:rFonts w:asciiTheme="minorHAnsi" w:eastAsiaTheme="minorEastAsia" w:hAnsiTheme="minorHAnsi" w:hint="eastAsia"/>
                <w:sz w:val="22"/>
                <w:szCs w:val="22"/>
                <w:lang w:eastAsia="zh-CN"/>
              </w:rPr>
              <w:t>联邦通信技术部，阿布贾</w:t>
            </w:r>
          </w:p>
        </w:tc>
        <w:tc>
          <w:tcPr>
            <w:tcW w:w="1142" w:type="dxa"/>
            <w:tcBorders>
              <w:top w:val="nil"/>
              <w:left w:val="nil"/>
              <w:bottom w:val="nil"/>
              <w:right w:val="single" w:sz="4" w:space="0" w:color="auto"/>
            </w:tcBorders>
            <w:shd w:val="clear" w:color="auto" w:fill="auto"/>
            <w:noWrap/>
            <w:hideMark/>
          </w:tcPr>
          <w:p w14:paraId="1E4389E5"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eastAsia="zh-CN"/>
              </w:rPr>
              <w:t>2012</w:t>
            </w:r>
          </w:p>
        </w:tc>
        <w:tc>
          <w:tcPr>
            <w:tcW w:w="1638" w:type="dxa"/>
            <w:tcBorders>
              <w:top w:val="nil"/>
              <w:left w:val="nil"/>
              <w:bottom w:val="nil"/>
              <w:right w:val="single" w:sz="4" w:space="0" w:color="auto"/>
            </w:tcBorders>
            <w:shd w:val="clear" w:color="auto" w:fill="auto"/>
            <w:noWrap/>
            <w:hideMark/>
          </w:tcPr>
          <w:p w14:paraId="200DD85B" w14:textId="77777777" w:rsidR="004C18AD" w:rsidRPr="00C07F0A" w:rsidRDefault="004C18AD" w:rsidP="00042C67">
            <w:pPr>
              <w:overflowPunct/>
              <w:autoSpaceDE/>
              <w:autoSpaceDN/>
              <w:adjustRightInd/>
              <w:spacing w:before="0"/>
              <w:jc w:val="right"/>
              <w:textAlignment w:val="auto"/>
              <w:rPr>
                <w:rFonts w:cs="Calibri"/>
                <w:sz w:val="22"/>
                <w:szCs w:val="22"/>
                <w:lang w:val="en-US"/>
              </w:rPr>
            </w:pPr>
            <w:r w:rsidRPr="00C07F0A">
              <w:rPr>
                <w:rFonts w:cs="Calibri"/>
                <w:sz w:val="22"/>
                <w:szCs w:val="22"/>
                <w:lang w:val="en-US"/>
              </w:rPr>
              <w:t>2</w:t>
            </w:r>
            <w:r>
              <w:rPr>
                <w:rFonts w:cs="Calibri"/>
                <w:sz w:val="22"/>
                <w:szCs w:val="22"/>
                <w:lang w:val="en-US"/>
              </w:rPr>
              <w:t> </w:t>
            </w:r>
            <w:r w:rsidRPr="00C07F0A">
              <w:rPr>
                <w:rFonts w:cs="Calibri"/>
                <w:sz w:val="22"/>
                <w:szCs w:val="22"/>
                <w:lang w:val="en-US"/>
              </w:rPr>
              <w:t>586.80</w:t>
            </w:r>
          </w:p>
        </w:tc>
      </w:tr>
      <w:tr w:rsidR="004C18AD" w:rsidRPr="00171093" w14:paraId="46C3A82A" w14:textId="77777777" w:rsidTr="00042C67">
        <w:trPr>
          <w:trHeight w:val="195"/>
          <w:jc w:val="center"/>
        </w:trPr>
        <w:tc>
          <w:tcPr>
            <w:tcW w:w="2901" w:type="dxa"/>
            <w:tcBorders>
              <w:top w:val="nil"/>
              <w:left w:val="single" w:sz="4" w:space="0" w:color="auto"/>
              <w:bottom w:val="nil"/>
              <w:right w:val="single" w:sz="4" w:space="0" w:color="auto"/>
            </w:tcBorders>
            <w:shd w:val="clear" w:color="auto" w:fill="auto"/>
            <w:noWrap/>
            <w:hideMark/>
          </w:tcPr>
          <w:p w14:paraId="6A0935B4"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cs="Calibri"/>
                <w:b/>
                <w:bCs/>
                <w:sz w:val="22"/>
                <w:szCs w:val="22"/>
                <w:lang w:val="en-US"/>
              </w:rPr>
              <w:t> </w:t>
            </w:r>
          </w:p>
        </w:tc>
        <w:tc>
          <w:tcPr>
            <w:tcW w:w="4199" w:type="dxa"/>
            <w:tcBorders>
              <w:top w:val="nil"/>
              <w:left w:val="nil"/>
              <w:bottom w:val="nil"/>
              <w:right w:val="single" w:sz="4" w:space="0" w:color="auto"/>
            </w:tcBorders>
            <w:shd w:val="clear" w:color="auto" w:fill="auto"/>
            <w:hideMark/>
          </w:tcPr>
          <w:p w14:paraId="7E5E2BAE"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c>
          <w:tcPr>
            <w:tcW w:w="1142" w:type="dxa"/>
            <w:tcBorders>
              <w:top w:val="nil"/>
              <w:left w:val="nil"/>
              <w:bottom w:val="nil"/>
              <w:right w:val="single" w:sz="4" w:space="0" w:color="auto"/>
            </w:tcBorders>
            <w:shd w:val="clear" w:color="auto" w:fill="auto"/>
            <w:noWrap/>
            <w:hideMark/>
          </w:tcPr>
          <w:p w14:paraId="7DBEA49F"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val="en-US"/>
              </w:rPr>
              <w:t> </w:t>
            </w:r>
          </w:p>
        </w:tc>
        <w:tc>
          <w:tcPr>
            <w:tcW w:w="1638" w:type="dxa"/>
            <w:tcBorders>
              <w:top w:val="nil"/>
              <w:left w:val="nil"/>
              <w:bottom w:val="nil"/>
              <w:right w:val="single" w:sz="4" w:space="0" w:color="auto"/>
            </w:tcBorders>
            <w:shd w:val="clear" w:color="auto" w:fill="auto"/>
            <w:noWrap/>
            <w:hideMark/>
          </w:tcPr>
          <w:p w14:paraId="15BE760E"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r>
      <w:tr w:rsidR="004C18AD" w:rsidRPr="00171093" w14:paraId="02DA3F51" w14:textId="77777777" w:rsidTr="00042C67">
        <w:trPr>
          <w:trHeight w:val="578"/>
          <w:jc w:val="center"/>
        </w:trPr>
        <w:tc>
          <w:tcPr>
            <w:tcW w:w="2901" w:type="dxa"/>
            <w:tcBorders>
              <w:top w:val="nil"/>
              <w:left w:val="single" w:sz="4" w:space="0" w:color="auto"/>
              <w:bottom w:val="nil"/>
              <w:right w:val="single" w:sz="4" w:space="0" w:color="auto"/>
            </w:tcBorders>
            <w:shd w:val="clear" w:color="auto" w:fill="auto"/>
            <w:noWrap/>
            <w:hideMark/>
          </w:tcPr>
          <w:p w14:paraId="5B172C1F"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cs="Calibri" w:hint="eastAsia"/>
                <w:b/>
                <w:bCs/>
                <w:sz w:val="22"/>
                <w:szCs w:val="22"/>
              </w:rPr>
              <w:t>俄罗斯联邦</w:t>
            </w:r>
          </w:p>
        </w:tc>
        <w:tc>
          <w:tcPr>
            <w:tcW w:w="4199" w:type="dxa"/>
            <w:tcBorders>
              <w:top w:val="nil"/>
              <w:left w:val="nil"/>
              <w:bottom w:val="nil"/>
              <w:right w:val="single" w:sz="4" w:space="0" w:color="auto"/>
            </w:tcBorders>
            <w:shd w:val="clear" w:color="auto" w:fill="auto"/>
            <w:hideMark/>
          </w:tcPr>
          <w:p w14:paraId="23048B70"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asciiTheme="minorHAnsi" w:hAnsiTheme="minorHAnsi"/>
                <w:sz w:val="22"/>
                <w:szCs w:val="22"/>
                <w:lang w:eastAsia="zh-CN"/>
              </w:rPr>
              <w:t>EA SAT</w:t>
            </w:r>
            <w:r w:rsidRPr="00C07F0A">
              <w:rPr>
                <w:rFonts w:asciiTheme="minorHAnsi" w:hAnsiTheme="minorHAnsi" w:hint="eastAsia"/>
                <w:sz w:val="22"/>
                <w:szCs w:val="22"/>
                <w:lang w:eastAsia="zh-CN"/>
              </w:rPr>
              <w:t>封闭式股份公司</w:t>
            </w:r>
            <w:r w:rsidRPr="00C07F0A">
              <w:rPr>
                <w:rFonts w:asciiTheme="minorHAnsi" w:eastAsiaTheme="minorEastAsia" w:hAnsiTheme="minorHAnsi" w:hint="eastAsia"/>
                <w:sz w:val="22"/>
                <w:szCs w:val="22"/>
                <w:lang w:eastAsia="zh-CN"/>
              </w:rPr>
              <w:t>，莫斯科</w:t>
            </w:r>
          </w:p>
        </w:tc>
        <w:tc>
          <w:tcPr>
            <w:tcW w:w="1142" w:type="dxa"/>
            <w:tcBorders>
              <w:top w:val="nil"/>
              <w:left w:val="nil"/>
              <w:bottom w:val="nil"/>
              <w:right w:val="single" w:sz="4" w:space="0" w:color="auto"/>
            </w:tcBorders>
            <w:shd w:val="clear" w:color="auto" w:fill="auto"/>
            <w:noWrap/>
            <w:hideMark/>
          </w:tcPr>
          <w:p w14:paraId="006609EE"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eastAsia="zh-CN"/>
              </w:rPr>
              <w:t>2014</w:t>
            </w:r>
          </w:p>
        </w:tc>
        <w:tc>
          <w:tcPr>
            <w:tcW w:w="1638" w:type="dxa"/>
            <w:tcBorders>
              <w:top w:val="nil"/>
              <w:left w:val="nil"/>
              <w:bottom w:val="nil"/>
              <w:right w:val="single" w:sz="4" w:space="0" w:color="auto"/>
            </w:tcBorders>
            <w:shd w:val="clear" w:color="auto" w:fill="auto"/>
            <w:noWrap/>
            <w:hideMark/>
          </w:tcPr>
          <w:p w14:paraId="65979273" w14:textId="77777777" w:rsidR="004C18AD" w:rsidRPr="00C07F0A" w:rsidRDefault="004C18AD" w:rsidP="00042C67">
            <w:pPr>
              <w:overflowPunct/>
              <w:autoSpaceDE/>
              <w:autoSpaceDN/>
              <w:adjustRightInd/>
              <w:spacing w:before="0"/>
              <w:jc w:val="right"/>
              <w:textAlignment w:val="auto"/>
              <w:rPr>
                <w:rFonts w:cs="Calibri"/>
                <w:sz w:val="22"/>
                <w:szCs w:val="22"/>
                <w:lang w:val="en-US"/>
              </w:rPr>
            </w:pPr>
            <w:r w:rsidRPr="00C07F0A">
              <w:rPr>
                <w:rFonts w:cs="Calibri"/>
                <w:sz w:val="22"/>
                <w:szCs w:val="22"/>
                <w:lang w:val="en-US"/>
              </w:rPr>
              <w:t>111</w:t>
            </w:r>
            <w:r>
              <w:rPr>
                <w:rFonts w:cs="Calibri"/>
                <w:sz w:val="22"/>
                <w:szCs w:val="22"/>
                <w:lang w:val="en-US"/>
              </w:rPr>
              <w:t> </w:t>
            </w:r>
            <w:r w:rsidRPr="00C07F0A">
              <w:rPr>
                <w:rFonts w:cs="Calibri"/>
                <w:sz w:val="22"/>
                <w:szCs w:val="22"/>
                <w:lang w:val="en-US"/>
              </w:rPr>
              <w:t>005.75</w:t>
            </w:r>
          </w:p>
        </w:tc>
      </w:tr>
      <w:tr w:rsidR="004C18AD" w:rsidRPr="00171093" w14:paraId="16299CD6" w14:textId="77777777" w:rsidTr="00042C67">
        <w:trPr>
          <w:trHeight w:val="192"/>
          <w:jc w:val="center"/>
        </w:trPr>
        <w:tc>
          <w:tcPr>
            <w:tcW w:w="2901" w:type="dxa"/>
            <w:tcBorders>
              <w:top w:val="nil"/>
              <w:left w:val="single" w:sz="4" w:space="0" w:color="auto"/>
              <w:bottom w:val="nil"/>
              <w:right w:val="single" w:sz="4" w:space="0" w:color="auto"/>
            </w:tcBorders>
            <w:shd w:val="clear" w:color="auto" w:fill="auto"/>
            <w:noWrap/>
            <w:hideMark/>
          </w:tcPr>
          <w:p w14:paraId="09BBB9C1"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cs="Calibri"/>
                <w:b/>
                <w:bCs/>
                <w:sz w:val="22"/>
                <w:szCs w:val="22"/>
                <w:lang w:val="en-US"/>
              </w:rPr>
              <w:t> </w:t>
            </w:r>
          </w:p>
        </w:tc>
        <w:tc>
          <w:tcPr>
            <w:tcW w:w="4199" w:type="dxa"/>
            <w:tcBorders>
              <w:top w:val="nil"/>
              <w:left w:val="nil"/>
              <w:bottom w:val="nil"/>
              <w:right w:val="single" w:sz="4" w:space="0" w:color="auto"/>
            </w:tcBorders>
            <w:shd w:val="clear" w:color="auto" w:fill="auto"/>
            <w:hideMark/>
          </w:tcPr>
          <w:p w14:paraId="01D1E4DB"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c>
          <w:tcPr>
            <w:tcW w:w="1142" w:type="dxa"/>
            <w:tcBorders>
              <w:top w:val="nil"/>
              <w:left w:val="nil"/>
              <w:bottom w:val="nil"/>
              <w:right w:val="single" w:sz="4" w:space="0" w:color="auto"/>
            </w:tcBorders>
            <w:shd w:val="clear" w:color="auto" w:fill="auto"/>
            <w:noWrap/>
            <w:hideMark/>
          </w:tcPr>
          <w:p w14:paraId="6C455174"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val="en-US"/>
              </w:rPr>
              <w:t> </w:t>
            </w:r>
          </w:p>
        </w:tc>
        <w:tc>
          <w:tcPr>
            <w:tcW w:w="1638" w:type="dxa"/>
            <w:tcBorders>
              <w:top w:val="nil"/>
              <w:left w:val="nil"/>
              <w:bottom w:val="nil"/>
              <w:right w:val="single" w:sz="4" w:space="0" w:color="auto"/>
            </w:tcBorders>
            <w:shd w:val="clear" w:color="auto" w:fill="auto"/>
            <w:noWrap/>
            <w:hideMark/>
          </w:tcPr>
          <w:p w14:paraId="3A52D106"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r>
      <w:tr w:rsidR="004C18AD" w:rsidRPr="00171093" w14:paraId="451E5AD8" w14:textId="77777777" w:rsidTr="00042C67">
        <w:trPr>
          <w:trHeight w:val="578"/>
          <w:jc w:val="center"/>
        </w:trPr>
        <w:tc>
          <w:tcPr>
            <w:tcW w:w="2901" w:type="dxa"/>
            <w:tcBorders>
              <w:top w:val="nil"/>
              <w:left w:val="single" w:sz="4" w:space="0" w:color="auto"/>
              <w:bottom w:val="nil"/>
              <w:right w:val="single" w:sz="4" w:space="0" w:color="auto"/>
            </w:tcBorders>
            <w:shd w:val="clear" w:color="auto" w:fill="auto"/>
            <w:noWrap/>
            <w:hideMark/>
          </w:tcPr>
          <w:p w14:paraId="5572866C"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cs="Calibri" w:hint="eastAsia"/>
                <w:b/>
                <w:bCs/>
                <w:sz w:val="22"/>
                <w:szCs w:val="22"/>
                <w:lang w:val="en-US" w:eastAsia="zh-CN"/>
              </w:rPr>
              <w:t>突尼斯</w:t>
            </w:r>
          </w:p>
        </w:tc>
        <w:tc>
          <w:tcPr>
            <w:tcW w:w="4199" w:type="dxa"/>
            <w:tcBorders>
              <w:top w:val="nil"/>
              <w:left w:val="nil"/>
              <w:bottom w:val="nil"/>
              <w:right w:val="single" w:sz="4" w:space="0" w:color="auto"/>
            </w:tcBorders>
            <w:shd w:val="clear" w:color="auto" w:fill="auto"/>
            <w:hideMark/>
          </w:tcPr>
          <w:p w14:paraId="259BBE6B" w14:textId="77777777" w:rsidR="004C18AD" w:rsidRPr="00C07F0A" w:rsidRDefault="004C18AD" w:rsidP="00042C67">
            <w:pPr>
              <w:overflowPunct/>
              <w:autoSpaceDE/>
              <w:autoSpaceDN/>
              <w:adjustRightInd/>
              <w:spacing w:before="0"/>
              <w:textAlignment w:val="auto"/>
              <w:rPr>
                <w:rFonts w:cs="Calibri"/>
                <w:sz w:val="22"/>
                <w:szCs w:val="22"/>
                <w:lang w:val="fr-CH"/>
              </w:rPr>
            </w:pPr>
            <w:r w:rsidRPr="00C07F0A">
              <w:rPr>
                <w:rFonts w:cs="Calibri" w:hint="eastAsia"/>
                <w:sz w:val="22"/>
                <w:szCs w:val="22"/>
                <w:lang w:val="fr-CH" w:eastAsia="zh-CN"/>
              </w:rPr>
              <w:t>通信技术部，突尼斯</w:t>
            </w:r>
          </w:p>
        </w:tc>
        <w:tc>
          <w:tcPr>
            <w:tcW w:w="1142" w:type="dxa"/>
            <w:tcBorders>
              <w:top w:val="nil"/>
              <w:left w:val="nil"/>
              <w:bottom w:val="nil"/>
              <w:right w:val="single" w:sz="4" w:space="0" w:color="auto"/>
            </w:tcBorders>
            <w:shd w:val="clear" w:color="auto" w:fill="auto"/>
            <w:noWrap/>
            <w:hideMark/>
          </w:tcPr>
          <w:p w14:paraId="62E4D8E6"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val="en-US"/>
              </w:rPr>
              <w:t>2020</w:t>
            </w:r>
          </w:p>
        </w:tc>
        <w:tc>
          <w:tcPr>
            <w:tcW w:w="1638" w:type="dxa"/>
            <w:tcBorders>
              <w:top w:val="nil"/>
              <w:left w:val="nil"/>
              <w:bottom w:val="nil"/>
              <w:right w:val="single" w:sz="4" w:space="0" w:color="auto"/>
            </w:tcBorders>
            <w:shd w:val="clear" w:color="auto" w:fill="auto"/>
            <w:noWrap/>
            <w:hideMark/>
          </w:tcPr>
          <w:p w14:paraId="0061DB15" w14:textId="77777777" w:rsidR="004C18AD" w:rsidRPr="00C07F0A" w:rsidRDefault="004C18AD" w:rsidP="00042C67">
            <w:pPr>
              <w:overflowPunct/>
              <w:autoSpaceDE/>
              <w:autoSpaceDN/>
              <w:adjustRightInd/>
              <w:spacing w:before="0"/>
              <w:jc w:val="right"/>
              <w:textAlignment w:val="auto"/>
              <w:rPr>
                <w:rFonts w:cs="Calibri"/>
                <w:sz w:val="22"/>
                <w:szCs w:val="22"/>
                <w:lang w:val="en-US"/>
              </w:rPr>
            </w:pPr>
            <w:r w:rsidRPr="00C07F0A">
              <w:rPr>
                <w:rFonts w:cs="Calibri"/>
                <w:sz w:val="22"/>
                <w:szCs w:val="22"/>
                <w:lang w:val="en-US"/>
              </w:rPr>
              <w:t>327.20</w:t>
            </w:r>
          </w:p>
        </w:tc>
      </w:tr>
      <w:tr w:rsidR="004C18AD" w:rsidRPr="00171093" w14:paraId="36D8257F" w14:textId="77777777" w:rsidTr="00042C67">
        <w:trPr>
          <w:trHeight w:val="195"/>
          <w:jc w:val="center"/>
        </w:trPr>
        <w:tc>
          <w:tcPr>
            <w:tcW w:w="2901" w:type="dxa"/>
            <w:tcBorders>
              <w:top w:val="nil"/>
              <w:left w:val="single" w:sz="4" w:space="0" w:color="auto"/>
              <w:bottom w:val="nil"/>
              <w:right w:val="single" w:sz="4" w:space="0" w:color="auto"/>
            </w:tcBorders>
            <w:shd w:val="clear" w:color="auto" w:fill="auto"/>
            <w:noWrap/>
            <w:hideMark/>
          </w:tcPr>
          <w:p w14:paraId="388FDC60"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cs="Calibri"/>
                <w:b/>
                <w:bCs/>
                <w:sz w:val="22"/>
                <w:szCs w:val="22"/>
                <w:lang w:val="en-US"/>
              </w:rPr>
              <w:t> </w:t>
            </w:r>
          </w:p>
        </w:tc>
        <w:tc>
          <w:tcPr>
            <w:tcW w:w="4199" w:type="dxa"/>
            <w:tcBorders>
              <w:top w:val="nil"/>
              <w:left w:val="nil"/>
              <w:bottom w:val="nil"/>
              <w:right w:val="single" w:sz="4" w:space="0" w:color="auto"/>
            </w:tcBorders>
            <w:shd w:val="clear" w:color="auto" w:fill="auto"/>
            <w:hideMark/>
          </w:tcPr>
          <w:p w14:paraId="020610D1"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c>
          <w:tcPr>
            <w:tcW w:w="1142" w:type="dxa"/>
            <w:tcBorders>
              <w:top w:val="nil"/>
              <w:left w:val="nil"/>
              <w:bottom w:val="nil"/>
              <w:right w:val="single" w:sz="4" w:space="0" w:color="auto"/>
            </w:tcBorders>
            <w:shd w:val="clear" w:color="auto" w:fill="auto"/>
            <w:noWrap/>
            <w:hideMark/>
          </w:tcPr>
          <w:p w14:paraId="3DBFCF68"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val="en-US"/>
              </w:rPr>
              <w:t> </w:t>
            </w:r>
          </w:p>
        </w:tc>
        <w:tc>
          <w:tcPr>
            <w:tcW w:w="1638" w:type="dxa"/>
            <w:tcBorders>
              <w:top w:val="nil"/>
              <w:left w:val="nil"/>
              <w:bottom w:val="nil"/>
              <w:right w:val="single" w:sz="4" w:space="0" w:color="auto"/>
            </w:tcBorders>
            <w:shd w:val="clear" w:color="auto" w:fill="auto"/>
            <w:noWrap/>
            <w:hideMark/>
          </w:tcPr>
          <w:p w14:paraId="0284AC71"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r>
      <w:tr w:rsidR="004C18AD" w:rsidRPr="00171093" w14:paraId="2247D89C" w14:textId="77777777" w:rsidTr="00042C67">
        <w:trPr>
          <w:trHeight w:val="578"/>
          <w:jc w:val="center"/>
        </w:trPr>
        <w:tc>
          <w:tcPr>
            <w:tcW w:w="2901" w:type="dxa"/>
            <w:tcBorders>
              <w:top w:val="nil"/>
              <w:left w:val="single" w:sz="4" w:space="0" w:color="auto"/>
              <w:bottom w:val="nil"/>
              <w:right w:val="single" w:sz="4" w:space="0" w:color="auto"/>
            </w:tcBorders>
            <w:shd w:val="clear" w:color="auto" w:fill="auto"/>
            <w:noWrap/>
            <w:hideMark/>
          </w:tcPr>
          <w:p w14:paraId="1D2346B1" w14:textId="77777777" w:rsidR="004C18AD" w:rsidRPr="00C07F0A" w:rsidRDefault="004C18AD" w:rsidP="00042C67">
            <w:pPr>
              <w:overflowPunct/>
              <w:autoSpaceDE/>
              <w:autoSpaceDN/>
              <w:adjustRightInd/>
              <w:spacing w:before="0"/>
              <w:textAlignment w:val="auto"/>
              <w:rPr>
                <w:rFonts w:cs="Calibri"/>
                <w:b/>
                <w:bCs/>
                <w:color w:val="800000"/>
                <w:sz w:val="22"/>
                <w:szCs w:val="22"/>
                <w:lang w:val="en-US"/>
              </w:rPr>
            </w:pPr>
            <w:r w:rsidRPr="00C07F0A">
              <w:rPr>
                <w:rFonts w:asciiTheme="minorHAnsi" w:eastAsiaTheme="minorEastAsia" w:hAnsiTheme="minorHAnsi" w:hint="eastAsia"/>
                <w:b/>
                <w:bCs/>
                <w:sz w:val="22"/>
                <w:szCs w:val="22"/>
                <w:lang w:eastAsia="zh-CN"/>
              </w:rPr>
              <w:t>美利坚合众国</w:t>
            </w:r>
          </w:p>
        </w:tc>
        <w:tc>
          <w:tcPr>
            <w:tcW w:w="4199" w:type="dxa"/>
            <w:tcBorders>
              <w:top w:val="nil"/>
              <w:left w:val="nil"/>
              <w:bottom w:val="nil"/>
              <w:right w:val="single" w:sz="4" w:space="0" w:color="auto"/>
            </w:tcBorders>
            <w:shd w:val="clear" w:color="auto" w:fill="auto"/>
            <w:hideMark/>
          </w:tcPr>
          <w:p w14:paraId="6D5BBEB4"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Intelsat US LLC</w:t>
            </w:r>
            <w:r w:rsidRPr="00C07F0A">
              <w:rPr>
                <w:rFonts w:cs="Calibri" w:hint="eastAsia"/>
                <w:sz w:val="22"/>
                <w:szCs w:val="22"/>
                <w:lang w:val="en-US" w:eastAsia="zh-CN"/>
              </w:rPr>
              <w:t>，</w:t>
            </w:r>
            <w:r w:rsidRPr="00C07F0A">
              <w:rPr>
                <w:rFonts w:cs="Calibri" w:hint="eastAsia"/>
                <w:sz w:val="22"/>
                <w:szCs w:val="22"/>
                <w:lang w:val="en-US"/>
              </w:rPr>
              <w:t>麦克莱恩</w:t>
            </w:r>
          </w:p>
        </w:tc>
        <w:tc>
          <w:tcPr>
            <w:tcW w:w="1142" w:type="dxa"/>
            <w:tcBorders>
              <w:top w:val="nil"/>
              <w:left w:val="nil"/>
              <w:bottom w:val="nil"/>
              <w:right w:val="single" w:sz="4" w:space="0" w:color="auto"/>
            </w:tcBorders>
            <w:shd w:val="clear" w:color="auto" w:fill="auto"/>
            <w:noWrap/>
            <w:hideMark/>
          </w:tcPr>
          <w:p w14:paraId="73AFE763"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val="en-US"/>
              </w:rPr>
              <w:t>2019</w:t>
            </w:r>
          </w:p>
        </w:tc>
        <w:tc>
          <w:tcPr>
            <w:tcW w:w="1638" w:type="dxa"/>
            <w:tcBorders>
              <w:top w:val="nil"/>
              <w:left w:val="nil"/>
              <w:bottom w:val="nil"/>
              <w:right w:val="single" w:sz="4" w:space="0" w:color="auto"/>
            </w:tcBorders>
            <w:shd w:val="clear" w:color="auto" w:fill="auto"/>
            <w:noWrap/>
            <w:hideMark/>
          </w:tcPr>
          <w:p w14:paraId="3E4CC5AA" w14:textId="77777777" w:rsidR="004C18AD" w:rsidRPr="00C07F0A" w:rsidRDefault="004C18AD" w:rsidP="00042C67">
            <w:pPr>
              <w:overflowPunct/>
              <w:autoSpaceDE/>
              <w:autoSpaceDN/>
              <w:adjustRightInd/>
              <w:spacing w:before="0"/>
              <w:jc w:val="right"/>
              <w:textAlignment w:val="auto"/>
              <w:rPr>
                <w:rFonts w:cs="Calibri"/>
                <w:sz w:val="22"/>
                <w:szCs w:val="22"/>
                <w:lang w:val="en-US"/>
              </w:rPr>
            </w:pPr>
            <w:r w:rsidRPr="00C07F0A">
              <w:rPr>
                <w:rFonts w:cs="Calibri"/>
                <w:sz w:val="22"/>
                <w:szCs w:val="22"/>
                <w:lang w:val="en-US"/>
              </w:rPr>
              <w:t>39.35</w:t>
            </w:r>
          </w:p>
        </w:tc>
      </w:tr>
      <w:tr w:rsidR="004C18AD" w:rsidRPr="00171093" w14:paraId="5EDF219E" w14:textId="77777777" w:rsidTr="00042C67">
        <w:trPr>
          <w:trHeight w:val="578"/>
          <w:jc w:val="center"/>
        </w:trPr>
        <w:tc>
          <w:tcPr>
            <w:tcW w:w="2901" w:type="dxa"/>
            <w:tcBorders>
              <w:top w:val="nil"/>
              <w:left w:val="single" w:sz="4" w:space="0" w:color="auto"/>
              <w:bottom w:val="nil"/>
              <w:right w:val="single" w:sz="4" w:space="0" w:color="auto"/>
            </w:tcBorders>
            <w:shd w:val="clear" w:color="auto" w:fill="auto"/>
            <w:noWrap/>
            <w:hideMark/>
          </w:tcPr>
          <w:p w14:paraId="394DA7F2"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cs="Calibri"/>
                <w:b/>
                <w:bCs/>
                <w:sz w:val="22"/>
                <w:szCs w:val="22"/>
                <w:lang w:val="en-US"/>
              </w:rPr>
              <w:t> </w:t>
            </w:r>
          </w:p>
        </w:tc>
        <w:tc>
          <w:tcPr>
            <w:tcW w:w="4199" w:type="dxa"/>
            <w:tcBorders>
              <w:top w:val="nil"/>
              <w:left w:val="nil"/>
              <w:bottom w:val="nil"/>
              <w:right w:val="single" w:sz="4" w:space="0" w:color="auto"/>
            </w:tcBorders>
            <w:shd w:val="clear" w:color="auto" w:fill="auto"/>
            <w:hideMark/>
          </w:tcPr>
          <w:p w14:paraId="7330CF7E"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Leading Technologies, LLC</w:t>
            </w:r>
            <w:r w:rsidRPr="00C07F0A">
              <w:rPr>
                <w:rFonts w:cs="Calibri" w:hint="eastAsia"/>
                <w:sz w:val="22"/>
                <w:szCs w:val="22"/>
                <w:lang w:val="en-US" w:eastAsia="zh-CN"/>
              </w:rPr>
              <w:t>，华盛顿</w:t>
            </w:r>
          </w:p>
        </w:tc>
        <w:tc>
          <w:tcPr>
            <w:tcW w:w="1142" w:type="dxa"/>
            <w:tcBorders>
              <w:top w:val="nil"/>
              <w:left w:val="nil"/>
              <w:bottom w:val="nil"/>
              <w:right w:val="single" w:sz="4" w:space="0" w:color="auto"/>
            </w:tcBorders>
            <w:shd w:val="clear" w:color="auto" w:fill="auto"/>
            <w:noWrap/>
            <w:hideMark/>
          </w:tcPr>
          <w:p w14:paraId="32951A26"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val="en-US"/>
              </w:rPr>
              <w:t>2008-2009</w:t>
            </w:r>
          </w:p>
        </w:tc>
        <w:tc>
          <w:tcPr>
            <w:tcW w:w="1638" w:type="dxa"/>
            <w:tcBorders>
              <w:top w:val="nil"/>
              <w:left w:val="nil"/>
              <w:bottom w:val="nil"/>
              <w:right w:val="single" w:sz="4" w:space="0" w:color="auto"/>
            </w:tcBorders>
            <w:shd w:val="clear" w:color="auto" w:fill="auto"/>
            <w:noWrap/>
            <w:hideMark/>
          </w:tcPr>
          <w:p w14:paraId="1D18E392" w14:textId="77777777" w:rsidR="004C18AD" w:rsidRPr="00C07F0A" w:rsidRDefault="004C18AD" w:rsidP="00042C67">
            <w:pPr>
              <w:overflowPunct/>
              <w:autoSpaceDE/>
              <w:autoSpaceDN/>
              <w:adjustRightInd/>
              <w:spacing w:before="0"/>
              <w:jc w:val="right"/>
              <w:textAlignment w:val="auto"/>
              <w:rPr>
                <w:rFonts w:cs="Calibri"/>
                <w:sz w:val="22"/>
                <w:szCs w:val="22"/>
                <w:lang w:val="en-US"/>
              </w:rPr>
            </w:pPr>
            <w:r w:rsidRPr="00C07F0A">
              <w:rPr>
                <w:rFonts w:cs="Calibri"/>
                <w:sz w:val="22"/>
                <w:szCs w:val="22"/>
                <w:lang w:val="en-US"/>
              </w:rPr>
              <w:t>153</w:t>
            </w:r>
            <w:r>
              <w:rPr>
                <w:rFonts w:cs="Calibri"/>
                <w:sz w:val="22"/>
                <w:szCs w:val="22"/>
                <w:lang w:val="en-US"/>
              </w:rPr>
              <w:t> </w:t>
            </w:r>
            <w:r w:rsidRPr="00C07F0A">
              <w:rPr>
                <w:rFonts w:cs="Calibri"/>
                <w:sz w:val="22"/>
                <w:szCs w:val="22"/>
                <w:lang w:val="en-US"/>
              </w:rPr>
              <w:t>155.70</w:t>
            </w:r>
          </w:p>
        </w:tc>
      </w:tr>
      <w:tr w:rsidR="004C18AD" w:rsidRPr="00171093" w14:paraId="43DDA7C2" w14:textId="77777777" w:rsidTr="00042C67">
        <w:trPr>
          <w:trHeight w:val="578"/>
          <w:jc w:val="center"/>
        </w:trPr>
        <w:tc>
          <w:tcPr>
            <w:tcW w:w="2901" w:type="dxa"/>
            <w:tcBorders>
              <w:top w:val="nil"/>
              <w:left w:val="single" w:sz="4" w:space="0" w:color="auto"/>
              <w:bottom w:val="nil"/>
              <w:right w:val="single" w:sz="4" w:space="0" w:color="auto"/>
            </w:tcBorders>
            <w:shd w:val="clear" w:color="auto" w:fill="auto"/>
            <w:noWrap/>
            <w:hideMark/>
          </w:tcPr>
          <w:p w14:paraId="3119927A"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cs="Calibri"/>
                <w:b/>
                <w:bCs/>
                <w:sz w:val="22"/>
                <w:szCs w:val="22"/>
                <w:lang w:val="en-US"/>
              </w:rPr>
              <w:t> </w:t>
            </w:r>
          </w:p>
        </w:tc>
        <w:tc>
          <w:tcPr>
            <w:tcW w:w="4199" w:type="dxa"/>
            <w:tcBorders>
              <w:top w:val="nil"/>
              <w:left w:val="nil"/>
              <w:bottom w:val="nil"/>
              <w:right w:val="single" w:sz="4" w:space="0" w:color="auto"/>
            </w:tcBorders>
            <w:shd w:val="clear" w:color="auto" w:fill="auto"/>
            <w:hideMark/>
          </w:tcPr>
          <w:p w14:paraId="3D151143"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Steptoe &amp; Johnson LLP</w:t>
            </w:r>
            <w:r w:rsidRPr="00C07F0A">
              <w:rPr>
                <w:rFonts w:cs="Calibri" w:hint="eastAsia"/>
                <w:sz w:val="22"/>
                <w:szCs w:val="22"/>
                <w:lang w:val="en-US" w:eastAsia="zh-CN"/>
              </w:rPr>
              <w:t>，华盛顿</w:t>
            </w:r>
          </w:p>
        </w:tc>
        <w:tc>
          <w:tcPr>
            <w:tcW w:w="1142" w:type="dxa"/>
            <w:tcBorders>
              <w:top w:val="nil"/>
              <w:left w:val="nil"/>
              <w:bottom w:val="nil"/>
              <w:right w:val="single" w:sz="4" w:space="0" w:color="auto"/>
            </w:tcBorders>
            <w:shd w:val="clear" w:color="auto" w:fill="auto"/>
            <w:noWrap/>
            <w:hideMark/>
          </w:tcPr>
          <w:p w14:paraId="6C4400FE"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val="en-US"/>
              </w:rPr>
              <w:t>2017</w:t>
            </w:r>
          </w:p>
        </w:tc>
        <w:tc>
          <w:tcPr>
            <w:tcW w:w="1638" w:type="dxa"/>
            <w:tcBorders>
              <w:top w:val="nil"/>
              <w:left w:val="nil"/>
              <w:bottom w:val="nil"/>
              <w:right w:val="single" w:sz="4" w:space="0" w:color="auto"/>
            </w:tcBorders>
            <w:shd w:val="clear" w:color="auto" w:fill="auto"/>
            <w:noWrap/>
            <w:hideMark/>
          </w:tcPr>
          <w:p w14:paraId="07E6FF52" w14:textId="77777777" w:rsidR="004C18AD" w:rsidRPr="00C07F0A" w:rsidRDefault="004C18AD" w:rsidP="00042C67">
            <w:pPr>
              <w:overflowPunct/>
              <w:autoSpaceDE/>
              <w:autoSpaceDN/>
              <w:adjustRightInd/>
              <w:spacing w:before="0"/>
              <w:jc w:val="right"/>
              <w:textAlignment w:val="auto"/>
              <w:rPr>
                <w:rFonts w:cs="Calibri"/>
                <w:sz w:val="22"/>
                <w:szCs w:val="22"/>
                <w:lang w:val="en-US"/>
              </w:rPr>
            </w:pPr>
            <w:r w:rsidRPr="00C07F0A">
              <w:rPr>
                <w:rFonts w:cs="Calibri"/>
                <w:sz w:val="22"/>
                <w:szCs w:val="22"/>
                <w:lang w:val="en-US"/>
              </w:rPr>
              <w:t>72.85</w:t>
            </w:r>
          </w:p>
        </w:tc>
      </w:tr>
      <w:tr w:rsidR="004C18AD" w:rsidRPr="00171093" w14:paraId="6D656699" w14:textId="77777777" w:rsidTr="00042C67">
        <w:trPr>
          <w:trHeight w:val="510"/>
          <w:jc w:val="center"/>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14:paraId="29799572"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cs="Calibri" w:hint="eastAsia"/>
                <w:b/>
                <w:bCs/>
                <w:sz w:val="22"/>
                <w:szCs w:val="22"/>
                <w:lang w:val="en-US" w:eastAsia="zh-CN"/>
              </w:rPr>
              <w:t>截至</w:t>
            </w:r>
            <w:r w:rsidRPr="00C07F0A">
              <w:rPr>
                <w:rFonts w:cs="Calibri" w:hint="eastAsia"/>
                <w:b/>
                <w:bCs/>
                <w:sz w:val="22"/>
                <w:szCs w:val="22"/>
                <w:lang w:val="en-US" w:eastAsia="zh-CN"/>
              </w:rPr>
              <w:t>2</w:t>
            </w:r>
            <w:r w:rsidRPr="00C07F0A">
              <w:rPr>
                <w:rFonts w:cs="Calibri"/>
                <w:b/>
                <w:bCs/>
                <w:sz w:val="22"/>
                <w:szCs w:val="22"/>
                <w:lang w:val="en-US" w:eastAsia="zh-CN"/>
              </w:rPr>
              <w:t>021</w:t>
            </w:r>
            <w:r w:rsidRPr="00C07F0A">
              <w:rPr>
                <w:rFonts w:cs="Calibri" w:hint="eastAsia"/>
                <w:b/>
                <w:bCs/>
                <w:sz w:val="22"/>
                <w:szCs w:val="22"/>
                <w:lang w:val="en-US" w:eastAsia="zh-CN"/>
              </w:rPr>
              <w:t>年</w:t>
            </w:r>
            <w:r w:rsidRPr="00C07F0A">
              <w:rPr>
                <w:rFonts w:cs="Calibri" w:hint="eastAsia"/>
                <w:b/>
                <w:bCs/>
                <w:sz w:val="22"/>
                <w:szCs w:val="22"/>
                <w:lang w:val="en-US" w:eastAsia="zh-CN"/>
              </w:rPr>
              <w:t>1</w:t>
            </w:r>
            <w:r w:rsidRPr="00C07F0A">
              <w:rPr>
                <w:rFonts w:cs="Calibri"/>
                <w:b/>
                <w:bCs/>
                <w:sz w:val="22"/>
                <w:szCs w:val="22"/>
                <w:lang w:val="en-US" w:eastAsia="zh-CN"/>
              </w:rPr>
              <w:t>2</w:t>
            </w:r>
            <w:r w:rsidRPr="00C07F0A">
              <w:rPr>
                <w:rFonts w:cs="Calibri" w:hint="eastAsia"/>
                <w:b/>
                <w:bCs/>
                <w:sz w:val="22"/>
                <w:szCs w:val="22"/>
                <w:lang w:val="en-US" w:eastAsia="zh-CN"/>
              </w:rPr>
              <w:t>月</w:t>
            </w:r>
            <w:r w:rsidRPr="00C07F0A">
              <w:rPr>
                <w:rFonts w:cs="Calibri" w:hint="eastAsia"/>
                <w:b/>
                <w:bCs/>
                <w:sz w:val="22"/>
                <w:szCs w:val="22"/>
                <w:lang w:val="en-US" w:eastAsia="zh-CN"/>
              </w:rPr>
              <w:t>3</w:t>
            </w:r>
            <w:r w:rsidRPr="00C07F0A">
              <w:rPr>
                <w:rFonts w:cs="Calibri"/>
                <w:b/>
                <w:bCs/>
                <w:sz w:val="22"/>
                <w:szCs w:val="22"/>
                <w:lang w:val="en-US" w:eastAsia="zh-CN"/>
              </w:rPr>
              <w:t>1</w:t>
            </w:r>
            <w:r w:rsidRPr="00C07F0A">
              <w:rPr>
                <w:rFonts w:cs="Calibri" w:hint="eastAsia"/>
                <w:b/>
                <w:bCs/>
                <w:sz w:val="22"/>
                <w:szCs w:val="22"/>
                <w:lang w:val="en-US" w:eastAsia="zh-CN"/>
              </w:rPr>
              <w:t>日欠款合计</w:t>
            </w:r>
          </w:p>
        </w:tc>
        <w:tc>
          <w:tcPr>
            <w:tcW w:w="4199" w:type="dxa"/>
            <w:tcBorders>
              <w:top w:val="nil"/>
              <w:left w:val="nil"/>
              <w:bottom w:val="single" w:sz="4" w:space="0" w:color="auto"/>
              <w:right w:val="single" w:sz="4" w:space="0" w:color="auto"/>
            </w:tcBorders>
            <w:shd w:val="clear" w:color="auto" w:fill="auto"/>
            <w:noWrap/>
            <w:vAlign w:val="bottom"/>
            <w:hideMark/>
          </w:tcPr>
          <w:p w14:paraId="3866F355"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c>
          <w:tcPr>
            <w:tcW w:w="1142" w:type="dxa"/>
            <w:tcBorders>
              <w:top w:val="nil"/>
              <w:left w:val="nil"/>
              <w:bottom w:val="single" w:sz="4" w:space="0" w:color="auto"/>
              <w:right w:val="single" w:sz="4" w:space="0" w:color="auto"/>
            </w:tcBorders>
            <w:shd w:val="clear" w:color="auto" w:fill="auto"/>
            <w:noWrap/>
            <w:vAlign w:val="bottom"/>
            <w:hideMark/>
          </w:tcPr>
          <w:p w14:paraId="6091D134"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c>
          <w:tcPr>
            <w:tcW w:w="1638" w:type="dxa"/>
            <w:tcBorders>
              <w:top w:val="single" w:sz="4" w:space="0" w:color="auto"/>
              <w:left w:val="nil"/>
              <w:bottom w:val="single" w:sz="4" w:space="0" w:color="auto"/>
              <w:right w:val="single" w:sz="4" w:space="0" w:color="auto"/>
            </w:tcBorders>
            <w:shd w:val="clear" w:color="auto" w:fill="auto"/>
            <w:noWrap/>
            <w:vAlign w:val="bottom"/>
            <w:hideMark/>
          </w:tcPr>
          <w:p w14:paraId="5513A31D" w14:textId="77777777" w:rsidR="004C18AD" w:rsidRPr="00C07F0A" w:rsidRDefault="004C18AD" w:rsidP="00042C67">
            <w:pPr>
              <w:overflowPunct/>
              <w:autoSpaceDE/>
              <w:autoSpaceDN/>
              <w:adjustRightInd/>
              <w:spacing w:before="0"/>
              <w:jc w:val="right"/>
              <w:textAlignment w:val="auto"/>
              <w:rPr>
                <w:rFonts w:cs="Calibri"/>
                <w:b/>
                <w:bCs/>
                <w:sz w:val="22"/>
                <w:szCs w:val="22"/>
                <w:lang w:val="en-US"/>
              </w:rPr>
            </w:pPr>
            <w:r w:rsidRPr="00C07F0A">
              <w:rPr>
                <w:rFonts w:cs="Calibri"/>
                <w:b/>
                <w:bCs/>
                <w:sz w:val="22"/>
                <w:szCs w:val="22"/>
                <w:lang w:val="en-US"/>
              </w:rPr>
              <w:t>267</w:t>
            </w:r>
            <w:r>
              <w:rPr>
                <w:rFonts w:cs="Calibri"/>
                <w:b/>
                <w:bCs/>
                <w:sz w:val="22"/>
                <w:szCs w:val="22"/>
                <w:lang w:val="en-US"/>
              </w:rPr>
              <w:t> </w:t>
            </w:r>
            <w:r w:rsidRPr="00C07F0A">
              <w:rPr>
                <w:rFonts w:cs="Calibri"/>
                <w:b/>
                <w:bCs/>
                <w:sz w:val="22"/>
                <w:szCs w:val="22"/>
                <w:lang w:val="en-US"/>
              </w:rPr>
              <w:t>294.25</w:t>
            </w:r>
          </w:p>
        </w:tc>
      </w:tr>
    </w:tbl>
    <w:p w14:paraId="27B2DB5F" w14:textId="77777777" w:rsidR="004C18AD" w:rsidRDefault="004C18AD" w:rsidP="004C18AD"/>
    <w:tbl>
      <w:tblPr>
        <w:tblW w:w="9941" w:type="dxa"/>
        <w:jc w:val="center"/>
        <w:tblLook w:val="04A0" w:firstRow="1" w:lastRow="0" w:firstColumn="1" w:lastColumn="0" w:noHBand="0" w:noVBand="1"/>
      </w:tblPr>
      <w:tblGrid>
        <w:gridCol w:w="2965"/>
        <w:gridCol w:w="4140"/>
        <w:gridCol w:w="1170"/>
        <w:gridCol w:w="1666"/>
      </w:tblGrid>
      <w:tr w:rsidR="004C18AD" w:rsidRPr="00171093" w14:paraId="128C3F50" w14:textId="77777777" w:rsidTr="00042C67">
        <w:trPr>
          <w:trHeight w:val="683"/>
          <w:jc w:val="center"/>
        </w:trPr>
        <w:tc>
          <w:tcPr>
            <w:tcW w:w="994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39692D9" w14:textId="77777777" w:rsidR="004C18AD" w:rsidRPr="00C07F0A" w:rsidRDefault="004C18AD" w:rsidP="00042C67">
            <w:pPr>
              <w:overflowPunct/>
              <w:autoSpaceDE/>
              <w:autoSpaceDN/>
              <w:adjustRightInd/>
              <w:spacing w:before="0"/>
              <w:jc w:val="center"/>
              <w:textAlignment w:val="auto"/>
              <w:rPr>
                <w:rFonts w:cs="Calibri"/>
                <w:b/>
                <w:bCs/>
                <w:szCs w:val="24"/>
                <w:lang w:val="en-US"/>
              </w:rPr>
            </w:pPr>
            <w:r w:rsidRPr="00C07F0A">
              <w:br w:type="page"/>
            </w:r>
            <w:r w:rsidRPr="00C07F0A">
              <w:rPr>
                <w:rFonts w:cs="Calibri" w:hint="eastAsia"/>
                <w:b/>
                <w:bCs/>
                <w:szCs w:val="24"/>
              </w:rPr>
              <w:t>杂项发票欠款</w:t>
            </w:r>
          </w:p>
        </w:tc>
      </w:tr>
      <w:tr w:rsidR="004C18AD" w:rsidRPr="00171093" w14:paraId="5A9EE7E2" w14:textId="77777777" w:rsidTr="00042C67">
        <w:trPr>
          <w:trHeight w:val="300"/>
          <w:jc w:val="center"/>
        </w:trPr>
        <w:tc>
          <w:tcPr>
            <w:tcW w:w="2965" w:type="dxa"/>
            <w:tcBorders>
              <w:top w:val="nil"/>
              <w:left w:val="single" w:sz="4" w:space="0" w:color="auto"/>
              <w:bottom w:val="nil"/>
              <w:right w:val="single" w:sz="4" w:space="0" w:color="auto"/>
            </w:tcBorders>
            <w:shd w:val="clear" w:color="auto" w:fill="auto"/>
            <w:noWrap/>
            <w:vAlign w:val="bottom"/>
            <w:hideMark/>
          </w:tcPr>
          <w:p w14:paraId="2965A78C"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c>
          <w:tcPr>
            <w:tcW w:w="4140" w:type="dxa"/>
            <w:tcBorders>
              <w:top w:val="nil"/>
              <w:left w:val="nil"/>
              <w:bottom w:val="nil"/>
              <w:right w:val="single" w:sz="4" w:space="0" w:color="auto"/>
            </w:tcBorders>
            <w:shd w:val="clear" w:color="auto" w:fill="auto"/>
            <w:noWrap/>
            <w:vAlign w:val="bottom"/>
            <w:hideMark/>
          </w:tcPr>
          <w:p w14:paraId="3BD96446"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c>
          <w:tcPr>
            <w:tcW w:w="1170" w:type="dxa"/>
            <w:tcBorders>
              <w:top w:val="nil"/>
              <w:left w:val="nil"/>
              <w:bottom w:val="nil"/>
              <w:right w:val="single" w:sz="4" w:space="0" w:color="auto"/>
            </w:tcBorders>
            <w:shd w:val="clear" w:color="auto" w:fill="auto"/>
            <w:noWrap/>
            <w:vAlign w:val="bottom"/>
            <w:hideMark/>
          </w:tcPr>
          <w:p w14:paraId="1DE8B709"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c>
          <w:tcPr>
            <w:tcW w:w="1666" w:type="dxa"/>
            <w:tcBorders>
              <w:top w:val="nil"/>
              <w:left w:val="nil"/>
              <w:bottom w:val="nil"/>
              <w:right w:val="single" w:sz="4" w:space="0" w:color="auto"/>
            </w:tcBorders>
            <w:shd w:val="clear" w:color="auto" w:fill="auto"/>
            <w:noWrap/>
            <w:vAlign w:val="bottom"/>
            <w:hideMark/>
          </w:tcPr>
          <w:p w14:paraId="03C29370" w14:textId="77777777" w:rsidR="004C18AD" w:rsidRPr="00171093" w:rsidRDefault="004C18AD" w:rsidP="00042C67">
            <w:pPr>
              <w:overflowPunct/>
              <w:autoSpaceDE/>
              <w:autoSpaceDN/>
              <w:adjustRightInd/>
              <w:spacing w:before="0"/>
              <w:textAlignment w:val="auto"/>
              <w:rPr>
                <w:rFonts w:cs="Calibri"/>
                <w:sz w:val="22"/>
                <w:szCs w:val="22"/>
                <w:lang w:val="en-US"/>
              </w:rPr>
            </w:pPr>
            <w:r w:rsidRPr="00171093">
              <w:rPr>
                <w:rFonts w:cs="Calibri"/>
                <w:sz w:val="22"/>
                <w:szCs w:val="22"/>
                <w:lang w:val="en-US"/>
              </w:rPr>
              <w:t> </w:t>
            </w:r>
          </w:p>
        </w:tc>
      </w:tr>
      <w:tr w:rsidR="004C18AD" w:rsidRPr="00171093" w14:paraId="52FD91FE" w14:textId="77777777" w:rsidTr="00042C67">
        <w:trPr>
          <w:trHeight w:val="300"/>
          <w:jc w:val="center"/>
        </w:trPr>
        <w:tc>
          <w:tcPr>
            <w:tcW w:w="2965" w:type="dxa"/>
            <w:tcBorders>
              <w:top w:val="nil"/>
              <w:left w:val="single" w:sz="4" w:space="0" w:color="auto"/>
              <w:bottom w:val="nil"/>
              <w:right w:val="single" w:sz="4" w:space="0" w:color="auto"/>
            </w:tcBorders>
            <w:shd w:val="clear" w:color="auto" w:fill="auto"/>
            <w:noWrap/>
            <w:vAlign w:val="bottom"/>
            <w:hideMark/>
          </w:tcPr>
          <w:p w14:paraId="1D32ABC9" w14:textId="77777777" w:rsidR="004C18AD" w:rsidRPr="00C07F0A" w:rsidRDefault="004C18AD" w:rsidP="00042C67">
            <w:pPr>
              <w:overflowPunct/>
              <w:autoSpaceDE/>
              <w:autoSpaceDN/>
              <w:adjustRightInd/>
              <w:spacing w:before="0"/>
              <w:jc w:val="center"/>
              <w:textAlignment w:val="auto"/>
              <w:rPr>
                <w:rFonts w:cs="Calibri"/>
                <w:b/>
                <w:bCs/>
                <w:sz w:val="22"/>
                <w:szCs w:val="22"/>
                <w:lang w:val="en-US"/>
              </w:rPr>
            </w:pPr>
            <w:r w:rsidRPr="00C07F0A">
              <w:rPr>
                <w:rFonts w:cs="Calibri" w:hint="eastAsia"/>
                <w:b/>
                <w:bCs/>
                <w:sz w:val="22"/>
                <w:szCs w:val="22"/>
                <w:lang w:val="en-US" w:eastAsia="zh-CN"/>
              </w:rPr>
              <w:t>国家</w:t>
            </w:r>
          </w:p>
        </w:tc>
        <w:tc>
          <w:tcPr>
            <w:tcW w:w="4140" w:type="dxa"/>
            <w:tcBorders>
              <w:top w:val="nil"/>
              <w:left w:val="nil"/>
              <w:bottom w:val="nil"/>
              <w:right w:val="single" w:sz="4" w:space="0" w:color="auto"/>
            </w:tcBorders>
            <w:shd w:val="clear" w:color="auto" w:fill="auto"/>
            <w:noWrap/>
            <w:vAlign w:val="bottom"/>
            <w:hideMark/>
          </w:tcPr>
          <w:p w14:paraId="3BF4F9F6" w14:textId="77777777" w:rsidR="004C18AD" w:rsidRPr="00C07F0A" w:rsidRDefault="004C18AD" w:rsidP="00042C67">
            <w:pPr>
              <w:overflowPunct/>
              <w:autoSpaceDE/>
              <w:autoSpaceDN/>
              <w:adjustRightInd/>
              <w:spacing w:before="0"/>
              <w:jc w:val="center"/>
              <w:textAlignment w:val="auto"/>
              <w:rPr>
                <w:rFonts w:cs="Calibri"/>
                <w:b/>
                <w:bCs/>
                <w:sz w:val="22"/>
                <w:szCs w:val="22"/>
                <w:lang w:val="en-US"/>
              </w:rPr>
            </w:pPr>
            <w:r w:rsidRPr="00C07F0A">
              <w:rPr>
                <w:rFonts w:cs="Calibri" w:hint="eastAsia"/>
                <w:b/>
                <w:bCs/>
                <w:sz w:val="22"/>
                <w:szCs w:val="22"/>
                <w:lang w:val="en-US" w:eastAsia="zh-CN"/>
              </w:rPr>
              <w:t>运营实体</w:t>
            </w:r>
          </w:p>
        </w:tc>
        <w:tc>
          <w:tcPr>
            <w:tcW w:w="1170" w:type="dxa"/>
            <w:tcBorders>
              <w:top w:val="nil"/>
              <w:left w:val="nil"/>
              <w:bottom w:val="nil"/>
              <w:right w:val="single" w:sz="4" w:space="0" w:color="auto"/>
            </w:tcBorders>
            <w:shd w:val="clear" w:color="auto" w:fill="auto"/>
            <w:noWrap/>
            <w:vAlign w:val="bottom"/>
            <w:hideMark/>
          </w:tcPr>
          <w:p w14:paraId="40263832" w14:textId="77777777" w:rsidR="004C18AD" w:rsidRPr="00C07F0A" w:rsidRDefault="004C18AD" w:rsidP="00042C67">
            <w:pPr>
              <w:overflowPunct/>
              <w:autoSpaceDE/>
              <w:autoSpaceDN/>
              <w:adjustRightInd/>
              <w:spacing w:before="0"/>
              <w:jc w:val="center"/>
              <w:textAlignment w:val="auto"/>
              <w:rPr>
                <w:rFonts w:cs="Calibri"/>
                <w:b/>
                <w:bCs/>
                <w:sz w:val="22"/>
                <w:szCs w:val="22"/>
                <w:lang w:val="en-US"/>
              </w:rPr>
            </w:pPr>
            <w:r w:rsidRPr="00C07F0A">
              <w:rPr>
                <w:rFonts w:cs="Calibri" w:hint="eastAsia"/>
                <w:b/>
                <w:bCs/>
                <w:sz w:val="22"/>
                <w:szCs w:val="22"/>
                <w:lang w:val="en-US" w:eastAsia="zh-CN"/>
              </w:rPr>
              <w:t>年份</w:t>
            </w:r>
          </w:p>
        </w:tc>
        <w:tc>
          <w:tcPr>
            <w:tcW w:w="1666" w:type="dxa"/>
            <w:tcBorders>
              <w:top w:val="nil"/>
              <w:left w:val="nil"/>
              <w:bottom w:val="nil"/>
              <w:right w:val="single" w:sz="4" w:space="0" w:color="auto"/>
            </w:tcBorders>
            <w:shd w:val="clear" w:color="auto" w:fill="auto"/>
            <w:noWrap/>
            <w:vAlign w:val="bottom"/>
            <w:hideMark/>
          </w:tcPr>
          <w:p w14:paraId="1546AA3D" w14:textId="77777777" w:rsidR="004C18AD" w:rsidRPr="00CA741A" w:rsidRDefault="004C18AD" w:rsidP="00042C67">
            <w:pPr>
              <w:overflowPunct/>
              <w:autoSpaceDE/>
              <w:autoSpaceDN/>
              <w:adjustRightInd/>
              <w:spacing w:before="0"/>
              <w:jc w:val="center"/>
              <w:textAlignment w:val="auto"/>
              <w:rPr>
                <w:rFonts w:cs="Calibri"/>
                <w:b/>
                <w:bCs/>
                <w:sz w:val="22"/>
                <w:szCs w:val="22"/>
                <w:highlight w:val="lightGray"/>
                <w:lang w:val="en-US"/>
              </w:rPr>
            </w:pPr>
            <w:r w:rsidRPr="000C156A">
              <w:rPr>
                <w:rFonts w:cs="Calibri" w:hint="eastAsia"/>
                <w:b/>
                <w:bCs/>
                <w:sz w:val="22"/>
                <w:szCs w:val="22"/>
                <w:lang w:eastAsia="en-GB"/>
              </w:rPr>
              <w:t>欠款额</w:t>
            </w:r>
          </w:p>
        </w:tc>
      </w:tr>
      <w:tr w:rsidR="004C18AD" w:rsidRPr="00171093" w14:paraId="66023C73" w14:textId="77777777" w:rsidTr="00042C67">
        <w:trPr>
          <w:trHeight w:val="300"/>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4D6A113" w14:textId="77777777" w:rsidR="004C18AD" w:rsidRPr="00CA741A" w:rsidRDefault="004C18AD" w:rsidP="00042C67">
            <w:pPr>
              <w:overflowPunct/>
              <w:autoSpaceDE/>
              <w:autoSpaceDN/>
              <w:adjustRightInd/>
              <w:spacing w:before="0"/>
              <w:textAlignment w:val="auto"/>
              <w:rPr>
                <w:rFonts w:cs="Calibri"/>
                <w:sz w:val="22"/>
                <w:szCs w:val="22"/>
                <w:highlight w:val="lightGray"/>
                <w:lang w:val="en-US"/>
              </w:rPr>
            </w:pPr>
            <w:r w:rsidRPr="00CA741A">
              <w:rPr>
                <w:rFonts w:cs="Calibri"/>
                <w:sz w:val="22"/>
                <w:szCs w:val="22"/>
                <w:highlight w:val="lightGray"/>
                <w:lang w:val="en-US"/>
              </w:rPr>
              <w:t> </w:t>
            </w:r>
          </w:p>
        </w:tc>
        <w:tc>
          <w:tcPr>
            <w:tcW w:w="4140" w:type="dxa"/>
            <w:tcBorders>
              <w:top w:val="nil"/>
              <w:left w:val="nil"/>
              <w:bottom w:val="single" w:sz="4" w:space="0" w:color="auto"/>
              <w:right w:val="single" w:sz="4" w:space="0" w:color="auto"/>
            </w:tcBorders>
            <w:shd w:val="clear" w:color="auto" w:fill="auto"/>
            <w:noWrap/>
            <w:vAlign w:val="bottom"/>
            <w:hideMark/>
          </w:tcPr>
          <w:p w14:paraId="18EE5402" w14:textId="77777777" w:rsidR="004C18AD" w:rsidRPr="00CA741A" w:rsidRDefault="004C18AD" w:rsidP="00042C67">
            <w:pPr>
              <w:overflowPunct/>
              <w:autoSpaceDE/>
              <w:autoSpaceDN/>
              <w:adjustRightInd/>
              <w:spacing w:before="0"/>
              <w:textAlignment w:val="auto"/>
              <w:rPr>
                <w:rFonts w:cs="Calibri"/>
                <w:sz w:val="22"/>
                <w:szCs w:val="22"/>
                <w:highlight w:val="lightGray"/>
                <w:lang w:val="en-US"/>
              </w:rPr>
            </w:pPr>
            <w:r w:rsidRPr="00CA741A">
              <w:rPr>
                <w:rFonts w:cs="Calibri"/>
                <w:sz w:val="22"/>
                <w:szCs w:val="22"/>
                <w:highlight w:val="lightGray"/>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A199F1B" w14:textId="77777777" w:rsidR="004C18AD" w:rsidRPr="00CA741A" w:rsidRDefault="004C18AD" w:rsidP="00042C67">
            <w:pPr>
              <w:overflowPunct/>
              <w:autoSpaceDE/>
              <w:autoSpaceDN/>
              <w:adjustRightInd/>
              <w:spacing w:before="0"/>
              <w:textAlignment w:val="auto"/>
              <w:rPr>
                <w:rFonts w:cs="Calibri"/>
                <w:sz w:val="22"/>
                <w:szCs w:val="22"/>
                <w:highlight w:val="lightGray"/>
                <w:lang w:val="en-US"/>
              </w:rPr>
            </w:pPr>
            <w:r w:rsidRPr="00CA741A">
              <w:rPr>
                <w:rFonts w:cs="Calibri"/>
                <w:sz w:val="22"/>
                <w:szCs w:val="22"/>
                <w:highlight w:val="lightGray"/>
                <w:lang w:val="en-US"/>
              </w:rPr>
              <w:t> </w:t>
            </w:r>
          </w:p>
        </w:tc>
        <w:tc>
          <w:tcPr>
            <w:tcW w:w="1666" w:type="dxa"/>
            <w:tcBorders>
              <w:top w:val="nil"/>
              <w:left w:val="nil"/>
              <w:bottom w:val="single" w:sz="4" w:space="0" w:color="auto"/>
              <w:right w:val="single" w:sz="4" w:space="0" w:color="auto"/>
            </w:tcBorders>
            <w:shd w:val="clear" w:color="auto" w:fill="auto"/>
            <w:noWrap/>
            <w:vAlign w:val="bottom"/>
            <w:hideMark/>
          </w:tcPr>
          <w:p w14:paraId="13F98223" w14:textId="77777777" w:rsidR="004C18AD" w:rsidRPr="00CA741A" w:rsidRDefault="004C18AD" w:rsidP="00042C67">
            <w:pPr>
              <w:overflowPunct/>
              <w:autoSpaceDE/>
              <w:autoSpaceDN/>
              <w:adjustRightInd/>
              <w:spacing w:before="0"/>
              <w:jc w:val="center"/>
              <w:textAlignment w:val="auto"/>
              <w:rPr>
                <w:rFonts w:cs="Calibri"/>
                <w:b/>
                <w:bCs/>
                <w:sz w:val="22"/>
                <w:szCs w:val="22"/>
                <w:highlight w:val="lightGray"/>
                <w:lang w:val="en-US"/>
              </w:rPr>
            </w:pPr>
            <w:r w:rsidRPr="000C156A">
              <w:rPr>
                <w:rFonts w:cs="Calibri" w:hint="eastAsia"/>
                <w:b/>
                <w:bCs/>
                <w:sz w:val="22"/>
                <w:szCs w:val="22"/>
                <w:lang w:eastAsia="zh-CN"/>
              </w:rPr>
              <w:t>（瑞郎）</w:t>
            </w:r>
          </w:p>
        </w:tc>
      </w:tr>
      <w:tr w:rsidR="004C18AD" w:rsidRPr="00171093" w14:paraId="1B5F44B8" w14:textId="77777777" w:rsidTr="00042C67">
        <w:trPr>
          <w:trHeight w:val="600"/>
          <w:jc w:val="center"/>
        </w:trPr>
        <w:tc>
          <w:tcPr>
            <w:tcW w:w="2965" w:type="dxa"/>
            <w:tcBorders>
              <w:top w:val="nil"/>
              <w:left w:val="single" w:sz="4" w:space="0" w:color="auto"/>
              <w:bottom w:val="nil"/>
              <w:right w:val="single" w:sz="4" w:space="0" w:color="auto"/>
            </w:tcBorders>
            <w:shd w:val="clear" w:color="auto" w:fill="auto"/>
            <w:noWrap/>
            <w:vAlign w:val="bottom"/>
            <w:hideMark/>
          </w:tcPr>
          <w:p w14:paraId="7ED5E968" w14:textId="77777777" w:rsidR="004C18AD" w:rsidRPr="00C23B8B" w:rsidRDefault="004C18AD" w:rsidP="00042C67">
            <w:pPr>
              <w:overflowPunct/>
              <w:autoSpaceDE/>
              <w:autoSpaceDN/>
              <w:adjustRightInd/>
              <w:spacing w:before="0"/>
              <w:textAlignment w:val="auto"/>
              <w:rPr>
                <w:rFonts w:cs="Calibri"/>
                <w:b/>
                <w:bCs/>
                <w:sz w:val="22"/>
                <w:szCs w:val="22"/>
                <w:lang w:val="en-US"/>
              </w:rPr>
            </w:pPr>
            <w:r w:rsidRPr="00C23B8B">
              <w:rPr>
                <w:rFonts w:cs="Calibri" w:hint="eastAsia"/>
                <w:b/>
                <w:bCs/>
                <w:sz w:val="22"/>
                <w:szCs w:val="22"/>
                <w:lang w:val="en-US" w:eastAsia="zh-CN"/>
              </w:rPr>
              <w:t>印度</w:t>
            </w:r>
          </w:p>
        </w:tc>
        <w:tc>
          <w:tcPr>
            <w:tcW w:w="4140" w:type="dxa"/>
            <w:tcBorders>
              <w:top w:val="nil"/>
              <w:left w:val="nil"/>
              <w:bottom w:val="nil"/>
              <w:right w:val="single" w:sz="4" w:space="0" w:color="auto"/>
            </w:tcBorders>
            <w:shd w:val="clear" w:color="auto" w:fill="auto"/>
            <w:vAlign w:val="bottom"/>
            <w:hideMark/>
          </w:tcPr>
          <w:p w14:paraId="6F682E9E" w14:textId="77777777" w:rsidR="004C18AD" w:rsidRPr="00171093" w:rsidRDefault="004C18AD" w:rsidP="00042C67">
            <w:pPr>
              <w:overflowPunct/>
              <w:autoSpaceDE/>
              <w:autoSpaceDN/>
              <w:adjustRightInd/>
              <w:spacing w:before="0"/>
              <w:textAlignment w:val="auto"/>
              <w:rPr>
                <w:rFonts w:cs="Calibri"/>
                <w:sz w:val="22"/>
                <w:szCs w:val="22"/>
                <w:lang w:val="en-US"/>
              </w:rPr>
            </w:pPr>
            <w:r>
              <w:rPr>
                <w:rFonts w:cs="Calibri" w:hint="eastAsia"/>
                <w:sz w:val="22"/>
                <w:szCs w:val="22"/>
                <w:lang w:val="en-US" w:eastAsia="zh-CN"/>
              </w:rPr>
              <w:t>通信部，新德里</w:t>
            </w:r>
          </w:p>
        </w:tc>
        <w:tc>
          <w:tcPr>
            <w:tcW w:w="1170" w:type="dxa"/>
            <w:tcBorders>
              <w:top w:val="nil"/>
              <w:left w:val="nil"/>
              <w:bottom w:val="nil"/>
              <w:right w:val="single" w:sz="4" w:space="0" w:color="auto"/>
            </w:tcBorders>
            <w:shd w:val="clear" w:color="auto" w:fill="auto"/>
            <w:noWrap/>
            <w:vAlign w:val="bottom"/>
            <w:hideMark/>
          </w:tcPr>
          <w:p w14:paraId="0AD15CB6" w14:textId="77777777" w:rsidR="004C18AD" w:rsidRPr="00171093" w:rsidRDefault="004C18AD" w:rsidP="00042C67">
            <w:pPr>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2019</w:t>
            </w:r>
          </w:p>
        </w:tc>
        <w:tc>
          <w:tcPr>
            <w:tcW w:w="1666" w:type="dxa"/>
            <w:tcBorders>
              <w:top w:val="nil"/>
              <w:left w:val="nil"/>
              <w:bottom w:val="nil"/>
              <w:right w:val="single" w:sz="4" w:space="0" w:color="auto"/>
            </w:tcBorders>
            <w:shd w:val="clear" w:color="auto" w:fill="auto"/>
            <w:noWrap/>
            <w:vAlign w:val="bottom"/>
            <w:hideMark/>
          </w:tcPr>
          <w:p w14:paraId="1CDE6898" w14:textId="77777777" w:rsidR="004C18AD" w:rsidRPr="00171093" w:rsidRDefault="004C18AD" w:rsidP="00042C67">
            <w:pPr>
              <w:overflowPunct/>
              <w:autoSpaceDE/>
              <w:autoSpaceDN/>
              <w:adjustRightInd/>
              <w:spacing w:before="0"/>
              <w:jc w:val="right"/>
              <w:textAlignment w:val="auto"/>
              <w:rPr>
                <w:rFonts w:cs="Calibri"/>
                <w:sz w:val="22"/>
                <w:szCs w:val="22"/>
                <w:lang w:val="en-US"/>
              </w:rPr>
            </w:pPr>
            <w:r w:rsidRPr="00171093">
              <w:rPr>
                <w:rFonts w:cs="Calibri"/>
                <w:sz w:val="22"/>
                <w:szCs w:val="22"/>
                <w:lang w:val="en-US"/>
              </w:rPr>
              <w:t>18</w:t>
            </w:r>
            <w:r>
              <w:rPr>
                <w:rFonts w:cs="Calibri"/>
                <w:sz w:val="22"/>
                <w:szCs w:val="22"/>
                <w:lang w:val="en-US"/>
              </w:rPr>
              <w:t> </w:t>
            </w:r>
            <w:r w:rsidRPr="00171093">
              <w:rPr>
                <w:rFonts w:cs="Calibri"/>
                <w:sz w:val="22"/>
                <w:szCs w:val="22"/>
                <w:lang w:val="en-US"/>
              </w:rPr>
              <w:t>798.95</w:t>
            </w:r>
          </w:p>
        </w:tc>
      </w:tr>
      <w:tr w:rsidR="004C18AD" w:rsidRPr="00171093" w14:paraId="534C7A6B" w14:textId="77777777" w:rsidTr="00042C67">
        <w:trPr>
          <w:trHeight w:val="300"/>
          <w:jc w:val="center"/>
        </w:trPr>
        <w:tc>
          <w:tcPr>
            <w:tcW w:w="2965" w:type="dxa"/>
            <w:tcBorders>
              <w:top w:val="nil"/>
              <w:left w:val="single" w:sz="4" w:space="0" w:color="auto"/>
              <w:bottom w:val="nil"/>
              <w:right w:val="single" w:sz="4" w:space="0" w:color="auto"/>
            </w:tcBorders>
            <w:shd w:val="clear" w:color="auto" w:fill="auto"/>
            <w:noWrap/>
            <w:vAlign w:val="bottom"/>
            <w:hideMark/>
          </w:tcPr>
          <w:p w14:paraId="30DC14D8" w14:textId="77777777" w:rsidR="004C18AD" w:rsidRPr="00171093" w:rsidRDefault="004C18AD" w:rsidP="00042C67">
            <w:pPr>
              <w:overflowPunct/>
              <w:autoSpaceDE/>
              <w:autoSpaceDN/>
              <w:adjustRightInd/>
              <w:spacing w:before="0"/>
              <w:textAlignment w:val="auto"/>
              <w:rPr>
                <w:rFonts w:cs="Calibri"/>
                <w:b/>
                <w:bCs/>
                <w:sz w:val="22"/>
                <w:szCs w:val="22"/>
                <w:lang w:val="en-US"/>
              </w:rPr>
            </w:pPr>
            <w:r>
              <w:rPr>
                <w:rFonts w:cs="Calibri" w:hint="eastAsia"/>
                <w:b/>
                <w:bCs/>
                <w:sz w:val="22"/>
                <w:szCs w:val="22"/>
                <w:lang w:val="en-US" w:eastAsia="zh-CN"/>
              </w:rPr>
              <w:t>国际组织</w:t>
            </w:r>
          </w:p>
        </w:tc>
        <w:tc>
          <w:tcPr>
            <w:tcW w:w="4140" w:type="dxa"/>
            <w:tcBorders>
              <w:top w:val="nil"/>
              <w:left w:val="nil"/>
              <w:bottom w:val="nil"/>
              <w:right w:val="single" w:sz="4" w:space="0" w:color="auto"/>
            </w:tcBorders>
            <w:shd w:val="clear" w:color="auto" w:fill="auto"/>
            <w:vAlign w:val="bottom"/>
            <w:hideMark/>
          </w:tcPr>
          <w:p w14:paraId="06187FAF" w14:textId="77777777" w:rsidR="004C18AD" w:rsidRPr="00171093" w:rsidRDefault="004C18AD" w:rsidP="00042C67">
            <w:pPr>
              <w:overflowPunct/>
              <w:autoSpaceDE/>
              <w:autoSpaceDN/>
              <w:adjustRightInd/>
              <w:spacing w:before="0"/>
              <w:textAlignment w:val="auto"/>
              <w:rPr>
                <w:rFonts w:cs="Calibri"/>
                <w:sz w:val="22"/>
                <w:szCs w:val="22"/>
                <w:lang w:val="en-US" w:eastAsia="zh-CN"/>
              </w:rPr>
            </w:pPr>
            <w:r w:rsidRPr="00842682">
              <w:rPr>
                <w:rFonts w:cs="Calibri" w:hint="eastAsia"/>
                <w:sz w:val="22"/>
                <w:szCs w:val="22"/>
                <w:lang w:val="en-US" w:eastAsia="zh-CN"/>
              </w:rPr>
              <w:t>世界气象组织</w:t>
            </w:r>
            <w:r>
              <w:rPr>
                <w:rFonts w:cs="Calibri" w:hint="eastAsia"/>
                <w:sz w:val="22"/>
                <w:szCs w:val="22"/>
                <w:lang w:val="en-US" w:eastAsia="zh-CN"/>
              </w:rPr>
              <w:t>，日内瓦</w:t>
            </w:r>
          </w:p>
        </w:tc>
        <w:tc>
          <w:tcPr>
            <w:tcW w:w="1170" w:type="dxa"/>
            <w:tcBorders>
              <w:top w:val="nil"/>
              <w:left w:val="nil"/>
              <w:bottom w:val="nil"/>
              <w:right w:val="single" w:sz="4" w:space="0" w:color="auto"/>
            </w:tcBorders>
            <w:shd w:val="clear" w:color="auto" w:fill="auto"/>
            <w:noWrap/>
            <w:vAlign w:val="bottom"/>
            <w:hideMark/>
          </w:tcPr>
          <w:p w14:paraId="74E70E8C" w14:textId="77777777" w:rsidR="004C18AD" w:rsidRPr="00171093" w:rsidRDefault="004C18AD" w:rsidP="00042C67">
            <w:pPr>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2020</w:t>
            </w:r>
          </w:p>
        </w:tc>
        <w:tc>
          <w:tcPr>
            <w:tcW w:w="1666" w:type="dxa"/>
            <w:tcBorders>
              <w:top w:val="nil"/>
              <w:left w:val="nil"/>
              <w:bottom w:val="nil"/>
              <w:right w:val="single" w:sz="4" w:space="0" w:color="auto"/>
            </w:tcBorders>
            <w:shd w:val="clear" w:color="auto" w:fill="auto"/>
            <w:noWrap/>
            <w:vAlign w:val="bottom"/>
            <w:hideMark/>
          </w:tcPr>
          <w:p w14:paraId="5F2616FB" w14:textId="77777777" w:rsidR="004C18AD" w:rsidRPr="00171093" w:rsidRDefault="004C18AD" w:rsidP="00042C67">
            <w:pPr>
              <w:overflowPunct/>
              <w:autoSpaceDE/>
              <w:autoSpaceDN/>
              <w:adjustRightInd/>
              <w:spacing w:before="0"/>
              <w:jc w:val="right"/>
              <w:textAlignment w:val="auto"/>
              <w:rPr>
                <w:rFonts w:cs="Calibri"/>
                <w:sz w:val="22"/>
                <w:szCs w:val="22"/>
                <w:lang w:val="en-US"/>
              </w:rPr>
            </w:pPr>
            <w:r w:rsidRPr="00171093">
              <w:rPr>
                <w:rFonts w:cs="Calibri"/>
                <w:sz w:val="22"/>
                <w:szCs w:val="22"/>
                <w:lang w:val="en-US"/>
              </w:rPr>
              <w:t>59</w:t>
            </w:r>
            <w:r>
              <w:rPr>
                <w:rFonts w:cs="Calibri"/>
                <w:sz w:val="22"/>
                <w:szCs w:val="22"/>
                <w:lang w:val="en-US"/>
              </w:rPr>
              <w:t> </w:t>
            </w:r>
            <w:r w:rsidRPr="00171093">
              <w:rPr>
                <w:rFonts w:cs="Calibri"/>
                <w:sz w:val="22"/>
                <w:szCs w:val="22"/>
                <w:lang w:val="en-US"/>
              </w:rPr>
              <w:t>388.00</w:t>
            </w:r>
          </w:p>
        </w:tc>
      </w:tr>
      <w:tr w:rsidR="004C18AD" w:rsidRPr="00171093" w14:paraId="0DEB84D4" w14:textId="77777777" w:rsidTr="00042C67">
        <w:trPr>
          <w:trHeight w:val="300"/>
          <w:jc w:val="center"/>
        </w:trPr>
        <w:tc>
          <w:tcPr>
            <w:tcW w:w="2965" w:type="dxa"/>
            <w:tcBorders>
              <w:top w:val="nil"/>
              <w:left w:val="single" w:sz="4" w:space="0" w:color="auto"/>
              <w:bottom w:val="nil"/>
              <w:right w:val="single" w:sz="4" w:space="0" w:color="auto"/>
            </w:tcBorders>
            <w:shd w:val="clear" w:color="auto" w:fill="auto"/>
            <w:noWrap/>
            <w:vAlign w:val="bottom"/>
            <w:hideMark/>
          </w:tcPr>
          <w:p w14:paraId="38012F8A" w14:textId="77777777" w:rsidR="004C18AD" w:rsidRPr="00171093" w:rsidRDefault="004C18AD" w:rsidP="00042C67">
            <w:pPr>
              <w:overflowPunct/>
              <w:autoSpaceDE/>
              <w:autoSpaceDN/>
              <w:adjustRightInd/>
              <w:spacing w:before="0"/>
              <w:textAlignment w:val="auto"/>
              <w:rPr>
                <w:rFonts w:cs="Calibri"/>
                <w:b/>
                <w:bCs/>
                <w:sz w:val="22"/>
                <w:szCs w:val="22"/>
                <w:lang w:val="en-US"/>
              </w:rPr>
            </w:pPr>
            <w:r w:rsidRPr="00171093">
              <w:rPr>
                <w:rFonts w:cs="Calibri"/>
                <w:b/>
                <w:bCs/>
                <w:sz w:val="22"/>
                <w:szCs w:val="22"/>
                <w:lang w:val="en-US"/>
              </w:rPr>
              <w:t> </w:t>
            </w:r>
          </w:p>
        </w:tc>
        <w:tc>
          <w:tcPr>
            <w:tcW w:w="4140" w:type="dxa"/>
            <w:tcBorders>
              <w:top w:val="nil"/>
              <w:left w:val="nil"/>
              <w:bottom w:val="nil"/>
              <w:right w:val="single" w:sz="4" w:space="0" w:color="auto"/>
            </w:tcBorders>
            <w:shd w:val="clear" w:color="auto" w:fill="auto"/>
            <w:vAlign w:val="bottom"/>
            <w:hideMark/>
          </w:tcPr>
          <w:p w14:paraId="2089A4B7" w14:textId="77777777" w:rsidR="004C18AD" w:rsidRPr="00171093" w:rsidRDefault="004C18AD" w:rsidP="00042C67">
            <w:pPr>
              <w:overflowPunct/>
              <w:autoSpaceDE/>
              <w:autoSpaceDN/>
              <w:adjustRightInd/>
              <w:spacing w:before="0"/>
              <w:textAlignment w:val="auto"/>
              <w:rPr>
                <w:rFonts w:cs="Calibri"/>
                <w:sz w:val="22"/>
                <w:szCs w:val="22"/>
                <w:lang w:val="en-US" w:eastAsia="zh-CN"/>
              </w:rPr>
            </w:pPr>
            <w:r w:rsidRPr="00941029">
              <w:rPr>
                <w:rFonts w:cs="Calibri" w:hint="eastAsia"/>
                <w:sz w:val="22"/>
                <w:szCs w:val="22"/>
                <w:lang w:val="en-US" w:eastAsia="zh-CN"/>
              </w:rPr>
              <w:t>经济合作与发展组织</w:t>
            </w:r>
            <w:r>
              <w:rPr>
                <w:rFonts w:cs="Calibri" w:hint="eastAsia"/>
                <w:sz w:val="22"/>
                <w:szCs w:val="22"/>
                <w:lang w:val="en-US" w:eastAsia="zh-CN"/>
              </w:rPr>
              <w:t>，巴黎</w:t>
            </w:r>
          </w:p>
        </w:tc>
        <w:tc>
          <w:tcPr>
            <w:tcW w:w="1170" w:type="dxa"/>
            <w:tcBorders>
              <w:top w:val="nil"/>
              <w:left w:val="nil"/>
              <w:bottom w:val="nil"/>
              <w:right w:val="single" w:sz="4" w:space="0" w:color="auto"/>
            </w:tcBorders>
            <w:shd w:val="clear" w:color="auto" w:fill="auto"/>
            <w:noWrap/>
            <w:vAlign w:val="bottom"/>
            <w:hideMark/>
          </w:tcPr>
          <w:p w14:paraId="5B80C351" w14:textId="77777777" w:rsidR="004C18AD" w:rsidRPr="00171093" w:rsidRDefault="004C18AD" w:rsidP="00042C67">
            <w:pPr>
              <w:overflowPunct/>
              <w:autoSpaceDE/>
              <w:autoSpaceDN/>
              <w:adjustRightInd/>
              <w:spacing w:before="0"/>
              <w:jc w:val="center"/>
              <w:textAlignment w:val="auto"/>
              <w:rPr>
                <w:rFonts w:cs="Calibri"/>
                <w:sz w:val="22"/>
                <w:szCs w:val="22"/>
                <w:lang w:val="en-US"/>
              </w:rPr>
            </w:pPr>
            <w:r w:rsidRPr="00171093">
              <w:rPr>
                <w:rFonts w:cs="Calibri"/>
                <w:sz w:val="22"/>
                <w:szCs w:val="22"/>
                <w:lang w:val="en-US"/>
              </w:rPr>
              <w:t>2020</w:t>
            </w:r>
          </w:p>
        </w:tc>
        <w:tc>
          <w:tcPr>
            <w:tcW w:w="1666" w:type="dxa"/>
            <w:tcBorders>
              <w:top w:val="nil"/>
              <w:left w:val="nil"/>
              <w:bottom w:val="nil"/>
              <w:right w:val="single" w:sz="4" w:space="0" w:color="auto"/>
            </w:tcBorders>
            <w:shd w:val="clear" w:color="auto" w:fill="auto"/>
            <w:noWrap/>
            <w:vAlign w:val="bottom"/>
            <w:hideMark/>
          </w:tcPr>
          <w:p w14:paraId="75D1D529" w14:textId="77777777" w:rsidR="004C18AD" w:rsidRPr="00171093" w:rsidRDefault="004C18AD" w:rsidP="00042C67">
            <w:pPr>
              <w:overflowPunct/>
              <w:autoSpaceDE/>
              <w:autoSpaceDN/>
              <w:adjustRightInd/>
              <w:spacing w:before="0"/>
              <w:jc w:val="right"/>
              <w:textAlignment w:val="auto"/>
              <w:rPr>
                <w:rFonts w:cs="Calibri"/>
                <w:sz w:val="22"/>
                <w:szCs w:val="22"/>
                <w:lang w:val="en-US"/>
              </w:rPr>
            </w:pPr>
            <w:r w:rsidRPr="00171093">
              <w:rPr>
                <w:rFonts w:cs="Calibri"/>
                <w:sz w:val="22"/>
                <w:szCs w:val="22"/>
                <w:lang w:val="en-US"/>
              </w:rPr>
              <w:t>2</w:t>
            </w:r>
            <w:r>
              <w:rPr>
                <w:rFonts w:cs="Calibri"/>
                <w:sz w:val="22"/>
                <w:szCs w:val="22"/>
                <w:lang w:val="en-US"/>
              </w:rPr>
              <w:t> </w:t>
            </w:r>
            <w:r w:rsidRPr="00171093">
              <w:rPr>
                <w:rFonts w:cs="Calibri"/>
                <w:sz w:val="22"/>
                <w:szCs w:val="22"/>
                <w:lang w:val="en-US"/>
              </w:rPr>
              <w:t>029.74</w:t>
            </w:r>
          </w:p>
        </w:tc>
      </w:tr>
      <w:tr w:rsidR="004C18AD" w:rsidRPr="00171093" w14:paraId="7356B37A" w14:textId="77777777" w:rsidTr="00042C67">
        <w:trPr>
          <w:trHeight w:val="300"/>
          <w:jc w:val="center"/>
        </w:trPr>
        <w:tc>
          <w:tcPr>
            <w:tcW w:w="2965" w:type="dxa"/>
            <w:tcBorders>
              <w:top w:val="nil"/>
              <w:left w:val="single" w:sz="4" w:space="0" w:color="auto"/>
              <w:bottom w:val="nil"/>
              <w:right w:val="single" w:sz="4" w:space="0" w:color="auto"/>
            </w:tcBorders>
            <w:shd w:val="clear" w:color="auto" w:fill="auto"/>
            <w:noWrap/>
            <w:hideMark/>
          </w:tcPr>
          <w:p w14:paraId="1F53611B"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cs="Calibri" w:hint="eastAsia"/>
                <w:b/>
                <w:bCs/>
                <w:sz w:val="22"/>
                <w:szCs w:val="22"/>
                <w:lang w:val="en-US" w:eastAsia="zh-CN"/>
              </w:rPr>
              <w:t>沙特阿拉伯</w:t>
            </w:r>
          </w:p>
        </w:tc>
        <w:tc>
          <w:tcPr>
            <w:tcW w:w="4140" w:type="dxa"/>
            <w:tcBorders>
              <w:top w:val="nil"/>
              <w:left w:val="nil"/>
              <w:bottom w:val="nil"/>
              <w:right w:val="single" w:sz="4" w:space="0" w:color="auto"/>
            </w:tcBorders>
            <w:shd w:val="clear" w:color="auto" w:fill="auto"/>
            <w:noWrap/>
            <w:hideMark/>
          </w:tcPr>
          <w:p w14:paraId="5CC1031A"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hint="eastAsia"/>
                <w:sz w:val="22"/>
                <w:szCs w:val="22"/>
              </w:rPr>
              <w:t>沙特电信，利雅得</w:t>
            </w:r>
          </w:p>
        </w:tc>
        <w:tc>
          <w:tcPr>
            <w:tcW w:w="1170" w:type="dxa"/>
            <w:tcBorders>
              <w:top w:val="nil"/>
              <w:left w:val="nil"/>
              <w:bottom w:val="nil"/>
              <w:right w:val="single" w:sz="4" w:space="0" w:color="auto"/>
            </w:tcBorders>
            <w:shd w:val="clear" w:color="auto" w:fill="auto"/>
            <w:noWrap/>
            <w:hideMark/>
          </w:tcPr>
          <w:p w14:paraId="73A0E26B"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val="en-US"/>
              </w:rPr>
              <w:t>2010</w:t>
            </w:r>
          </w:p>
        </w:tc>
        <w:tc>
          <w:tcPr>
            <w:tcW w:w="1666" w:type="dxa"/>
            <w:tcBorders>
              <w:top w:val="nil"/>
              <w:left w:val="nil"/>
              <w:bottom w:val="nil"/>
              <w:right w:val="single" w:sz="4" w:space="0" w:color="auto"/>
            </w:tcBorders>
            <w:shd w:val="clear" w:color="auto" w:fill="auto"/>
            <w:noWrap/>
            <w:hideMark/>
          </w:tcPr>
          <w:p w14:paraId="7E1B2B3D" w14:textId="77777777" w:rsidR="004C18AD" w:rsidRPr="00C07F0A" w:rsidRDefault="004C18AD" w:rsidP="00042C67">
            <w:pPr>
              <w:overflowPunct/>
              <w:autoSpaceDE/>
              <w:autoSpaceDN/>
              <w:adjustRightInd/>
              <w:spacing w:before="0"/>
              <w:jc w:val="right"/>
              <w:textAlignment w:val="auto"/>
              <w:rPr>
                <w:rFonts w:cs="Calibri"/>
                <w:sz w:val="22"/>
                <w:szCs w:val="22"/>
                <w:lang w:val="en-US"/>
              </w:rPr>
            </w:pPr>
            <w:r w:rsidRPr="00C07F0A">
              <w:rPr>
                <w:rFonts w:cs="Calibri"/>
                <w:sz w:val="22"/>
                <w:szCs w:val="22"/>
                <w:lang w:val="en-US"/>
              </w:rPr>
              <w:t>62</w:t>
            </w:r>
            <w:r>
              <w:rPr>
                <w:rFonts w:cs="Calibri"/>
                <w:sz w:val="22"/>
                <w:szCs w:val="22"/>
                <w:lang w:val="en-US"/>
              </w:rPr>
              <w:t> </w:t>
            </w:r>
            <w:r w:rsidRPr="00C07F0A">
              <w:rPr>
                <w:rFonts w:cs="Calibri"/>
                <w:sz w:val="22"/>
                <w:szCs w:val="22"/>
                <w:lang w:val="en-US"/>
              </w:rPr>
              <w:t>560.00</w:t>
            </w:r>
          </w:p>
        </w:tc>
      </w:tr>
      <w:tr w:rsidR="004C18AD" w:rsidRPr="00171093" w14:paraId="579ADD95" w14:textId="77777777" w:rsidTr="00042C67">
        <w:trPr>
          <w:trHeight w:val="300"/>
          <w:jc w:val="center"/>
        </w:trPr>
        <w:tc>
          <w:tcPr>
            <w:tcW w:w="2965" w:type="dxa"/>
            <w:tcBorders>
              <w:top w:val="nil"/>
              <w:left w:val="single" w:sz="4" w:space="0" w:color="auto"/>
              <w:bottom w:val="nil"/>
              <w:right w:val="single" w:sz="4" w:space="0" w:color="auto"/>
            </w:tcBorders>
            <w:shd w:val="clear" w:color="auto" w:fill="auto"/>
            <w:noWrap/>
            <w:hideMark/>
          </w:tcPr>
          <w:p w14:paraId="603033F3" w14:textId="77777777" w:rsidR="004C18AD" w:rsidRPr="00C07F0A" w:rsidRDefault="004C18AD" w:rsidP="00042C67">
            <w:pPr>
              <w:overflowPunct/>
              <w:autoSpaceDE/>
              <w:autoSpaceDN/>
              <w:adjustRightInd/>
              <w:spacing w:before="0"/>
              <w:textAlignment w:val="auto"/>
              <w:rPr>
                <w:rFonts w:cs="Calibri"/>
                <w:b/>
                <w:bCs/>
                <w:sz w:val="22"/>
                <w:szCs w:val="22"/>
                <w:lang w:val="en-US"/>
              </w:rPr>
            </w:pPr>
            <w:r w:rsidRPr="00C07F0A">
              <w:rPr>
                <w:rFonts w:cs="Calibri"/>
                <w:b/>
                <w:bCs/>
                <w:sz w:val="22"/>
                <w:szCs w:val="22"/>
                <w:lang w:val="en-US"/>
              </w:rPr>
              <w:t> </w:t>
            </w:r>
          </w:p>
        </w:tc>
        <w:tc>
          <w:tcPr>
            <w:tcW w:w="4140" w:type="dxa"/>
            <w:tcBorders>
              <w:top w:val="nil"/>
              <w:left w:val="nil"/>
              <w:bottom w:val="nil"/>
              <w:right w:val="single" w:sz="4" w:space="0" w:color="auto"/>
            </w:tcBorders>
            <w:shd w:val="clear" w:color="auto" w:fill="auto"/>
            <w:noWrap/>
            <w:hideMark/>
          </w:tcPr>
          <w:p w14:paraId="3445C905"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c>
          <w:tcPr>
            <w:tcW w:w="1170" w:type="dxa"/>
            <w:tcBorders>
              <w:top w:val="nil"/>
              <w:left w:val="nil"/>
              <w:bottom w:val="nil"/>
              <w:right w:val="single" w:sz="4" w:space="0" w:color="auto"/>
            </w:tcBorders>
            <w:shd w:val="clear" w:color="auto" w:fill="auto"/>
            <w:noWrap/>
            <w:hideMark/>
          </w:tcPr>
          <w:p w14:paraId="743D9330" w14:textId="77777777" w:rsidR="004C18AD" w:rsidRPr="00C07F0A" w:rsidRDefault="004C18AD" w:rsidP="00042C67">
            <w:pPr>
              <w:overflowPunct/>
              <w:autoSpaceDE/>
              <w:autoSpaceDN/>
              <w:adjustRightInd/>
              <w:spacing w:before="0"/>
              <w:jc w:val="center"/>
              <w:textAlignment w:val="auto"/>
              <w:rPr>
                <w:rFonts w:cs="Calibri"/>
                <w:sz w:val="22"/>
                <w:szCs w:val="22"/>
                <w:lang w:val="en-US"/>
              </w:rPr>
            </w:pPr>
            <w:r w:rsidRPr="00C07F0A">
              <w:rPr>
                <w:rFonts w:cs="Calibri"/>
                <w:sz w:val="22"/>
                <w:szCs w:val="22"/>
                <w:lang w:val="en-US"/>
              </w:rPr>
              <w:t> </w:t>
            </w:r>
          </w:p>
        </w:tc>
        <w:tc>
          <w:tcPr>
            <w:tcW w:w="1666" w:type="dxa"/>
            <w:tcBorders>
              <w:top w:val="nil"/>
              <w:left w:val="nil"/>
              <w:bottom w:val="nil"/>
              <w:right w:val="single" w:sz="4" w:space="0" w:color="auto"/>
            </w:tcBorders>
            <w:shd w:val="clear" w:color="auto" w:fill="auto"/>
            <w:noWrap/>
            <w:hideMark/>
          </w:tcPr>
          <w:p w14:paraId="7944987D" w14:textId="77777777" w:rsidR="004C18AD" w:rsidRPr="00C07F0A" w:rsidRDefault="004C18AD" w:rsidP="00042C67">
            <w:pPr>
              <w:overflowPunct/>
              <w:autoSpaceDE/>
              <w:autoSpaceDN/>
              <w:adjustRightInd/>
              <w:spacing w:before="0"/>
              <w:textAlignment w:val="auto"/>
              <w:rPr>
                <w:rFonts w:cs="Calibri"/>
                <w:sz w:val="22"/>
                <w:szCs w:val="22"/>
                <w:lang w:val="en-US"/>
              </w:rPr>
            </w:pPr>
            <w:r w:rsidRPr="00C07F0A">
              <w:rPr>
                <w:rFonts w:cs="Calibri"/>
                <w:sz w:val="22"/>
                <w:szCs w:val="22"/>
                <w:lang w:val="en-US"/>
              </w:rPr>
              <w:t> </w:t>
            </w:r>
          </w:p>
        </w:tc>
      </w:tr>
      <w:tr w:rsidR="004C18AD" w:rsidRPr="00171093" w14:paraId="159CCA3B" w14:textId="77777777" w:rsidTr="00042C67">
        <w:trPr>
          <w:trHeight w:val="503"/>
          <w:jc w:val="center"/>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B3385CD" w14:textId="77777777" w:rsidR="004C18AD" w:rsidRPr="00171093" w:rsidRDefault="004C18AD" w:rsidP="00042C67">
            <w:pPr>
              <w:overflowPunct/>
              <w:autoSpaceDE/>
              <w:autoSpaceDN/>
              <w:adjustRightInd/>
              <w:spacing w:before="0"/>
              <w:textAlignment w:val="auto"/>
              <w:rPr>
                <w:rFonts w:cs="Calibri"/>
                <w:b/>
                <w:bCs/>
                <w:sz w:val="22"/>
                <w:szCs w:val="22"/>
                <w:lang w:val="en-US"/>
              </w:rPr>
            </w:pPr>
            <w:r w:rsidRPr="00941029">
              <w:rPr>
                <w:rFonts w:cs="Calibri" w:hint="eastAsia"/>
                <w:b/>
                <w:bCs/>
                <w:sz w:val="22"/>
                <w:szCs w:val="22"/>
                <w:lang w:val="en-US"/>
              </w:rPr>
              <w:t>截至</w:t>
            </w:r>
            <w:r w:rsidRPr="00941029">
              <w:rPr>
                <w:rFonts w:cs="Calibri" w:hint="eastAsia"/>
                <w:b/>
                <w:bCs/>
                <w:sz w:val="22"/>
                <w:szCs w:val="22"/>
                <w:lang w:val="en-US"/>
              </w:rPr>
              <w:t>2021</w:t>
            </w:r>
            <w:r w:rsidRPr="00941029">
              <w:rPr>
                <w:rFonts w:cs="Calibri" w:hint="eastAsia"/>
                <w:b/>
                <w:bCs/>
                <w:sz w:val="22"/>
                <w:szCs w:val="22"/>
                <w:lang w:val="en-US"/>
              </w:rPr>
              <w:t>年</w:t>
            </w:r>
            <w:r w:rsidRPr="00941029">
              <w:rPr>
                <w:rFonts w:cs="Calibri" w:hint="eastAsia"/>
                <w:b/>
                <w:bCs/>
                <w:sz w:val="22"/>
                <w:szCs w:val="22"/>
                <w:lang w:val="en-US"/>
              </w:rPr>
              <w:t>12</w:t>
            </w:r>
            <w:r w:rsidRPr="00941029">
              <w:rPr>
                <w:rFonts w:cs="Calibri" w:hint="eastAsia"/>
                <w:b/>
                <w:bCs/>
                <w:sz w:val="22"/>
                <w:szCs w:val="22"/>
                <w:lang w:val="en-US"/>
              </w:rPr>
              <w:t>月</w:t>
            </w:r>
            <w:r w:rsidRPr="00941029">
              <w:rPr>
                <w:rFonts w:cs="Calibri" w:hint="eastAsia"/>
                <w:b/>
                <w:bCs/>
                <w:sz w:val="22"/>
                <w:szCs w:val="22"/>
                <w:lang w:val="en-US"/>
              </w:rPr>
              <w:t>31</w:t>
            </w:r>
            <w:r w:rsidRPr="00941029">
              <w:rPr>
                <w:rFonts w:cs="Calibri" w:hint="eastAsia"/>
                <w:b/>
                <w:bCs/>
                <w:sz w:val="22"/>
                <w:szCs w:val="22"/>
                <w:lang w:val="en-US"/>
              </w:rPr>
              <w:t>日欠款</w:t>
            </w:r>
            <w:r>
              <w:rPr>
                <w:rFonts w:cs="Calibri" w:hint="eastAsia"/>
                <w:b/>
                <w:bCs/>
                <w:sz w:val="22"/>
                <w:szCs w:val="22"/>
                <w:lang w:val="en-US" w:eastAsia="zh-CN"/>
              </w:rPr>
              <w:t>合计</w:t>
            </w:r>
          </w:p>
        </w:tc>
        <w:tc>
          <w:tcPr>
            <w:tcW w:w="4140" w:type="dxa"/>
            <w:tcBorders>
              <w:top w:val="nil"/>
              <w:left w:val="nil"/>
              <w:bottom w:val="single" w:sz="4" w:space="0" w:color="auto"/>
              <w:right w:val="single" w:sz="4" w:space="0" w:color="auto"/>
            </w:tcBorders>
            <w:shd w:val="clear" w:color="auto" w:fill="auto"/>
            <w:noWrap/>
            <w:vAlign w:val="bottom"/>
            <w:hideMark/>
          </w:tcPr>
          <w:p w14:paraId="32A10029" w14:textId="77777777" w:rsidR="004C18AD" w:rsidRPr="00171093" w:rsidRDefault="004C18AD" w:rsidP="00042C67">
            <w:pPr>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58FF3F1" w14:textId="77777777" w:rsidR="004C18AD" w:rsidRPr="00171093" w:rsidRDefault="004C18AD" w:rsidP="00042C67">
            <w:pPr>
              <w:overflowPunct/>
              <w:autoSpaceDE/>
              <w:autoSpaceDN/>
              <w:adjustRightInd/>
              <w:spacing w:before="0"/>
              <w:textAlignment w:val="auto"/>
              <w:rPr>
                <w:rFonts w:cs="Calibri"/>
                <w:sz w:val="22"/>
                <w:szCs w:val="22"/>
                <w:lang w:val="en-US"/>
              </w:rPr>
            </w:pPr>
            <w:r w:rsidRPr="00171093">
              <w:rPr>
                <w:rFonts w:cs="Calibri"/>
                <w:sz w:val="22"/>
                <w:szCs w:val="22"/>
                <w:lang w:val="en-US"/>
              </w:rPr>
              <w:t> </w:t>
            </w:r>
          </w:p>
        </w:tc>
        <w:tc>
          <w:tcPr>
            <w:tcW w:w="1666" w:type="dxa"/>
            <w:tcBorders>
              <w:top w:val="single" w:sz="4" w:space="0" w:color="auto"/>
              <w:left w:val="nil"/>
              <w:bottom w:val="single" w:sz="4" w:space="0" w:color="auto"/>
              <w:right w:val="single" w:sz="4" w:space="0" w:color="auto"/>
            </w:tcBorders>
            <w:shd w:val="clear" w:color="auto" w:fill="auto"/>
            <w:noWrap/>
            <w:vAlign w:val="bottom"/>
            <w:hideMark/>
          </w:tcPr>
          <w:p w14:paraId="5E8E5697" w14:textId="77777777" w:rsidR="004C18AD" w:rsidRPr="00171093" w:rsidRDefault="004C18AD" w:rsidP="00042C67">
            <w:pPr>
              <w:overflowPunct/>
              <w:autoSpaceDE/>
              <w:autoSpaceDN/>
              <w:adjustRightInd/>
              <w:spacing w:before="0"/>
              <w:jc w:val="right"/>
              <w:textAlignment w:val="auto"/>
              <w:rPr>
                <w:rFonts w:cs="Calibri"/>
                <w:b/>
                <w:bCs/>
                <w:sz w:val="22"/>
                <w:szCs w:val="22"/>
                <w:lang w:val="en-US"/>
              </w:rPr>
            </w:pPr>
            <w:r w:rsidRPr="00171093">
              <w:rPr>
                <w:rFonts w:cs="Calibri"/>
                <w:b/>
                <w:bCs/>
                <w:sz w:val="22"/>
                <w:szCs w:val="22"/>
                <w:lang w:val="en-US"/>
              </w:rPr>
              <w:t>142</w:t>
            </w:r>
            <w:r>
              <w:rPr>
                <w:rFonts w:cs="Calibri"/>
                <w:b/>
                <w:bCs/>
                <w:sz w:val="22"/>
                <w:szCs w:val="22"/>
                <w:lang w:val="en-US"/>
              </w:rPr>
              <w:t> </w:t>
            </w:r>
            <w:r w:rsidRPr="00171093">
              <w:rPr>
                <w:rFonts w:cs="Calibri"/>
                <w:b/>
                <w:bCs/>
                <w:sz w:val="22"/>
                <w:szCs w:val="22"/>
                <w:lang w:val="en-US"/>
              </w:rPr>
              <w:t>776.69</w:t>
            </w:r>
          </w:p>
        </w:tc>
      </w:tr>
    </w:tbl>
    <w:p w14:paraId="3B06F813" w14:textId="77777777" w:rsidR="004C18AD" w:rsidRDefault="004C18AD" w:rsidP="004C18AD"/>
    <w:p w14:paraId="1567C50D" w14:textId="77777777" w:rsidR="004C18AD" w:rsidRDefault="004C18AD" w:rsidP="004C18AD">
      <w:r>
        <w:br w:type="page"/>
      </w:r>
    </w:p>
    <w:tbl>
      <w:tblPr>
        <w:tblW w:w="9506" w:type="dxa"/>
        <w:jc w:val="center"/>
        <w:tblLook w:val="04A0" w:firstRow="1" w:lastRow="0" w:firstColumn="1" w:lastColumn="0" w:noHBand="0" w:noVBand="1"/>
      </w:tblPr>
      <w:tblGrid>
        <w:gridCol w:w="2273"/>
        <w:gridCol w:w="4562"/>
        <w:gridCol w:w="990"/>
        <w:gridCol w:w="1681"/>
      </w:tblGrid>
      <w:tr w:rsidR="004C18AD" w:rsidRPr="003A300A" w14:paraId="01DB925E" w14:textId="77777777" w:rsidTr="00042C67">
        <w:trPr>
          <w:trHeight w:val="600"/>
          <w:jc w:val="center"/>
        </w:trPr>
        <w:tc>
          <w:tcPr>
            <w:tcW w:w="950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8FF3686" w14:textId="77777777" w:rsidR="004C18AD" w:rsidRPr="003A300A" w:rsidRDefault="004C18AD" w:rsidP="00042C67">
            <w:pPr>
              <w:overflowPunct/>
              <w:autoSpaceDE/>
              <w:autoSpaceDN/>
              <w:adjustRightInd/>
              <w:spacing w:after="240"/>
              <w:jc w:val="center"/>
              <w:textAlignment w:val="auto"/>
              <w:rPr>
                <w:rFonts w:cs="Calibri"/>
                <w:b/>
                <w:bCs/>
                <w:szCs w:val="24"/>
                <w:lang w:eastAsia="zh-CN"/>
              </w:rPr>
            </w:pPr>
            <w:r w:rsidRPr="00C07F0A">
              <w:rPr>
                <w:rFonts w:cs="Calibri"/>
                <w:b/>
                <w:bCs/>
                <w:szCs w:val="24"/>
                <w:lang w:val="fr-FR" w:eastAsia="zh-CN"/>
              </w:rPr>
              <w:lastRenderedPageBreak/>
              <w:t>国际通用免费电话号码</w:t>
            </w:r>
            <w:r w:rsidRPr="00C07F0A">
              <w:rPr>
                <w:rFonts w:cs="Calibri"/>
                <w:b/>
                <w:bCs/>
                <w:szCs w:val="24"/>
                <w:lang w:eastAsia="zh-CN"/>
              </w:rPr>
              <w:t>（</w:t>
            </w:r>
            <w:r w:rsidRPr="00C07F0A">
              <w:rPr>
                <w:rFonts w:cs="Calibri"/>
                <w:b/>
                <w:bCs/>
                <w:szCs w:val="24"/>
                <w:lang w:eastAsia="zh-CN"/>
              </w:rPr>
              <w:t>UIFN</w:t>
            </w:r>
            <w:r w:rsidRPr="00C07F0A">
              <w:rPr>
                <w:rFonts w:cs="Calibri"/>
                <w:b/>
                <w:bCs/>
                <w:szCs w:val="24"/>
                <w:lang w:eastAsia="zh-CN"/>
              </w:rPr>
              <w:t>）</w:t>
            </w:r>
            <w:r w:rsidRPr="00C07F0A">
              <w:rPr>
                <w:rFonts w:cs="Calibri" w:hint="eastAsia"/>
                <w:b/>
                <w:bCs/>
                <w:szCs w:val="24"/>
                <w:lang w:eastAsia="zh-CN"/>
              </w:rPr>
              <w:t>发票</w:t>
            </w:r>
            <w:r w:rsidRPr="00C07F0A">
              <w:rPr>
                <w:rFonts w:cs="Calibri" w:hint="eastAsia"/>
                <w:b/>
                <w:bCs/>
                <w:szCs w:val="24"/>
                <w:lang w:val="fr-FR" w:eastAsia="zh-CN"/>
              </w:rPr>
              <w:t>欠款金额</w:t>
            </w:r>
          </w:p>
        </w:tc>
      </w:tr>
      <w:tr w:rsidR="004C18AD" w:rsidRPr="003A300A" w14:paraId="65D0F737" w14:textId="77777777" w:rsidTr="00042C67">
        <w:trPr>
          <w:trHeight w:val="585"/>
          <w:jc w:val="center"/>
        </w:trPr>
        <w:tc>
          <w:tcPr>
            <w:tcW w:w="2273" w:type="dxa"/>
            <w:tcBorders>
              <w:top w:val="nil"/>
              <w:left w:val="single" w:sz="4" w:space="0" w:color="auto"/>
              <w:bottom w:val="single" w:sz="4" w:space="0" w:color="auto"/>
              <w:right w:val="single" w:sz="4" w:space="0" w:color="auto"/>
            </w:tcBorders>
            <w:shd w:val="clear" w:color="000000" w:fill="FFFFFF"/>
            <w:noWrap/>
            <w:vAlign w:val="bottom"/>
            <w:hideMark/>
          </w:tcPr>
          <w:p w14:paraId="5F8AD1E6" w14:textId="77777777" w:rsidR="004C18AD" w:rsidRPr="0076544D" w:rsidRDefault="004C18AD" w:rsidP="0076544D">
            <w:pPr>
              <w:overflowPunct/>
              <w:autoSpaceDE/>
              <w:autoSpaceDN/>
              <w:adjustRightInd/>
              <w:spacing w:before="0"/>
              <w:jc w:val="center"/>
              <w:textAlignment w:val="auto"/>
              <w:rPr>
                <w:b/>
                <w:color w:val="000000"/>
                <w:sz w:val="22"/>
              </w:rPr>
            </w:pPr>
            <w:r w:rsidRPr="000C156A">
              <w:rPr>
                <w:rFonts w:asciiTheme="minorHAnsi" w:eastAsiaTheme="minorEastAsia" w:hAnsiTheme="minorHAnsi" w:cs="Calibri" w:hint="eastAsia"/>
                <w:b/>
                <w:bCs/>
                <w:sz w:val="22"/>
                <w:szCs w:val="22"/>
                <w:lang w:eastAsia="zh-CN"/>
              </w:rPr>
              <w:t>国家</w:t>
            </w:r>
          </w:p>
        </w:tc>
        <w:tc>
          <w:tcPr>
            <w:tcW w:w="4562" w:type="dxa"/>
            <w:tcBorders>
              <w:top w:val="nil"/>
              <w:left w:val="nil"/>
              <w:bottom w:val="single" w:sz="4" w:space="0" w:color="auto"/>
              <w:right w:val="single" w:sz="4" w:space="0" w:color="auto"/>
            </w:tcBorders>
            <w:shd w:val="clear" w:color="000000" w:fill="FFFFFF"/>
            <w:noWrap/>
            <w:vAlign w:val="bottom"/>
            <w:hideMark/>
          </w:tcPr>
          <w:p w14:paraId="6BA355C5" w14:textId="77777777" w:rsidR="004C18AD" w:rsidRPr="0076544D" w:rsidRDefault="004C18AD" w:rsidP="0076544D">
            <w:pPr>
              <w:overflowPunct/>
              <w:autoSpaceDE/>
              <w:autoSpaceDN/>
              <w:adjustRightInd/>
              <w:spacing w:before="0"/>
              <w:jc w:val="center"/>
              <w:textAlignment w:val="auto"/>
              <w:rPr>
                <w:b/>
                <w:color w:val="000000"/>
                <w:sz w:val="22"/>
              </w:rPr>
            </w:pPr>
            <w:r w:rsidRPr="000C156A">
              <w:rPr>
                <w:rFonts w:asciiTheme="minorHAnsi" w:eastAsiaTheme="minorEastAsia" w:hAnsiTheme="minorHAnsi" w:cs="Calibri" w:hint="eastAsia"/>
                <w:b/>
                <w:bCs/>
                <w:sz w:val="22"/>
                <w:szCs w:val="22"/>
              </w:rPr>
              <w:t>运营实体</w:t>
            </w:r>
          </w:p>
        </w:tc>
        <w:tc>
          <w:tcPr>
            <w:tcW w:w="990" w:type="dxa"/>
            <w:tcBorders>
              <w:top w:val="nil"/>
              <w:left w:val="nil"/>
              <w:bottom w:val="single" w:sz="4" w:space="0" w:color="auto"/>
              <w:right w:val="single" w:sz="4" w:space="0" w:color="auto"/>
            </w:tcBorders>
            <w:shd w:val="clear" w:color="000000" w:fill="FFFFFF"/>
            <w:noWrap/>
            <w:vAlign w:val="bottom"/>
            <w:hideMark/>
          </w:tcPr>
          <w:p w14:paraId="741E6904" w14:textId="77777777" w:rsidR="004C18AD" w:rsidRPr="0076544D" w:rsidRDefault="004C18AD" w:rsidP="0076544D">
            <w:pPr>
              <w:overflowPunct/>
              <w:autoSpaceDE/>
              <w:autoSpaceDN/>
              <w:adjustRightInd/>
              <w:spacing w:before="0"/>
              <w:jc w:val="center"/>
              <w:textAlignment w:val="auto"/>
              <w:rPr>
                <w:b/>
                <w:color w:val="000000"/>
                <w:sz w:val="22"/>
              </w:rPr>
            </w:pPr>
            <w:r w:rsidRPr="000C156A">
              <w:rPr>
                <w:rFonts w:asciiTheme="minorHAnsi" w:eastAsiaTheme="minorEastAsia" w:hAnsiTheme="minorHAnsi" w:cs="Calibri" w:hint="eastAsia"/>
                <w:b/>
                <w:bCs/>
                <w:sz w:val="22"/>
                <w:szCs w:val="22"/>
              </w:rPr>
              <w:t>年份</w:t>
            </w:r>
          </w:p>
        </w:tc>
        <w:tc>
          <w:tcPr>
            <w:tcW w:w="1681" w:type="dxa"/>
            <w:tcBorders>
              <w:top w:val="nil"/>
              <w:left w:val="nil"/>
              <w:bottom w:val="single" w:sz="4" w:space="0" w:color="auto"/>
              <w:right w:val="single" w:sz="4" w:space="0" w:color="auto"/>
            </w:tcBorders>
            <w:shd w:val="clear" w:color="000000" w:fill="FFFFFF"/>
            <w:vAlign w:val="bottom"/>
            <w:hideMark/>
          </w:tcPr>
          <w:p w14:paraId="4DAFA16F" w14:textId="77777777" w:rsidR="004C18AD" w:rsidRPr="0076544D" w:rsidRDefault="004C18AD" w:rsidP="0076544D">
            <w:pPr>
              <w:overflowPunct/>
              <w:autoSpaceDE/>
              <w:autoSpaceDN/>
              <w:adjustRightInd/>
              <w:spacing w:before="0"/>
              <w:jc w:val="center"/>
              <w:textAlignment w:val="auto"/>
              <w:rPr>
                <w:b/>
                <w:color w:val="000000"/>
                <w:sz w:val="22"/>
              </w:rPr>
            </w:pPr>
            <w:r w:rsidRPr="000C156A">
              <w:rPr>
                <w:rFonts w:cs="Calibri" w:hint="eastAsia"/>
                <w:b/>
                <w:bCs/>
                <w:sz w:val="22"/>
                <w:szCs w:val="22"/>
                <w:lang w:eastAsia="en-GB"/>
              </w:rPr>
              <w:t>欠款额</w:t>
            </w:r>
            <w:r w:rsidRPr="000C156A">
              <w:rPr>
                <w:rFonts w:cs="Calibri"/>
                <w:b/>
                <w:bCs/>
                <w:sz w:val="22"/>
                <w:szCs w:val="22"/>
                <w:lang w:eastAsia="en-GB"/>
              </w:rPr>
              <w:br/>
            </w:r>
            <w:r w:rsidRPr="000C156A">
              <w:rPr>
                <w:rFonts w:cs="Calibri" w:hint="eastAsia"/>
                <w:b/>
                <w:bCs/>
                <w:sz w:val="22"/>
                <w:szCs w:val="22"/>
                <w:lang w:eastAsia="zh-CN"/>
              </w:rPr>
              <w:t>（瑞郎）</w:t>
            </w:r>
          </w:p>
        </w:tc>
      </w:tr>
      <w:tr w:rsidR="004C18AD" w:rsidRPr="003A300A" w14:paraId="40F6AD52"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1CA8D54B"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阿根廷</w:t>
            </w:r>
          </w:p>
        </w:tc>
        <w:tc>
          <w:tcPr>
            <w:tcW w:w="4562" w:type="dxa"/>
            <w:tcBorders>
              <w:top w:val="nil"/>
              <w:left w:val="nil"/>
              <w:bottom w:val="nil"/>
              <w:right w:val="single" w:sz="4" w:space="0" w:color="auto"/>
            </w:tcBorders>
            <w:shd w:val="clear" w:color="auto" w:fill="auto"/>
            <w:hideMark/>
          </w:tcPr>
          <w:p w14:paraId="140B6FB2" w14:textId="77777777" w:rsidR="004C18AD" w:rsidRPr="003A300A" w:rsidRDefault="004C18AD" w:rsidP="00042C67">
            <w:pPr>
              <w:overflowPunct/>
              <w:autoSpaceDE/>
              <w:autoSpaceDN/>
              <w:adjustRightInd/>
              <w:spacing w:before="0"/>
              <w:textAlignment w:val="auto"/>
              <w:rPr>
                <w:rFonts w:cs="Calibri"/>
                <w:sz w:val="22"/>
                <w:szCs w:val="22"/>
                <w:lang w:val="es-ES" w:eastAsia="en-GB"/>
              </w:rPr>
            </w:pPr>
            <w:r w:rsidRPr="003A300A">
              <w:rPr>
                <w:rFonts w:cs="Calibri"/>
                <w:sz w:val="22"/>
                <w:szCs w:val="22"/>
                <w:lang w:val="es-ES" w:eastAsia="en-GB"/>
              </w:rPr>
              <w:t>Telefónica de Argentina S.A. (TASA)</w:t>
            </w:r>
          </w:p>
        </w:tc>
        <w:tc>
          <w:tcPr>
            <w:tcW w:w="990" w:type="dxa"/>
            <w:tcBorders>
              <w:top w:val="nil"/>
              <w:left w:val="nil"/>
              <w:bottom w:val="nil"/>
              <w:right w:val="single" w:sz="4" w:space="0" w:color="auto"/>
            </w:tcBorders>
            <w:shd w:val="clear" w:color="auto" w:fill="auto"/>
            <w:noWrap/>
            <w:hideMark/>
          </w:tcPr>
          <w:p w14:paraId="15C8C427"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2020</w:t>
            </w:r>
          </w:p>
        </w:tc>
        <w:tc>
          <w:tcPr>
            <w:tcW w:w="1681" w:type="dxa"/>
            <w:tcBorders>
              <w:top w:val="nil"/>
              <w:left w:val="nil"/>
              <w:bottom w:val="nil"/>
              <w:right w:val="single" w:sz="4" w:space="0" w:color="auto"/>
            </w:tcBorders>
            <w:shd w:val="clear" w:color="auto" w:fill="auto"/>
            <w:noWrap/>
            <w:hideMark/>
          </w:tcPr>
          <w:p w14:paraId="5219C064"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200.00</w:t>
            </w:r>
          </w:p>
        </w:tc>
      </w:tr>
      <w:tr w:rsidR="004C18AD" w:rsidRPr="003A300A" w14:paraId="779550E6"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5263F955"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巴西</w:t>
            </w:r>
          </w:p>
        </w:tc>
        <w:tc>
          <w:tcPr>
            <w:tcW w:w="4562" w:type="dxa"/>
            <w:tcBorders>
              <w:top w:val="nil"/>
              <w:left w:val="nil"/>
              <w:bottom w:val="nil"/>
              <w:right w:val="single" w:sz="4" w:space="0" w:color="auto"/>
            </w:tcBorders>
            <w:shd w:val="clear" w:color="auto" w:fill="auto"/>
            <w:hideMark/>
          </w:tcPr>
          <w:p w14:paraId="606103D9"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Telecom Itália Móbile S.p.A. (TIM)</w:t>
            </w:r>
          </w:p>
        </w:tc>
        <w:tc>
          <w:tcPr>
            <w:tcW w:w="990" w:type="dxa"/>
            <w:tcBorders>
              <w:top w:val="nil"/>
              <w:left w:val="nil"/>
              <w:bottom w:val="nil"/>
              <w:right w:val="single" w:sz="4" w:space="0" w:color="auto"/>
            </w:tcBorders>
            <w:shd w:val="clear" w:color="auto" w:fill="auto"/>
            <w:noWrap/>
            <w:hideMark/>
          </w:tcPr>
          <w:p w14:paraId="04DD9119"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431429D3"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4C18AD" w:rsidRPr="003A300A" w14:paraId="506CC2C7"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364D922C"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中国</w:t>
            </w:r>
          </w:p>
        </w:tc>
        <w:tc>
          <w:tcPr>
            <w:tcW w:w="4562" w:type="dxa"/>
            <w:tcBorders>
              <w:top w:val="nil"/>
              <w:left w:val="nil"/>
              <w:bottom w:val="nil"/>
              <w:right w:val="single" w:sz="4" w:space="0" w:color="auto"/>
            </w:tcBorders>
            <w:shd w:val="clear" w:color="auto" w:fill="auto"/>
            <w:hideMark/>
          </w:tcPr>
          <w:p w14:paraId="58ED7D52"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HKBN Enterprise Solutions HK Limited</w:t>
            </w:r>
          </w:p>
        </w:tc>
        <w:tc>
          <w:tcPr>
            <w:tcW w:w="990" w:type="dxa"/>
            <w:tcBorders>
              <w:top w:val="nil"/>
              <w:left w:val="nil"/>
              <w:bottom w:val="nil"/>
              <w:right w:val="single" w:sz="4" w:space="0" w:color="auto"/>
            </w:tcBorders>
            <w:shd w:val="clear" w:color="auto" w:fill="auto"/>
            <w:noWrap/>
            <w:hideMark/>
          </w:tcPr>
          <w:p w14:paraId="29ED9CBD"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1BA2D25C"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400.00</w:t>
            </w:r>
          </w:p>
        </w:tc>
      </w:tr>
      <w:tr w:rsidR="004C18AD" w:rsidRPr="003A300A" w14:paraId="190C53BC"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77791E56"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哥伦比亚</w:t>
            </w:r>
          </w:p>
        </w:tc>
        <w:tc>
          <w:tcPr>
            <w:tcW w:w="4562" w:type="dxa"/>
            <w:tcBorders>
              <w:top w:val="nil"/>
              <w:left w:val="nil"/>
              <w:bottom w:val="nil"/>
              <w:right w:val="single" w:sz="4" w:space="0" w:color="auto"/>
            </w:tcBorders>
            <w:shd w:val="clear" w:color="auto" w:fill="auto"/>
            <w:hideMark/>
          </w:tcPr>
          <w:p w14:paraId="7C8DC578"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Telefónica S.A.</w:t>
            </w:r>
          </w:p>
        </w:tc>
        <w:tc>
          <w:tcPr>
            <w:tcW w:w="990" w:type="dxa"/>
            <w:tcBorders>
              <w:top w:val="nil"/>
              <w:left w:val="nil"/>
              <w:bottom w:val="nil"/>
              <w:right w:val="single" w:sz="4" w:space="0" w:color="auto"/>
            </w:tcBorders>
            <w:shd w:val="clear" w:color="auto" w:fill="auto"/>
            <w:noWrap/>
            <w:hideMark/>
          </w:tcPr>
          <w:p w14:paraId="65DD9317"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0060B4FF"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500.00</w:t>
            </w:r>
          </w:p>
        </w:tc>
      </w:tr>
      <w:tr w:rsidR="004C18AD" w:rsidRPr="003A300A" w14:paraId="1A32F6B0"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08F51683"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法国</w:t>
            </w:r>
          </w:p>
        </w:tc>
        <w:tc>
          <w:tcPr>
            <w:tcW w:w="4562" w:type="dxa"/>
            <w:tcBorders>
              <w:top w:val="nil"/>
              <w:left w:val="nil"/>
              <w:bottom w:val="nil"/>
              <w:right w:val="single" w:sz="4" w:space="0" w:color="auto"/>
            </w:tcBorders>
            <w:shd w:val="clear" w:color="auto" w:fill="auto"/>
            <w:hideMark/>
          </w:tcPr>
          <w:p w14:paraId="3D6D5ED0"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Altice France</w:t>
            </w:r>
          </w:p>
        </w:tc>
        <w:tc>
          <w:tcPr>
            <w:tcW w:w="990" w:type="dxa"/>
            <w:tcBorders>
              <w:top w:val="nil"/>
              <w:left w:val="nil"/>
              <w:bottom w:val="nil"/>
              <w:right w:val="single" w:sz="4" w:space="0" w:color="auto"/>
            </w:tcBorders>
            <w:shd w:val="clear" w:color="auto" w:fill="auto"/>
            <w:noWrap/>
            <w:hideMark/>
          </w:tcPr>
          <w:p w14:paraId="27DB1894"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1B4AA89B"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200.00</w:t>
            </w:r>
          </w:p>
        </w:tc>
      </w:tr>
      <w:tr w:rsidR="004C18AD" w:rsidRPr="003A300A" w14:paraId="07724A6F"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302E7024"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希腊</w:t>
            </w:r>
          </w:p>
        </w:tc>
        <w:tc>
          <w:tcPr>
            <w:tcW w:w="4562" w:type="dxa"/>
            <w:tcBorders>
              <w:top w:val="nil"/>
              <w:left w:val="nil"/>
              <w:bottom w:val="nil"/>
              <w:right w:val="single" w:sz="4" w:space="0" w:color="auto"/>
            </w:tcBorders>
            <w:shd w:val="clear" w:color="auto" w:fill="auto"/>
            <w:hideMark/>
          </w:tcPr>
          <w:p w14:paraId="0090E362"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OTEGLOBE S.A.</w:t>
            </w:r>
          </w:p>
        </w:tc>
        <w:tc>
          <w:tcPr>
            <w:tcW w:w="990" w:type="dxa"/>
            <w:tcBorders>
              <w:top w:val="nil"/>
              <w:left w:val="nil"/>
              <w:bottom w:val="nil"/>
              <w:right w:val="single" w:sz="4" w:space="0" w:color="auto"/>
            </w:tcBorders>
            <w:shd w:val="clear" w:color="auto" w:fill="auto"/>
            <w:noWrap/>
            <w:hideMark/>
          </w:tcPr>
          <w:p w14:paraId="516FD2F5"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2019</w:t>
            </w:r>
          </w:p>
        </w:tc>
        <w:tc>
          <w:tcPr>
            <w:tcW w:w="1681" w:type="dxa"/>
            <w:tcBorders>
              <w:top w:val="nil"/>
              <w:left w:val="nil"/>
              <w:bottom w:val="nil"/>
              <w:right w:val="single" w:sz="4" w:space="0" w:color="auto"/>
            </w:tcBorders>
            <w:shd w:val="clear" w:color="auto" w:fill="auto"/>
            <w:noWrap/>
            <w:hideMark/>
          </w:tcPr>
          <w:p w14:paraId="49FCEF39"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400.00</w:t>
            </w:r>
          </w:p>
        </w:tc>
      </w:tr>
      <w:tr w:rsidR="004C18AD" w:rsidRPr="003A300A" w14:paraId="34B60E0A" w14:textId="77777777" w:rsidTr="00042C67">
        <w:trPr>
          <w:trHeight w:val="576"/>
          <w:jc w:val="center"/>
        </w:trPr>
        <w:tc>
          <w:tcPr>
            <w:tcW w:w="2273" w:type="dxa"/>
            <w:tcBorders>
              <w:top w:val="nil"/>
              <w:left w:val="single" w:sz="4" w:space="0" w:color="auto"/>
              <w:bottom w:val="nil"/>
              <w:right w:val="single" w:sz="4" w:space="0" w:color="auto"/>
            </w:tcBorders>
            <w:shd w:val="clear" w:color="000000" w:fill="FFFFFF"/>
            <w:hideMark/>
          </w:tcPr>
          <w:p w14:paraId="469E26F1"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洪都拉斯</w:t>
            </w:r>
          </w:p>
        </w:tc>
        <w:tc>
          <w:tcPr>
            <w:tcW w:w="4562" w:type="dxa"/>
            <w:tcBorders>
              <w:top w:val="nil"/>
              <w:left w:val="nil"/>
              <w:bottom w:val="nil"/>
              <w:right w:val="single" w:sz="4" w:space="0" w:color="auto"/>
            </w:tcBorders>
            <w:shd w:val="clear" w:color="auto" w:fill="auto"/>
            <w:hideMark/>
          </w:tcPr>
          <w:p w14:paraId="3C48C23E" w14:textId="77777777" w:rsidR="004C18AD" w:rsidRPr="003A300A" w:rsidRDefault="004C18AD" w:rsidP="00042C67">
            <w:pPr>
              <w:overflowPunct/>
              <w:autoSpaceDE/>
              <w:autoSpaceDN/>
              <w:adjustRightInd/>
              <w:spacing w:before="0"/>
              <w:textAlignment w:val="auto"/>
              <w:rPr>
                <w:rFonts w:cs="Calibri"/>
                <w:sz w:val="22"/>
                <w:szCs w:val="22"/>
                <w:lang w:val="es-ES" w:eastAsia="en-GB"/>
              </w:rPr>
            </w:pPr>
            <w:r w:rsidRPr="003A300A">
              <w:rPr>
                <w:rFonts w:cs="Calibri"/>
                <w:sz w:val="22"/>
                <w:szCs w:val="22"/>
                <w:lang w:val="es-ES" w:eastAsia="en-GB"/>
              </w:rPr>
              <w:t>Empresa Hondureña de Telecomunicaciones (HONDUTEL)</w:t>
            </w:r>
          </w:p>
        </w:tc>
        <w:tc>
          <w:tcPr>
            <w:tcW w:w="990" w:type="dxa"/>
            <w:tcBorders>
              <w:top w:val="nil"/>
              <w:left w:val="nil"/>
              <w:bottom w:val="nil"/>
              <w:right w:val="single" w:sz="4" w:space="0" w:color="auto"/>
            </w:tcBorders>
            <w:shd w:val="clear" w:color="auto" w:fill="auto"/>
            <w:noWrap/>
            <w:hideMark/>
          </w:tcPr>
          <w:p w14:paraId="4E50A46E"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06C0FCFC"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4C18AD" w:rsidRPr="003A300A" w14:paraId="7AE194CE"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47455BD7"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爱尔兰</w:t>
            </w:r>
          </w:p>
        </w:tc>
        <w:tc>
          <w:tcPr>
            <w:tcW w:w="4562" w:type="dxa"/>
            <w:tcBorders>
              <w:top w:val="nil"/>
              <w:left w:val="nil"/>
              <w:bottom w:val="nil"/>
              <w:right w:val="single" w:sz="4" w:space="0" w:color="auto"/>
            </w:tcBorders>
            <w:shd w:val="clear" w:color="auto" w:fill="auto"/>
            <w:hideMark/>
          </w:tcPr>
          <w:p w14:paraId="4AE12883"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eircom Limited</w:t>
            </w:r>
          </w:p>
        </w:tc>
        <w:tc>
          <w:tcPr>
            <w:tcW w:w="990" w:type="dxa"/>
            <w:tcBorders>
              <w:top w:val="nil"/>
              <w:left w:val="nil"/>
              <w:bottom w:val="nil"/>
              <w:right w:val="single" w:sz="4" w:space="0" w:color="auto"/>
            </w:tcBorders>
            <w:shd w:val="clear" w:color="auto" w:fill="auto"/>
            <w:noWrap/>
            <w:hideMark/>
          </w:tcPr>
          <w:p w14:paraId="3ADC0886"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2020</w:t>
            </w:r>
          </w:p>
        </w:tc>
        <w:tc>
          <w:tcPr>
            <w:tcW w:w="1681" w:type="dxa"/>
            <w:tcBorders>
              <w:top w:val="nil"/>
              <w:left w:val="nil"/>
              <w:bottom w:val="nil"/>
              <w:right w:val="single" w:sz="4" w:space="0" w:color="auto"/>
            </w:tcBorders>
            <w:shd w:val="clear" w:color="auto" w:fill="auto"/>
            <w:noWrap/>
            <w:hideMark/>
          </w:tcPr>
          <w:p w14:paraId="263FDBD7"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55</w:t>
            </w:r>
            <w:r>
              <w:rPr>
                <w:rFonts w:cs="Calibri"/>
                <w:sz w:val="22"/>
                <w:szCs w:val="22"/>
                <w:lang w:eastAsia="en-GB"/>
              </w:rPr>
              <w:t> </w:t>
            </w:r>
            <w:r w:rsidRPr="003A300A">
              <w:rPr>
                <w:rFonts w:cs="Calibri"/>
                <w:sz w:val="22"/>
                <w:szCs w:val="22"/>
                <w:lang w:eastAsia="en-GB"/>
              </w:rPr>
              <w:t>800.00</w:t>
            </w:r>
          </w:p>
        </w:tc>
      </w:tr>
      <w:tr w:rsidR="004C18AD" w:rsidRPr="003A300A" w14:paraId="583B1604"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3B168A8A"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以色列</w:t>
            </w:r>
          </w:p>
        </w:tc>
        <w:tc>
          <w:tcPr>
            <w:tcW w:w="4562" w:type="dxa"/>
            <w:tcBorders>
              <w:top w:val="nil"/>
              <w:left w:val="nil"/>
              <w:bottom w:val="nil"/>
              <w:right w:val="single" w:sz="4" w:space="0" w:color="auto"/>
            </w:tcBorders>
            <w:shd w:val="clear" w:color="auto" w:fill="auto"/>
            <w:hideMark/>
          </w:tcPr>
          <w:p w14:paraId="6ACD9298"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Bezeq International Ltd.</w:t>
            </w:r>
          </w:p>
        </w:tc>
        <w:tc>
          <w:tcPr>
            <w:tcW w:w="990" w:type="dxa"/>
            <w:tcBorders>
              <w:top w:val="nil"/>
              <w:left w:val="nil"/>
              <w:bottom w:val="nil"/>
              <w:right w:val="single" w:sz="4" w:space="0" w:color="auto"/>
            </w:tcBorders>
            <w:shd w:val="clear" w:color="auto" w:fill="auto"/>
            <w:noWrap/>
            <w:hideMark/>
          </w:tcPr>
          <w:p w14:paraId="6B7DAF7A"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4FC1C8A4"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11</w:t>
            </w:r>
            <w:r>
              <w:rPr>
                <w:rFonts w:cs="Calibri"/>
                <w:sz w:val="22"/>
                <w:szCs w:val="22"/>
                <w:lang w:eastAsia="en-GB"/>
              </w:rPr>
              <w:t> </w:t>
            </w:r>
            <w:r w:rsidRPr="003A300A">
              <w:rPr>
                <w:rFonts w:cs="Calibri"/>
                <w:sz w:val="22"/>
                <w:szCs w:val="22"/>
                <w:lang w:eastAsia="en-GB"/>
              </w:rPr>
              <w:t>200.00</w:t>
            </w:r>
          </w:p>
        </w:tc>
      </w:tr>
      <w:tr w:rsidR="004C18AD" w:rsidRPr="003A300A" w14:paraId="5AFBDE34"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6DC87A81"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意大利</w:t>
            </w:r>
          </w:p>
        </w:tc>
        <w:tc>
          <w:tcPr>
            <w:tcW w:w="4562" w:type="dxa"/>
            <w:tcBorders>
              <w:top w:val="nil"/>
              <w:left w:val="nil"/>
              <w:bottom w:val="nil"/>
              <w:right w:val="single" w:sz="4" w:space="0" w:color="auto"/>
            </w:tcBorders>
            <w:shd w:val="clear" w:color="auto" w:fill="auto"/>
            <w:hideMark/>
          </w:tcPr>
          <w:p w14:paraId="3F10AC03"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Eutelia S.p.A.</w:t>
            </w:r>
          </w:p>
        </w:tc>
        <w:tc>
          <w:tcPr>
            <w:tcW w:w="990" w:type="dxa"/>
            <w:tcBorders>
              <w:top w:val="nil"/>
              <w:left w:val="nil"/>
              <w:bottom w:val="nil"/>
              <w:right w:val="single" w:sz="4" w:space="0" w:color="auto"/>
            </w:tcBorders>
            <w:shd w:val="clear" w:color="auto" w:fill="auto"/>
            <w:noWrap/>
            <w:hideMark/>
          </w:tcPr>
          <w:p w14:paraId="7DA3C062"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0E1872E1"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w:t>
            </w:r>
            <w:r>
              <w:rPr>
                <w:rFonts w:cs="Calibri"/>
                <w:sz w:val="22"/>
                <w:szCs w:val="22"/>
                <w:lang w:eastAsia="en-GB"/>
              </w:rPr>
              <w:t> </w:t>
            </w:r>
            <w:r w:rsidRPr="003A300A">
              <w:rPr>
                <w:rFonts w:cs="Calibri"/>
                <w:sz w:val="22"/>
                <w:szCs w:val="22"/>
                <w:lang w:eastAsia="en-GB"/>
              </w:rPr>
              <w:t>000.00</w:t>
            </w:r>
          </w:p>
        </w:tc>
      </w:tr>
      <w:tr w:rsidR="004C18AD" w:rsidRPr="003A300A" w14:paraId="5B6619B2"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0B886123"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哈萨克斯坦</w:t>
            </w:r>
          </w:p>
        </w:tc>
        <w:tc>
          <w:tcPr>
            <w:tcW w:w="4562" w:type="dxa"/>
            <w:tcBorders>
              <w:top w:val="nil"/>
              <w:left w:val="nil"/>
              <w:bottom w:val="nil"/>
              <w:right w:val="single" w:sz="4" w:space="0" w:color="auto"/>
            </w:tcBorders>
            <w:shd w:val="clear" w:color="auto" w:fill="auto"/>
            <w:hideMark/>
          </w:tcPr>
          <w:p w14:paraId="0A0332F1"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JSC Kazakhtelecom</w:t>
            </w:r>
          </w:p>
        </w:tc>
        <w:tc>
          <w:tcPr>
            <w:tcW w:w="990" w:type="dxa"/>
            <w:tcBorders>
              <w:top w:val="nil"/>
              <w:left w:val="nil"/>
              <w:bottom w:val="nil"/>
              <w:right w:val="single" w:sz="4" w:space="0" w:color="auto"/>
            </w:tcBorders>
            <w:shd w:val="clear" w:color="auto" w:fill="auto"/>
            <w:noWrap/>
            <w:hideMark/>
          </w:tcPr>
          <w:p w14:paraId="37C5F602"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2020</w:t>
            </w:r>
          </w:p>
        </w:tc>
        <w:tc>
          <w:tcPr>
            <w:tcW w:w="1681" w:type="dxa"/>
            <w:tcBorders>
              <w:top w:val="nil"/>
              <w:left w:val="nil"/>
              <w:bottom w:val="nil"/>
              <w:right w:val="single" w:sz="4" w:space="0" w:color="auto"/>
            </w:tcBorders>
            <w:shd w:val="clear" w:color="auto" w:fill="auto"/>
            <w:noWrap/>
            <w:hideMark/>
          </w:tcPr>
          <w:p w14:paraId="407B75E1"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4C18AD" w:rsidRPr="003A300A" w14:paraId="030AAC23"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76F49D26"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拉脱维亚</w:t>
            </w:r>
          </w:p>
        </w:tc>
        <w:tc>
          <w:tcPr>
            <w:tcW w:w="4562" w:type="dxa"/>
            <w:tcBorders>
              <w:top w:val="nil"/>
              <w:left w:val="nil"/>
              <w:bottom w:val="nil"/>
              <w:right w:val="single" w:sz="4" w:space="0" w:color="auto"/>
            </w:tcBorders>
            <w:shd w:val="clear" w:color="auto" w:fill="auto"/>
            <w:hideMark/>
          </w:tcPr>
          <w:p w14:paraId="213DB2B1"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SIA LATTELEKOM</w:t>
            </w:r>
          </w:p>
        </w:tc>
        <w:tc>
          <w:tcPr>
            <w:tcW w:w="990" w:type="dxa"/>
            <w:tcBorders>
              <w:top w:val="nil"/>
              <w:left w:val="nil"/>
              <w:bottom w:val="nil"/>
              <w:right w:val="single" w:sz="4" w:space="0" w:color="auto"/>
            </w:tcBorders>
            <w:shd w:val="clear" w:color="auto" w:fill="auto"/>
            <w:noWrap/>
            <w:hideMark/>
          </w:tcPr>
          <w:p w14:paraId="56FCFBC1"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4252F195"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4C18AD" w:rsidRPr="003A300A" w14:paraId="5B82698E"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4B7A675F"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新西兰</w:t>
            </w:r>
          </w:p>
        </w:tc>
        <w:tc>
          <w:tcPr>
            <w:tcW w:w="4562" w:type="dxa"/>
            <w:tcBorders>
              <w:top w:val="nil"/>
              <w:left w:val="nil"/>
              <w:bottom w:val="nil"/>
              <w:right w:val="single" w:sz="4" w:space="0" w:color="auto"/>
            </w:tcBorders>
            <w:shd w:val="clear" w:color="auto" w:fill="auto"/>
            <w:hideMark/>
          </w:tcPr>
          <w:p w14:paraId="31DC8B3F"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Vodafone New Zealand LTD.</w:t>
            </w:r>
          </w:p>
        </w:tc>
        <w:tc>
          <w:tcPr>
            <w:tcW w:w="990" w:type="dxa"/>
            <w:tcBorders>
              <w:top w:val="nil"/>
              <w:left w:val="nil"/>
              <w:bottom w:val="nil"/>
              <w:right w:val="single" w:sz="4" w:space="0" w:color="auto"/>
            </w:tcBorders>
            <w:shd w:val="clear" w:color="auto" w:fill="auto"/>
            <w:noWrap/>
            <w:hideMark/>
          </w:tcPr>
          <w:p w14:paraId="74D6B14C"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6B5CA066"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4C18AD" w:rsidRPr="003A300A" w14:paraId="4F79D91A"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35185A35"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秘鲁</w:t>
            </w:r>
          </w:p>
        </w:tc>
        <w:tc>
          <w:tcPr>
            <w:tcW w:w="4562" w:type="dxa"/>
            <w:tcBorders>
              <w:top w:val="nil"/>
              <w:left w:val="nil"/>
              <w:bottom w:val="nil"/>
              <w:right w:val="single" w:sz="4" w:space="0" w:color="auto"/>
            </w:tcBorders>
            <w:shd w:val="clear" w:color="auto" w:fill="auto"/>
            <w:hideMark/>
          </w:tcPr>
          <w:p w14:paraId="02497322" w14:textId="77777777" w:rsidR="004C18AD" w:rsidRPr="003A300A" w:rsidRDefault="004C18AD" w:rsidP="00042C67">
            <w:pPr>
              <w:overflowPunct/>
              <w:autoSpaceDE/>
              <w:autoSpaceDN/>
              <w:adjustRightInd/>
              <w:spacing w:before="0"/>
              <w:textAlignment w:val="auto"/>
              <w:rPr>
                <w:rFonts w:cs="Calibri"/>
                <w:sz w:val="22"/>
                <w:szCs w:val="22"/>
                <w:lang w:val="es-ES" w:eastAsia="en-GB"/>
              </w:rPr>
            </w:pPr>
            <w:r w:rsidRPr="003A300A">
              <w:rPr>
                <w:rFonts w:cs="Calibri"/>
                <w:sz w:val="22"/>
                <w:szCs w:val="22"/>
                <w:lang w:val="es-ES" w:eastAsia="en-GB"/>
              </w:rPr>
              <w:t>Telefónica del Perú S.A.A.</w:t>
            </w:r>
          </w:p>
        </w:tc>
        <w:tc>
          <w:tcPr>
            <w:tcW w:w="990" w:type="dxa"/>
            <w:tcBorders>
              <w:top w:val="nil"/>
              <w:left w:val="nil"/>
              <w:bottom w:val="nil"/>
              <w:right w:val="single" w:sz="4" w:space="0" w:color="auto"/>
            </w:tcBorders>
            <w:shd w:val="clear" w:color="auto" w:fill="auto"/>
            <w:noWrap/>
            <w:hideMark/>
          </w:tcPr>
          <w:p w14:paraId="56D28497"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65357943"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300.00</w:t>
            </w:r>
          </w:p>
        </w:tc>
      </w:tr>
      <w:tr w:rsidR="004C18AD" w:rsidRPr="003A300A" w14:paraId="6F8589AE"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108AAB84"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西班牙</w:t>
            </w:r>
          </w:p>
        </w:tc>
        <w:tc>
          <w:tcPr>
            <w:tcW w:w="4562" w:type="dxa"/>
            <w:tcBorders>
              <w:top w:val="nil"/>
              <w:left w:val="nil"/>
              <w:bottom w:val="nil"/>
              <w:right w:val="single" w:sz="4" w:space="0" w:color="auto"/>
            </w:tcBorders>
            <w:shd w:val="clear" w:color="auto" w:fill="auto"/>
            <w:hideMark/>
          </w:tcPr>
          <w:p w14:paraId="32E29E1A"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Telecable de Asturias SA</w:t>
            </w:r>
          </w:p>
        </w:tc>
        <w:tc>
          <w:tcPr>
            <w:tcW w:w="990" w:type="dxa"/>
            <w:tcBorders>
              <w:top w:val="nil"/>
              <w:left w:val="nil"/>
              <w:bottom w:val="nil"/>
              <w:right w:val="single" w:sz="4" w:space="0" w:color="auto"/>
            </w:tcBorders>
            <w:shd w:val="clear" w:color="auto" w:fill="auto"/>
            <w:noWrap/>
            <w:hideMark/>
          </w:tcPr>
          <w:p w14:paraId="3AD8194C"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0F4F47E3"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4C18AD" w:rsidRPr="003A300A" w14:paraId="3B271997"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70FFDD95"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英国</w:t>
            </w:r>
          </w:p>
        </w:tc>
        <w:tc>
          <w:tcPr>
            <w:tcW w:w="4562" w:type="dxa"/>
            <w:tcBorders>
              <w:top w:val="nil"/>
              <w:left w:val="nil"/>
              <w:bottom w:val="nil"/>
              <w:right w:val="single" w:sz="4" w:space="0" w:color="auto"/>
            </w:tcBorders>
            <w:shd w:val="clear" w:color="auto" w:fill="auto"/>
            <w:hideMark/>
          </w:tcPr>
          <w:p w14:paraId="22E48342"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KCOM</w:t>
            </w:r>
          </w:p>
        </w:tc>
        <w:tc>
          <w:tcPr>
            <w:tcW w:w="990" w:type="dxa"/>
            <w:tcBorders>
              <w:top w:val="nil"/>
              <w:left w:val="nil"/>
              <w:bottom w:val="nil"/>
              <w:right w:val="single" w:sz="4" w:space="0" w:color="auto"/>
            </w:tcBorders>
            <w:shd w:val="clear" w:color="auto" w:fill="auto"/>
            <w:noWrap/>
            <w:hideMark/>
          </w:tcPr>
          <w:p w14:paraId="338C44A2"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2731C389"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500.00</w:t>
            </w:r>
          </w:p>
        </w:tc>
      </w:tr>
      <w:tr w:rsidR="004C18AD" w:rsidRPr="003A300A" w14:paraId="6EE5BA28"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660D7FE2"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4562" w:type="dxa"/>
            <w:tcBorders>
              <w:top w:val="nil"/>
              <w:left w:val="nil"/>
              <w:bottom w:val="nil"/>
              <w:right w:val="single" w:sz="4" w:space="0" w:color="auto"/>
            </w:tcBorders>
            <w:shd w:val="clear" w:color="auto" w:fill="auto"/>
            <w:hideMark/>
          </w:tcPr>
          <w:p w14:paraId="2EEFECA0"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PTGI International Carrier Services Ltd.</w:t>
            </w:r>
          </w:p>
        </w:tc>
        <w:tc>
          <w:tcPr>
            <w:tcW w:w="990" w:type="dxa"/>
            <w:tcBorders>
              <w:top w:val="nil"/>
              <w:left w:val="nil"/>
              <w:bottom w:val="nil"/>
              <w:right w:val="single" w:sz="4" w:space="0" w:color="auto"/>
            </w:tcBorders>
            <w:shd w:val="clear" w:color="auto" w:fill="auto"/>
            <w:noWrap/>
            <w:hideMark/>
          </w:tcPr>
          <w:p w14:paraId="455582B4"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7C83FF4A"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300.00</w:t>
            </w:r>
          </w:p>
        </w:tc>
      </w:tr>
      <w:tr w:rsidR="004C18AD" w:rsidRPr="003A300A" w14:paraId="079E6060"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7E238F88"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美国</w:t>
            </w:r>
          </w:p>
        </w:tc>
        <w:tc>
          <w:tcPr>
            <w:tcW w:w="4562" w:type="dxa"/>
            <w:tcBorders>
              <w:top w:val="nil"/>
              <w:left w:val="nil"/>
              <w:bottom w:val="nil"/>
              <w:right w:val="single" w:sz="4" w:space="0" w:color="auto"/>
            </w:tcBorders>
            <w:shd w:val="clear" w:color="auto" w:fill="auto"/>
            <w:hideMark/>
          </w:tcPr>
          <w:p w14:paraId="3546501D"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ComoreTel Holdings Ltd.</w:t>
            </w:r>
          </w:p>
        </w:tc>
        <w:tc>
          <w:tcPr>
            <w:tcW w:w="990" w:type="dxa"/>
            <w:tcBorders>
              <w:top w:val="nil"/>
              <w:left w:val="nil"/>
              <w:bottom w:val="nil"/>
              <w:right w:val="single" w:sz="4" w:space="0" w:color="auto"/>
            </w:tcBorders>
            <w:shd w:val="clear" w:color="auto" w:fill="auto"/>
            <w:noWrap/>
            <w:hideMark/>
          </w:tcPr>
          <w:p w14:paraId="657C3E2D"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2019</w:t>
            </w:r>
          </w:p>
        </w:tc>
        <w:tc>
          <w:tcPr>
            <w:tcW w:w="1681" w:type="dxa"/>
            <w:tcBorders>
              <w:top w:val="nil"/>
              <w:left w:val="nil"/>
              <w:bottom w:val="nil"/>
              <w:right w:val="single" w:sz="4" w:space="0" w:color="auto"/>
            </w:tcBorders>
            <w:shd w:val="clear" w:color="auto" w:fill="auto"/>
            <w:noWrap/>
            <w:hideMark/>
          </w:tcPr>
          <w:p w14:paraId="6A6A35C9"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100.00</w:t>
            </w:r>
          </w:p>
        </w:tc>
      </w:tr>
      <w:tr w:rsidR="004C18AD" w:rsidRPr="003A300A" w14:paraId="2A2F8297"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61E3FC1E"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4562" w:type="dxa"/>
            <w:tcBorders>
              <w:top w:val="nil"/>
              <w:left w:val="nil"/>
              <w:bottom w:val="nil"/>
              <w:right w:val="single" w:sz="4" w:space="0" w:color="auto"/>
            </w:tcBorders>
            <w:shd w:val="clear" w:color="auto" w:fill="auto"/>
            <w:hideMark/>
          </w:tcPr>
          <w:p w14:paraId="024C026A"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International Telecom Ltd.</w:t>
            </w:r>
          </w:p>
        </w:tc>
        <w:tc>
          <w:tcPr>
            <w:tcW w:w="990" w:type="dxa"/>
            <w:tcBorders>
              <w:top w:val="nil"/>
              <w:left w:val="nil"/>
              <w:bottom w:val="nil"/>
              <w:right w:val="single" w:sz="4" w:space="0" w:color="auto"/>
            </w:tcBorders>
            <w:shd w:val="clear" w:color="auto" w:fill="auto"/>
            <w:noWrap/>
            <w:hideMark/>
          </w:tcPr>
          <w:p w14:paraId="3905451F"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2018</w:t>
            </w:r>
          </w:p>
        </w:tc>
        <w:tc>
          <w:tcPr>
            <w:tcW w:w="1681" w:type="dxa"/>
            <w:tcBorders>
              <w:top w:val="nil"/>
              <w:left w:val="nil"/>
              <w:bottom w:val="nil"/>
              <w:right w:val="single" w:sz="4" w:space="0" w:color="auto"/>
            </w:tcBorders>
            <w:shd w:val="clear" w:color="auto" w:fill="auto"/>
            <w:noWrap/>
            <w:hideMark/>
          </w:tcPr>
          <w:p w14:paraId="1A397AFA"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5</w:t>
            </w:r>
            <w:r>
              <w:rPr>
                <w:rFonts w:cs="Calibri"/>
                <w:sz w:val="22"/>
                <w:szCs w:val="22"/>
                <w:lang w:eastAsia="en-GB"/>
              </w:rPr>
              <w:t> </w:t>
            </w:r>
            <w:r w:rsidRPr="003A300A">
              <w:rPr>
                <w:rFonts w:cs="Calibri"/>
                <w:sz w:val="22"/>
                <w:szCs w:val="22"/>
                <w:lang w:eastAsia="en-GB"/>
              </w:rPr>
              <w:t>600.00</w:t>
            </w:r>
          </w:p>
        </w:tc>
      </w:tr>
      <w:tr w:rsidR="004C18AD" w:rsidRPr="003A300A" w14:paraId="42191544" w14:textId="77777777" w:rsidTr="00042C67">
        <w:trPr>
          <w:trHeight w:val="288"/>
          <w:jc w:val="center"/>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7BB1B66A" w14:textId="77777777" w:rsidR="004C18AD" w:rsidRPr="003A300A" w:rsidRDefault="004C18AD" w:rsidP="00042C67">
            <w:pPr>
              <w:overflowPunct/>
              <w:autoSpaceDE/>
              <w:autoSpaceDN/>
              <w:adjustRightInd/>
              <w:spacing w:before="0"/>
              <w:textAlignment w:val="auto"/>
              <w:rPr>
                <w:rFonts w:ascii="Times New Roman" w:hAnsi="Times New Roman"/>
                <w:sz w:val="16"/>
                <w:szCs w:val="16"/>
                <w:lang w:eastAsia="en-GB"/>
              </w:rPr>
            </w:pPr>
            <w:r w:rsidRPr="003A300A">
              <w:rPr>
                <w:rFonts w:ascii="Times New Roman" w:hAnsi="Times New Roman"/>
                <w:sz w:val="16"/>
                <w:szCs w:val="16"/>
                <w:lang w:eastAsia="en-GB"/>
              </w:rPr>
              <w:t> </w:t>
            </w:r>
          </w:p>
        </w:tc>
        <w:tc>
          <w:tcPr>
            <w:tcW w:w="4562" w:type="dxa"/>
            <w:tcBorders>
              <w:top w:val="nil"/>
              <w:left w:val="nil"/>
              <w:bottom w:val="single" w:sz="4" w:space="0" w:color="auto"/>
              <w:right w:val="single" w:sz="4" w:space="0" w:color="auto"/>
            </w:tcBorders>
            <w:shd w:val="clear" w:color="000000" w:fill="FFFFFF"/>
            <w:noWrap/>
            <w:hideMark/>
          </w:tcPr>
          <w:p w14:paraId="6BAFFF5C"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990" w:type="dxa"/>
            <w:tcBorders>
              <w:top w:val="nil"/>
              <w:left w:val="nil"/>
              <w:bottom w:val="single" w:sz="4" w:space="0" w:color="auto"/>
              <w:right w:val="single" w:sz="4" w:space="0" w:color="auto"/>
            </w:tcBorders>
            <w:shd w:val="clear" w:color="000000" w:fill="FFFFFF"/>
            <w:noWrap/>
            <w:hideMark/>
          </w:tcPr>
          <w:p w14:paraId="59E45A31"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 </w:t>
            </w:r>
          </w:p>
        </w:tc>
        <w:tc>
          <w:tcPr>
            <w:tcW w:w="1681" w:type="dxa"/>
            <w:tcBorders>
              <w:top w:val="nil"/>
              <w:left w:val="nil"/>
              <w:bottom w:val="single" w:sz="4" w:space="0" w:color="auto"/>
              <w:right w:val="single" w:sz="4" w:space="0" w:color="auto"/>
            </w:tcBorders>
            <w:shd w:val="clear" w:color="000000" w:fill="FFFFFF"/>
            <w:noWrap/>
            <w:hideMark/>
          </w:tcPr>
          <w:p w14:paraId="2864E7B0"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 </w:t>
            </w:r>
          </w:p>
        </w:tc>
      </w:tr>
      <w:tr w:rsidR="004C18AD" w:rsidRPr="003A300A" w14:paraId="0139EB7A" w14:textId="77777777" w:rsidTr="00042C67">
        <w:trPr>
          <w:trHeight w:val="450"/>
          <w:jc w:val="center"/>
        </w:trPr>
        <w:tc>
          <w:tcPr>
            <w:tcW w:w="2273" w:type="dxa"/>
            <w:tcBorders>
              <w:top w:val="nil"/>
              <w:left w:val="single" w:sz="4" w:space="0" w:color="auto"/>
              <w:bottom w:val="single" w:sz="4" w:space="0" w:color="auto"/>
              <w:right w:val="single" w:sz="4" w:space="0" w:color="auto"/>
            </w:tcBorders>
            <w:shd w:val="clear" w:color="auto" w:fill="auto"/>
            <w:noWrap/>
            <w:hideMark/>
          </w:tcPr>
          <w:p w14:paraId="5751B2BC" w14:textId="77777777" w:rsidR="004C18AD" w:rsidRPr="003A300A" w:rsidRDefault="004C18AD" w:rsidP="00042C67">
            <w:pPr>
              <w:overflowPunct/>
              <w:autoSpaceDE/>
              <w:autoSpaceDN/>
              <w:adjustRightInd/>
              <w:spacing w:before="0"/>
              <w:textAlignment w:val="auto"/>
              <w:rPr>
                <w:rFonts w:cs="Calibri"/>
                <w:b/>
                <w:bCs/>
                <w:color w:val="000000"/>
                <w:sz w:val="22"/>
                <w:szCs w:val="22"/>
                <w:lang w:eastAsia="en-GB"/>
              </w:rPr>
            </w:pPr>
            <w:r w:rsidRPr="00941029">
              <w:rPr>
                <w:rFonts w:cs="Calibri" w:hint="eastAsia"/>
                <w:b/>
                <w:bCs/>
                <w:color w:val="000000"/>
                <w:sz w:val="22"/>
                <w:szCs w:val="22"/>
                <w:lang w:eastAsia="en-GB"/>
              </w:rPr>
              <w:t>截至</w:t>
            </w:r>
            <w:r w:rsidRPr="00941029">
              <w:rPr>
                <w:rFonts w:cs="Calibri" w:hint="eastAsia"/>
                <w:b/>
                <w:bCs/>
                <w:color w:val="000000"/>
                <w:sz w:val="22"/>
                <w:szCs w:val="22"/>
                <w:lang w:eastAsia="en-GB"/>
              </w:rPr>
              <w:t>2021</w:t>
            </w:r>
            <w:r w:rsidRPr="00941029">
              <w:rPr>
                <w:rFonts w:cs="Calibri" w:hint="eastAsia"/>
                <w:b/>
                <w:bCs/>
                <w:color w:val="000000"/>
                <w:sz w:val="22"/>
                <w:szCs w:val="22"/>
                <w:lang w:eastAsia="en-GB"/>
              </w:rPr>
              <w:t>年</w:t>
            </w:r>
            <w:r w:rsidRPr="00941029">
              <w:rPr>
                <w:rFonts w:cs="Calibri" w:hint="eastAsia"/>
                <w:b/>
                <w:bCs/>
                <w:color w:val="000000"/>
                <w:sz w:val="22"/>
                <w:szCs w:val="22"/>
                <w:lang w:eastAsia="en-GB"/>
              </w:rPr>
              <w:t>12</w:t>
            </w:r>
            <w:r w:rsidRPr="00941029">
              <w:rPr>
                <w:rFonts w:cs="Calibri" w:hint="eastAsia"/>
                <w:b/>
                <w:bCs/>
                <w:color w:val="000000"/>
                <w:sz w:val="22"/>
                <w:szCs w:val="22"/>
                <w:lang w:eastAsia="en-GB"/>
              </w:rPr>
              <w:t>月</w:t>
            </w:r>
            <w:r w:rsidRPr="00941029">
              <w:rPr>
                <w:rFonts w:cs="Calibri" w:hint="eastAsia"/>
                <w:b/>
                <w:bCs/>
                <w:color w:val="000000"/>
                <w:sz w:val="22"/>
                <w:szCs w:val="22"/>
                <w:lang w:eastAsia="en-GB"/>
              </w:rPr>
              <w:t>31</w:t>
            </w:r>
            <w:r w:rsidRPr="00941029">
              <w:rPr>
                <w:rFonts w:cs="Calibri" w:hint="eastAsia"/>
                <w:b/>
                <w:bCs/>
                <w:color w:val="000000"/>
                <w:sz w:val="22"/>
                <w:szCs w:val="22"/>
                <w:lang w:eastAsia="en-GB"/>
              </w:rPr>
              <w:t>日欠款</w:t>
            </w:r>
            <w:r>
              <w:rPr>
                <w:rFonts w:cs="Calibri" w:hint="eastAsia"/>
                <w:b/>
                <w:bCs/>
                <w:color w:val="000000"/>
                <w:sz w:val="22"/>
                <w:szCs w:val="22"/>
                <w:lang w:eastAsia="zh-CN"/>
              </w:rPr>
              <w:t>合计</w:t>
            </w:r>
          </w:p>
        </w:tc>
        <w:tc>
          <w:tcPr>
            <w:tcW w:w="4562" w:type="dxa"/>
            <w:tcBorders>
              <w:top w:val="nil"/>
              <w:left w:val="nil"/>
              <w:bottom w:val="single" w:sz="4" w:space="0" w:color="auto"/>
              <w:right w:val="single" w:sz="4" w:space="0" w:color="auto"/>
            </w:tcBorders>
            <w:shd w:val="clear" w:color="auto" w:fill="auto"/>
            <w:noWrap/>
            <w:hideMark/>
          </w:tcPr>
          <w:p w14:paraId="7442B8C0" w14:textId="77777777" w:rsidR="004C18AD" w:rsidRPr="003A300A" w:rsidRDefault="004C18AD" w:rsidP="00042C67">
            <w:pPr>
              <w:overflowPunct/>
              <w:autoSpaceDE/>
              <w:autoSpaceDN/>
              <w:adjustRightInd/>
              <w:spacing w:before="0"/>
              <w:textAlignment w:val="auto"/>
              <w:rPr>
                <w:rFonts w:cs="Calibri"/>
                <w:b/>
                <w:bCs/>
                <w:color w:val="000000"/>
                <w:sz w:val="22"/>
                <w:szCs w:val="22"/>
                <w:lang w:eastAsia="en-GB"/>
              </w:rPr>
            </w:pPr>
            <w:r w:rsidRPr="003A300A">
              <w:rPr>
                <w:rFonts w:cs="Calibri"/>
                <w:b/>
                <w:bCs/>
                <w:color w:val="000000"/>
                <w:sz w:val="22"/>
                <w:szCs w:val="22"/>
                <w:lang w:eastAsia="en-GB"/>
              </w:rPr>
              <w:t> </w:t>
            </w:r>
          </w:p>
        </w:tc>
        <w:tc>
          <w:tcPr>
            <w:tcW w:w="990" w:type="dxa"/>
            <w:tcBorders>
              <w:top w:val="nil"/>
              <w:left w:val="nil"/>
              <w:bottom w:val="single" w:sz="4" w:space="0" w:color="auto"/>
              <w:right w:val="single" w:sz="4" w:space="0" w:color="auto"/>
            </w:tcBorders>
            <w:shd w:val="clear" w:color="auto" w:fill="auto"/>
            <w:noWrap/>
            <w:hideMark/>
          </w:tcPr>
          <w:p w14:paraId="3EB69184"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1681" w:type="dxa"/>
            <w:tcBorders>
              <w:top w:val="nil"/>
              <w:left w:val="nil"/>
              <w:bottom w:val="single" w:sz="4" w:space="0" w:color="auto"/>
              <w:right w:val="single" w:sz="4" w:space="0" w:color="auto"/>
            </w:tcBorders>
            <w:shd w:val="clear" w:color="auto" w:fill="auto"/>
            <w:noWrap/>
            <w:hideMark/>
          </w:tcPr>
          <w:p w14:paraId="7CF940DA" w14:textId="77777777" w:rsidR="004C18AD" w:rsidRPr="003A300A" w:rsidRDefault="004C18AD" w:rsidP="00042C67">
            <w:pPr>
              <w:overflowPunct/>
              <w:autoSpaceDE/>
              <w:autoSpaceDN/>
              <w:adjustRightInd/>
              <w:spacing w:before="0"/>
              <w:jc w:val="right"/>
              <w:textAlignment w:val="auto"/>
              <w:rPr>
                <w:rFonts w:cs="Calibri"/>
                <w:b/>
                <w:bCs/>
                <w:color w:val="000000"/>
                <w:sz w:val="22"/>
                <w:szCs w:val="22"/>
                <w:lang w:eastAsia="en-GB"/>
              </w:rPr>
            </w:pPr>
            <w:r w:rsidRPr="003A300A">
              <w:rPr>
                <w:rFonts w:cs="Calibri"/>
                <w:b/>
                <w:bCs/>
                <w:color w:val="000000"/>
                <w:sz w:val="22"/>
                <w:szCs w:val="22"/>
                <w:lang w:eastAsia="en-GB"/>
              </w:rPr>
              <w:t>77</w:t>
            </w:r>
            <w:r>
              <w:rPr>
                <w:rFonts w:cs="Calibri"/>
                <w:b/>
                <w:bCs/>
                <w:color w:val="000000"/>
                <w:sz w:val="22"/>
                <w:szCs w:val="22"/>
                <w:lang w:eastAsia="en-GB"/>
              </w:rPr>
              <w:t> </w:t>
            </w:r>
            <w:r w:rsidRPr="003A300A">
              <w:rPr>
                <w:rFonts w:cs="Calibri"/>
                <w:b/>
                <w:bCs/>
                <w:color w:val="000000"/>
                <w:sz w:val="22"/>
                <w:szCs w:val="22"/>
                <w:lang w:eastAsia="en-GB"/>
              </w:rPr>
              <w:t>100.00</w:t>
            </w:r>
          </w:p>
        </w:tc>
      </w:tr>
    </w:tbl>
    <w:p w14:paraId="260B5999" w14:textId="77777777" w:rsidR="004C18AD" w:rsidRDefault="004C18AD" w:rsidP="004C18AD"/>
    <w:p w14:paraId="1C7917DB" w14:textId="77777777" w:rsidR="004C18AD" w:rsidRDefault="004C18AD" w:rsidP="004C18AD"/>
    <w:p w14:paraId="6C94E04B" w14:textId="77777777" w:rsidR="004C18AD" w:rsidRDefault="004C18AD" w:rsidP="004C18AD"/>
    <w:tbl>
      <w:tblPr>
        <w:tblW w:w="9506" w:type="dxa"/>
        <w:jc w:val="center"/>
        <w:tblLook w:val="04A0" w:firstRow="1" w:lastRow="0" w:firstColumn="1" w:lastColumn="0" w:noHBand="0" w:noVBand="1"/>
      </w:tblPr>
      <w:tblGrid>
        <w:gridCol w:w="2273"/>
        <w:gridCol w:w="4562"/>
        <w:gridCol w:w="990"/>
        <w:gridCol w:w="1681"/>
      </w:tblGrid>
      <w:tr w:rsidR="004C18AD" w:rsidRPr="003A300A" w14:paraId="23142C6C" w14:textId="77777777" w:rsidTr="00042C67">
        <w:trPr>
          <w:trHeight w:val="612"/>
          <w:jc w:val="center"/>
        </w:trPr>
        <w:tc>
          <w:tcPr>
            <w:tcW w:w="950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66D9A7E" w14:textId="77777777" w:rsidR="004C18AD" w:rsidRPr="003A300A" w:rsidRDefault="004C18AD" w:rsidP="00042C67">
            <w:pPr>
              <w:overflowPunct/>
              <w:autoSpaceDE/>
              <w:autoSpaceDN/>
              <w:adjustRightInd/>
              <w:spacing w:before="0"/>
              <w:jc w:val="center"/>
              <w:textAlignment w:val="auto"/>
              <w:rPr>
                <w:rFonts w:cs="Calibri"/>
                <w:b/>
                <w:bCs/>
                <w:szCs w:val="24"/>
                <w:lang w:eastAsia="zh-CN"/>
              </w:rPr>
            </w:pPr>
            <w:r>
              <w:rPr>
                <w:lang w:eastAsia="zh-CN"/>
              </w:rPr>
              <w:br w:type="page"/>
            </w:r>
            <w:r w:rsidRPr="007A63CA">
              <w:rPr>
                <w:rFonts w:hint="eastAsia"/>
                <w:b/>
                <w:bCs/>
                <w:lang w:eastAsia="zh-CN"/>
              </w:rPr>
              <w:t>全球卫星个人移动通信系统（</w:t>
            </w:r>
            <w:r w:rsidRPr="007A63CA">
              <w:rPr>
                <w:rFonts w:hint="eastAsia"/>
                <w:b/>
                <w:bCs/>
                <w:lang w:eastAsia="zh-CN"/>
              </w:rPr>
              <w:t>GMPCS</w:t>
            </w:r>
            <w:r w:rsidRPr="007A63CA">
              <w:rPr>
                <w:rFonts w:hint="eastAsia"/>
                <w:b/>
                <w:bCs/>
                <w:lang w:eastAsia="zh-CN"/>
              </w:rPr>
              <w:t>）发票欠款金额</w:t>
            </w:r>
          </w:p>
          <w:p w14:paraId="55CC8B98" w14:textId="77777777" w:rsidR="004C18AD" w:rsidRPr="003A300A" w:rsidRDefault="004C18AD" w:rsidP="00042C67">
            <w:pPr>
              <w:overflowPunct/>
              <w:autoSpaceDE/>
              <w:autoSpaceDN/>
              <w:adjustRightInd/>
              <w:jc w:val="center"/>
              <w:textAlignment w:val="auto"/>
              <w:rPr>
                <w:rFonts w:cs="Calibri"/>
                <w:b/>
                <w:bCs/>
                <w:szCs w:val="24"/>
                <w:lang w:eastAsia="zh-CN"/>
              </w:rPr>
            </w:pPr>
          </w:p>
        </w:tc>
      </w:tr>
      <w:tr w:rsidR="004C18AD" w:rsidRPr="003A300A" w14:paraId="61A3C674" w14:textId="77777777" w:rsidTr="00042C67">
        <w:trPr>
          <w:trHeight w:val="576"/>
          <w:jc w:val="center"/>
        </w:trPr>
        <w:tc>
          <w:tcPr>
            <w:tcW w:w="2273" w:type="dxa"/>
            <w:tcBorders>
              <w:top w:val="nil"/>
              <w:left w:val="single" w:sz="4" w:space="0" w:color="auto"/>
              <w:bottom w:val="single" w:sz="4" w:space="0" w:color="auto"/>
              <w:right w:val="single" w:sz="4" w:space="0" w:color="auto"/>
            </w:tcBorders>
            <w:shd w:val="clear" w:color="auto" w:fill="auto"/>
            <w:noWrap/>
            <w:vAlign w:val="bottom"/>
            <w:hideMark/>
          </w:tcPr>
          <w:p w14:paraId="57F8FBC8" w14:textId="77777777" w:rsidR="004C18AD" w:rsidRPr="003A300A" w:rsidRDefault="004C18AD" w:rsidP="00042C67">
            <w:pPr>
              <w:overflowPunct/>
              <w:autoSpaceDE/>
              <w:autoSpaceDN/>
              <w:adjustRightInd/>
              <w:spacing w:before="0" w:after="240"/>
              <w:jc w:val="center"/>
              <w:textAlignment w:val="auto"/>
              <w:rPr>
                <w:rFonts w:cs="Calibri"/>
                <w:b/>
                <w:bCs/>
                <w:sz w:val="22"/>
                <w:szCs w:val="22"/>
                <w:lang w:eastAsia="en-GB"/>
              </w:rPr>
            </w:pPr>
            <w:r w:rsidRPr="000C156A">
              <w:rPr>
                <w:rFonts w:asciiTheme="minorHAnsi" w:eastAsiaTheme="minorEastAsia" w:hAnsiTheme="minorHAnsi" w:cs="Calibri" w:hint="eastAsia"/>
                <w:b/>
                <w:bCs/>
                <w:sz w:val="22"/>
                <w:szCs w:val="22"/>
                <w:lang w:eastAsia="zh-CN"/>
              </w:rPr>
              <w:t>国家</w:t>
            </w:r>
          </w:p>
        </w:tc>
        <w:tc>
          <w:tcPr>
            <w:tcW w:w="4562" w:type="dxa"/>
            <w:tcBorders>
              <w:top w:val="nil"/>
              <w:left w:val="nil"/>
              <w:bottom w:val="single" w:sz="4" w:space="0" w:color="auto"/>
              <w:right w:val="single" w:sz="4" w:space="0" w:color="auto"/>
            </w:tcBorders>
            <w:shd w:val="clear" w:color="auto" w:fill="auto"/>
            <w:noWrap/>
            <w:vAlign w:val="bottom"/>
            <w:hideMark/>
          </w:tcPr>
          <w:p w14:paraId="05E00B9D" w14:textId="77777777" w:rsidR="004C18AD" w:rsidRPr="003A300A" w:rsidRDefault="004C18AD" w:rsidP="00042C67">
            <w:pPr>
              <w:overflowPunct/>
              <w:autoSpaceDE/>
              <w:autoSpaceDN/>
              <w:adjustRightInd/>
              <w:spacing w:before="0" w:after="240"/>
              <w:jc w:val="center"/>
              <w:textAlignment w:val="auto"/>
              <w:rPr>
                <w:rFonts w:cs="Calibri"/>
                <w:b/>
                <w:bCs/>
                <w:sz w:val="22"/>
                <w:szCs w:val="22"/>
                <w:lang w:eastAsia="en-GB"/>
              </w:rPr>
            </w:pPr>
            <w:r w:rsidRPr="000C156A">
              <w:rPr>
                <w:rFonts w:asciiTheme="minorHAnsi" w:eastAsiaTheme="minorEastAsia" w:hAnsiTheme="minorHAnsi" w:cs="Calibri" w:hint="eastAsia"/>
                <w:b/>
                <w:bCs/>
                <w:sz w:val="22"/>
                <w:szCs w:val="22"/>
              </w:rPr>
              <w:t>运营实体</w:t>
            </w:r>
          </w:p>
        </w:tc>
        <w:tc>
          <w:tcPr>
            <w:tcW w:w="990" w:type="dxa"/>
            <w:tcBorders>
              <w:top w:val="nil"/>
              <w:left w:val="nil"/>
              <w:bottom w:val="single" w:sz="4" w:space="0" w:color="auto"/>
              <w:right w:val="single" w:sz="4" w:space="0" w:color="auto"/>
            </w:tcBorders>
            <w:shd w:val="clear" w:color="auto" w:fill="auto"/>
            <w:noWrap/>
            <w:vAlign w:val="bottom"/>
            <w:hideMark/>
          </w:tcPr>
          <w:p w14:paraId="7F2A4559" w14:textId="77777777" w:rsidR="004C18AD" w:rsidRPr="003A300A" w:rsidRDefault="004C18AD" w:rsidP="00042C67">
            <w:pPr>
              <w:overflowPunct/>
              <w:autoSpaceDE/>
              <w:autoSpaceDN/>
              <w:adjustRightInd/>
              <w:spacing w:before="0" w:after="240"/>
              <w:jc w:val="center"/>
              <w:textAlignment w:val="auto"/>
              <w:rPr>
                <w:rFonts w:cs="Calibri"/>
                <w:b/>
                <w:bCs/>
                <w:sz w:val="22"/>
                <w:szCs w:val="22"/>
                <w:lang w:eastAsia="en-GB"/>
              </w:rPr>
            </w:pPr>
            <w:r w:rsidRPr="000C156A">
              <w:rPr>
                <w:rFonts w:asciiTheme="minorHAnsi" w:eastAsiaTheme="minorEastAsia" w:hAnsiTheme="minorHAnsi" w:cs="Calibri" w:hint="eastAsia"/>
                <w:b/>
                <w:bCs/>
                <w:sz w:val="22"/>
                <w:szCs w:val="22"/>
              </w:rPr>
              <w:t>年份</w:t>
            </w:r>
          </w:p>
        </w:tc>
        <w:tc>
          <w:tcPr>
            <w:tcW w:w="1681" w:type="dxa"/>
            <w:tcBorders>
              <w:top w:val="nil"/>
              <w:left w:val="nil"/>
              <w:bottom w:val="single" w:sz="4" w:space="0" w:color="auto"/>
              <w:right w:val="single" w:sz="4" w:space="0" w:color="auto"/>
            </w:tcBorders>
            <w:shd w:val="clear" w:color="auto" w:fill="auto"/>
            <w:vAlign w:val="bottom"/>
            <w:hideMark/>
          </w:tcPr>
          <w:p w14:paraId="13B353D5" w14:textId="77777777" w:rsidR="004C18AD" w:rsidRPr="003A300A" w:rsidRDefault="004C18AD" w:rsidP="00042C67">
            <w:pPr>
              <w:overflowPunct/>
              <w:autoSpaceDE/>
              <w:autoSpaceDN/>
              <w:adjustRightInd/>
              <w:spacing w:before="0" w:after="240"/>
              <w:jc w:val="center"/>
              <w:textAlignment w:val="auto"/>
              <w:rPr>
                <w:rFonts w:cs="Calibri"/>
                <w:b/>
                <w:bCs/>
                <w:sz w:val="22"/>
                <w:szCs w:val="22"/>
                <w:lang w:eastAsia="en-GB"/>
              </w:rPr>
            </w:pPr>
            <w:r w:rsidRPr="000C156A">
              <w:rPr>
                <w:rFonts w:cs="Calibri" w:hint="eastAsia"/>
                <w:b/>
                <w:bCs/>
                <w:sz w:val="22"/>
                <w:szCs w:val="22"/>
                <w:lang w:eastAsia="en-GB"/>
              </w:rPr>
              <w:t>欠款额</w:t>
            </w:r>
            <w:r w:rsidRPr="000C156A">
              <w:rPr>
                <w:rFonts w:cs="Calibri"/>
                <w:b/>
                <w:bCs/>
                <w:sz w:val="22"/>
                <w:szCs w:val="22"/>
                <w:lang w:eastAsia="en-GB"/>
              </w:rPr>
              <w:br/>
            </w:r>
            <w:r w:rsidRPr="000C156A">
              <w:rPr>
                <w:rFonts w:cs="Calibri" w:hint="eastAsia"/>
                <w:b/>
                <w:bCs/>
                <w:sz w:val="22"/>
                <w:szCs w:val="22"/>
                <w:lang w:eastAsia="zh-CN"/>
              </w:rPr>
              <w:t>（瑞郎）</w:t>
            </w:r>
          </w:p>
        </w:tc>
      </w:tr>
      <w:tr w:rsidR="004C18AD" w:rsidRPr="003A300A" w14:paraId="60530C00" w14:textId="77777777" w:rsidTr="00042C67">
        <w:trPr>
          <w:trHeight w:val="288"/>
          <w:jc w:val="center"/>
        </w:trPr>
        <w:tc>
          <w:tcPr>
            <w:tcW w:w="2273" w:type="dxa"/>
            <w:tcBorders>
              <w:top w:val="nil"/>
              <w:left w:val="single" w:sz="4" w:space="0" w:color="auto"/>
              <w:bottom w:val="nil"/>
              <w:right w:val="single" w:sz="4" w:space="0" w:color="auto"/>
            </w:tcBorders>
            <w:shd w:val="clear" w:color="000000" w:fill="FFFFFF"/>
            <w:hideMark/>
          </w:tcPr>
          <w:p w14:paraId="63013332" w14:textId="77777777" w:rsidR="004C18AD" w:rsidRPr="003A300A" w:rsidRDefault="004C18AD" w:rsidP="00042C67">
            <w:pPr>
              <w:overflowPunct/>
              <w:autoSpaceDE/>
              <w:autoSpaceDN/>
              <w:adjustRightInd/>
              <w:spacing w:before="0"/>
              <w:textAlignment w:val="auto"/>
              <w:rPr>
                <w:rFonts w:cs="Calibri"/>
                <w:sz w:val="22"/>
                <w:szCs w:val="22"/>
                <w:lang w:eastAsia="en-GB"/>
              </w:rPr>
            </w:pPr>
            <w:r>
              <w:rPr>
                <w:rFonts w:cs="Calibri" w:hint="eastAsia"/>
                <w:sz w:val="22"/>
                <w:szCs w:val="22"/>
                <w:lang w:eastAsia="zh-CN"/>
              </w:rPr>
              <w:t>美国</w:t>
            </w:r>
          </w:p>
        </w:tc>
        <w:tc>
          <w:tcPr>
            <w:tcW w:w="4562" w:type="dxa"/>
            <w:tcBorders>
              <w:top w:val="nil"/>
              <w:left w:val="nil"/>
              <w:bottom w:val="nil"/>
              <w:right w:val="single" w:sz="4" w:space="0" w:color="auto"/>
            </w:tcBorders>
            <w:shd w:val="clear" w:color="auto" w:fill="auto"/>
            <w:vAlign w:val="bottom"/>
            <w:hideMark/>
          </w:tcPr>
          <w:p w14:paraId="4015E3F3" w14:textId="77777777" w:rsidR="004C18AD" w:rsidRPr="003A300A" w:rsidRDefault="004C18AD" w:rsidP="00042C67">
            <w:pPr>
              <w:overflowPunct/>
              <w:autoSpaceDE/>
              <w:autoSpaceDN/>
              <w:adjustRightInd/>
              <w:spacing w:before="0"/>
              <w:textAlignment w:val="auto"/>
              <w:rPr>
                <w:rFonts w:cs="Calibri"/>
                <w:sz w:val="22"/>
                <w:szCs w:val="22"/>
                <w:lang w:eastAsia="zh-CN"/>
              </w:rPr>
            </w:pPr>
            <w:r w:rsidRPr="007A63CA">
              <w:rPr>
                <w:rFonts w:cs="Calibri" w:hint="eastAsia"/>
                <w:sz w:val="22"/>
                <w:szCs w:val="22"/>
                <w:lang w:eastAsia="zh-CN"/>
              </w:rPr>
              <w:t>全球星有限公司</w:t>
            </w:r>
            <w:r>
              <w:rPr>
                <w:rFonts w:cs="Calibri" w:hint="eastAsia"/>
                <w:sz w:val="22"/>
                <w:szCs w:val="22"/>
                <w:lang w:eastAsia="zh-CN"/>
              </w:rPr>
              <w:t>，</w:t>
            </w:r>
            <w:r w:rsidRPr="007A63CA">
              <w:rPr>
                <w:rFonts w:cs="Calibri" w:hint="eastAsia"/>
                <w:sz w:val="22"/>
                <w:szCs w:val="22"/>
                <w:lang w:eastAsia="zh-CN"/>
              </w:rPr>
              <w:t>路易斯安那州科</w:t>
            </w:r>
            <w:r>
              <w:rPr>
                <w:rFonts w:cs="Calibri" w:hint="eastAsia"/>
                <w:sz w:val="22"/>
                <w:szCs w:val="22"/>
                <w:lang w:eastAsia="zh-CN"/>
              </w:rPr>
              <w:t>温</w:t>
            </w:r>
            <w:r w:rsidRPr="007A63CA">
              <w:rPr>
                <w:rFonts w:cs="Calibri" w:hint="eastAsia"/>
                <w:sz w:val="22"/>
                <w:szCs w:val="22"/>
                <w:lang w:eastAsia="zh-CN"/>
              </w:rPr>
              <w:t>顿</w:t>
            </w:r>
          </w:p>
        </w:tc>
        <w:tc>
          <w:tcPr>
            <w:tcW w:w="990" w:type="dxa"/>
            <w:tcBorders>
              <w:top w:val="nil"/>
              <w:left w:val="nil"/>
              <w:bottom w:val="nil"/>
              <w:right w:val="single" w:sz="4" w:space="0" w:color="auto"/>
            </w:tcBorders>
            <w:shd w:val="clear" w:color="auto" w:fill="auto"/>
            <w:noWrap/>
            <w:vAlign w:val="bottom"/>
            <w:hideMark/>
          </w:tcPr>
          <w:p w14:paraId="22D6B280"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2020</w:t>
            </w:r>
          </w:p>
        </w:tc>
        <w:tc>
          <w:tcPr>
            <w:tcW w:w="1681" w:type="dxa"/>
            <w:tcBorders>
              <w:top w:val="nil"/>
              <w:left w:val="nil"/>
              <w:bottom w:val="nil"/>
              <w:right w:val="single" w:sz="4" w:space="0" w:color="auto"/>
            </w:tcBorders>
            <w:shd w:val="clear" w:color="auto" w:fill="auto"/>
            <w:noWrap/>
            <w:vAlign w:val="bottom"/>
            <w:hideMark/>
          </w:tcPr>
          <w:p w14:paraId="218AAE72" w14:textId="77777777" w:rsidR="004C18AD" w:rsidRPr="003A300A" w:rsidRDefault="004C18AD" w:rsidP="00042C67">
            <w:pPr>
              <w:overflowPunct/>
              <w:autoSpaceDE/>
              <w:autoSpaceDN/>
              <w:adjustRightInd/>
              <w:spacing w:before="0"/>
              <w:jc w:val="right"/>
              <w:textAlignment w:val="auto"/>
              <w:rPr>
                <w:rFonts w:cs="Calibri"/>
                <w:sz w:val="22"/>
                <w:szCs w:val="22"/>
                <w:lang w:eastAsia="en-GB"/>
              </w:rPr>
            </w:pPr>
            <w:r w:rsidRPr="003A300A">
              <w:rPr>
                <w:rFonts w:cs="Calibri"/>
                <w:sz w:val="22"/>
                <w:szCs w:val="22"/>
                <w:lang w:eastAsia="en-GB"/>
              </w:rPr>
              <w:t>1</w:t>
            </w:r>
            <w:r>
              <w:rPr>
                <w:rFonts w:cs="Calibri"/>
                <w:sz w:val="22"/>
                <w:szCs w:val="22"/>
                <w:lang w:eastAsia="en-GB"/>
              </w:rPr>
              <w:t> </w:t>
            </w:r>
            <w:r w:rsidRPr="003A300A">
              <w:rPr>
                <w:rFonts w:cs="Calibri"/>
                <w:sz w:val="22"/>
                <w:szCs w:val="22"/>
                <w:lang w:eastAsia="en-GB"/>
              </w:rPr>
              <w:t>820.00</w:t>
            </w:r>
          </w:p>
        </w:tc>
      </w:tr>
      <w:tr w:rsidR="004C18AD" w:rsidRPr="003A300A" w14:paraId="1E411AB6" w14:textId="77777777" w:rsidTr="00042C67">
        <w:trPr>
          <w:trHeight w:val="288"/>
          <w:jc w:val="center"/>
        </w:trPr>
        <w:tc>
          <w:tcPr>
            <w:tcW w:w="2273" w:type="dxa"/>
            <w:tcBorders>
              <w:top w:val="nil"/>
              <w:left w:val="single" w:sz="4" w:space="0" w:color="auto"/>
              <w:bottom w:val="nil"/>
              <w:right w:val="single" w:sz="4" w:space="0" w:color="auto"/>
            </w:tcBorders>
            <w:shd w:val="clear" w:color="auto" w:fill="auto"/>
            <w:noWrap/>
            <w:hideMark/>
          </w:tcPr>
          <w:p w14:paraId="6D004BDE" w14:textId="77777777" w:rsidR="004C18AD" w:rsidRPr="003A300A" w:rsidRDefault="004C18AD" w:rsidP="00042C67">
            <w:pPr>
              <w:overflowPunct/>
              <w:autoSpaceDE/>
              <w:autoSpaceDN/>
              <w:adjustRightInd/>
              <w:spacing w:before="0"/>
              <w:textAlignment w:val="auto"/>
              <w:rPr>
                <w:rFonts w:cs="Calibri"/>
                <w:b/>
                <w:bCs/>
                <w:sz w:val="22"/>
                <w:szCs w:val="22"/>
                <w:lang w:eastAsia="en-GB"/>
              </w:rPr>
            </w:pPr>
            <w:r w:rsidRPr="003A300A">
              <w:rPr>
                <w:rFonts w:cs="Calibri"/>
                <w:b/>
                <w:bCs/>
                <w:sz w:val="22"/>
                <w:szCs w:val="22"/>
                <w:lang w:eastAsia="en-GB"/>
              </w:rPr>
              <w:t> </w:t>
            </w:r>
          </w:p>
        </w:tc>
        <w:tc>
          <w:tcPr>
            <w:tcW w:w="4562" w:type="dxa"/>
            <w:tcBorders>
              <w:top w:val="nil"/>
              <w:left w:val="nil"/>
              <w:bottom w:val="nil"/>
              <w:right w:val="single" w:sz="4" w:space="0" w:color="auto"/>
            </w:tcBorders>
            <w:shd w:val="clear" w:color="auto" w:fill="auto"/>
            <w:hideMark/>
          </w:tcPr>
          <w:p w14:paraId="3F6B64C2"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990" w:type="dxa"/>
            <w:tcBorders>
              <w:top w:val="nil"/>
              <w:left w:val="nil"/>
              <w:bottom w:val="nil"/>
              <w:right w:val="single" w:sz="4" w:space="0" w:color="auto"/>
            </w:tcBorders>
            <w:shd w:val="clear" w:color="auto" w:fill="auto"/>
            <w:noWrap/>
            <w:hideMark/>
          </w:tcPr>
          <w:p w14:paraId="1605298A" w14:textId="77777777" w:rsidR="004C18AD" w:rsidRPr="003A300A" w:rsidRDefault="004C18AD" w:rsidP="00042C67">
            <w:pPr>
              <w:overflowPunct/>
              <w:autoSpaceDE/>
              <w:autoSpaceDN/>
              <w:adjustRightInd/>
              <w:spacing w:before="0"/>
              <w:jc w:val="center"/>
              <w:textAlignment w:val="auto"/>
              <w:rPr>
                <w:rFonts w:cs="Calibri"/>
                <w:sz w:val="22"/>
                <w:szCs w:val="22"/>
                <w:lang w:eastAsia="en-GB"/>
              </w:rPr>
            </w:pPr>
            <w:r w:rsidRPr="003A300A">
              <w:rPr>
                <w:rFonts w:cs="Calibri"/>
                <w:sz w:val="22"/>
                <w:szCs w:val="22"/>
                <w:lang w:eastAsia="en-GB"/>
              </w:rPr>
              <w:t> </w:t>
            </w:r>
          </w:p>
        </w:tc>
        <w:tc>
          <w:tcPr>
            <w:tcW w:w="1681" w:type="dxa"/>
            <w:tcBorders>
              <w:top w:val="nil"/>
              <w:left w:val="nil"/>
              <w:bottom w:val="nil"/>
              <w:right w:val="single" w:sz="4" w:space="0" w:color="auto"/>
            </w:tcBorders>
            <w:shd w:val="clear" w:color="auto" w:fill="auto"/>
            <w:noWrap/>
            <w:hideMark/>
          </w:tcPr>
          <w:p w14:paraId="5F175C69"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r>
      <w:tr w:rsidR="004C18AD" w:rsidRPr="003A300A" w14:paraId="461A1A6D" w14:textId="77777777" w:rsidTr="00042C67">
        <w:trPr>
          <w:trHeight w:val="444"/>
          <w:jc w:val="center"/>
        </w:trPr>
        <w:tc>
          <w:tcPr>
            <w:tcW w:w="2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A878B" w14:textId="77777777" w:rsidR="004C18AD" w:rsidRPr="003A300A" w:rsidRDefault="004C18AD" w:rsidP="00042C67">
            <w:pPr>
              <w:overflowPunct/>
              <w:autoSpaceDE/>
              <w:autoSpaceDN/>
              <w:adjustRightInd/>
              <w:spacing w:before="0"/>
              <w:textAlignment w:val="auto"/>
              <w:rPr>
                <w:rFonts w:cs="Calibri"/>
                <w:b/>
                <w:bCs/>
                <w:sz w:val="22"/>
                <w:szCs w:val="22"/>
                <w:lang w:eastAsia="en-GB"/>
              </w:rPr>
            </w:pPr>
            <w:r w:rsidRPr="007A63CA">
              <w:rPr>
                <w:rFonts w:cs="Calibri" w:hint="eastAsia"/>
                <w:b/>
                <w:bCs/>
                <w:sz w:val="22"/>
                <w:szCs w:val="22"/>
                <w:lang w:eastAsia="en-GB"/>
              </w:rPr>
              <w:t>截至</w:t>
            </w:r>
            <w:r w:rsidRPr="007A63CA">
              <w:rPr>
                <w:rFonts w:cs="Calibri" w:hint="eastAsia"/>
                <w:b/>
                <w:bCs/>
                <w:sz w:val="22"/>
                <w:szCs w:val="22"/>
                <w:lang w:eastAsia="en-GB"/>
              </w:rPr>
              <w:t>2021</w:t>
            </w:r>
            <w:r w:rsidRPr="007A63CA">
              <w:rPr>
                <w:rFonts w:cs="Calibri" w:hint="eastAsia"/>
                <w:b/>
                <w:bCs/>
                <w:sz w:val="22"/>
                <w:szCs w:val="22"/>
                <w:lang w:eastAsia="en-GB"/>
              </w:rPr>
              <w:t>年</w:t>
            </w:r>
            <w:r w:rsidRPr="007A63CA">
              <w:rPr>
                <w:rFonts w:cs="Calibri" w:hint="eastAsia"/>
                <w:b/>
                <w:bCs/>
                <w:sz w:val="22"/>
                <w:szCs w:val="22"/>
                <w:lang w:eastAsia="en-GB"/>
              </w:rPr>
              <w:t>12</w:t>
            </w:r>
            <w:r w:rsidRPr="007A63CA">
              <w:rPr>
                <w:rFonts w:cs="Calibri" w:hint="eastAsia"/>
                <w:b/>
                <w:bCs/>
                <w:sz w:val="22"/>
                <w:szCs w:val="22"/>
                <w:lang w:eastAsia="en-GB"/>
              </w:rPr>
              <w:t>月</w:t>
            </w:r>
            <w:r w:rsidRPr="007A63CA">
              <w:rPr>
                <w:rFonts w:cs="Calibri" w:hint="eastAsia"/>
                <w:b/>
                <w:bCs/>
                <w:sz w:val="22"/>
                <w:szCs w:val="22"/>
                <w:lang w:eastAsia="en-GB"/>
              </w:rPr>
              <w:t>31</w:t>
            </w:r>
            <w:r w:rsidRPr="007A63CA">
              <w:rPr>
                <w:rFonts w:cs="Calibri" w:hint="eastAsia"/>
                <w:b/>
                <w:bCs/>
                <w:sz w:val="22"/>
                <w:szCs w:val="22"/>
                <w:lang w:eastAsia="en-GB"/>
              </w:rPr>
              <w:t>日欠款</w:t>
            </w:r>
            <w:r>
              <w:rPr>
                <w:rFonts w:cs="Calibri" w:hint="eastAsia"/>
                <w:b/>
                <w:bCs/>
                <w:sz w:val="22"/>
                <w:szCs w:val="22"/>
                <w:lang w:eastAsia="zh-CN"/>
              </w:rPr>
              <w:t>合计</w:t>
            </w:r>
          </w:p>
        </w:tc>
        <w:tc>
          <w:tcPr>
            <w:tcW w:w="4562" w:type="dxa"/>
            <w:tcBorders>
              <w:top w:val="single" w:sz="4" w:space="0" w:color="auto"/>
              <w:left w:val="nil"/>
              <w:bottom w:val="single" w:sz="4" w:space="0" w:color="auto"/>
              <w:right w:val="single" w:sz="4" w:space="0" w:color="auto"/>
            </w:tcBorders>
            <w:shd w:val="clear" w:color="auto" w:fill="auto"/>
            <w:noWrap/>
            <w:vAlign w:val="bottom"/>
            <w:hideMark/>
          </w:tcPr>
          <w:p w14:paraId="231EA7A7"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A12886F" w14:textId="77777777" w:rsidR="004C18AD" w:rsidRPr="003A300A" w:rsidRDefault="004C18AD" w:rsidP="00042C67">
            <w:pPr>
              <w:overflowPunct/>
              <w:autoSpaceDE/>
              <w:autoSpaceDN/>
              <w:adjustRightInd/>
              <w:spacing w:before="0"/>
              <w:textAlignment w:val="auto"/>
              <w:rPr>
                <w:rFonts w:cs="Calibri"/>
                <w:sz w:val="22"/>
                <w:szCs w:val="22"/>
                <w:lang w:eastAsia="en-GB"/>
              </w:rPr>
            </w:pPr>
            <w:r w:rsidRPr="003A300A">
              <w:rPr>
                <w:rFonts w:cs="Calibri"/>
                <w:sz w:val="22"/>
                <w:szCs w:val="22"/>
                <w:lang w:eastAsia="en-GB"/>
              </w:rPr>
              <w:t> </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14:paraId="6408F133" w14:textId="77777777" w:rsidR="004C18AD" w:rsidRPr="003A300A" w:rsidRDefault="004C18AD" w:rsidP="00042C67">
            <w:pPr>
              <w:overflowPunct/>
              <w:autoSpaceDE/>
              <w:autoSpaceDN/>
              <w:adjustRightInd/>
              <w:spacing w:before="0"/>
              <w:jc w:val="right"/>
              <w:textAlignment w:val="auto"/>
              <w:rPr>
                <w:rFonts w:cs="Calibri"/>
                <w:b/>
                <w:bCs/>
                <w:sz w:val="22"/>
                <w:szCs w:val="22"/>
                <w:lang w:eastAsia="en-GB"/>
              </w:rPr>
            </w:pPr>
            <w:r w:rsidRPr="003A300A">
              <w:rPr>
                <w:rFonts w:cs="Calibri"/>
                <w:b/>
                <w:bCs/>
                <w:sz w:val="22"/>
                <w:szCs w:val="22"/>
                <w:lang w:eastAsia="en-GB"/>
              </w:rPr>
              <w:t>1</w:t>
            </w:r>
            <w:r>
              <w:rPr>
                <w:rFonts w:cs="Calibri"/>
                <w:b/>
                <w:bCs/>
                <w:sz w:val="22"/>
                <w:szCs w:val="22"/>
                <w:lang w:eastAsia="en-GB"/>
              </w:rPr>
              <w:t> </w:t>
            </w:r>
            <w:r w:rsidRPr="003A300A">
              <w:rPr>
                <w:rFonts w:cs="Calibri"/>
                <w:b/>
                <w:bCs/>
                <w:sz w:val="22"/>
                <w:szCs w:val="22"/>
                <w:lang w:eastAsia="en-GB"/>
              </w:rPr>
              <w:t>820.00</w:t>
            </w:r>
          </w:p>
        </w:tc>
      </w:tr>
    </w:tbl>
    <w:p w14:paraId="7274ACD3" w14:textId="77777777" w:rsidR="004C18AD" w:rsidRDefault="004C18AD" w:rsidP="004C18AD"/>
    <w:p w14:paraId="4701C4D1" w14:textId="77777777" w:rsidR="00483BE4" w:rsidRDefault="004C18AD" w:rsidP="004C18AD">
      <w:pPr>
        <w:sectPr w:rsidR="00483BE4" w:rsidSect="00483BE4">
          <w:pgSz w:w="11907" w:h="16834"/>
          <w:pgMar w:top="1418" w:right="1134" w:bottom="1418" w:left="1134" w:header="720" w:footer="720" w:gutter="0"/>
          <w:paperSrc w:first="15" w:other="15"/>
          <w:cols w:space="720"/>
          <w:titlePg/>
          <w:docGrid w:linePitch="326"/>
        </w:sectPr>
      </w:pPr>
      <w:r>
        <w:br w:type="page"/>
      </w:r>
    </w:p>
    <w:p w14:paraId="011703B5" w14:textId="77777777" w:rsidR="004C18AD" w:rsidRDefault="004C18AD" w:rsidP="004C18AD"/>
    <w:p w14:paraId="6AF5DD57" w14:textId="77777777" w:rsidR="004C18AD" w:rsidRPr="0076544D" w:rsidRDefault="004C18AD" w:rsidP="004C18AD">
      <w:pPr>
        <w:pStyle w:val="Tabletitle"/>
        <w:spacing w:before="120" w:after="240"/>
        <w:rPr>
          <w:rFonts w:cs="Microsoft YaHei"/>
          <w:sz w:val="28"/>
          <w:szCs w:val="28"/>
          <w:lang w:eastAsia="zh-CN"/>
        </w:rPr>
      </w:pPr>
      <w:r w:rsidRPr="000C156A">
        <w:rPr>
          <w:rFonts w:cs="Microsoft YaHei" w:hint="eastAsia"/>
          <w:sz w:val="28"/>
          <w:szCs w:val="28"/>
          <w:lang w:val="fr-FR" w:eastAsia="zh-CN"/>
        </w:rPr>
        <w:t>欠款专账欠款金额</w:t>
      </w:r>
      <w:r w:rsidRPr="0076544D">
        <w:rPr>
          <w:rFonts w:cs="Microsoft YaHei" w:hint="eastAsia"/>
          <w:sz w:val="28"/>
          <w:szCs w:val="28"/>
          <w:lang w:eastAsia="zh-CN"/>
        </w:rPr>
        <w:t>（</w:t>
      </w:r>
      <w:r w:rsidRPr="000C156A">
        <w:rPr>
          <w:rFonts w:cs="Microsoft YaHei" w:hint="eastAsia"/>
          <w:sz w:val="28"/>
          <w:szCs w:val="28"/>
          <w:lang w:val="fr-FR" w:eastAsia="zh-CN"/>
        </w:rPr>
        <w:t>还款协议</w:t>
      </w:r>
      <w:r w:rsidRPr="0076544D">
        <w:rPr>
          <w:rFonts w:cs="Microsoft YaHei" w:hint="eastAsia"/>
          <w:sz w:val="28"/>
          <w:szCs w:val="28"/>
          <w:lang w:eastAsia="zh-CN"/>
        </w:rPr>
        <w:t>）</w:t>
      </w:r>
    </w:p>
    <w:tbl>
      <w:tblPr>
        <w:tblW w:w="5000" w:type="pct"/>
        <w:tblLayout w:type="fixed"/>
        <w:tblLook w:val="04A0" w:firstRow="1" w:lastRow="0" w:firstColumn="1" w:lastColumn="0" w:noHBand="0" w:noVBand="1"/>
      </w:tblPr>
      <w:tblGrid>
        <w:gridCol w:w="3450"/>
        <w:gridCol w:w="2193"/>
        <w:gridCol w:w="1441"/>
        <w:gridCol w:w="1841"/>
        <w:gridCol w:w="1418"/>
        <w:gridCol w:w="1161"/>
        <w:gridCol w:w="1175"/>
        <w:gridCol w:w="1309"/>
      </w:tblGrid>
      <w:tr w:rsidR="004C18AD" w:rsidRPr="000C156A" w14:paraId="55E5FFE5" w14:textId="77777777" w:rsidTr="00042C67">
        <w:trPr>
          <w:trHeight w:val="510"/>
        </w:trPr>
        <w:tc>
          <w:tcPr>
            <w:tcW w:w="1233" w:type="pct"/>
            <w:tcBorders>
              <w:top w:val="single" w:sz="4" w:space="0" w:color="auto"/>
              <w:left w:val="single" w:sz="4" w:space="0" w:color="auto"/>
              <w:bottom w:val="nil"/>
              <w:right w:val="nil"/>
            </w:tcBorders>
            <w:shd w:val="clear" w:color="auto" w:fill="auto"/>
            <w:noWrap/>
            <w:vAlign w:val="bottom"/>
            <w:hideMark/>
          </w:tcPr>
          <w:p w14:paraId="75394159"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成员国</w:t>
            </w:r>
            <w:r w:rsidRPr="000C156A">
              <w:rPr>
                <w:rFonts w:eastAsiaTheme="minorEastAsia" w:cs="Calibri"/>
                <w:b/>
                <w:bCs/>
                <w:sz w:val="20"/>
                <w:lang w:eastAsia="en-GB"/>
              </w:rPr>
              <w:t>/</w:t>
            </w:r>
            <w:r w:rsidRPr="000C156A">
              <w:rPr>
                <w:rFonts w:eastAsiaTheme="minorEastAsia" w:cs="Calibri"/>
                <w:b/>
                <w:bCs/>
                <w:sz w:val="20"/>
                <w:lang w:eastAsia="en-GB"/>
              </w:rPr>
              <w:t>部门成员</w:t>
            </w:r>
            <w:r w:rsidRPr="000C156A">
              <w:rPr>
                <w:rFonts w:eastAsiaTheme="minorEastAsia" w:cs="Calibri"/>
                <w:b/>
                <w:bCs/>
                <w:sz w:val="20"/>
                <w:lang w:eastAsia="en-GB"/>
              </w:rPr>
              <w:t>/</w:t>
            </w:r>
          </w:p>
        </w:tc>
        <w:tc>
          <w:tcPr>
            <w:tcW w:w="784" w:type="pct"/>
            <w:tcBorders>
              <w:top w:val="single" w:sz="4" w:space="0" w:color="auto"/>
              <w:left w:val="single" w:sz="4" w:space="0" w:color="auto"/>
              <w:bottom w:val="nil"/>
              <w:right w:val="single" w:sz="4" w:space="0" w:color="auto"/>
            </w:tcBorders>
            <w:shd w:val="clear" w:color="auto" w:fill="auto"/>
            <w:noWrap/>
            <w:vAlign w:val="bottom"/>
            <w:hideMark/>
          </w:tcPr>
          <w:p w14:paraId="308CEA8B"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zh-CN"/>
              </w:rPr>
            </w:pPr>
            <w:r w:rsidRPr="000C156A">
              <w:rPr>
                <w:rFonts w:eastAsiaTheme="minorEastAsia" w:cs="Calibri"/>
                <w:b/>
                <w:bCs/>
                <w:sz w:val="20"/>
                <w:lang w:eastAsia="zh-CN"/>
              </w:rPr>
              <w:t>全权代表大会（</w:t>
            </w:r>
            <w:r w:rsidRPr="000C156A">
              <w:rPr>
                <w:rFonts w:eastAsiaTheme="minorEastAsia" w:cs="Calibri"/>
                <w:b/>
                <w:bCs/>
                <w:sz w:val="20"/>
                <w:lang w:eastAsia="zh-CN"/>
              </w:rPr>
              <w:t>PP</w:t>
            </w:r>
            <w:r w:rsidRPr="000C156A">
              <w:rPr>
                <w:rFonts w:eastAsiaTheme="minorEastAsia" w:cs="Calibri"/>
                <w:b/>
                <w:bCs/>
                <w:sz w:val="20"/>
                <w:lang w:eastAsia="zh-CN"/>
              </w:rPr>
              <w:t>）</w:t>
            </w:r>
          </w:p>
        </w:tc>
        <w:tc>
          <w:tcPr>
            <w:tcW w:w="515" w:type="pct"/>
            <w:tcBorders>
              <w:top w:val="single" w:sz="4" w:space="0" w:color="auto"/>
              <w:left w:val="nil"/>
              <w:bottom w:val="nil"/>
              <w:right w:val="nil"/>
            </w:tcBorders>
            <w:shd w:val="clear" w:color="auto" w:fill="auto"/>
            <w:noWrap/>
            <w:vAlign w:val="bottom"/>
            <w:hideMark/>
          </w:tcPr>
          <w:p w14:paraId="290EB00A"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转至欠款</w:t>
            </w:r>
          </w:p>
        </w:tc>
        <w:tc>
          <w:tcPr>
            <w:tcW w:w="658" w:type="pct"/>
            <w:tcBorders>
              <w:top w:val="single" w:sz="4" w:space="0" w:color="auto"/>
              <w:left w:val="single" w:sz="4" w:space="0" w:color="auto"/>
              <w:bottom w:val="nil"/>
              <w:right w:val="single" w:sz="4" w:space="0" w:color="auto"/>
            </w:tcBorders>
            <w:shd w:val="clear" w:color="auto" w:fill="auto"/>
            <w:noWrap/>
            <w:vAlign w:val="bottom"/>
            <w:hideMark/>
          </w:tcPr>
          <w:p w14:paraId="3384256F"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截至</w:t>
            </w:r>
            <w:r>
              <w:rPr>
                <w:rFonts w:eastAsiaTheme="minorEastAsia" w:cs="Calibri"/>
                <w:b/>
                <w:bCs/>
                <w:sz w:val="20"/>
                <w:lang w:eastAsia="en-GB"/>
              </w:rPr>
              <w:t>20</w:t>
            </w:r>
            <w:r>
              <w:rPr>
                <w:rFonts w:eastAsiaTheme="minorEastAsia" w:cs="Calibri" w:hint="eastAsia"/>
                <w:b/>
                <w:bCs/>
                <w:sz w:val="20"/>
                <w:lang w:eastAsia="zh-CN"/>
              </w:rPr>
              <w:t>21</w:t>
            </w:r>
            <w:r w:rsidRPr="000C156A">
              <w:rPr>
                <w:rFonts w:eastAsiaTheme="minorEastAsia" w:cs="Calibri"/>
                <w:b/>
                <w:bCs/>
                <w:sz w:val="20"/>
                <w:lang w:eastAsia="en-GB"/>
              </w:rPr>
              <w:t>年</w:t>
            </w:r>
            <w:r w:rsidRPr="000C156A">
              <w:rPr>
                <w:rFonts w:eastAsiaTheme="minorEastAsia" w:cs="Calibri"/>
                <w:b/>
                <w:bCs/>
                <w:sz w:val="20"/>
                <w:lang w:eastAsia="en-GB"/>
              </w:rPr>
              <w:t>12</w:t>
            </w:r>
            <w:r w:rsidRPr="000C156A">
              <w:rPr>
                <w:rFonts w:eastAsiaTheme="minorEastAsia" w:cs="Calibri"/>
                <w:b/>
                <w:bCs/>
                <w:sz w:val="20"/>
                <w:lang w:eastAsia="en-GB"/>
              </w:rPr>
              <w:t>月</w:t>
            </w:r>
            <w:r w:rsidRPr="000C156A">
              <w:rPr>
                <w:rFonts w:eastAsiaTheme="minorEastAsia" w:cs="Calibri"/>
                <w:b/>
                <w:bCs/>
                <w:sz w:val="20"/>
                <w:lang w:eastAsia="en-GB"/>
              </w:rPr>
              <w:t>31</w:t>
            </w:r>
            <w:r w:rsidRPr="000C156A">
              <w:rPr>
                <w:rFonts w:eastAsiaTheme="minorEastAsia" w:cs="Calibri"/>
                <w:b/>
                <w:bCs/>
                <w:sz w:val="20"/>
                <w:lang w:eastAsia="en-GB"/>
              </w:rPr>
              <w:t>日</w:t>
            </w:r>
          </w:p>
        </w:tc>
        <w:tc>
          <w:tcPr>
            <w:tcW w:w="507" w:type="pct"/>
            <w:tcBorders>
              <w:top w:val="single" w:sz="4" w:space="0" w:color="auto"/>
              <w:left w:val="nil"/>
              <w:bottom w:val="nil"/>
              <w:right w:val="nil"/>
            </w:tcBorders>
            <w:shd w:val="clear" w:color="auto" w:fill="auto"/>
            <w:vAlign w:val="bottom"/>
            <w:hideMark/>
          </w:tcPr>
          <w:p w14:paraId="6F9CD6D5"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Pr>
                <w:rFonts w:eastAsiaTheme="minorEastAsia" w:cs="Calibri"/>
                <w:b/>
                <w:bCs/>
                <w:sz w:val="20"/>
                <w:lang w:eastAsia="en-GB"/>
              </w:rPr>
              <w:t>202</w:t>
            </w:r>
            <w:r>
              <w:rPr>
                <w:rFonts w:eastAsiaTheme="minorEastAsia" w:cs="Calibri" w:hint="eastAsia"/>
                <w:b/>
                <w:bCs/>
                <w:sz w:val="20"/>
                <w:lang w:eastAsia="zh-CN"/>
              </w:rPr>
              <w:t>1</w:t>
            </w:r>
            <w:r w:rsidRPr="000C156A">
              <w:rPr>
                <w:rFonts w:eastAsiaTheme="minorEastAsia" w:cs="Calibri"/>
                <w:b/>
                <w:bCs/>
                <w:sz w:val="20"/>
                <w:lang w:eastAsia="en-GB"/>
              </w:rPr>
              <w:t>年</w:t>
            </w:r>
          </w:p>
        </w:tc>
        <w:tc>
          <w:tcPr>
            <w:tcW w:w="415" w:type="pct"/>
            <w:tcBorders>
              <w:top w:val="single" w:sz="4" w:space="0" w:color="auto"/>
              <w:left w:val="single" w:sz="4" w:space="0" w:color="auto"/>
              <w:bottom w:val="nil"/>
              <w:right w:val="single" w:sz="4" w:space="0" w:color="auto"/>
            </w:tcBorders>
            <w:shd w:val="clear" w:color="auto" w:fill="auto"/>
            <w:vAlign w:val="bottom"/>
            <w:hideMark/>
          </w:tcPr>
          <w:p w14:paraId="6EEA9C77"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Pr>
                <w:rFonts w:eastAsiaTheme="minorEastAsia" w:cs="Calibri"/>
                <w:b/>
                <w:bCs/>
                <w:sz w:val="20"/>
                <w:lang w:eastAsia="en-GB"/>
              </w:rPr>
              <w:t>202</w:t>
            </w:r>
            <w:r>
              <w:rPr>
                <w:rFonts w:eastAsiaTheme="minorEastAsia" w:cs="Calibri" w:hint="eastAsia"/>
                <w:b/>
                <w:bCs/>
                <w:sz w:val="20"/>
                <w:lang w:eastAsia="zh-CN"/>
              </w:rPr>
              <w:t>1</w:t>
            </w:r>
            <w:r w:rsidRPr="000C156A">
              <w:rPr>
                <w:rFonts w:eastAsiaTheme="minorEastAsia" w:cs="Calibri"/>
                <w:b/>
                <w:bCs/>
                <w:sz w:val="20"/>
                <w:lang w:eastAsia="en-GB"/>
              </w:rPr>
              <w:t>年</w:t>
            </w:r>
          </w:p>
        </w:tc>
        <w:tc>
          <w:tcPr>
            <w:tcW w:w="420" w:type="pct"/>
            <w:tcBorders>
              <w:top w:val="single" w:sz="4" w:space="0" w:color="auto"/>
              <w:left w:val="nil"/>
              <w:bottom w:val="nil"/>
              <w:right w:val="nil"/>
            </w:tcBorders>
            <w:shd w:val="clear" w:color="auto" w:fill="auto"/>
            <w:noWrap/>
            <w:vAlign w:val="bottom"/>
            <w:hideMark/>
          </w:tcPr>
          <w:p w14:paraId="3981816F"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Pr>
                <w:rFonts w:eastAsiaTheme="minorEastAsia" w:cs="Calibri"/>
                <w:b/>
                <w:bCs/>
                <w:sz w:val="20"/>
                <w:lang w:eastAsia="en-GB"/>
              </w:rPr>
              <w:t>202</w:t>
            </w:r>
            <w:r>
              <w:rPr>
                <w:rFonts w:eastAsiaTheme="minorEastAsia" w:cs="Calibri" w:hint="eastAsia"/>
                <w:b/>
                <w:bCs/>
                <w:sz w:val="20"/>
                <w:lang w:eastAsia="zh-CN"/>
              </w:rPr>
              <w:t>1</w:t>
            </w:r>
            <w:r w:rsidRPr="000C156A">
              <w:rPr>
                <w:rFonts w:eastAsiaTheme="minorEastAsia" w:cs="Calibri"/>
                <w:b/>
                <w:bCs/>
                <w:sz w:val="20"/>
                <w:lang w:eastAsia="en-GB"/>
              </w:rPr>
              <w:t>年</w:t>
            </w:r>
          </w:p>
        </w:tc>
        <w:tc>
          <w:tcPr>
            <w:tcW w:w="468" w:type="pct"/>
            <w:tcBorders>
              <w:top w:val="single" w:sz="4" w:space="0" w:color="auto"/>
              <w:left w:val="single" w:sz="4" w:space="0" w:color="auto"/>
              <w:bottom w:val="nil"/>
              <w:right w:val="single" w:sz="4" w:space="0" w:color="auto"/>
            </w:tcBorders>
            <w:shd w:val="clear" w:color="auto" w:fill="auto"/>
            <w:noWrap/>
            <w:vAlign w:val="bottom"/>
            <w:hideMark/>
          </w:tcPr>
          <w:p w14:paraId="384F5112"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截至</w:t>
            </w:r>
            <w:r>
              <w:rPr>
                <w:rFonts w:eastAsiaTheme="minorEastAsia" w:cs="Calibri"/>
                <w:b/>
                <w:bCs/>
                <w:sz w:val="20"/>
                <w:lang w:eastAsia="en-GB"/>
              </w:rPr>
              <w:t>202</w:t>
            </w:r>
            <w:r>
              <w:rPr>
                <w:rFonts w:eastAsiaTheme="minorEastAsia" w:cs="Calibri" w:hint="eastAsia"/>
                <w:b/>
                <w:bCs/>
                <w:sz w:val="20"/>
                <w:lang w:eastAsia="zh-CN"/>
              </w:rPr>
              <w:t>1</w:t>
            </w:r>
            <w:r w:rsidRPr="000C156A">
              <w:rPr>
                <w:rFonts w:eastAsiaTheme="minorEastAsia" w:cs="Calibri"/>
                <w:b/>
                <w:bCs/>
                <w:sz w:val="20"/>
                <w:lang w:eastAsia="en-GB"/>
              </w:rPr>
              <w:t>年</w:t>
            </w:r>
          </w:p>
        </w:tc>
      </w:tr>
      <w:tr w:rsidR="004C18AD" w:rsidRPr="000C156A" w14:paraId="06892E0A" w14:textId="77777777" w:rsidTr="00042C67">
        <w:trPr>
          <w:trHeight w:val="255"/>
        </w:trPr>
        <w:tc>
          <w:tcPr>
            <w:tcW w:w="1233" w:type="pct"/>
            <w:tcBorders>
              <w:top w:val="nil"/>
              <w:left w:val="single" w:sz="4" w:space="0" w:color="auto"/>
              <w:bottom w:val="nil"/>
              <w:right w:val="nil"/>
            </w:tcBorders>
            <w:shd w:val="clear" w:color="auto" w:fill="auto"/>
            <w:noWrap/>
            <w:vAlign w:val="bottom"/>
            <w:hideMark/>
          </w:tcPr>
          <w:p w14:paraId="7396E4A8"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公司</w:t>
            </w:r>
          </w:p>
        </w:tc>
        <w:tc>
          <w:tcPr>
            <w:tcW w:w="784" w:type="pct"/>
            <w:tcBorders>
              <w:top w:val="nil"/>
              <w:left w:val="single" w:sz="4" w:space="0" w:color="auto"/>
              <w:bottom w:val="nil"/>
              <w:right w:val="single" w:sz="4" w:space="0" w:color="auto"/>
            </w:tcBorders>
            <w:shd w:val="clear" w:color="auto" w:fill="auto"/>
            <w:noWrap/>
            <w:vAlign w:val="bottom"/>
            <w:hideMark/>
          </w:tcPr>
          <w:p w14:paraId="7ECEF385"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zh-CN"/>
              </w:rPr>
              <w:t>决议</w:t>
            </w:r>
            <w:r w:rsidRPr="000C156A">
              <w:rPr>
                <w:rFonts w:eastAsiaTheme="minorEastAsia" w:cs="Calibri"/>
                <w:b/>
                <w:bCs/>
                <w:sz w:val="20"/>
                <w:lang w:eastAsia="en-GB"/>
              </w:rPr>
              <w:t> </w:t>
            </w:r>
          </w:p>
        </w:tc>
        <w:tc>
          <w:tcPr>
            <w:tcW w:w="515" w:type="pct"/>
            <w:tcBorders>
              <w:top w:val="nil"/>
              <w:left w:val="nil"/>
              <w:bottom w:val="nil"/>
              <w:right w:val="nil"/>
            </w:tcBorders>
            <w:shd w:val="clear" w:color="auto" w:fill="auto"/>
            <w:noWrap/>
            <w:vAlign w:val="bottom"/>
            <w:hideMark/>
          </w:tcPr>
          <w:p w14:paraId="64612422"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专账的金额</w:t>
            </w:r>
          </w:p>
        </w:tc>
        <w:tc>
          <w:tcPr>
            <w:tcW w:w="658" w:type="pct"/>
            <w:tcBorders>
              <w:top w:val="nil"/>
              <w:left w:val="single" w:sz="4" w:space="0" w:color="auto"/>
              <w:bottom w:val="nil"/>
              <w:right w:val="single" w:sz="4" w:space="0" w:color="auto"/>
            </w:tcBorders>
            <w:shd w:val="clear" w:color="auto" w:fill="auto"/>
            <w:noWrap/>
            <w:vAlign w:val="bottom"/>
            <w:hideMark/>
          </w:tcPr>
          <w:p w14:paraId="7DB41F10" w14:textId="77777777" w:rsidR="004C18AD" w:rsidRPr="000C156A" w:rsidRDefault="004C18AD" w:rsidP="00042C67">
            <w:pPr>
              <w:overflowPunct/>
              <w:autoSpaceDE/>
              <w:autoSpaceDN/>
              <w:adjustRightInd/>
              <w:spacing w:before="0"/>
              <w:jc w:val="center"/>
              <w:textAlignment w:val="auto"/>
              <w:rPr>
                <w:rFonts w:eastAsiaTheme="minorEastAsia" w:cs="Calibri"/>
                <w:b/>
                <w:bCs/>
                <w:color w:val="000000"/>
                <w:sz w:val="20"/>
                <w:lang w:eastAsia="en-GB"/>
              </w:rPr>
            </w:pPr>
            <w:r w:rsidRPr="000C156A">
              <w:rPr>
                <w:rFonts w:eastAsiaTheme="minorEastAsia" w:cs="Calibri"/>
                <w:b/>
                <w:bCs/>
                <w:color w:val="000000"/>
                <w:sz w:val="20"/>
                <w:lang w:eastAsia="en-GB"/>
              </w:rPr>
              <w:t>余额</w:t>
            </w:r>
          </w:p>
        </w:tc>
        <w:tc>
          <w:tcPr>
            <w:tcW w:w="507" w:type="pct"/>
            <w:tcBorders>
              <w:top w:val="nil"/>
              <w:left w:val="nil"/>
              <w:bottom w:val="nil"/>
              <w:right w:val="nil"/>
            </w:tcBorders>
            <w:shd w:val="clear" w:color="auto" w:fill="auto"/>
            <w:noWrap/>
            <w:vAlign w:val="bottom"/>
            <w:hideMark/>
          </w:tcPr>
          <w:p w14:paraId="0218AC8A"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变动</w:t>
            </w:r>
          </w:p>
        </w:tc>
        <w:tc>
          <w:tcPr>
            <w:tcW w:w="415" w:type="pct"/>
            <w:tcBorders>
              <w:top w:val="nil"/>
              <w:left w:val="single" w:sz="4" w:space="0" w:color="auto"/>
              <w:bottom w:val="nil"/>
              <w:right w:val="single" w:sz="4" w:space="0" w:color="auto"/>
            </w:tcBorders>
            <w:shd w:val="clear" w:color="auto" w:fill="auto"/>
            <w:noWrap/>
            <w:vAlign w:val="bottom"/>
            <w:hideMark/>
          </w:tcPr>
          <w:p w14:paraId="079FEA33"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利息</w:t>
            </w:r>
            <w:r w:rsidRPr="000C156A">
              <w:rPr>
                <w:rFonts w:eastAsiaTheme="minorEastAsia" w:cs="Calibri"/>
                <w:b/>
                <w:bCs/>
                <w:sz w:val="20"/>
                <w:lang w:eastAsia="en-GB"/>
              </w:rPr>
              <w:t>/</w:t>
            </w:r>
            <w:r w:rsidRPr="000C156A">
              <w:rPr>
                <w:rFonts w:eastAsiaTheme="minorEastAsia" w:cs="Calibri"/>
                <w:b/>
                <w:bCs/>
                <w:sz w:val="20"/>
                <w:lang w:eastAsia="en-GB"/>
              </w:rPr>
              <w:t>注销</w:t>
            </w:r>
          </w:p>
        </w:tc>
        <w:tc>
          <w:tcPr>
            <w:tcW w:w="420" w:type="pct"/>
            <w:tcBorders>
              <w:top w:val="nil"/>
              <w:left w:val="nil"/>
              <w:bottom w:val="nil"/>
              <w:right w:val="nil"/>
            </w:tcBorders>
            <w:shd w:val="clear" w:color="auto" w:fill="auto"/>
            <w:noWrap/>
            <w:vAlign w:val="bottom"/>
            <w:hideMark/>
          </w:tcPr>
          <w:p w14:paraId="1CE8659F"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r w:rsidRPr="000C156A">
              <w:rPr>
                <w:rFonts w:eastAsiaTheme="minorEastAsia" w:cs="Calibri"/>
                <w:b/>
                <w:bCs/>
                <w:sz w:val="20"/>
                <w:lang w:eastAsia="en-GB"/>
              </w:rPr>
              <w:t>支付</w:t>
            </w:r>
          </w:p>
        </w:tc>
        <w:tc>
          <w:tcPr>
            <w:tcW w:w="468" w:type="pct"/>
            <w:tcBorders>
              <w:top w:val="nil"/>
              <w:left w:val="single" w:sz="4" w:space="0" w:color="auto"/>
              <w:bottom w:val="nil"/>
              <w:right w:val="single" w:sz="4" w:space="0" w:color="auto"/>
            </w:tcBorders>
            <w:shd w:val="clear" w:color="auto" w:fill="auto"/>
            <w:noWrap/>
            <w:vAlign w:val="bottom"/>
            <w:hideMark/>
          </w:tcPr>
          <w:p w14:paraId="1A8F4CFC" w14:textId="77777777" w:rsidR="004C18AD" w:rsidRPr="000C156A" w:rsidRDefault="004C18AD" w:rsidP="00042C67">
            <w:pPr>
              <w:overflowPunct/>
              <w:autoSpaceDE/>
              <w:autoSpaceDN/>
              <w:adjustRightInd/>
              <w:spacing w:before="0"/>
              <w:jc w:val="center"/>
              <w:textAlignment w:val="auto"/>
              <w:rPr>
                <w:rFonts w:eastAsiaTheme="minorEastAsia" w:cs="Calibri"/>
                <w:b/>
                <w:bCs/>
                <w:color w:val="000000"/>
                <w:sz w:val="20"/>
                <w:lang w:eastAsia="en-GB"/>
              </w:rPr>
            </w:pPr>
            <w:r w:rsidRPr="000C156A">
              <w:rPr>
                <w:rFonts w:eastAsiaTheme="minorEastAsia" w:cs="Calibri"/>
                <w:b/>
                <w:bCs/>
                <w:sz w:val="20"/>
                <w:lang w:eastAsia="en-GB"/>
              </w:rPr>
              <w:t>12</w:t>
            </w:r>
            <w:r w:rsidRPr="000C156A">
              <w:rPr>
                <w:rFonts w:eastAsiaTheme="minorEastAsia" w:cs="Calibri"/>
                <w:b/>
                <w:bCs/>
                <w:sz w:val="20"/>
                <w:lang w:eastAsia="en-GB"/>
              </w:rPr>
              <w:t>月</w:t>
            </w:r>
            <w:r w:rsidRPr="000C156A">
              <w:rPr>
                <w:rFonts w:eastAsiaTheme="minorEastAsia" w:cs="Calibri"/>
                <w:b/>
                <w:bCs/>
                <w:sz w:val="20"/>
                <w:lang w:eastAsia="en-GB"/>
              </w:rPr>
              <w:t>31</w:t>
            </w:r>
            <w:r w:rsidRPr="000C156A">
              <w:rPr>
                <w:rFonts w:eastAsiaTheme="minorEastAsia" w:cs="Calibri"/>
                <w:b/>
                <w:bCs/>
                <w:sz w:val="20"/>
                <w:lang w:eastAsia="en-GB"/>
              </w:rPr>
              <w:t>日</w:t>
            </w:r>
          </w:p>
        </w:tc>
      </w:tr>
      <w:tr w:rsidR="004C18AD" w:rsidRPr="000C156A" w14:paraId="2F953FEA" w14:textId="77777777" w:rsidTr="00042C67">
        <w:trPr>
          <w:trHeight w:val="255"/>
        </w:trPr>
        <w:tc>
          <w:tcPr>
            <w:tcW w:w="1233" w:type="pct"/>
            <w:tcBorders>
              <w:top w:val="nil"/>
              <w:left w:val="single" w:sz="4" w:space="0" w:color="auto"/>
              <w:bottom w:val="single" w:sz="4" w:space="0" w:color="auto"/>
              <w:right w:val="nil"/>
            </w:tcBorders>
            <w:shd w:val="clear" w:color="auto" w:fill="auto"/>
            <w:noWrap/>
            <w:vAlign w:val="bottom"/>
            <w:hideMark/>
          </w:tcPr>
          <w:p w14:paraId="57B7E03A" w14:textId="77777777" w:rsidR="004C18AD" w:rsidRPr="000C156A" w:rsidRDefault="004C18AD" w:rsidP="00042C67">
            <w:pPr>
              <w:overflowPunct/>
              <w:autoSpaceDE/>
              <w:autoSpaceDN/>
              <w:adjustRightInd/>
              <w:spacing w:before="0"/>
              <w:textAlignment w:val="auto"/>
              <w:rPr>
                <w:rFonts w:eastAsiaTheme="minorEastAsia" w:cs="Calibri"/>
                <w:b/>
                <w:bCs/>
                <w:sz w:val="20"/>
                <w:lang w:eastAsia="en-GB"/>
              </w:rPr>
            </w:pPr>
            <w:r w:rsidRPr="000C156A">
              <w:rPr>
                <w:rFonts w:eastAsiaTheme="minorEastAsia" w:cs="Calibri"/>
                <w:b/>
                <w:bCs/>
                <w:sz w:val="20"/>
                <w:lang w:eastAsia="en-GB"/>
              </w:rPr>
              <w:t> </w:t>
            </w:r>
          </w:p>
        </w:tc>
        <w:tc>
          <w:tcPr>
            <w:tcW w:w="783" w:type="pct"/>
            <w:tcBorders>
              <w:top w:val="nil"/>
              <w:left w:val="single" w:sz="4" w:space="0" w:color="auto"/>
              <w:bottom w:val="single" w:sz="4" w:space="0" w:color="auto"/>
              <w:right w:val="single" w:sz="4" w:space="0" w:color="auto"/>
            </w:tcBorders>
            <w:shd w:val="clear" w:color="auto" w:fill="auto"/>
            <w:noWrap/>
            <w:vAlign w:val="bottom"/>
            <w:hideMark/>
          </w:tcPr>
          <w:p w14:paraId="4422082B" w14:textId="77777777" w:rsidR="004C18AD" w:rsidRPr="000C156A" w:rsidRDefault="004C18AD" w:rsidP="00042C67">
            <w:pPr>
              <w:overflowPunct/>
              <w:autoSpaceDE/>
              <w:autoSpaceDN/>
              <w:adjustRightInd/>
              <w:spacing w:before="0"/>
              <w:textAlignment w:val="auto"/>
              <w:rPr>
                <w:rFonts w:eastAsiaTheme="minorEastAsia" w:cs="Calibri"/>
                <w:b/>
                <w:bCs/>
                <w:sz w:val="20"/>
                <w:lang w:eastAsia="en-GB"/>
              </w:rPr>
            </w:pPr>
          </w:p>
        </w:tc>
        <w:tc>
          <w:tcPr>
            <w:tcW w:w="515" w:type="pct"/>
            <w:tcBorders>
              <w:top w:val="nil"/>
              <w:left w:val="nil"/>
              <w:bottom w:val="single" w:sz="4" w:space="0" w:color="auto"/>
              <w:right w:val="nil"/>
            </w:tcBorders>
            <w:shd w:val="clear" w:color="auto" w:fill="auto"/>
            <w:noWrap/>
            <w:vAlign w:val="bottom"/>
          </w:tcPr>
          <w:p w14:paraId="68A03BC6" w14:textId="77777777" w:rsidR="004C18AD" w:rsidRPr="000C156A" w:rsidRDefault="004C18AD" w:rsidP="00042C67">
            <w:pPr>
              <w:overflowPunct/>
              <w:autoSpaceDE/>
              <w:autoSpaceDN/>
              <w:adjustRightInd/>
              <w:spacing w:before="0"/>
              <w:jc w:val="center"/>
              <w:textAlignment w:val="auto"/>
              <w:rPr>
                <w:rFonts w:eastAsiaTheme="minorEastAsia" w:cs="Calibri"/>
                <w:b/>
                <w:bCs/>
                <w:sz w:val="20"/>
                <w:lang w:eastAsia="en-GB"/>
              </w:rPr>
            </w:pPr>
          </w:p>
        </w:tc>
        <w:tc>
          <w:tcPr>
            <w:tcW w:w="658" w:type="pct"/>
            <w:tcBorders>
              <w:top w:val="nil"/>
              <w:left w:val="single" w:sz="4" w:space="0" w:color="auto"/>
              <w:bottom w:val="single" w:sz="4" w:space="0" w:color="auto"/>
              <w:right w:val="single" w:sz="4" w:space="0" w:color="auto"/>
            </w:tcBorders>
            <w:shd w:val="clear" w:color="auto" w:fill="auto"/>
            <w:noWrap/>
            <w:vAlign w:val="bottom"/>
            <w:hideMark/>
          </w:tcPr>
          <w:p w14:paraId="6622192F" w14:textId="77777777" w:rsidR="004C18AD" w:rsidRPr="000C156A" w:rsidRDefault="004C18AD" w:rsidP="00042C67">
            <w:pPr>
              <w:overflowPunct/>
              <w:autoSpaceDE/>
              <w:autoSpaceDN/>
              <w:adjustRightInd/>
              <w:spacing w:before="0"/>
              <w:textAlignment w:val="auto"/>
              <w:rPr>
                <w:rFonts w:eastAsiaTheme="minorEastAsia" w:cs="Calibri"/>
                <w:sz w:val="20"/>
                <w:lang w:eastAsia="en-GB"/>
              </w:rPr>
            </w:pPr>
            <w:r w:rsidRPr="000C156A">
              <w:rPr>
                <w:rFonts w:eastAsiaTheme="minorEastAsia" w:cs="Calibri"/>
                <w:sz w:val="20"/>
                <w:lang w:eastAsia="en-GB"/>
              </w:rPr>
              <w:t> </w:t>
            </w:r>
          </w:p>
        </w:tc>
        <w:tc>
          <w:tcPr>
            <w:tcW w:w="507" w:type="pct"/>
            <w:tcBorders>
              <w:top w:val="nil"/>
              <w:left w:val="nil"/>
              <w:bottom w:val="single" w:sz="4" w:space="0" w:color="auto"/>
              <w:right w:val="nil"/>
            </w:tcBorders>
            <w:shd w:val="clear" w:color="auto" w:fill="auto"/>
            <w:noWrap/>
            <w:vAlign w:val="bottom"/>
            <w:hideMark/>
          </w:tcPr>
          <w:p w14:paraId="452CFC63" w14:textId="77777777" w:rsidR="004C18AD" w:rsidRPr="000C156A" w:rsidRDefault="004C18AD" w:rsidP="00042C67">
            <w:pPr>
              <w:overflowPunct/>
              <w:autoSpaceDE/>
              <w:autoSpaceDN/>
              <w:adjustRightInd/>
              <w:spacing w:before="0"/>
              <w:textAlignment w:val="auto"/>
              <w:rPr>
                <w:rFonts w:eastAsiaTheme="minorEastAsia" w:cs="Calibri"/>
                <w:sz w:val="20"/>
                <w:lang w:eastAsia="en-GB"/>
              </w:rPr>
            </w:pPr>
            <w:r w:rsidRPr="000C156A">
              <w:rPr>
                <w:rFonts w:eastAsiaTheme="minorEastAsia" w:cs="Calibri"/>
                <w:sz w:val="20"/>
                <w:lang w:eastAsia="en-GB"/>
              </w:rPr>
              <w:t> </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14:paraId="69DB3369" w14:textId="77777777" w:rsidR="004C18AD" w:rsidRPr="000C156A" w:rsidRDefault="004C18AD" w:rsidP="00042C67">
            <w:pPr>
              <w:overflowPunct/>
              <w:autoSpaceDE/>
              <w:autoSpaceDN/>
              <w:adjustRightInd/>
              <w:spacing w:before="0"/>
              <w:textAlignment w:val="auto"/>
              <w:rPr>
                <w:rFonts w:eastAsiaTheme="minorEastAsia" w:cs="Calibri"/>
                <w:sz w:val="20"/>
                <w:lang w:eastAsia="en-GB"/>
              </w:rPr>
            </w:pPr>
            <w:r w:rsidRPr="000C156A">
              <w:rPr>
                <w:rFonts w:eastAsiaTheme="minorEastAsia" w:cs="Calibri"/>
                <w:sz w:val="20"/>
                <w:lang w:eastAsia="en-GB"/>
              </w:rPr>
              <w:t> </w:t>
            </w:r>
          </w:p>
        </w:tc>
        <w:tc>
          <w:tcPr>
            <w:tcW w:w="420" w:type="pct"/>
            <w:tcBorders>
              <w:top w:val="nil"/>
              <w:left w:val="nil"/>
              <w:bottom w:val="single" w:sz="4" w:space="0" w:color="auto"/>
              <w:right w:val="nil"/>
            </w:tcBorders>
            <w:shd w:val="clear" w:color="auto" w:fill="auto"/>
            <w:noWrap/>
            <w:vAlign w:val="bottom"/>
            <w:hideMark/>
          </w:tcPr>
          <w:p w14:paraId="19502DFF" w14:textId="77777777" w:rsidR="004C18AD" w:rsidRPr="000C156A" w:rsidRDefault="004C18AD" w:rsidP="00042C67">
            <w:pPr>
              <w:overflowPunct/>
              <w:autoSpaceDE/>
              <w:autoSpaceDN/>
              <w:adjustRightInd/>
              <w:spacing w:before="0"/>
              <w:textAlignment w:val="auto"/>
              <w:rPr>
                <w:rFonts w:eastAsiaTheme="minorEastAsia" w:cs="Calibri"/>
                <w:sz w:val="20"/>
                <w:lang w:eastAsia="en-GB"/>
              </w:rPr>
            </w:pPr>
            <w:r w:rsidRPr="000C156A">
              <w:rPr>
                <w:rFonts w:eastAsiaTheme="minorEastAsia" w:cs="Calibri"/>
                <w:sz w:val="20"/>
                <w:lang w:eastAsia="en-GB"/>
              </w:rPr>
              <w:t> </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14:paraId="340143DD" w14:textId="77777777" w:rsidR="004C18AD" w:rsidRPr="000C156A" w:rsidRDefault="004C18AD" w:rsidP="00042C67">
            <w:pPr>
              <w:overflowPunct/>
              <w:autoSpaceDE/>
              <w:autoSpaceDN/>
              <w:adjustRightInd/>
              <w:spacing w:before="0"/>
              <w:jc w:val="center"/>
              <w:textAlignment w:val="auto"/>
              <w:rPr>
                <w:rFonts w:eastAsiaTheme="minorEastAsia" w:cs="Calibri"/>
                <w:sz w:val="20"/>
                <w:lang w:eastAsia="en-GB"/>
              </w:rPr>
            </w:pPr>
            <w:r w:rsidRPr="000C156A">
              <w:rPr>
                <w:rFonts w:eastAsiaTheme="minorEastAsia" w:cs="Calibri"/>
                <w:b/>
                <w:bCs/>
                <w:sz w:val="20"/>
                <w:lang w:eastAsia="en-GB"/>
              </w:rPr>
              <w:t>余额</w:t>
            </w:r>
          </w:p>
        </w:tc>
      </w:tr>
      <w:tr w:rsidR="004C18AD" w:rsidRPr="000C156A" w14:paraId="0015D2CC" w14:textId="77777777" w:rsidTr="00042C67">
        <w:trPr>
          <w:trHeight w:val="255"/>
        </w:trPr>
        <w:tc>
          <w:tcPr>
            <w:tcW w:w="1233" w:type="pct"/>
            <w:tcBorders>
              <w:top w:val="nil"/>
              <w:left w:val="single" w:sz="4" w:space="0" w:color="auto"/>
              <w:bottom w:val="nil"/>
              <w:right w:val="nil"/>
            </w:tcBorders>
            <w:shd w:val="clear" w:color="auto" w:fill="auto"/>
            <w:noWrap/>
            <w:vAlign w:val="bottom"/>
            <w:hideMark/>
          </w:tcPr>
          <w:p w14:paraId="0BC1CA8E"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sidRPr="000C156A">
              <w:rPr>
                <w:rFonts w:cs="Calibri" w:hint="eastAsia"/>
                <w:b/>
                <w:bCs/>
                <w:sz w:val="20"/>
                <w:lang w:eastAsia="en-GB"/>
              </w:rPr>
              <w:t>成员国</w:t>
            </w:r>
          </w:p>
        </w:tc>
        <w:tc>
          <w:tcPr>
            <w:tcW w:w="783" w:type="pct"/>
            <w:tcBorders>
              <w:top w:val="nil"/>
              <w:left w:val="single" w:sz="4" w:space="0" w:color="auto"/>
              <w:bottom w:val="nil"/>
              <w:right w:val="single" w:sz="4" w:space="0" w:color="auto"/>
            </w:tcBorders>
            <w:shd w:val="clear" w:color="auto" w:fill="auto"/>
            <w:noWrap/>
            <w:vAlign w:val="bottom"/>
            <w:hideMark/>
          </w:tcPr>
          <w:p w14:paraId="24845532"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515" w:type="pct"/>
            <w:tcBorders>
              <w:top w:val="nil"/>
              <w:left w:val="nil"/>
              <w:bottom w:val="nil"/>
              <w:right w:val="nil"/>
            </w:tcBorders>
            <w:shd w:val="clear" w:color="auto" w:fill="auto"/>
            <w:noWrap/>
            <w:vAlign w:val="bottom"/>
            <w:hideMark/>
          </w:tcPr>
          <w:p w14:paraId="03C52E11"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658" w:type="pct"/>
            <w:tcBorders>
              <w:top w:val="nil"/>
              <w:left w:val="single" w:sz="4" w:space="0" w:color="auto"/>
              <w:bottom w:val="nil"/>
              <w:right w:val="single" w:sz="4" w:space="0" w:color="auto"/>
            </w:tcBorders>
            <w:shd w:val="clear" w:color="auto" w:fill="auto"/>
            <w:noWrap/>
            <w:vAlign w:val="bottom"/>
            <w:hideMark/>
          </w:tcPr>
          <w:p w14:paraId="3E84FFEB"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507" w:type="pct"/>
            <w:tcBorders>
              <w:top w:val="nil"/>
              <w:left w:val="nil"/>
              <w:bottom w:val="nil"/>
              <w:right w:val="nil"/>
            </w:tcBorders>
            <w:shd w:val="clear" w:color="auto" w:fill="auto"/>
            <w:noWrap/>
            <w:vAlign w:val="bottom"/>
            <w:hideMark/>
          </w:tcPr>
          <w:p w14:paraId="0F5AA7A0"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415" w:type="pct"/>
            <w:tcBorders>
              <w:top w:val="nil"/>
              <w:left w:val="single" w:sz="4" w:space="0" w:color="auto"/>
              <w:bottom w:val="nil"/>
              <w:right w:val="single" w:sz="4" w:space="0" w:color="auto"/>
            </w:tcBorders>
            <w:shd w:val="clear" w:color="auto" w:fill="auto"/>
            <w:noWrap/>
            <w:vAlign w:val="bottom"/>
            <w:hideMark/>
          </w:tcPr>
          <w:p w14:paraId="23DD6305"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20" w:type="pct"/>
            <w:tcBorders>
              <w:top w:val="nil"/>
              <w:left w:val="nil"/>
              <w:bottom w:val="nil"/>
              <w:right w:val="nil"/>
            </w:tcBorders>
            <w:shd w:val="clear" w:color="auto" w:fill="auto"/>
            <w:noWrap/>
            <w:vAlign w:val="bottom"/>
            <w:hideMark/>
          </w:tcPr>
          <w:p w14:paraId="7F2C6BA3"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468" w:type="pct"/>
            <w:tcBorders>
              <w:top w:val="nil"/>
              <w:left w:val="single" w:sz="4" w:space="0" w:color="auto"/>
              <w:bottom w:val="nil"/>
              <w:right w:val="single" w:sz="4" w:space="0" w:color="auto"/>
            </w:tcBorders>
            <w:shd w:val="clear" w:color="auto" w:fill="auto"/>
            <w:noWrap/>
            <w:vAlign w:val="bottom"/>
            <w:hideMark/>
          </w:tcPr>
          <w:p w14:paraId="662A4E97"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r>
      <w:tr w:rsidR="004C18AD" w:rsidRPr="000C156A" w14:paraId="38A5A4C1" w14:textId="77777777" w:rsidTr="00042C67">
        <w:trPr>
          <w:trHeight w:val="255"/>
        </w:trPr>
        <w:tc>
          <w:tcPr>
            <w:tcW w:w="1233" w:type="pct"/>
            <w:tcBorders>
              <w:top w:val="nil"/>
              <w:left w:val="single" w:sz="4" w:space="0" w:color="auto"/>
              <w:bottom w:val="nil"/>
              <w:right w:val="nil"/>
            </w:tcBorders>
            <w:shd w:val="clear" w:color="auto" w:fill="auto"/>
            <w:noWrap/>
            <w:vAlign w:val="bottom"/>
            <w:hideMark/>
          </w:tcPr>
          <w:p w14:paraId="60448AB7"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Microsoft YaHei" w:hint="eastAsia"/>
                <w:sz w:val="20"/>
              </w:rPr>
              <w:t>苏丹</w:t>
            </w:r>
          </w:p>
        </w:tc>
        <w:tc>
          <w:tcPr>
            <w:tcW w:w="783" w:type="pct"/>
            <w:tcBorders>
              <w:top w:val="nil"/>
              <w:left w:val="single" w:sz="4" w:space="0" w:color="auto"/>
              <w:bottom w:val="nil"/>
              <w:right w:val="single" w:sz="4" w:space="0" w:color="auto"/>
            </w:tcBorders>
            <w:shd w:val="clear" w:color="auto" w:fill="auto"/>
            <w:noWrap/>
            <w:vAlign w:val="bottom"/>
            <w:hideMark/>
          </w:tcPr>
          <w:p w14:paraId="408A6792" w14:textId="77777777" w:rsidR="004C18AD" w:rsidRPr="000C156A" w:rsidRDefault="004C18AD" w:rsidP="00042C67">
            <w:pPr>
              <w:overflowPunct/>
              <w:autoSpaceDE/>
              <w:autoSpaceDN/>
              <w:adjustRightInd/>
              <w:spacing w:before="0"/>
              <w:textAlignment w:val="auto"/>
              <w:rPr>
                <w:rFonts w:cs="Calibri"/>
                <w:sz w:val="20"/>
                <w:lang w:eastAsia="zh-CN"/>
              </w:rPr>
            </w:pPr>
            <w:r w:rsidRPr="00F8370D">
              <w:rPr>
                <w:rFonts w:hint="eastAsia"/>
                <w:sz w:val="20"/>
                <w:lang w:eastAsia="zh-CN"/>
              </w:rPr>
              <w:t>全权代表大会</w:t>
            </w:r>
            <w:r w:rsidRPr="000C156A">
              <w:rPr>
                <w:rFonts w:hint="eastAsia"/>
                <w:sz w:val="20"/>
                <w:lang w:eastAsia="zh-CN"/>
              </w:rPr>
              <w:t>第</w:t>
            </w:r>
            <w:r w:rsidRPr="000C156A">
              <w:rPr>
                <w:sz w:val="20"/>
                <w:lang w:eastAsia="zh-CN"/>
              </w:rPr>
              <w:t>38</w:t>
            </w:r>
            <w:r w:rsidRPr="000C156A">
              <w:rPr>
                <w:rFonts w:hint="eastAsia"/>
                <w:sz w:val="20"/>
                <w:lang w:eastAsia="zh-CN"/>
              </w:rPr>
              <w:t>号决议</w:t>
            </w:r>
            <w:r w:rsidRPr="000C156A">
              <w:rPr>
                <w:sz w:val="20"/>
                <w:lang w:eastAsia="zh-CN"/>
              </w:rPr>
              <w:t xml:space="preserve"> – 1989</w:t>
            </w:r>
            <w:r w:rsidRPr="000C156A">
              <w:rPr>
                <w:rFonts w:hint="eastAsia"/>
                <w:sz w:val="20"/>
                <w:lang w:eastAsia="zh-CN"/>
              </w:rPr>
              <w:t>年</w:t>
            </w:r>
          </w:p>
        </w:tc>
        <w:tc>
          <w:tcPr>
            <w:tcW w:w="515" w:type="pct"/>
            <w:tcBorders>
              <w:top w:val="nil"/>
              <w:left w:val="nil"/>
              <w:bottom w:val="nil"/>
              <w:right w:val="nil"/>
            </w:tcBorders>
            <w:shd w:val="clear" w:color="auto" w:fill="auto"/>
            <w:noWrap/>
            <w:vAlign w:val="bottom"/>
            <w:hideMark/>
          </w:tcPr>
          <w:p w14:paraId="18B43265" w14:textId="77777777" w:rsidR="004C18AD" w:rsidRPr="000C156A" w:rsidRDefault="004C18AD" w:rsidP="00042C67">
            <w:pPr>
              <w:jc w:val="right"/>
              <w:rPr>
                <w:rFonts w:cs="Calibri"/>
                <w:sz w:val="20"/>
                <w:lang w:eastAsia="en-GB"/>
              </w:rPr>
            </w:pPr>
            <w:r w:rsidRPr="00543CDE">
              <w:rPr>
                <w:rFonts w:cs="Calibri"/>
                <w:sz w:val="20"/>
                <w:lang w:eastAsia="en-GB"/>
              </w:rPr>
              <w:t>567</w:t>
            </w:r>
            <w:r>
              <w:rPr>
                <w:rFonts w:cs="Calibri"/>
                <w:sz w:val="20"/>
                <w:lang w:eastAsia="en-GB"/>
              </w:rPr>
              <w:t> </w:t>
            </w:r>
            <w:r w:rsidRPr="00543CDE">
              <w:rPr>
                <w:rFonts w:cs="Calibri"/>
                <w:sz w:val="20"/>
                <w:lang w:eastAsia="en-GB"/>
              </w:rPr>
              <w:t>047.95</w:t>
            </w:r>
          </w:p>
        </w:tc>
        <w:tc>
          <w:tcPr>
            <w:tcW w:w="658" w:type="pct"/>
            <w:tcBorders>
              <w:top w:val="nil"/>
              <w:left w:val="single" w:sz="4" w:space="0" w:color="auto"/>
              <w:bottom w:val="nil"/>
              <w:right w:val="single" w:sz="4" w:space="0" w:color="auto"/>
            </w:tcBorders>
            <w:shd w:val="clear" w:color="auto" w:fill="auto"/>
            <w:noWrap/>
            <w:vAlign w:val="bottom"/>
            <w:hideMark/>
          </w:tcPr>
          <w:p w14:paraId="53FE04D0" w14:textId="77777777" w:rsidR="004C18AD" w:rsidRPr="000C156A" w:rsidRDefault="004C18AD" w:rsidP="00042C67">
            <w:pPr>
              <w:jc w:val="right"/>
              <w:rPr>
                <w:rFonts w:cs="Calibri"/>
                <w:sz w:val="20"/>
                <w:lang w:eastAsia="en-GB"/>
              </w:rPr>
            </w:pPr>
            <w:r w:rsidRPr="00543CDE">
              <w:rPr>
                <w:rFonts w:cs="Calibri"/>
                <w:sz w:val="20"/>
                <w:lang w:eastAsia="en-GB"/>
              </w:rPr>
              <w:t>6</w:t>
            </w:r>
            <w:r>
              <w:rPr>
                <w:rFonts w:cs="Calibri"/>
                <w:sz w:val="20"/>
                <w:lang w:eastAsia="en-GB"/>
              </w:rPr>
              <w:t> </w:t>
            </w:r>
            <w:r w:rsidRPr="00543CDE">
              <w:rPr>
                <w:rFonts w:cs="Calibri"/>
                <w:sz w:val="20"/>
                <w:lang w:eastAsia="en-GB"/>
              </w:rPr>
              <w:t>028.45</w:t>
            </w:r>
          </w:p>
        </w:tc>
        <w:tc>
          <w:tcPr>
            <w:tcW w:w="507" w:type="pct"/>
            <w:tcBorders>
              <w:top w:val="nil"/>
              <w:left w:val="nil"/>
              <w:bottom w:val="nil"/>
              <w:right w:val="nil"/>
            </w:tcBorders>
            <w:shd w:val="clear" w:color="auto" w:fill="auto"/>
            <w:noWrap/>
            <w:vAlign w:val="bottom"/>
            <w:hideMark/>
          </w:tcPr>
          <w:p w14:paraId="530B7B46" w14:textId="77777777" w:rsidR="004C18AD" w:rsidRPr="000C156A" w:rsidRDefault="004C18AD" w:rsidP="00042C67">
            <w:pPr>
              <w:jc w:val="right"/>
              <w:rPr>
                <w:rFonts w:cs="Calibri"/>
                <w:sz w:val="20"/>
                <w:lang w:eastAsia="en-GB"/>
              </w:rPr>
            </w:pPr>
            <w:r w:rsidRPr="00543CDE">
              <w:rPr>
                <w:rFonts w:cs="Calibri"/>
                <w:sz w:val="20"/>
                <w:lang w:eastAsia="en-GB"/>
              </w:rPr>
              <w:t>0.00</w:t>
            </w:r>
          </w:p>
        </w:tc>
        <w:tc>
          <w:tcPr>
            <w:tcW w:w="415" w:type="pct"/>
            <w:tcBorders>
              <w:top w:val="nil"/>
              <w:left w:val="single" w:sz="4" w:space="0" w:color="auto"/>
              <w:bottom w:val="nil"/>
              <w:right w:val="single" w:sz="4" w:space="0" w:color="auto"/>
            </w:tcBorders>
            <w:shd w:val="clear" w:color="auto" w:fill="auto"/>
            <w:noWrap/>
            <w:vAlign w:val="bottom"/>
            <w:hideMark/>
          </w:tcPr>
          <w:p w14:paraId="7A8512DA" w14:textId="77777777" w:rsidR="004C18AD" w:rsidRPr="000C156A" w:rsidRDefault="004C18AD" w:rsidP="00042C67">
            <w:pPr>
              <w:jc w:val="right"/>
              <w:rPr>
                <w:rFonts w:cs="Calibri"/>
                <w:sz w:val="20"/>
                <w:lang w:eastAsia="en-GB"/>
              </w:rPr>
            </w:pPr>
            <w:r w:rsidRPr="00543CDE">
              <w:rPr>
                <w:rFonts w:cs="Calibri"/>
                <w:sz w:val="20"/>
                <w:lang w:eastAsia="en-GB"/>
              </w:rPr>
              <w:t>0.00</w:t>
            </w:r>
          </w:p>
        </w:tc>
        <w:tc>
          <w:tcPr>
            <w:tcW w:w="420" w:type="pct"/>
            <w:tcBorders>
              <w:top w:val="nil"/>
              <w:left w:val="nil"/>
              <w:bottom w:val="nil"/>
              <w:right w:val="nil"/>
            </w:tcBorders>
            <w:shd w:val="clear" w:color="auto" w:fill="auto"/>
            <w:noWrap/>
            <w:vAlign w:val="bottom"/>
            <w:hideMark/>
          </w:tcPr>
          <w:p w14:paraId="5E314103" w14:textId="77777777" w:rsidR="004C18AD" w:rsidRPr="000C156A" w:rsidRDefault="004C18AD" w:rsidP="00042C67">
            <w:pPr>
              <w:jc w:val="right"/>
              <w:rPr>
                <w:rFonts w:cs="Calibri"/>
                <w:sz w:val="20"/>
                <w:lang w:eastAsia="en-GB"/>
              </w:rPr>
            </w:pPr>
            <w:r w:rsidRPr="00543CDE">
              <w:rPr>
                <w:rFonts w:cs="Calibri"/>
                <w:sz w:val="20"/>
                <w:lang w:eastAsia="en-GB"/>
              </w:rPr>
              <w:t>0.00</w:t>
            </w:r>
          </w:p>
        </w:tc>
        <w:tc>
          <w:tcPr>
            <w:tcW w:w="468" w:type="pct"/>
            <w:tcBorders>
              <w:top w:val="nil"/>
              <w:left w:val="single" w:sz="4" w:space="0" w:color="auto"/>
              <w:bottom w:val="nil"/>
              <w:right w:val="single" w:sz="4" w:space="0" w:color="auto"/>
            </w:tcBorders>
            <w:shd w:val="clear" w:color="auto" w:fill="auto"/>
            <w:noWrap/>
            <w:vAlign w:val="bottom"/>
            <w:hideMark/>
          </w:tcPr>
          <w:p w14:paraId="2297E7D5" w14:textId="77777777" w:rsidR="004C18AD" w:rsidRPr="000C156A" w:rsidRDefault="004C18AD" w:rsidP="00042C67">
            <w:pPr>
              <w:jc w:val="right"/>
              <w:rPr>
                <w:rFonts w:cs="Calibri"/>
                <w:sz w:val="20"/>
                <w:lang w:eastAsia="en-GB"/>
              </w:rPr>
            </w:pPr>
            <w:r w:rsidRPr="00543CDE">
              <w:rPr>
                <w:rFonts w:cs="Calibri"/>
                <w:sz w:val="20"/>
                <w:lang w:eastAsia="en-GB"/>
              </w:rPr>
              <w:t>6</w:t>
            </w:r>
            <w:r>
              <w:rPr>
                <w:rFonts w:cs="Calibri"/>
                <w:sz w:val="20"/>
                <w:lang w:eastAsia="en-GB"/>
              </w:rPr>
              <w:t> </w:t>
            </w:r>
            <w:r w:rsidRPr="00543CDE">
              <w:rPr>
                <w:rFonts w:cs="Calibri"/>
                <w:sz w:val="20"/>
                <w:lang w:eastAsia="en-GB"/>
              </w:rPr>
              <w:t>028.45</w:t>
            </w:r>
          </w:p>
        </w:tc>
      </w:tr>
      <w:tr w:rsidR="004C18AD" w:rsidRPr="000C156A" w14:paraId="00FDBB7D" w14:textId="77777777" w:rsidTr="00042C67">
        <w:trPr>
          <w:trHeight w:val="255"/>
        </w:trPr>
        <w:tc>
          <w:tcPr>
            <w:tcW w:w="1233" w:type="pct"/>
            <w:tcBorders>
              <w:top w:val="nil"/>
              <w:left w:val="single" w:sz="4" w:space="0" w:color="auto"/>
              <w:bottom w:val="nil"/>
              <w:right w:val="nil"/>
            </w:tcBorders>
            <w:shd w:val="clear" w:color="auto" w:fill="auto"/>
            <w:noWrap/>
            <w:vAlign w:val="bottom"/>
            <w:hideMark/>
          </w:tcPr>
          <w:p w14:paraId="45AE59CD"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hint="eastAsia"/>
                <w:sz w:val="20"/>
                <w:lang w:eastAsia="en-GB"/>
              </w:rPr>
              <w:t>塔吉克斯坦</w:t>
            </w:r>
          </w:p>
        </w:tc>
        <w:tc>
          <w:tcPr>
            <w:tcW w:w="784" w:type="pct"/>
            <w:tcBorders>
              <w:top w:val="nil"/>
              <w:left w:val="single" w:sz="4" w:space="0" w:color="auto"/>
              <w:bottom w:val="nil"/>
              <w:right w:val="single" w:sz="4" w:space="0" w:color="auto"/>
            </w:tcBorders>
            <w:shd w:val="clear" w:color="auto" w:fill="auto"/>
            <w:noWrap/>
            <w:vAlign w:val="bottom"/>
            <w:hideMark/>
          </w:tcPr>
          <w:p w14:paraId="4CB7F792"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 2011</w:t>
            </w:r>
            <w:r w:rsidRPr="000C156A">
              <w:rPr>
                <w:rFonts w:hint="eastAsia"/>
                <w:sz w:val="20"/>
                <w:lang w:eastAsia="zh-CN"/>
              </w:rPr>
              <w:t>年</w:t>
            </w:r>
          </w:p>
        </w:tc>
        <w:tc>
          <w:tcPr>
            <w:tcW w:w="515" w:type="pct"/>
            <w:tcBorders>
              <w:top w:val="nil"/>
              <w:left w:val="nil"/>
              <w:bottom w:val="nil"/>
              <w:right w:val="nil"/>
            </w:tcBorders>
            <w:shd w:val="clear" w:color="auto" w:fill="auto"/>
            <w:noWrap/>
            <w:vAlign w:val="bottom"/>
            <w:hideMark/>
          </w:tcPr>
          <w:p w14:paraId="48A17DAC" w14:textId="77777777" w:rsidR="004C18AD" w:rsidRPr="000C156A" w:rsidRDefault="004C18AD" w:rsidP="00042C67">
            <w:pPr>
              <w:jc w:val="right"/>
              <w:rPr>
                <w:rFonts w:cs="Calibri"/>
                <w:sz w:val="20"/>
                <w:lang w:eastAsia="en-GB"/>
              </w:rPr>
            </w:pPr>
            <w:r w:rsidRPr="00543CDE">
              <w:rPr>
                <w:rFonts w:cs="Calibri"/>
                <w:sz w:val="20"/>
                <w:lang w:eastAsia="en-GB"/>
              </w:rPr>
              <w:t>745</w:t>
            </w:r>
            <w:r>
              <w:rPr>
                <w:rFonts w:cs="Calibri"/>
                <w:sz w:val="20"/>
                <w:lang w:eastAsia="en-GB"/>
              </w:rPr>
              <w:t> </w:t>
            </w:r>
            <w:r w:rsidRPr="00543CDE">
              <w:rPr>
                <w:rFonts w:cs="Calibri"/>
                <w:sz w:val="20"/>
                <w:lang w:eastAsia="en-GB"/>
              </w:rPr>
              <w:t>617.40</w:t>
            </w:r>
          </w:p>
        </w:tc>
        <w:tc>
          <w:tcPr>
            <w:tcW w:w="658" w:type="pct"/>
            <w:tcBorders>
              <w:top w:val="nil"/>
              <w:left w:val="single" w:sz="4" w:space="0" w:color="auto"/>
              <w:bottom w:val="nil"/>
              <w:right w:val="single" w:sz="4" w:space="0" w:color="auto"/>
            </w:tcBorders>
            <w:shd w:val="clear" w:color="auto" w:fill="auto"/>
            <w:noWrap/>
            <w:vAlign w:val="bottom"/>
            <w:hideMark/>
          </w:tcPr>
          <w:p w14:paraId="765EFCF5" w14:textId="77777777" w:rsidR="004C18AD" w:rsidRPr="000C156A" w:rsidRDefault="004C18AD" w:rsidP="00042C67">
            <w:pPr>
              <w:jc w:val="right"/>
              <w:rPr>
                <w:rFonts w:cs="Calibri"/>
                <w:sz w:val="20"/>
                <w:lang w:eastAsia="en-GB"/>
              </w:rPr>
            </w:pPr>
            <w:r w:rsidRPr="00543CDE">
              <w:rPr>
                <w:rFonts w:cs="Calibri"/>
                <w:sz w:val="20"/>
                <w:lang w:eastAsia="en-GB"/>
              </w:rPr>
              <w:t>511</w:t>
            </w:r>
            <w:r>
              <w:rPr>
                <w:rFonts w:cs="Calibri"/>
                <w:sz w:val="20"/>
                <w:lang w:eastAsia="en-GB"/>
              </w:rPr>
              <w:t> </w:t>
            </w:r>
            <w:r w:rsidRPr="00543CDE">
              <w:rPr>
                <w:rFonts w:cs="Calibri"/>
                <w:sz w:val="20"/>
                <w:lang w:eastAsia="en-GB"/>
              </w:rPr>
              <w:t>822.30</w:t>
            </w:r>
          </w:p>
        </w:tc>
        <w:tc>
          <w:tcPr>
            <w:tcW w:w="507" w:type="pct"/>
            <w:tcBorders>
              <w:top w:val="nil"/>
              <w:left w:val="nil"/>
              <w:bottom w:val="nil"/>
              <w:right w:val="nil"/>
            </w:tcBorders>
            <w:shd w:val="clear" w:color="auto" w:fill="auto"/>
            <w:noWrap/>
            <w:vAlign w:val="bottom"/>
            <w:hideMark/>
          </w:tcPr>
          <w:p w14:paraId="351B3C2A" w14:textId="77777777" w:rsidR="004C18AD" w:rsidRPr="000C156A" w:rsidRDefault="004C18AD" w:rsidP="00042C67">
            <w:pPr>
              <w:jc w:val="right"/>
              <w:rPr>
                <w:rFonts w:cs="Calibri"/>
                <w:sz w:val="20"/>
                <w:lang w:eastAsia="en-GB"/>
              </w:rPr>
            </w:pPr>
            <w:r w:rsidRPr="00543CDE">
              <w:rPr>
                <w:rFonts w:cs="Calibri"/>
                <w:sz w:val="20"/>
                <w:lang w:eastAsia="en-GB"/>
              </w:rPr>
              <w:t>0.00</w:t>
            </w:r>
          </w:p>
        </w:tc>
        <w:tc>
          <w:tcPr>
            <w:tcW w:w="415" w:type="pct"/>
            <w:tcBorders>
              <w:top w:val="nil"/>
              <w:left w:val="single" w:sz="4" w:space="0" w:color="auto"/>
              <w:bottom w:val="nil"/>
              <w:right w:val="single" w:sz="4" w:space="0" w:color="auto"/>
            </w:tcBorders>
            <w:shd w:val="clear" w:color="auto" w:fill="auto"/>
            <w:noWrap/>
            <w:vAlign w:val="bottom"/>
            <w:hideMark/>
          </w:tcPr>
          <w:p w14:paraId="70DFE628" w14:textId="77777777" w:rsidR="004C18AD" w:rsidRPr="000C156A" w:rsidRDefault="004C18AD" w:rsidP="00042C67">
            <w:pPr>
              <w:jc w:val="right"/>
              <w:rPr>
                <w:rFonts w:cs="Calibri"/>
                <w:sz w:val="20"/>
                <w:lang w:eastAsia="en-GB"/>
              </w:rPr>
            </w:pPr>
            <w:r w:rsidRPr="00543CDE">
              <w:rPr>
                <w:rFonts w:cs="Calibri"/>
                <w:sz w:val="20"/>
                <w:lang w:eastAsia="en-GB"/>
              </w:rPr>
              <w:t>-511</w:t>
            </w:r>
            <w:r>
              <w:rPr>
                <w:rFonts w:cs="Calibri"/>
                <w:sz w:val="20"/>
                <w:lang w:eastAsia="en-GB"/>
              </w:rPr>
              <w:t> </w:t>
            </w:r>
            <w:r w:rsidRPr="00543CDE">
              <w:rPr>
                <w:rFonts w:cs="Calibri"/>
                <w:sz w:val="20"/>
                <w:lang w:eastAsia="en-GB"/>
              </w:rPr>
              <w:t>822.30</w:t>
            </w:r>
          </w:p>
        </w:tc>
        <w:tc>
          <w:tcPr>
            <w:tcW w:w="420" w:type="pct"/>
            <w:tcBorders>
              <w:top w:val="nil"/>
              <w:left w:val="nil"/>
              <w:bottom w:val="nil"/>
              <w:right w:val="nil"/>
            </w:tcBorders>
            <w:shd w:val="clear" w:color="auto" w:fill="auto"/>
            <w:noWrap/>
            <w:vAlign w:val="bottom"/>
            <w:hideMark/>
          </w:tcPr>
          <w:p w14:paraId="588D70A2" w14:textId="77777777" w:rsidR="004C18AD" w:rsidRPr="000C156A" w:rsidRDefault="004C18AD" w:rsidP="00042C67">
            <w:pPr>
              <w:jc w:val="right"/>
              <w:rPr>
                <w:rFonts w:cs="Calibri"/>
                <w:sz w:val="20"/>
                <w:lang w:eastAsia="en-GB"/>
              </w:rPr>
            </w:pPr>
            <w:r w:rsidRPr="00543CDE">
              <w:rPr>
                <w:rFonts w:cs="Calibri"/>
                <w:sz w:val="20"/>
                <w:lang w:eastAsia="en-GB"/>
              </w:rPr>
              <w:t>0.00</w:t>
            </w:r>
          </w:p>
        </w:tc>
        <w:tc>
          <w:tcPr>
            <w:tcW w:w="468" w:type="pct"/>
            <w:tcBorders>
              <w:top w:val="nil"/>
              <w:left w:val="single" w:sz="4" w:space="0" w:color="auto"/>
              <w:bottom w:val="nil"/>
              <w:right w:val="single" w:sz="4" w:space="0" w:color="auto"/>
            </w:tcBorders>
            <w:shd w:val="clear" w:color="auto" w:fill="auto"/>
            <w:noWrap/>
            <w:vAlign w:val="bottom"/>
            <w:hideMark/>
          </w:tcPr>
          <w:p w14:paraId="4526EA77" w14:textId="77777777" w:rsidR="004C18AD" w:rsidRPr="000C156A" w:rsidRDefault="004C18AD" w:rsidP="00042C67">
            <w:pPr>
              <w:jc w:val="right"/>
              <w:rPr>
                <w:rFonts w:cs="Calibri"/>
                <w:sz w:val="20"/>
                <w:lang w:eastAsia="en-GB"/>
              </w:rPr>
            </w:pPr>
            <w:r w:rsidRPr="00543CDE">
              <w:rPr>
                <w:rFonts w:cs="Calibri"/>
                <w:sz w:val="20"/>
                <w:lang w:eastAsia="en-GB"/>
              </w:rPr>
              <w:t>0.00</w:t>
            </w:r>
          </w:p>
        </w:tc>
      </w:tr>
      <w:tr w:rsidR="004C18AD" w:rsidRPr="000C156A" w14:paraId="11759F4F" w14:textId="77777777" w:rsidTr="00042C67">
        <w:trPr>
          <w:trHeight w:val="255"/>
        </w:trPr>
        <w:tc>
          <w:tcPr>
            <w:tcW w:w="1233" w:type="pct"/>
            <w:tcBorders>
              <w:top w:val="nil"/>
              <w:left w:val="single" w:sz="4" w:space="0" w:color="auto"/>
              <w:bottom w:val="nil"/>
              <w:right w:val="nil"/>
            </w:tcBorders>
            <w:shd w:val="clear" w:color="auto" w:fill="auto"/>
            <w:noWrap/>
            <w:vAlign w:val="bottom"/>
            <w:hideMark/>
          </w:tcPr>
          <w:p w14:paraId="210E5F3D"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sz w:val="20"/>
                <w:lang w:val="en-US" w:eastAsia="zh-CN"/>
              </w:rPr>
              <w:t>刚果（共和国）</w:t>
            </w:r>
          </w:p>
        </w:tc>
        <w:tc>
          <w:tcPr>
            <w:tcW w:w="784" w:type="pct"/>
            <w:tcBorders>
              <w:top w:val="nil"/>
              <w:left w:val="single" w:sz="4" w:space="0" w:color="auto"/>
              <w:bottom w:val="nil"/>
              <w:right w:val="single" w:sz="4" w:space="0" w:color="auto"/>
            </w:tcBorders>
            <w:shd w:val="clear" w:color="auto" w:fill="auto"/>
            <w:noWrap/>
            <w:vAlign w:val="bottom"/>
            <w:hideMark/>
          </w:tcPr>
          <w:p w14:paraId="3F685CCF"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 2018</w:t>
            </w:r>
            <w:r w:rsidRPr="000C156A">
              <w:rPr>
                <w:rFonts w:hint="eastAsia"/>
                <w:sz w:val="20"/>
                <w:lang w:eastAsia="zh-CN"/>
              </w:rPr>
              <w:t>年</w:t>
            </w:r>
          </w:p>
        </w:tc>
        <w:tc>
          <w:tcPr>
            <w:tcW w:w="515" w:type="pct"/>
            <w:tcBorders>
              <w:top w:val="nil"/>
              <w:left w:val="nil"/>
              <w:bottom w:val="nil"/>
              <w:right w:val="nil"/>
            </w:tcBorders>
            <w:shd w:val="clear" w:color="auto" w:fill="auto"/>
            <w:noWrap/>
            <w:vAlign w:val="bottom"/>
            <w:hideMark/>
          </w:tcPr>
          <w:p w14:paraId="21BD58A4" w14:textId="77777777" w:rsidR="004C18AD" w:rsidRPr="000C156A" w:rsidRDefault="004C18AD" w:rsidP="00042C67">
            <w:pPr>
              <w:jc w:val="right"/>
              <w:rPr>
                <w:rFonts w:cs="Calibri"/>
                <w:sz w:val="20"/>
                <w:lang w:eastAsia="en-GB"/>
              </w:rPr>
            </w:pPr>
            <w:r w:rsidRPr="00543CDE">
              <w:rPr>
                <w:rFonts w:cs="Calibri"/>
                <w:sz w:val="20"/>
                <w:lang w:eastAsia="en-GB"/>
              </w:rPr>
              <w:t>1</w:t>
            </w:r>
            <w:r>
              <w:rPr>
                <w:rFonts w:cs="Calibri"/>
                <w:sz w:val="20"/>
                <w:lang w:eastAsia="en-GB"/>
              </w:rPr>
              <w:t> </w:t>
            </w:r>
            <w:r w:rsidRPr="00543CDE">
              <w:rPr>
                <w:rFonts w:cs="Calibri"/>
                <w:sz w:val="20"/>
                <w:lang w:eastAsia="en-GB"/>
              </w:rPr>
              <w:t>730</w:t>
            </w:r>
            <w:r>
              <w:rPr>
                <w:rFonts w:cs="Calibri"/>
                <w:sz w:val="20"/>
                <w:lang w:eastAsia="en-GB"/>
              </w:rPr>
              <w:t> </w:t>
            </w:r>
            <w:r w:rsidRPr="00543CDE">
              <w:rPr>
                <w:rFonts w:cs="Calibri"/>
                <w:sz w:val="20"/>
                <w:lang w:eastAsia="en-GB"/>
              </w:rPr>
              <w:t>027.81</w:t>
            </w:r>
          </w:p>
        </w:tc>
        <w:tc>
          <w:tcPr>
            <w:tcW w:w="658" w:type="pct"/>
            <w:tcBorders>
              <w:top w:val="nil"/>
              <w:left w:val="single" w:sz="4" w:space="0" w:color="auto"/>
              <w:bottom w:val="nil"/>
              <w:right w:val="single" w:sz="4" w:space="0" w:color="auto"/>
            </w:tcBorders>
            <w:shd w:val="clear" w:color="auto" w:fill="auto"/>
            <w:noWrap/>
            <w:vAlign w:val="bottom"/>
            <w:hideMark/>
          </w:tcPr>
          <w:p w14:paraId="77FE48DE" w14:textId="77777777" w:rsidR="004C18AD" w:rsidRPr="000C156A" w:rsidRDefault="004C18AD" w:rsidP="00042C67">
            <w:pPr>
              <w:jc w:val="right"/>
              <w:rPr>
                <w:rFonts w:cs="Calibri"/>
                <w:sz w:val="20"/>
                <w:lang w:eastAsia="en-GB"/>
              </w:rPr>
            </w:pPr>
            <w:r w:rsidRPr="00543CDE">
              <w:rPr>
                <w:rFonts w:cs="Calibri"/>
                <w:sz w:val="20"/>
                <w:lang w:eastAsia="en-GB"/>
              </w:rPr>
              <w:t>1</w:t>
            </w:r>
            <w:r>
              <w:rPr>
                <w:rFonts w:cs="Calibri"/>
                <w:sz w:val="20"/>
                <w:lang w:eastAsia="en-GB"/>
              </w:rPr>
              <w:t> </w:t>
            </w:r>
            <w:r w:rsidRPr="00543CDE">
              <w:rPr>
                <w:rFonts w:cs="Calibri"/>
                <w:sz w:val="20"/>
                <w:lang w:eastAsia="en-GB"/>
              </w:rPr>
              <w:t>477</w:t>
            </w:r>
            <w:r>
              <w:rPr>
                <w:rFonts w:cs="Calibri"/>
                <w:sz w:val="20"/>
                <w:lang w:eastAsia="en-GB"/>
              </w:rPr>
              <w:t> </w:t>
            </w:r>
            <w:r w:rsidRPr="00543CDE">
              <w:rPr>
                <w:rFonts w:cs="Calibri"/>
                <w:sz w:val="20"/>
                <w:lang w:eastAsia="en-GB"/>
              </w:rPr>
              <w:t>237.55</w:t>
            </w:r>
          </w:p>
        </w:tc>
        <w:tc>
          <w:tcPr>
            <w:tcW w:w="507" w:type="pct"/>
            <w:tcBorders>
              <w:top w:val="nil"/>
              <w:left w:val="nil"/>
              <w:bottom w:val="nil"/>
              <w:right w:val="nil"/>
            </w:tcBorders>
            <w:shd w:val="clear" w:color="auto" w:fill="auto"/>
            <w:noWrap/>
            <w:vAlign w:val="bottom"/>
            <w:hideMark/>
          </w:tcPr>
          <w:p w14:paraId="713E5CD0" w14:textId="77777777" w:rsidR="004C18AD" w:rsidRPr="000C156A" w:rsidRDefault="004C18AD" w:rsidP="00042C67">
            <w:pPr>
              <w:jc w:val="right"/>
              <w:rPr>
                <w:rFonts w:cs="Calibri"/>
                <w:sz w:val="20"/>
                <w:lang w:eastAsia="en-GB"/>
              </w:rPr>
            </w:pPr>
            <w:r w:rsidRPr="00543CDE">
              <w:rPr>
                <w:rFonts w:cs="Calibri"/>
                <w:sz w:val="20"/>
                <w:lang w:eastAsia="en-GB"/>
              </w:rPr>
              <w:t>0.00</w:t>
            </w:r>
          </w:p>
        </w:tc>
        <w:tc>
          <w:tcPr>
            <w:tcW w:w="415" w:type="pct"/>
            <w:tcBorders>
              <w:top w:val="nil"/>
              <w:left w:val="single" w:sz="4" w:space="0" w:color="auto"/>
              <w:bottom w:val="nil"/>
              <w:right w:val="single" w:sz="4" w:space="0" w:color="auto"/>
            </w:tcBorders>
            <w:shd w:val="clear" w:color="auto" w:fill="auto"/>
            <w:noWrap/>
            <w:vAlign w:val="bottom"/>
            <w:hideMark/>
          </w:tcPr>
          <w:p w14:paraId="007B949F" w14:textId="77777777" w:rsidR="004C18AD" w:rsidRPr="000C156A" w:rsidRDefault="004C18AD" w:rsidP="00042C67">
            <w:pPr>
              <w:jc w:val="right"/>
              <w:rPr>
                <w:rFonts w:cs="Calibri"/>
                <w:sz w:val="20"/>
                <w:lang w:eastAsia="en-GB"/>
              </w:rPr>
            </w:pPr>
            <w:r w:rsidRPr="00543CDE">
              <w:rPr>
                <w:rFonts w:cs="Calibri"/>
                <w:sz w:val="20"/>
                <w:lang w:eastAsia="en-GB"/>
              </w:rPr>
              <w:t>0.00</w:t>
            </w:r>
          </w:p>
        </w:tc>
        <w:tc>
          <w:tcPr>
            <w:tcW w:w="420" w:type="pct"/>
            <w:tcBorders>
              <w:top w:val="nil"/>
              <w:left w:val="nil"/>
              <w:bottom w:val="nil"/>
              <w:right w:val="nil"/>
            </w:tcBorders>
            <w:shd w:val="clear" w:color="auto" w:fill="auto"/>
            <w:noWrap/>
            <w:vAlign w:val="bottom"/>
            <w:hideMark/>
          </w:tcPr>
          <w:p w14:paraId="20015162" w14:textId="77777777" w:rsidR="004C18AD" w:rsidRPr="000C156A" w:rsidRDefault="004C18AD" w:rsidP="00042C67">
            <w:pPr>
              <w:jc w:val="right"/>
              <w:rPr>
                <w:rFonts w:cs="Calibri"/>
                <w:sz w:val="20"/>
                <w:lang w:eastAsia="en-GB"/>
              </w:rPr>
            </w:pPr>
            <w:r w:rsidRPr="00543CDE">
              <w:rPr>
                <w:rFonts w:cs="Calibri"/>
                <w:sz w:val="20"/>
                <w:lang w:eastAsia="en-GB"/>
              </w:rPr>
              <w:t>-84</w:t>
            </w:r>
            <w:r>
              <w:rPr>
                <w:rFonts w:cs="Calibri"/>
                <w:sz w:val="20"/>
                <w:lang w:eastAsia="en-GB"/>
              </w:rPr>
              <w:t> </w:t>
            </w:r>
            <w:r w:rsidRPr="00543CDE">
              <w:rPr>
                <w:rFonts w:cs="Calibri"/>
                <w:sz w:val="20"/>
                <w:lang w:eastAsia="en-GB"/>
              </w:rPr>
              <w:t>263.42</w:t>
            </w:r>
          </w:p>
        </w:tc>
        <w:tc>
          <w:tcPr>
            <w:tcW w:w="468" w:type="pct"/>
            <w:tcBorders>
              <w:top w:val="nil"/>
              <w:left w:val="single" w:sz="4" w:space="0" w:color="auto"/>
              <w:bottom w:val="nil"/>
              <w:right w:val="single" w:sz="4" w:space="0" w:color="auto"/>
            </w:tcBorders>
            <w:shd w:val="clear" w:color="auto" w:fill="auto"/>
            <w:noWrap/>
            <w:vAlign w:val="bottom"/>
            <w:hideMark/>
          </w:tcPr>
          <w:p w14:paraId="6D9BEA3A" w14:textId="77777777" w:rsidR="004C18AD" w:rsidRPr="000C156A" w:rsidRDefault="004C18AD" w:rsidP="00042C67">
            <w:pPr>
              <w:jc w:val="right"/>
              <w:rPr>
                <w:rFonts w:cs="Calibri"/>
                <w:sz w:val="20"/>
                <w:lang w:eastAsia="en-GB"/>
              </w:rPr>
            </w:pPr>
            <w:r w:rsidRPr="00543CDE">
              <w:rPr>
                <w:rFonts w:cs="Calibri"/>
                <w:sz w:val="20"/>
                <w:lang w:eastAsia="en-GB"/>
              </w:rPr>
              <w:t>1</w:t>
            </w:r>
            <w:r>
              <w:rPr>
                <w:rFonts w:cs="Calibri"/>
                <w:sz w:val="20"/>
                <w:lang w:eastAsia="en-GB"/>
              </w:rPr>
              <w:t> </w:t>
            </w:r>
            <w:r w:rsidRPr="00543CDE">
              <w:rPr>
                <w:rFonts w:cs="Calibri"/>
                <w:sz w:val="20"/>
                <w:lang w:eastAsia="en-GB"/>
              </w:rPr>
              <w:t>392</w:t>
            </w:r>
            <w:r>
              <w:rPr>
                <w:rFonts w:cs="Calibri"/>
                <w:sz w:val="20"/>
                <w:lang w:eastAsia="en-GB"/>
              </w:rPr>
              <w:t> </w:t>
            </w:r>
            <w:r w:rsidRPr="00543CDE">
              <w:rPr>
                <w:rFonts w:cs="Calibri"/>
                <w:sz w:val="20"/>
                <w:lang w:eastAsia="en-GB"/>
              </w:rPr>
              <w:t>974.13</w:t>
            </w:r>
          </w:p>
        </w:tc>
      </w:tr>
      <w:tr w:rsidR="004C18AD" w:rsidRPr="000C156A" w14:paraId="65C569DA" w14:textId="77777777" w:rsidTr="00042C67">
        <w:trPr>
          <w:trHeight w:val="255"/>
        </w:trPr>
        <w:tc>
          <w:tcPr>
            <w:tcW w:w="1233" w:type="pct"/>
            <w:tcBorders>
              <w:top w:val="nil"/>
              <w:left w:val="single" w:sz="4" w:space="0" w:color="auto"/>
              <w:bottom w:val="nil"/>
              <w:right w:val="nil"/>
            </w:tcBorders>
            <w:shd w:val="clear" w:color="auto" w:fill="auto"/>
            <w:noWrap/>
            <w:vAlign w:val="bottom"/>
            <w:hideMark/>
          </w:tcPr>
          <w:p w14:paraId="686D48AD"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sz w:val="20"/>
                <w:lang w:val="en-US" w:eastAsia="zh-CN"/>
              </w:rPr>
              <w:t>利比里亚</w:t>
            </w:r>
          </w:p>
        </w:tc>
        <w:tc>
          <w:tcPr>
            <w:tcW w:w="784" w:type="pct"/>
            <w:tcBorders>
              <w:top w:val="nil"/>
              <w:left w:val="single" w:sz="4" w:space="0" w:color="auto"/>
              <w:bottom w:val="nil"/>
              <w:right w:val="single" w:sz="4" w:space="0" w:color="auto"/>
            </w:tcBorders>
            <w:shd w:val="clear" w:color="auto" w:fill="auto"/>
            <w:noWrap/>
            <w:vAlign w:val="bottom"/>
            <w:hideMark/>
          </w:tcPr>
          <w:p w14:paraId="438A10C7"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Pr>
                <w:sz w:val="20"/>
              </w:rPr>
              <w:t>– 20</w:t>
            </w:r>
            <w:r>
              <w:rPr>
                <w:rFonts w:hint="eastAsia"/>
                <w:sz w:val="20"/>
                <w:lang w:eastAsia="zh-CN"/>
              </w:rPr>
              <w:t>20</w:t>
            </w:r>
            <w:r w:rsidRPr="000C156A">
              <w:rPr>
                <w:rFonts w:hint="eastAsia"/>
                <w:sz w:val="20"/>
                <w:lang w:eastAsia="zh-CN"/>
              </w:rPr>
              <w:t>年</w:t>
            </w:r>
          </w:p>
        </w:tc>
        <w:tc>
          <w:tcPr>
            <w:tcW w:w="515" w:type="pct"/>
            <w:tcBorders>
              <w:top w:val="nil"/>
              <w:left w:val="nil"/>
              <w:bottom w:val="nil"/>
              <w:right w:val="nil"/>
            </w:tcBorders>
            <w:shd w:val="clear" w:color="auto" w:fill="auto"/>
            <w:noWrap/>
            <w:vAlign w:val="bottom"/>
            <w:hideMark/>
          </w:tcPr>
          <w:p w14:paraId="22B28CC5" w14:textId="77777777" w:rsidR="004C18AD" w:rsidRPr="000C156A" w:rsidRDefault="004C18AD" w:rsidP="00042C67">
            <w:pPr>
              <w:jc w:val="right"/>
              <w:rPr>
                <w:rFonts w:cs="Calibri"/>
                <w:sz w:val="20"/>
                <w:lang w:eastAsia="en-GB"/>
              </w:rPr>
            </w:pPr>
            <w:r w:rsidRPr="00543CDE">
              <w:rPr>
                <w:rFonts w:cs="Calibri"/>
                <w:sz w:val="20"/>
                <w:lang w:eastAsia="en-GB"/>
              </w:rPr>
              <w:t>4</w:t>
            </w:r>
            <w:r>
              <w:rPr>
                <w:rFonts w:cs="Calibri"/>
                <w:sz w:val="20"/>
                <w:lang w:eastAsia="en-GB"/>
              </w:rPr>
              <w:t> </w:t>
            </w:r>
            <w:r w:rsidRPr="00543CDE">
              <w:rPr>
                <w:rFonts w:cs="Calibri"/>
                <w:sz w:val="20"/>
                <w:lang w:eastAsia="en-GB"/>
              </w:rPr>
              <w:t>833</w:t>
            </w:r>
            <w:r>
              <w:rPr>
                <w:rFonts w:cs="Calibri"/>
                <w:sz w:val="20"/>
                <w:lang w:eastAsia="en-GB"/>
              </w:rPr>
              <w:t> </w:t>
            </w:r>
            <w:r w:rsidRPr="00543CDE">
              <w:rPr>
                <w:rFonts w:cs="Calibri"/>
                <w:sz w:val="20"/>
                <w:lang w:eastAsia="en-GB"/>
              </w:rPr>
              <w:t>356.64</w:t>
            </w:r>
          </w:p>
        </w:tc>
        <w:tc>
          <w:tcPr>
            <w:tcW w:w="658" w:type="pct"/>
            <w:tcBorders>
              <w:top w:val="nil"/>
              <w:left w:val="single" w:sz="4" w:space="0" w:color="auto"/>
              <w:bottom w:val="nil"/>
              <w:right w:val="single" w:sz="4" w:space="0" w:color="auto"/>
            </w:tcBorders>
            <w:shd w:val="clear" w:color="auto" w:fill="auto"/>
            <w:noWrap/>
            <w:vAlign w:val="bottom"/>
            <w:hideMark/>
          </w:tcPr>
          <w:p w14:paraId="36CF1950" w14:textId="77777777" w:rsidR="004C18AD" w:rsidRPr="000C156A" w:rsidRDefault="004C18AD" w:rsidP="00042C67">
            <w:pPr>
              <w:jc w:val="right"/>
              <w:rPr>
                <w:rFonts w:cs="Calibri"/>
                <w:sz w:val="20"/>
                <w:lang w:eastAsia="en-GB"/>
              </w:rPr>
            </w:pPr>
            <w:r w:rsidRPr="00543CDE">
              <w:rPr>
                <w:rFonts w:cs="Calibri"/>
                <w:sz w:val="20"/>
                <w:lang w:eastAsia="en-GB"/>
              </w:rPr>
              <w:t>4</w:t>
            </w:r>
            <w:r>
              <w:rPr>
                <w:rFonts w:cs="Calibri"/>
                <w:sz w:val="20"/>
                <w:lang w:eastAsia="en-GB"/>
              </w:rPr>
              <w:t> </w:t>
            </w:r>
            <w:r w:rsidRPr="00543CDE">
              <w:rPr>
                <w:rFonts w:cs="Calibri"/>
                <w:sz w:val="20"/>
                <w:lang w:eastAsia="en-GB"/>
              </w:rPr>
              <w:t>717</w:t>
            </w:r>
            <w:r>
              <w:rPr>
                <w:rFonts w:cs="Calibri"/>
                <w:sz w:val="20"/>
                <w:lang w:eastAsia="en-GB"/>
              </w:rPr>
              <w:t> </w:t>
            </w:r>
            <w:r w:rsidRPr="00543CDE">
              <w:rPr>
                <w:rFonts w:cs="Calibri"/>
                <w:sz w:val="20"/>
                <w:lang w:eastAsia="en-GB"/>
              </w:rPr>
              <w:t>294.56</w:t>
            </w:r>
          </w:p>
        </w:tc>
        <w:tc>
          <w:tcPr>
            <w:tcW w:w="507" w:type="pct"/>
            <w:tcBorders>
              <w:top w:val="nil"/>
              <w:left w:val="nil"/>
              <w:bottom w:val="nil"/>
              <w:right w:val="nil"/>
            </w:tcBorders>
            <w:shd w:val="clear" w:color="auto" w:fill="auto"/>
            <w:noWrap/>
            <w:vAlign w:val="bottom"/>
            <w:hideMark/>
          </w:tcPr>
          <w:p w14:paraId="420AF14C" w14:textId="77777777" w:rsidR="004C18AD" w:rsidRPr="000C156A" w:rsidRDefault="004C18AD" w:rsidP="00042C67">
            <w:pPr>
              <w:jc w:val="right"/>
              <w:rPr>
                <w:rFonts w:cs="Calibri"/>
                <w:sz w:val="20"/>
                <w:lang w:eastAsia="en-GB"/>
              </w:rPr>
            </w:pPr>
            <w:r w:rsidRPr="00543CDE">
              <w:rPr>
                <w:rFonts w:cs="Calibri"/>
                <w:sz w:val="20"/>
                <w:lang w:eastAsia="en-GB"/>
              </w:rPr>
              <w:t>0.00</w:t>
            </w:r>
          </w:p>
        </w:tc>
        <w:tc>
          <w:tcPr>
            <w:tcW w:w="415" w:type="pct"/>
            <w:tcBorders>
              <w:top w:val="nil"/>
              <w:left w:val="single" w:sz="4" w:space="0" w:color="auto"/>
              <w:bottom w:val="nil"/>
              <w:right w:val="single" w:sz="4" w:space="0" w:color="auto"/>
            </w:tcBorders>
            <w:shd w:val="clear" w:color="auto" w:fill="auto"/>
            <w:noWrap/>
            <w:vAlign w:val="bottom"/>
            <w:hideMark/>
          </w:tcPr>
          <w:p w14:paraId="38D7C547" w14:textId="77777777" w:rsidR="004C18AD" w:rsidRPr="000C156A" w:rsidRDefault="004C18AD" w:rsidP="00042C67">
            <w:pPr>
              <w:jc w:val="right"/>
              <w:rPr>
                <w:rFonts w:cs="Calibri"/>
                <w:sz w:val="20"/>
                <w:lang w:eastAsia="en-GB"/>
              </w:rPr>
            </w:pPr>
            <w:r w:rsidRPr="00543CDE">
              <w:rPr>
                <w:rFonts w:cs="Calibri"/>
                <w:sz w:val="20"/>
                <w:lang w:eastAsia="en-GB"/>
              </w:rPr>
              <w:t>0.00</w:t>
            </w:r>
          </w:p>
        </w:tc>
        <w:tc>
          <w:tcPr>
            <w:tcW w:w="420" w:type="pct"/>
            <w:tcBorders>
              <w:top w:val="nil"/>
              <w:left w:val="nil"/>
              <w:bottom w:val="nil"/>
              <w:right w:val="nil"/>
            </w:tcBorders>
            <w:shd w:val="clear" w:color="auto" w:fill="auto"/>
            <w:noWrap/>
            <w:vAlign w:val="bottom"/>
            <w:hideMark/>
          </w:tcPr>
          <w:p w14:paraId="48B8185F" w14:textId="77777777" w:rsidR="004C18AD" w:rsidRPr="000C156A" w:rsidRDefault="004C18AD" w:rsidP="00042C67">
            <w:pPr>
              <w:jc w:val="right"/>
              <w:rPr>
                <w:rFonts w:cs="Calibri"/>
                <w:sz w:val="20"/>
                <w:lang w:eastAsia="en-GB"/>
              </w:rPr>
            </w:pPr>
            <w:r w:rsidRPr="00543CDE">
              <w:rPr>
                <w:rFonts w:cs="Calibri"/>
                <w:sz w:val="20"/>
                <w:lang w:eastAsia="en-GB"/>
              </w:rPr>
              <w:t>-102</w:t>
            </w:r>
            <w:r>
              <w:rPr>
                <w:rFonts w:cs="Calibri"/>
                <w:sz w:val="20"/>
                <w:lang w:eastAsia="en-GB"/>
              </w:rPr>
              <w:t> </w:t>
            </w:r>
            <w:r w:rsidRPr="00543CDE">
              <w:rPr>
                <w:rFonts w:cs="Calibri"/>
                <w:sz w:val="20"/>
                <w:lang w:eastAsia="en-GB"/>
              </w:rPr>
              <w:t>072.29</w:t>
            </w:r>
          </w:p>
        </w:tc>
        <w:tc>
          <w:tcPr>
            <w:tcW w:w="468" w:type="pct"/>
            <w:tcBorders>
              <w:top w:val="nil"/>
              <w:left w:val="single" w:sz="4" w:space="0" w:color="auto"/>
              <w:bottom w:val="nil"/>
              <w:right w:val="single" w:sz="4" w:space="0" w:color="auto"/>
            </w:tcBorders>
            <w:shd w:val="clear" w:color="auto" w:fill="auto"/>
            <w:noWrap/>
            <w:vAlign w:val="bottom"/>
            <w:hideMark/>
          </w:tcPr>
          <w:p w14:paraId="598BDDB6" w14:textId="77777777" w:rsidR="004C18AD" w:rsidRPr="000C156A" w:rsidRDefault="004C18AD" w:rsidP="00042C67">
            <w:pPr>
              <w:jc w:val="right"/>
              <w:rPr>
                <w:rFonts w:cs="Calibri"/>
                <w:sz w:val="20"/>
                <w:lang w:eastAsia="en-GB"/>
              </w:rPr>
            </w:pPr>
            <w:r w:rsidRPr="00543CDE">
              <w:rPr>
                <w:rFonts w:cs="Calibri"/>
                <w:sz w:val="20"/>
                <w:lang w:eastAsia="en-GB"/>
              </w:rPr>
              <w:t>4</w:t>
            </w:r>
            <w:r>
              <w:rPr>
                <w:rFonts w:cs="Calibri"/>
                <w:sz w:val="20"/>
                <w:lang w:eastAsia="en-GB"/>
              </w:rPr>
              <w:t> </w:t>
            </w:r>
            <w:r w:rsidRPr="00543CDE">
              <w:rPr>
                <w:rFonts w:cs="Calibri"/>
                <w:sz w:val="20"/>
                <w:lang w:eastAsia="en-GB"/>
              </w:rPr>
              <w:t>615</w:t>
            </w:r>
            <w:r>
              <w:rPr>
                <w:rFonts w:cs="Calibri"/>
                <w:sz w:val="20"/>
                <w:lang w:eastAsia="en-GB"/>
              </w:rPr>
              <w:t> </w:t>
            </w:r>
            <w:r w:rsidRPr="00543CDE">
              <w:rPr>
                <w:rFonts w:cs="Calibri"/>
                <w:sz w:val="20"/>
                <w:lang w:eastAsia="en-GB"/>
              </w:rPr>
              <w:t>222.27</w:t>
            </w:r>
          </w:p>
        </w:tc>
      </w:tr>
      <w:tr w:rsidR="004C18AD" w:rsidRPr="000C156A" w14:paraId="79AF0BE6" w14:textId="77777777" w:rsidTr="00042C67">
        <w:trPr>
          <w:trHeight w:val="262"/>
        </w:trPr>
        <w:tc>
          <w:tcPr>
            <w:tcW w:w="1233" w:type="pct"/>
            <w:tcBorders>
              <w:top w:val="nil"/>
              <w:left w:val="single" w:sz="4" w:space="0" w:color="auto"/>
              <w:bottom w:val="nil"/>
              <w:right w:val="nil"/>
            </w:tcBorders>
            <w:shd w:val="clear" w:color="auto" w:fill="auto"/>
            <w:noWrap/>
            <w:vAlign w:val="bottom"/>
          </w:tcPr>
          <w:p w14:paraId="617ACF1F" w14:textId="77777777" w:rsidR="004C18AD" w:rsidRPr="000C156A" w:rsidRDefault="004C18AD" w:rsidP="00042C67">
            <w:pPr>
              <w:overflowPunct/>
              <w:autoSpaceDE/>
              <w:autoSpaceDN/>
              <w:adjustRightInd/>
              <w:spacing w:before="0"/>
              <w:textAlignment w:val="auto"/>
              <w:rPr>
                <w:sz w:val="18"/>
                <w:szCs w:val="18"/>
                <w:lang w:val="en-US" w:eastAsia="zh-CN"/>
              </w:rPr>
            </w:pPr>
          </w:p>
        </w:tc>
        <w:tc>
          <w:tcPr>
            <w:tcW w:w="784" w:type="pct"/>
            <w:tcBorders>
              <w:top w:val="nil"/>
              <w:left w:val="single" w:sz="4" w:space="0" w:color="auto"/>
              <w:bottom w:val="nil"/>
              <w:right w:val="single" w:sz="4" w:space="0" w:color="auto"/>
            </w:tcBorders>
            <w:shd w:val="clear" w:color="auto" w:fill="auto"/>
            <w:noWrap/>
            <w:vAlign w:val="bottom"/>
          </w:tcPr>
          <w:p w14:paraId="3F68CCED" w14:textId="77777777" w:rsidR="004C18AD" w:rsidRPr="000C156A" w:rsidRDefault="004C18AD" w:rsidP="00042C67">
            <w:pPr>
              <w:overflowPunct/>
              <w:autoSpaceDE/>
              <w:autoSpaceDN/>
              <w:adjustRightInd/>
              <w:spacing w:before="0"/>
              <w:textAlignment w:val="auto"/>
              <w:rPr>
                <w:sz w:val="18"/>
                <w:szCs w:val="18"/>
                <w:lang w:eastAsia="zh-CN"/>
              </w:rPr>
            </w:pPr>
          </w:p>
        </w:tc>
        <w:tc>
          <w:tcPr>
            <w:tcW w:w="515" w:type="pct"/>
            <w:tcBorders>
              <w:top w:val="nil"/>
              <w:left w:val="nil"/>
              <w:bottom w:val="nil"/>
              <w:right w:val="nil"/>
            </w:tcBorders>
            <w:shd w:val="clear" w:color="auto" w:fill="auto"/>
            <w:noWrap/>
            <w:vAlign w:val="bottom"/>
          </w:tcPr>
          <w:p w14:paraId="328A72D2" w14:textId="77777777" w:rsidR="004C18AD" w:rsidRPr="000C156A" w:rsidRDefault="004C18AD" w:rsidP="00042C67">
            <w:pPr>
              <w:jc w:val="right"/>
              <w:rPr>
                <w:rFonts w:cs="Calibri"/>
                <w:sz w:val="18"/>
                <w:szCs w:val="18"/>
                <w:lang w:eastAsia="en-GB"/>
              </w:rPr>
            </w:pPr>
          </w:p>
        </w:tc>
        <w:tc>
          <w:tcPr>
            <w:tcW w:w="658" w:type="pct"/>
            <w:tcBorders>
              <w:top w:val="nil"/>
              <w:left w:val="single" w:sz="4" w:space="0" w:color="auto"/>
              <w:bottom w:val="nil"/>
              <w:right w:val="single" w:sz="4" w:space="0" w:color="auto"/>
            </w:tcBorders>
            <w:shd w:val="clear" w:color="auto" w:fill="auto"/>
            <w:noWrap/>
            <w:vAlign w:val="bottom"/>
          </w:tcPr>
          <w:p w14:paraId="0463AA26" w14:textId="77777777" w:rsidR="004C18AD" w:rsidRPr="000C156A" w:rsidRDefault="004C18AD" w:rsidP="00042C67">
            <w:pPr>
              <w:jc w:val="right"/>
              <w:rPr>
                <w:rFonts w:cs="Calibri"/>
                <w:sz w:val="18"/>
                <w:szCs w:val="18"/>
                <w:lang w:eastAsia="en-GB"/>
              </w:rPr>
            </w:pPr>
          </w:p>
        </w:tc>
        <w:tc>
          <w:tcPr>
            <w:tcW w:w="507" w:type="pct"/>
            <w:tcBorders>
              <w:top w:val="nil"/>
              <w:left w:val="nil"/>
              <w:bottom w:val="nil"/>
              <w:right w:val="nil"/>
            </w:tcBorders>
            <w:shd w:val="clear" w:color="auto" w:fill="auto"/>
            <w:noWrap/>
            <w:vAlign w:val="bottom"/>
          </w:tcPr>
          <w:p w14:paraId="7E832EB2" w14:textId="77777777" w:rsidR="004C18AD" w:rsidRPr="000C156A" w:rsidRDefault="004C18AD" w:rsidP="00042C67">
            <w:pPr>
              <w:jc w:val="right"/>
              <w:rPr>
                <w:rFonts w:cs="Calibri"/>
                <w:sz w:val="18"/>
                <w:szCs w:val="18"/>
                <w:lang w:eastAsia="en-GB"/>
              </w:rPr>
            </w:pPr>
          </w:p>
        </w:tc>
        <w:tc>
          <w:tcPr>
            <w:tcW w:w="415" w:type="pct"/>
            <w:tcBorders>
              <w:top w:val="nil"/>
              <w:left w:val="single" w:sz="4" w:space="0" w:color="auto"/>
              <w:bottom w:val="nil"/>
              <w:right w:val="single" w:sz="4" w:space="0" w:color="auto"/>
            </w:tcBorders>
            <w:shd w:val="clear" w:color="auto" w:fill="auto"/>
            <w:noWrap/>
            <w:vAlign w:val="bottom"/>
          </w:tcPr>
          <w:p w14:paraId="09A35A07" w14:textId="77777777" w:rsidR="004C18AD" w:rsidRPr="000C156A" w:rsidRDefault="004C18AD" w:rsidP="00042C67">
            <w:pPr>
              <w:jc w:val="right"/>
              <w:rPr>
                <w:rFonts w:cs="Calibri"/>
                <w:sz w:val="18"/>
                <w:szCs w:val="18"/>
                <w:lang w:eastAsia="en-GB"/>
              </w:rPr>
            </w:pPr>
          </w:p>
        </w:tc>
        <w:tc>
          <w:tcPr>
            <w:tcW w:w="420" w:type="pct"/>
            <w:tcBorders>
              <w:top w:val="nil"/>
              <w:left w:val="nil"/>
              <w:bottom w:val="nil"/>
              <w:right w:val="nil"/>
            </w:tcBorders>
            <w:shd w:val="clear" w:color="auto" w:fill="auto"/>
            <w:noWrap/>
            <w:vAlign w:val="bottom"/>
          </w:tcPr>
          <w:p w14:paraId="5AC17FA8" w14:textId="77777777" w:rsidR="004C18AD" w:rsidRPr="000C156A" w:rsidRDefault="004C18AD" w:rsidP="00042C67">
            <w:pPr>
              <w:jc w:val="right"/>
              <w:rPr>
                <w:rFonts w:cs="Calibri"/>
                <w:sz w:val="18"/>
                <w:szCs w:val="18"/>
                <w:lang w:eastAsia="en-GB"/>
              </w:rPr>
            </w:pPr>
          </w:p>
        </w:tc>
        <w:tc>
          <w:tcPr>
            <w:tcW w:w="468" w:type="pct"/>
            <w:tcBorders>
              <w:top w:val="nil"/>
              <w:left w:val="single" w:sz="4" w:space="0" w:color="auto"/>
              <w:bottom w:val="nil"/>
              <w:right w:val="single" w:sz="4" w:space="0" w:color="auto"/>
            </w:tcBorders>
            <w:shd w:val="clear" w:color="auto" w:fill="auto"/>
            <w:noWrap/>
            <w:vAlign w:val="bottom"/>
          </w:tcPr>
          <w:p w14:paraId="4C4B23F3" w14:textId="77777777" w:rsidR="004C18AD" w:rsidRPr="000C156A" w:rsidRDefault="004C18AD" w:rsidP="00042C67">
            <w:pPr>
              <w:jc w:val="right"/>
              <w:rPr>
                <w:rFonts w:cs="Calibri"/>
                <w:sz w:val="18"/>
                <w:szCs w:val="18"/>
                <w:lang w:eastAsia="en-GB"/>
              </w:rPr>
            </w:pPr>
          </w:p>
        </w:tc>
      </w:tr>
      <w:tr w:rsidR="004C18AD" w:rsidRPr="000C156A" w14:paraId="53B18C8D" w14:textId="77777777" w:rsidTr="00042C67">
        <w:trPr>
          <w:trHeight w:val="255"/>
        </w:trPr>
        <w:tc>
          <w:tcPr>
            <w:tcW w:w="1233" w:type="pct"/>
            <w:tcBorders>
              <w:top w:val="nil"/>
              <w:left w:val="single" w:sz="4" w:space="0" w:color="auto"/>
              <w:bottom w:val="nil"/>
              <w:right w:val="nil"/>
            </w:tcBorders>
            <w:shd w:val="clear" w:color="auto" w:fill="auto"/>
            <w:noWrap/>
            <w:vAlign w:val="bottom"/>
          </w:tcPr>
          <w:p w14:paraId="4B68629A" w14:textId="77777777" w:rsidR="004C18AD" w:rsidRPr="000C156A" w:rsidRDefault="004C18AD" w:rsidP="00042C67">
            <w:pPr>
              <w:overflowPunct/>
              <w:autoSpaceDE/>
              <w:autoSpaceDN/>
              <w:adjustRightInd/>
              <w:spacing w:before="0"/>
              <w:textAlignment w:val="auto"/>
              <w:rPr>
                <w:sz w:val="18"/>
                <w:szCs w:val="18"/>
                <w:lang w:val="en-US" w:eastAsia="zh-CN"/>
              </w:rPr>
            </w:pPr>
            <w:r>
              <w:rPr>
                <w:rFonts w:cs="Calibri" w:hint="eastAsia"/>
                <w:b/>
                <w:bCs/>
                <w:sz w:val="20"/>
                <w:lang w:eastAsia="zh-CN"/>
              </w:rPr>
              <w:t>部门成员</w:t>
            </w:r>
            <w:r>
              <w:rPr>
                <w:rFonts w:cs="Calibri" w:hint="eastAsia"/>
                <w:b/>
                <w:bCs/>
                <w:sz w:val="20"/>
                <w:lang w:eastAsia="zh-CN"/>
              </w:rPr>
              <w:t>/</w:t>
            </w:r>
            <w:r>
              <w:rPr>
                <w:rFonts w:cs="Calibri" w:hint="eastAsia"/>
                <w:b/>
                <w:bCs/>
                <w:sz w:val="20"/>
                <w:lang w:eastAsia="zh-CN"/>
              </w:rPr>
              <w:t>公司</w:t>
            </w:r>
          </w:p>
        </w:tc>
        <w:tc>
          <w:tcPr>
            <w:tcW w:w="784" w:type="pct"/>
            <w:tcBorders>
              <w:top w:val="nil"/>
              <w:left w:val="single" w:sz="4" w:space="0" w:color="auto"/>
              <w:bottom w:val="nil"/>
              <w:right w:val="single" w:sz="4" w:space="0" w:color="auto"/>
            </w:tcBorders>
            <w:shd w:val="clear" w:color="auto" w:fill="auto"/>
            <w:noWrap/>
            <w:vAlign w:val="bottom"/>
          </w:tcPr>
          <w:p w14:paraId="7E9B8515" w14:textId="77777777" w:rsidR="004C18AD" w:rsidRPr="000C156A" w:rsidRDefault="004C18AD" w:rsidP="00042C67">
            <w:pPr>
              <w:overflowPunct/>
              <w:autoSpaceDE/>
              <w:autoSpaceDN/>
              <w:adjustRightInd/>
              <w:spacing w:before="0"/>
              <w:textAlignment w:val="auto"/>
              <w:rPr>
                <w:sz w:val="18"/>
                <w:szCs w:val="18"/>
                <w:lang w:eastAsia="zh-CN"/>
              </w:rPr>
            </w:pPr>
          </w:p>
        </w:tc>
        <w:tc>
          <w:tcPr>
            <w:tcW w:w="515" w:type="pct"/>
            <w:tcBorders>
              <w:top w:val="nil"/>
              <w:left w:val="nil"/>
              <w:bottom w:val="nil"/>
              <w:right w:val="nil"/>
            </w:tcBorders>
            <w:shd w:val="clear" w:color="auto" w:fill="auto"/>
            <w:noWrap/>
            <w:vAlign w:val="bottom"/>
          </w:tcPr>
          <w:p w14:paraId="2F4D8059" w14:textId="77777777" w:rsidR="004C18AD" w:rsidRPr="000C156A" w:rsidRDefault="004C18AD" w:rsidP="00042C67">
            <w:pPr>
              <w:jc w:val="right"/>
              <w:rPr>
                <w:rFonts w:cs="Calibri"/>
                <w:sz w:val="18"/>
                <w:szCs w:val="18"/>
                <w:lang w:eastAsia="en-GB"/>
              </w:rPr>
            </w:pPr>
          </w:p>
        </w:tc>
        <w:tc>
          <w:tcPr>
            <w:tcW w:w="658" w:type="pct"/>
            <w:tcBorders>
              <w:top w:val="nil"/>
              <w:left w:val="single" w:sz="4" w:space="0" w:color="auto"/>
              <w:bottom w:val="nil"/>
              <w:right w:val="single" w:sz="4" w:space="0" w:color="auto"/>
            </w:tcBorders>
            <w:shd w:val="clear" w:color="auto" w:fill="auto"/>
            <w:noWrap/>
            <w:vAlign w:val="bottom"/>
          </w:tcPr>
          <w:p w14:paraId="4B41AAC7" w14:textId="77777777" w:rsidR="004C18AD" w:rsidRPr="000C156A" w:rsidRDefault="004C18AD" w:rsidP="00042C67">
            <w:pPr>
              <w:jc w:val="right"/>
              <w:rPr>
                <w:rFonts w:cs="Calibri"/>
                <w:sz w:val="18"/>
                <w:szCs w:val="18"/>
                <w:lang w:eastAsia="en-GB"/>
              </w:rPr>
            </w:pPr>
          </w:p>
        </w:tc>
        <w:tc>
          <w:tcPr>
            <w:tcW w:w="507" w:type="pct"/>
            <w:tcBorders>
              <w:top w:val="nil"/>
              <w:left w:val="nil"/>
              <w:bottom w:val="nil"/>
              <w:right w:val="nil"/>
            </w:tcBorders>
            <w:shd w:val="clear" w:color="auto" w:fill="auto"/>
            <w:noWrap/>
            <w:vAlign w:val="bottom"/>
          </w:tcPr>
          <w:p w14:paraId="314162F8" w14:textId="77777777" w:rsidR="004C18AD" w:rsidRPr="000C156A" w:rsidRDefault="004C18AD" w:rsidP="00042C67">
            <w:pPr>
              <w:jc w:val="right"/>
              <w:rPr>
                <w:rFonts w:cs="Calibri"/>
                <w:sz w:val="18"/>
                <w:szCs w:val="18"/>
                <w:lang w:eastAsia="en-GB"/>
              </w:rPr>
            </w:pPr>
          </w:p>
        </w:tc>
        <w:tc>
          <w:tcPr>
            <w:tcW w:w="415" w:type="pct"/>
            <w:tcBorders>
              <w:top w:val="nil"/>
              <w:left w:val="single" w:sz="4" w:space="0" w:color="auto"/>
              <w:bottom w:val="nil"/>
              <w:right w:val="single" w:sz="4" w:space="0" w:color="auto"/>
            </w:tcBorders>
            <w:shd w:val="clear" w:color="auto" w:fill="auto"/>
            <w:noWrap/>
            <w:vAlign w:val="bottom"/>
          </w:tcPr>
          <w:p w14:paraId="347E934B" w14:textId="77777777" w:rsidR="004C18AD" w:rsidRPr="000C156A" w:rsidRDefault="004C18AD" w:rsidP="00042C67">
            <w:pPr>
              <w:jc w:val="right"/>
              <w:rPr>
                <w:rFonts w:cs="Calibri"/>
                <w:sz w:val="18"/>
                <w:szCs w:val="18"/>
                <w:lang w:eastAsia="en-GB"/>
              </w:rPr>
            </w:pPr>
          </w:p>
        </w:tc>
        <w:tc>
          <w:tcPr>
            <w:tcW w:w="420" w:type="pct"/>
            <w:tcBorders>
              <w:top w:val="nil"/>
              <w:left w:val="nil"/>
              <w:bottom w:val="nil"/>
              <w:right w:val="nil"/>
            </w:tcBorders>
            <w:shd w:val="clear" w:color="auto" w:fill="auto"/>
            <w:noWrap/>
            <w:vAlign w:val="bottom"/>
          </w:tcPr>
          <w:p w14:paraId="76E57DDB" w14:textId="77777777" w:rsidR="004C18AD" w:rsidRPr="000C156A" w:rsidRDefault="004C18AD" w:rsidP="00042C67">
            <w:pPr>
              <w:jc w:val="right"/>
              <w:rPr>
                <w:rFonts w:cs="Calibri"/>
                <w:sz w:val="18"/>
                <w:szCs w:val="18"/>
                <w:lang w:eastAsia="en-GB"/>
              </w:rPr>
            </w:pPr>
          </w:p>
        </w:tc>
        <w:tc>
          <w:tcPr>
            <w:tcW w:w="468" w:type="pct"/>
            <w:tcBorders>
              <w:top w:val="nil"/>
              <w:left w:val="single" w:sz="4" w:space="0" w:color="auto"/>
              <w:bottom w:val="nil"/>
              <w:right w:val="single" w:sz="4" w:space="0" w:color="auto"/>
            </w:tcBorders>
            <w:shd w:val="clear" w:color="auto" w:fill="auto"/>
            <w:noWrap/>
            <w:vAlign w:val="bottom"/>
          </w:tcPr>
          <w:p w14:paraId="5D1A440D" w14:textId="77777777" w:rsidR="004C18AD" w:rsidRPr="000C156A" w:rsidRDefault="004C18AD" w:rsidP="00042C67">
            <w:pPr>
              <w:jc w:val="right"/>
              <w:rPr>
                <w:rFonts w:cs="Calibri"/>
                <w:sz w:val="18"/>
                <w:szCs w:val="18"/>
                <w:lang w:eastAsia="en-GB"/>
              </w:rPr>
            </w:pPr>
          </w:p>
        </w:tc>
      </w:tr>
      <w:tr w:rsidR="004C18AD" w:rsidRPr="000C156A" w14:paraId="62503E6C" w14:textId="77777777" w:rsidTr="00042C67">
        <w:trPr>
          <w:trHeight w:val="286"/>
        </w:trPr>
        <w:tc>
          <w:tcPr>
            <w:tcW w:w="1233" w:type="pct"/>
            <w:tcBorders>
              <w:top w:val="nil"/>
              <w:left w:val="single" w:sz="4" w:space="0" w:color="auto"/>
              <w:bottom w:val="single" w:sz="4" w:space="0" w:color="auto"/>
              <w:right w:val="nil"/>
            </w:tcBorders>
            <w:shd w:val="clear" w:color="auto" w:fill="auto"/>
            <w:vAlign w:val="bottom"/>
            <w:hideMark/>
          </w:tcPr>
          <w:p w14:paraId="5D69D14A"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784" w:type="pct"/>
            <w:tcBorders>
              <w:top w:val="nil"/>
              <w:left w:val="single" w:sz="4" w:space="0" w:color="auto"/>
              <w:bottom w:val="single" w:sz="4" w:space="0" w:color="auto"/>
              <w:right w:val="single" w:sz="4" w:space="0" w:color="auto"/>
            </w:tcBorders>
            <w:shd w:val="clear" w:color="auto" w:fill="auto"/>
            <w:noWrap/>
            <w:vAlign w:val="bottom"/>
            <w:hideMark/>
          </w:tcPr>
          <w:p w14:paraId="3F8EFC71"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515" w:type="pct"/>
            <w:tcBorders>
              <w:top w:val="nil"/>
              <w:left w:val="nil"/>
              <w:bottom w:val="single" w:sz="4" w:space="0" w:color="auto"/>
              <w:right w:val="nil"/>
            </w:tcBorders>
            <w:shd w:val="clear" w:color="auto" w:fill="auto"/>
            <w:noWrap/>
            <w:vAlign w:val="bottom"/>
            <w:hideMark/>
          </w:tcPr>
          <w:p w14:paraId="6B775EDA"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658" w:type="pct"/>
            <w:tcBorders>
              <w:top w:val="nil"/>
              <w:left w:val="single" w:sz="4" w:space="0" w:color="auto"/>
              <w:bottom w:val="single" w:sz="4" w:space="0" w:color="auto"/>
              <w:right w:val="single" w:sz="4" w:space="0" w:color="auto"/>
            </w:tcBorders>
            <w:shd w:val="clear" w:color="auto" w:fill="auto"/>
            <w:noWrap/>
            <w:vAlign w:val="bottom"/>
            <w:hideMark/>
          </w:tcPr>
          <w:p w14:paraId="5D7ECF4C"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507" w:type="pct"/>
            <w:tcBorders>
              <w:top w:val="nil"/>
              <w:left w:val="nil"/>
              <w:bottom w:val="single" w:sz="4" w:space="0" w:color="auto"/>
              <w:right w:val="nil"/>
            </w:tcBorders>
            <w:shd w:val="clear" w:color="auto" w:fill="auto"/>
            <w:noWrap/>
            <w:vAlign w:val="bottom"/>
            <w:hideMark/>
          </w:tcPr>
          <w:p w14:paraId="64E38B6C"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14:paraId="08688EE5"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420" w:type="pct"/>
            <w:tcBorders>
              <w:top w:val="nil"/>
              <w:left w:val="nil"/>
              <w:bottom w:val="single" w:sz="4" w:space="0" w:color="auto"/>
              <w:right w:val="nil"/>
            </w:tcBorders>
            <w:shd w:val="clear" w:color="auto" w:fill="auto"/>
            <w:noWrap/>
            <w:vAlign w:val="bottom"/>
            <w:hideMark/>
          </w:tcPr>
          <w:p w14:paraId="2E3EA6CF"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14:paraId="34920ED8" w14:textId="77777777" w:rsidR="004C18AD" w:rsidRPr="000C156A" w:rsidRDefault="004C18AD" w:rsidP="00042C67">
            <w:pPr>
              <w:overflowPunct/>
              <w:autoSpaceDE/>
              <w:autoSpaceDN/>
              <w:adjustRightInd/>
              <w:spacing w:before="0"/>
              <w:textAlignment w:val="auto"/>
              <w:rPr>
                <w:rFonts w:cs="Calibri"/>
                <w:sz w:val="20"/>
                <w:lang w:eastAsia="en-GB"/>
              </w:rPr>
            </w:pPr>
          </w:p>
        </w:tc>
      </w:tr>
      <w:tr w:rsidR="004C18AD" w:rsidRPr="000C156A" w14:paraId="4FF752B6" w14:textId="77777777" w:rsidTr="00042C67">
        <w:trPr>
          <w:trHeight w:val="255"/>
        </w:trPr>
        <w:tc>
          <w:tcPr>
            <w:tcW w:w="1233" w:type="pct"/>
            <w:tcBorders>
              <w:top w:val="nil"/>
              <w:left w:val="single" w:sz="4" w:space="0" w:color="auto"/>
              <w:bottom w:val="nil"/>
              <w:right w:val="nil"/>
            </w:tcBorders>
            <w:shd w:val="clear" w:color="auto" w:fill="auto"/>
            <w:noWrap/>
            <w:vAlign w:val="bottom"/>
            <w:hideMark/>
          </w:tcPr>
          <w:p w14:paraId="3B7799CA" w14:textId="77777777" w:rsidR="004C18AD" w:rsidRPr="000C156A" w:rsidRDefault="004C18AD" w:rsidP="00042C67">
            <w:pPr>
              <w:overflowPunct/>
              <w:autoSpaceDE/>
              <w:autoSpaceDN/>
              <w:adjustRightInd/>
              <w:spacing w:before="0"/>
              <w:textAlignment w:val="auto"/>
              <w:rPr>
                <w:rFonts w:cs="Calibri"/>
                <w:b/>
                <w:bCs/>
                <w:sz w:val="20"/>
                <w:lang w:eastAsia="zh-CN"/>
              </w:rPr>
            </w:pPr>
            <w:r>
              <w:rPr>
                <w:rFonts w:cs="Calibri" w:hint="eastAsia"/>
                <w:sz w:val="20"/>
                <w:lang w:eastAsia="zh-CN"/>
              </w:rPr>
              <w:t>喀麦隆电信（</w:t>
            </w:r>
            <w:r w:rsidRPr="00F8370D">
              <w:rPr>
                <w:rFonts w:cs="Calibri"/>
                <w:sz w:val="20"/>
                <w:lang w:eastAsia="zh-CN"/>
              </w:rPr>
              <w:t>CAMTEL</w:t>
            </w:r>
            <w:r>
              <w:rPr>
                <w:rFonts w:cs="Calibri" w:hint="eastAsia"/>
                <w:sz w:val="20"/>
                <w:lang w:eastAsia="zh-CN"/>
              </w:rPr>
              <w:t>），</w:t>
            </w:r>
            <w:r w:rsidRPr="00F8370D">
              <w:rPr>
                <w:rFonts w:cs="Calibri" w:hint="eastAsia"/>
                <w:sz w:val="20"/>
                <w:lang w:eastAsia="zh-CN"/>
              </w:rPr>
              <w:t>雅温德</w:t>
            </w:r>
          </w:p>
        </w:tc>
        <w:tc>
          <w:tcPr>
            <w:tcW w:w="784" w:type="pct"/>
            <w:tcBorders>
              <w:top w:val="nil"/>
              <w:left w:val="single" w:sz="4" w:space="0" w:color="auto"/>
              <w:bottom w:val="nil"/>
              <w:right w:val="single" w:sz="4" w:space="0" w:color="auto"/>
            </w:tcBorders>
            <w:shd w:val="clear" w:color="auto" w:fill="auto"/>
            <w:noWrap/>
            <w:vAlign w:val="bottom"/>
            <w:hideMark/>
          </w:tcPr>
          <w:p w14:paraId="7653AB14"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Pr>
                <w:sz w:val="20"/>
              </w:rPr>
              <w:t>– 2021</w:t>
            </w:r>
            <w:r w:rsidRPr="000C156A">
              <w:rPr>
                <w:rFonts w:hint="eastAsia"/>
                <w:sz w:val="20"/>
                <w:lang w:eastAsia="zh-CN"/>
              </w:rPr>
              <w:t>年</w:t>
            </w:r>
          </w:p>
        </w:tc>
        <w:tc>
          <w:tcPr>
            <w:tcW w:w="515" w:type="pct"/>
            <w:tcBorders>
              <w:top w:val="nil"/>
              <w:left w:val="nil"/>
              <w:bottom w:val="nil"/>
              <w:right w:val="nil"/>
            </w:tcBorders>
            <w:shd w:val="clear" w:color="auto" w:fill="auto"/>
            <w:noWrap/>
            <w:vAlign w:val="bottom"/>
            <w:hideMark/>
          </w:tcPr>
          <w:p w14:paraId="02D71029" w14:textId="77777777" w:rsidR="004C18AD" w:rsidRPr="000C156A" w:rsidRDefault="004C18AD" w:rsidP="00042C67">
            <w:pPr>
              <w:jc w:val="right"/>
              <w:rPr>
                <w:rFonts w:cs="Calibri"/>
                <w:b/>
                <w:bCs/>
                <w:sz w:val="20"/>
                <w:u w:val="single"/>
                <w:lang w:eastAsia="en-GB"/>
              </w:rPr>
            </w:pPr>
            <w:r w:rsidRPr="00543CDE">
              <w:rPr>
                <w:rFonts w:cs="Calibri"/>
                <w:sz w:val="20"/>
                <w:lang w:eastAsia="en-GB"/>
              </w:rPr>
              <w:t>190</w:t>
            </w:r>
            <w:r>
              <w:rPr>
                <w:rFonts w:cs="Calibri"/>
                <w:sz w:val="20"/>
                <w:lang w:eastAsia="en-GB"/>
              </w:rPr>
              <w:t> </w:t>
            </w:r>
            <w:r w:rsidRPr="00543CDE">
              <w:rPr>
                <w:rFonts w:cs="Calibri"/>
                <w:sz w:val="20"/>
                <w:lang w:eastAsia="en-GB"/>
              </w:rPr>
              <w:t>283.70</w:t>
            </w:r>
          </w:p>
        </w:tc>
        <w:tc>
          <w:tcPr>
            <w:tcW w:w="658" w:type="pct"/>
            <w:tcBorders>
              <w:top w:val="nil"/>
              <w:left w:val="single" w:sz="4" w:space="0" w:color="auto"/>
              <w:bottom w:val="nil"/>
              <w:right w:val="single" w:sz="4" w:space="0" w:color="auto"/>
            </w:tcBorders>
            <w:shd w:val="clear" w:color="auto" w:fill="auto"/>
            <w:noWrap/>
            <w:vAlign w:val="bottom"/>
            <w:hideMark/>
          </w:tcPr>
          <w:p w14:paraId="0F93ABF8" w14:textId="77777777" w:rsidR="004C18AD" w:rsidRPr="000C156A" w:rsidRDefault="004C18AD" w:rsidP="00042C67">
            <w:pPr>
              <w:jc w:val="right"/>
              <w:rPr>
                <w:rFonts w:cs="Calibri"/>
                <w:b/>
                <w:bCs/>
                <w:sz w:val="20"/>
                <w:u w:val="single"/>
                <w:lang w:eastAsia="en-GB"/>
              </w:rPr>
            </w:pPr>
            <w:r w:rsidRPr="00543CDE">
              <w:rPr>
                <w:rFonts w:cs="Calibri"/>
                <w:sz w:val="20"/>
                <w:lang w:eastAsia="en-GB"/>
              </w:rPr>
              <w:t>0.00</w:t>
            </w:r>
          </w:p>
        </w:tc>
        <w:tc>
          <w:tcPr>
            <w:tcW w:w="507" w:type="pct"/>
            <w:tcBorders>
              <w:top w:val="nil"/>
              <w:left w:val="nil"/>
              <w:bottom w:val="nil"/>
              <w:right w:val="nil"/>
            </w:tcBorders>
            <w:shd w:val="clear" w:color="auto" w:fill="auto"/>
            <w:noWrap/>
            <w:vAlign w:val="bottom"/>
            <w:hideMark/>
          </w:tcPr>
          <w:p w14:paraId="2F390FFB" w14:textId="77777777" w:rsidR="004C18AD" w:rsidRPr="000C156A" w:rsidRDefault="004C18AD" w:rsidP="00042C67">
            <w:pPr>
              <w:jc w:val="right"/>
              <w:rPr>
                <w:rFonts w:cs="Calibri"/>
                <w:b/>
                <w:bCs/>
                <w:sz w:val="20"/>
                <w:u w:val="single"/>
                <w:lang w:eastAsia="en-GB"/>
              </w:rPr>
            </w:pPr>
            <w:r w:rsidRPr="00543CDE">
              <w:rPr>
                <w:rFonts w:cs="Calibri"/>
                <w:sz w:val="20"/>
                <w:lang w:eastAsia="en-GB"/>
              </w:rPr>
              <w:t>190</w:t>
            </w:r>
            <w:r>
              <w:rPr>
                <w:rFonts w:cs="Calibri"/>
                <w:sz w:val="20"/>
                <w:lang w:eastAsia="en-GB"/>
              </w:rPr>
              <w:t> </w:t>
            </w:r>
            <w:r w:rsidRPr="00543CDE">
              <w:rPr>
                <w:rFonts w:cs="Calibri"/>
                <w:sz w:val="20"/>
                <w:lang w:eastAsia="en-GB"/>
              </w:rPr>
              <w:t>283.70</w:t>
            </w:r>
          </w:p>
        </w:tc>
        <w:tc>
          <w:tcPr>
            <w:tcW w:w="415" w:type="pct"/>
            <w:tcBorders>
              <w:top w:val="nil"/>
              <w:left w:val="single" w:sz="4" w:space="0" w:color="auto"/>
              <w:bottom w:val="nil"/>
              <w:right w:val="single" w:sz="4" w:space="0" w:color="auto"/>
            </w:tcBorders>
            <w:shd w:val="clear" w:color="auto" w:fill="auto"/>
            <w:noWrap/>
            <w:vAlign w:val="bottom"/>
            <w:hideMark/>
          </w:tcPr>
          <w:p w14:paraId="3B26D438" w14:textId="77777777" w:rsidR="004C18AD" w:rsidRPr="000C156A" w:rsidRDefault="004C18AD" w:rsidP="00042C67">
            <w:pPr>
              <w:jc w:val="right"/>
              <w:rPr>
                <w:rFonts w:cs="Calibri"/>
                <w:b/>
                <w:bCs/>
                <w:sz w:val="20"/>
                <w:u w:val="single"/>
                <w:lang w:eastAsia="en-GB"/>
              </w:rPr>
            </w:pPr>
            <w:r w:rsidRPr="00543CDE">
              <w:rPr>
                <w:rFonts w:cs="Calibri"/>
                <w:sz w:val="20"/>
                <w:lang w:eastAsia="en-GB"/>
              </w:rPr>
              <w:t>0.00</w:t>
            </w:r>
          </w:p>
        </w:tc>
        <w:tc>
          <w:tcPr>
            <w:tcW w:w="420" w:type="pct"/>
            <w:tcBorders>
              <w:top w:val="nil"/>
              <w:left w:val="nil"/>
              <w:bottom w:val="nil"/>
              <w:right w:val="nil"/>
            </w:tcBorders>
            <w:shd w:val="clear" w:color="auto" w:fill="auto"/>
            <w:noWrap/>
            <w:vAlign w:val="bottom"/>
            <w:hideMark/>
          </w:tcPr>
          <w:p w14:paraId="5BA83F7C" w14:textId="77777777" w:rsidR="004C18AD" w:rsidRPr="000C156A" w:rsidRDefault="004C18AD" w:rsidP="00042C67">
            <w:pPr>
              <w:jc w:val="right"/>
              <w:rPr>
                <w:rFonts w:cs="Calibri"/>
                <w:b/>
                <w:bCs/>
                <w:sz w:val="20"/>
                <w:u w:val="single"/>
                <w:lang w:eastAsia="en-GB"/>
              </w:rPr>
            </w:pPr>
            <w:r w:rsidRPr="00543CDE">
              <w:rPr>
                <w:rFonts w:cs="Calibri"/>
                <w:sz w:val="20"/>
                <w:lang w:eastAsia="en-GB"/>
              </w:rPr>
              <w:t>-13</w:t>
            </w:r>
            <w:r>
              <w:rPr>
                <w:rFonts w:cs="Calibri"/>
                <w:sz w:val="20"/>
                <w:lang w:eastAsia="en-GB"/>
              </w:rPr>
              <w:t> </w:t>
            </w:r>
            <w:r w:rsidRPr="00543CDE">
              <w:rPr>
                <w:rFonts w:cs="Calibri"/>
                <w:sz w:val="20"/>
                <w:lang w:eastAsia="en-GB"/>
              </w:rPr>
              <w:t>466.10</w:t>
            </w:r>
          </w:p>
        </w:tc>
        <w:tc>
          <w:tcPr>
            <w:tcW w:w="468" w:type="pct"/>
            <w:tcBorders>
              <w:top w:val="nil"/>
              <w:left w:val="single" w:sz="4" w:space="0" w:color="auto"/>
              <w:bottom w:val="nil"/>
              <w:right w:val="single" w:sz="4" w:space="0" w:color="auto"/>
            </w:tcBorders>
            <w:shd w:val="clear" w:color="auto" w:fill="auto"/>
            <w:noWrap/>
            <w:vAlign w:val="bottom"/>
            <w:hideMark/>
          </w:tcPr>
          <w:p w14:paraId="60985B66" w14:textId="77777777" w:rsidR="004C18AD" w:rsidRPr="000C156A" w:rsidRDefault="004C18AD" w:rsidP="00042C67">
            <w:pPr>
              <w:jc w:val="right"/>
              <w:rPr>
                <w:rFonts w:cs="Calibri"/>
                <w:b/>
                <w:bCs/>
                <w:sz w:val="20"/>
                <w:u w:val="single"/>
                <w:lang w:eastAsia="en-GB"/>
              </w:rPr>
            </w:pPr>
            <w:r w:rsidRPr="00543CDE">
              <w:rPr>
                <w:rFonts w:cs="Calibri"/>
                <w:sz w:val="20"/>
                <w:lang w:eastAsia="en-GB"/>
              </w:rPr>
              <w:t>176</w:t>
            </w:r>
            <w:r>
              <w:rPr>
                <w:rFonts w:cs="Calibri"/>
                <w:sz w:val="20"/>
                <w:lang w:eastAsia="en-GB"/>
              </w:rPr>
              <w:t> </w:t>
            </w:r>
            <w:r w:rsidRPr="00543CDE">
              <w:rPr>
                <w:rFonts w:cs="Calibri"/>
                <w:sz w:val="20"/>
                <w:lang w:eastAsia="en-GB"/>
              </w:rPr>
              <w:t>817.60</w:t>
            </w:r>
          </w:p>
        </w:tc>
      </w:tr>
      <w:tr w:rsidR="004C18AD" w:rsidRPr="000C156A" w14:paraId="77E50788" w14:textId="77777777" w:rsidTr="00042C67">
        <w:trPr>
          <w:trHeight w:val="255"/>
        </w:trPr>
        <w:tc>
          <w:tcPr>
            <w:tcW w:w="1233" w:type="pct"/>
            <w:tcBorders>
              <w:top w:val="nil"/>
              <w:left w:val="single" w:sz="4" w:space="0" w:color="auto"/>
              <w:bottom w:val="single" w:sz="4" w:space="0" w:color="auto"/>
              <w:right w:val="nil"/>
            </w:tcBorders>
            <w:shd w:val="clear" w:color="auto" w:fill="auto"/>
            <w:noWrap/>
            <w:vAlign w:val="bottom"/>
          </w:tcPr>
          <w:p w14:paraId="5E2CF738" w14:textId="77777777" w:rsidR="004C18AD" w:rsidRPr="00543CDE" w:rsidRDefault="004C18AD" w:rsidP="00042C67">
            <w:pPr>
              <w:overflowPunct/>
              <w:autoSpaceDE/>
              <w:autoSpaceDN/>
              <w:adjustRightInd/>
              <w:spacing w:before="0"/>
              <w:textAlignment w:val="auto"/>
              <w:rPr>
                <w:rFonts w:cs="Calibri"/>
                <w:sz w:val="20"/>
                <w:lang w:eastAsia="en-GB"/>
              </w:rPr>
            </w:pPr>
          </w:p>
        </w:tc>
        <w:tc>
          <w:tcPr>
            <w:tcW w:w="784" w:type="pct"/>
            <w:tcBorders>
              <w:top w:val="nil"/>
              <w:left w:val="single" w:sz="4" w:space="0" w:color="auto"/>
              <w:bottom w:val="single" w:sz="4" w:space="0" w:color="auto"/>
              <w:right w:val="single" w:sz="4" w:space="0" w:color="auto"/>
            </w:tcBorders>
            <w:shd w:val="clear" w:color="auto" w:fill="auto"/>
            <w:noWrap/>
            <w:vAlign w:val="bottom"/>
          </w:tcPr>
          <w:p w14:paraId="7E14F6C8" w14:textId="77777777" w:rsidR="004C18AD" w:rsidRPr="00543CDE" w:rsidRDefault="004C18AD" w:rsidP="00042C67">
            <w:pPr>
              <w:overflowPunct/>
              <w:autoSpaceDE/>
              <w:autoSpaceDN/>
              <w:adjustRightInd/>
              <w:spacing w:before="0"/>
              <w:jc w:val="right"/>
              <w:textAlignment w:val="auto"/>
              <w:rPr>
                <w:rFonts w:cs="Calibri"/>
                <w:sz w:val="20"/>
                <w:lang w:eastAsia="en-GB"/>
              </w:rPr>
            </w:pPr>
          </w:p>
        </w:tc>
        <w:tc>
          <w:tcPr>
            <w:tcW w:w="515" w:type="pct"/>
            <w:tcBorders>
              <w:top w:val="nil"/>
              <w:left w:val="nil"/>
              <w:bottom w:val="single" w:sz="4" w:space="0" w:color="auto"/>
              <w:right w:val="nil"/>
            </w:tcBorders>
            <w:shd w:val="clear" w:color="auto" w:fill="auto"/>
            <w:noWrap/>
            <w:vAlign w:val="bottom"/>
          </w:tcPr>
          <w:p w14:paraId="054C55E3" w14:textId="77777777" w:rsidR="004C18AD" w:rsidRPr="00543CDE" w:rsidRDefault="004C18AD" w:rsidP="00042C67">
            <w:pPr>
              <w:jc w:val="right"/>
              <w:rPr>
                <w:rFonts w:cs="Calibri"/>
                <w:sz w:val="20"/>
                <w:lang w:eastAsia="en-GB"/>
              </w:rPr>
            </w:pPr>
          </w:p>
        </w:tc>
        <w:tc>
          <w:tcPr>
            <w:tcW w:w="658" w:type="pct"/>
            <w:tcBorders>
              <w:top w:val="nil"/>
              <w:left w:val="single" w:sz="4" w:space="0" w:color="auto"/>
              <w:bottom w:val="single" w:sz="4" w:space="0" w:color="auto"/>
              <w:right w:val="single" w:sz="4" w:space="0" w:color="auto"/>
            </w:tcBorders>
            <w:shd w:val="clear" w:color="auto" w:fill="auto"/>
            <w:noWrap/>
            <w:vAlign w:val="bottom"/>
          </w:tcPr>
          <w:p w14:paraId="5C87A96C" w14:textId="77777777" w:rsidR="004C18AD" w:rsidRPr="00543CDE" w:rsidRDefault="004C18AD" w:rsidP="00042C67">
            <w:pPr>
              <w:jc w:val="right"/>
              <w:rPr>
                <w:rFonts w:cs="Calibri"/>
                <w:sz w:val="20"/>
                <w:lang w:eastAsia="en-GB"/>
              </w:rPr>
            </w:pPr>
          </w:p>
        </w:tc>
        <w:tc>
          <w:tcPr>
            <w:tcW w:w="507" w:type="pct"/>
            <w:tcBorders>
              <w:top w:val="nil"/>
              <w:left w:val="nil"/>
              <w:bottom w:val="single" w:sz="4" w:space="0" w:color="auto"/>
              <w:right w:val="nil"/>
            </w:tcBorders>
            <w:shd w:val="clear" w:color="auto" w:fill="auto"/>
            <w:noWrap/>
            <w:vAlign w:val="bottom"/>
          </w:tcPr>
          <w:p w14:paraId="5B7B8AC5" w14:textId="77777777" w:rsidR="004C18AD" w:rsidRPr="00543CDE" w:rsidRDefault="004C18AD" w:rsidP="00042C67">
            <w:pPr>
              <w:jc w:val="right"/>
              <w:rPr>
                <w:rFonts w:cs="Calibri"/>
                <w:sz w:val="20"/>
                <w:lang w:eastAsia="en-GB"/>
              </w:rPr>
            </w:pPr>
          </w:p>
        </w:tc>
        <w:tc>
          <w:tcPr>
            <w:tcW w:w="415" w:type="pct"/>
            <w:tcBorders>
              <w:top w:val="nil"/>
              <w:left w:val="single" w:sz="4" w:space="0" w:color="auto"/>
              <w:bottom w:val="single" w:sz="4" w:space="0" w:color="auto"/>
              <w:right w:val="single" w:sz="4" w:space="0" w:color="auto"/>
            </w:tcBorders>
            <w:shd w:val="clear" w:color="auto" w:fill="auto"/>
            <w:noWrap/>
            <w:vAlign w:val="bottom"/>
          </w:tcPr>
          <w:p w14:paraId="2D878F0B" w14:textId="77777777" w:rsidR="004C18AD" w:rsidRPr="00543CDE" w:rsidRDefault="004C18AD" w:rsidP="00042C67">
            <w:pPr>
              <w:jc w:val="right"/>
              <w:rPr>
                <w:rFonts w:cs="Calibri"/>
                <w:sz w:val="20"/>
                <w:lang w:eastAsia="en-GB"/>
              </w:rPr>
            </w:pPr>
          </w:p>
        </w:tc>
        <w:tc>
          <w:tcPr>
            <w:tcW w:w="420" w:type="pct"/>
            <w:tcBorders>
              <w:top w:val="nil"/>
              <w:left w:val="nil"/>
              <w:bottom w:val="single" w:sz="4" w:space="0" w:color="auto"/>
              <w:right w:val="nil"/>
            </w:tcBorders>
            <w:shd w:val="clear" w:color="auto" w:fill="auto"/>
            <w:noWrap/>
            <w:vAlign w:val="bottom"/>
          </w:tcPr>
          <w:p w14:paraId="44876CEA" w14:textId="77777777" w:rsidR="004C18AD" w:rsidRPr="00543CDE" w:rsidRDefault="004C18AD" w:rsidP="00042C67">
            <w:pPr>
              <w:jc w:val="right"/>
              <w:rPr>
                <w:rFonts w:cs="Calibri"/>
                <w:sz w:val="20"/>
                <w:lang w:eastAsia="en-GB"/>
              </w:rPr>
            </w:pPr>
          </w:p>
        </w:tc>
        <w:tc>
          <w:tcPr>
            <w:tcW w:w="468" w:type="pct"/>
            <w:tcBorders>
              <w:top w:val="nil"/>
              <w:left w:val="single" w:sz="4" w:space="0" w:color="auto"/>
              <w:bottom w:val="single" w:sz="4" w:space="0" w:color="auto"/>
              <w:right w:val="single" w:sz="4" w:space="0" w:color="auto"/>
            </w:tcBorders>
            <w:shd w:val="clear" w:color="auto" w:fill="auto"/>
            <w:noWrap/>
            <w:vAlign w:val="bottom"/>
          </w:tcPr>
          <w:p w14:paraId="1A6A37A2" w14:textId="77777777" w:rsidR="004C18AD" w:rsidRPr="00543CDE" w:rsidRDefault="004C18AD" w:rsidP="00042C67">
            <w:pPr>
              <w:jc w:val="right"/>
              <w:rPr>
                <w:rFonts w:cs="Calibri"/>
                <w:sz w:val="20"/>
                <w:lang w:eastAsia="en-GB"/>
              </w:rPr>
            </w:pPr>
          </w:p>
        </w:tc>
      </w:tr>
      <w:tr w:rsidR="004C18AD" w:rsidRPr="000C156A" w14:paraId="3CE2C337" w14:textId="77777777" w:rsidTr="00042C67">
        <w:trPr>
          <w:trHeight w:val="255"/>
        </w:trPr>
        <w:tc>
          <w:tcPr>
            <w:tcW w:w="1233" w:type="pct"/>
            <w:tcBorders>
              <w:top w:val="nil"/>
              <w:left w:val="single" w:sz="4" w:space="0" w:color="auto"/>
              <w:bottom w:val="single" w:sz="4" w:space="0" w:color="auto"/>
              <w:right w:val="nil"/>
            </w:tcBorders>
            <w:shd w:val="clear" w:color="auto" w:fill="auto"/>
            <w:noWrap/>
            <w:vAlign w:val="bottom"/>
          </w:tcPr>
          <w:p w14:paraId="285EE9C3" w14:textId="77777777" w:rsidR="004C18AD" w:rsidRPr="00543CDE" w:rsidRDefault="004C18AD" w:rsidP="00042C67">
            <w:pPr>
              <w:overflowPunct/>
              <w:autoSpaceDE/>
              <w:autoSpaceDN/>
              <w:adjustRightInd/>
              <w:spacing w:before="0"/>
              <w:textAlignment w:val="auto"/>
              <w:rPr>
                <w:rFonts w:cs="Calibri"/>
                <w:sz w:val="20"/>
                <w:lang w:eastAsia="en-GB"/>
              </w:rPr>
            </w:pPr>
            <w:r w:rsidRPr="00F8370D">
              <w:rPr>
                <w:rFonts w:cs="Calibri" w:hint="eastAsia"/>
                <w:b/>
                <w:bCs/>
                <w:sz w:val="20"/>
                <w:lang w:eastAsia="en-GB"/>
              </w:rPr>
              <w:t>截至</w:t>
            </w:r>
            <w:r w:rsidRPr="00F8370D">
              <w:rPr>
                <w:rFonts w:cs="Calibri" w:hint="eastAsia"/>
                <w:b/>
                <w:bCs/>
                <w:sz w:val="20"/>
                <w:lang w:eastAsia="en-GB"/>
              </w:rPr>
              <w:t>2021</w:t>
            </w:r>
            <w:r w:rsidRPr="00F8370D">
              <w:rPr>
                <w:rFonts w:cs="Calibri" w:hint="eastAsia"/>
                <w:b/>
                <w:bCs/>
                <w:sz w:val="20"/>
                <w:lang w:eastAsia="en-GB"/>
              </w:rPr>
              <w:t>年</w:t>
            </w:r>
            <w:r w:rsidRPr="00F8370D">
              <w:rPr>
                <w:rFonts w:cs="Calibri" w:hint="eastAsia"/>
                <w:b/>
                <w:bCs/>
                <w:sz w:val="20"/>
                <w:lang w:eastAsia="en-GB"/>
              </w:rPr>
              <w:t>12</w:t>
            </w:r>
            <w:r w:rsidRPr="00F8370D">
              <w:rPr>
                <w:rFonts w:cs="Calibri" w:hint="eastAsia"/>
                <w:b/>
                <w:bCs/>
                <w:sz w:val="20"/>
                <w:lang w:eastAsia="en-GB"/>
              </w:rPr>
              <w:t>月</w:t>
            </w:r>
            <w:r w:rsidRPr="00F8370D">
              <w:rPr>
                <w:rFonts w:cs="Calibri" w:hint="eastAsia"/>
                <w:b/>
                <w:bCs/>
                <w:sz w:val="20"/>
                <w:lang w:eastAsia="en-GB"/>
              </w:rPr>
              <w:t>31</w:t>
            </w:r>
            <w:r w:rsidRPr="00F8370D">
              <w:rPr>
                <w:rFonts w:cs="Calibri" w:hint="eastAsia"/>
                <w:b/>
                <w:bCs/>
                <w:sz w:val="20"/>
                <w:lang w:eastAsia="en-GB"/>
              </w:rPr>
              <w:t>日欠款</w:t>
            </w:r>
            <w:r>
              <w:rPr>
                <w:rFonts w:cs="Calibri" w:hint="eastAsia"/>
                <w:b/>
                <w:bCs/>
                <w:sz w:val="20"/>
                <w:lang w:eastAsia="zh-CN"/>
              </w:rPr>
              <w:t>合计</w:t>
            </w:r>
          </w:p>
        </w:tc>
        <w:tc>
          <w:tcPr>
            <w:tcW w:w="784" w:type="pct"/>
            <w:tcBorders>
              <w:top w:val="nil"/>
              <w:left w:val="single" w:sz="4" w:space="0" w:color="auto"/>
              <w:bottom w:val="single" w:sz="4" w:space="0" w:color="auto"/>
              <w:right w:val="single" w:sz="4" w:space="0" w:color="auto"/>
            </w:tcBorders>
            <w:shd w:val="clear" w:color="auto" w:fill="auto"/>
            <w:noWrap/>
            <w:vAlign w:val="bottom"/>
          </w:tcPr>
          <w:p w14:paraId="5C3AB355" w14:textId="77777777" w:rsidR="004C18AD" w:rsidRPr="00543CDE" w:rsidRDefault="004C18AD" w:rsidP="00042C67">
            <w:pPr>
              <w:overflowPunct/>
              <w:autoSpaceDE/>
              <w:autoSpaceDN/>
              <w:adjustRightInd/>
              <w:spacing w:before="0"/>
              <w:jc w:val="right"/>
              <w:textAlignment w:val="auto"/>
              <w:rPr>
                <w:rFonts w:cs="Calibri"/>
                <w:sz w:val="20"/>
                <w:lang w:eastAsia="en-GB"/>
              </w:rPr>
            </w:pPr>
          </w:p>
        </w:tc>
        <w:tc>
          <w:tcPr>
            <w:tcW w:w="515" w:type="pct"/>
            <w:tcBorders>
              <w:top w:val="nil"/>
              <w:left w:val="nil"/>
              <w:bottom w:val="single" w:sz="4" w:space="0" w:color="auto"/>
              <w:right w:val="nil"/>
            </w:tcBorders>
            <w:shd w:val="clear" w:color="auto" w:fill="auto"/>
            <w:noWrap/>
            <w:vAlign w:val="bottom"/>
          </w:tcPr>
          <w:p w14:paraId="52FEA762" w14:textId="77777777" w:rsidR="004C18AD" w:rsidRPr="00543CDE" w:rsidRDefault="004C18AD" w:rsidP="00042C67">
            <w:pPr>
              <w:jc w:val="right"/>
              <w:rPr>
                <w:rFonts w:cs="Calibri"/>
                <w:sz w:val="20"/>
                <w:lang w:eastAsia="en-GB"/>
              </w:rPr>
            </w:pPr>
            <w:r w:rsidRPr="00543CDE">
              <w:rPr>
                <w:rFonts w:cs="Calibri"/>
                <w:b/>
                <w:bCs/>
                <w:sz w:val="20"/>
                <w:u w:val="single"/>
                <w:lang w:eastAsia="en-GB"/>
              </w:rPr>
              <w:t>8</w:t>
            </w:r>
            <w:r>
              <w:rPr>
                <w:rFonts w:cs="Calibri"/>
                <w:b/>
                <w:bCs/>
                <w:sz w:val="20"/>
                <w:u w:val="single"/>
                <w:lang w:eastAsia="en-GB"/>
              </w:rPr>
              <w:t> </w:t>
            </w:r>
            <w:r w:rsidRPr="00543CDE">
              <w:rPr>
                <w:rFonts w:cs="Calibri"/>
                <w:b/>
                <w:bCs/>
                <w:sz w:val="20"/>
                <w:u w:val="single"/>
                <w:lang w:eastAsia="en-GB"/>
              </w:rPr>
              <w:t>066</w:t>
            </w:r>
            <w:r>
              <w:rPr>
                <w:rFonts w:cs="Calibri"/>
                <w:b/>
                <w:bCs/>
                <w:sz w:val="20"/>
                <w:u w:val="single"/>
                <w:lang w:eastAsia="en-GB"/>
              </w:rPr>
              <w:t> </w:t>
            </w:r>
            <w:r w:rsidRPr="00543CDE">
              <w:rPr>
                <w:rFonts w:cs="Calibri"/>
                <w:b/>
                <w:bCs/>
                <w:sz w:val="20"/>
                <w:u w:val="single"/>
                <w:lang w:eastAsia="en-GB"/>
              </w:rPr>
              <w:t>333.50</w:t>
            </w:r>
          </w:p>
        </w:tc>
        <w:tc>
          <w:tcPr>
            <w:tcW w:w="658" w:type="pct"/>
            <w:tcBorders>
              <w:top w:val="nil"/>
              <w:left w:val="single" w:sz="4" w:space="0" w:color="auto"/>
              <w:bottom w:val="single" w:sz="4" w:space="0" w:color="auto"/>
              <w:right w:val="single" w:sz="4" w:space="0" w:color="auto"/>
            </w:tcBorders>
            <w:shd w:val="clear" w:color="auto" w:fill="auto"/>
            <w:noWrap/>
            <w:vAlign w:val="bottom"/>
          </w:tcPr>
          <w:p w14:paraId="0E683CD6" w14:textId="77777777" w:rsidR="004C18AD" w:rsidRPr="00543CDE" w:rsidRDefault="004C18AD" w:rsidP="00042C67">
            <w:pPr>
              <w:jc w:val="right"/>
              <w:rPr>
                <w:rFonts w:cs="Calibri"/>
                <w:sz w:val="20"/>
                <w:lang w:eastAsia="en-GB"/>
              </w:rPr>
            </w:pPr>
            <w:r w:rsidRPr="00543CDE">
              <w:rPr>
                <w:rFonts w:cs="Calibri"/>
                <w:b/>
                <w:bCs/>
                <w:sz w:val="20"/>
                <w:u w:val="single"/>
                <w:lang w:eastAsia="en-GB"/>
              </w:rPr>
              <w:t>6</w:t>
            </w:r>
            <w:r>
              <w:rPr>
                <w:rFonts w:cs="Calibri"/>
                <w:b/>
                <w:bCs/>
                <w:sz w:val="20"/>
                <w:u w:val="single"/>
                <w:lang w:eastAsia="en-GB"/>
              </w:rPr>
              <w:t> </w:t>
            </w:r>
            <w:r w:rsidRPr="00543CDE">
              <w:rPr>
                <w:rFonts w:cs="Calibri"/>
                <w:b/>
                <w:bCs/>
                <w:sz w:val="20"/>
                <w:u w:val="single"/>
                <w:lang w:eastAsia="en-GB"/>
              </w:rPr>
              <w:t>712</w:t>
            </w:r>
            <w:r>
              <w:rPr>
                <w:rFonts w:cs="Calibri"/>
                <w:b/>
                <w:bCs/>
                <w:sz w:val="20"/>
                <w:u w:val="single"/>
                <w:lang w:eastAsia="en-GB"/>
              </w:rPr>
              <w:t> </w:t>
            </w:r>
            <w:r w:rsidRPr="00543CDE">
              <w:rPr>
                <w:rFonts w:cs="Calibri"/>
                <w:b/>
                <w:bCs/>
                <w:sz w:val="20"/>
                <w:u w:val="single"/>
                <w:lang w:eastAsia="en-GB"/>
              </w:rPr>
              <w:t>382.86</w:t>
            </w:r>
          </w:p>
        </w:tc>
        <w:tc>
          <w:tcPr>
            <w:tcW w:w="507" w:type="pct"/>
            <w:tcBorders>
              <w:top w:val="nil"/>
              <w:left w:val="nil"/>
              <w:bottom w:val="single" w:sz="4" w:space="0" w:color="auto"/>
              <w:right w:val="nil"/>
            </w:tcBorders>
            <w:shd w:val="clear" w:color="auto" w:fill="auto"/>
            <w:noWrap/>
            <w:vAlign w:val="bottom"/>
          </w:tcPr>
          <w:p w14:paraId="4FF2963D" w14:textId="77777777" w:rsidR="004C18AD" w:rsidRPr="00543CDE" w:rsidRDefault="004C18AD" w:rsidP="00042C67">
            <w:pPr>
              <w:jc w:val="right"/>
              <w:rPr>
                <w:rFonts w:cs="Calibri"/>
                <w:sz w:val="20"/>
                <w:lang w:eastAsia="en-GB"/>
              </w:rPr>
            </w:pPr>
            <w:r w:rsidRPr="00543CDE">
              <w:rPr>
                <w:rFonts w:cs="Calibri"/>
                <w:b/>
                <w:bCs/>
                <w:sz w:val="20"/>
                <w:u w:val="single"/>
                <w:lang w:eastAsia="en-GB"/>
              </w:rPr>
              <w:t>190</w:t>
            </w:r>
            <w:r>
              <w:rPr>
                <w:rFonts w:cs="Calibri"/>
                <w:b/>
                <w:bCs/>
                <w:sz w:val="20"/>
                <w:u w:val="single"/>
                <w:lang w:eastAsia="en-GB"/>
              </w:rPr>
              <w:t> </w:t>
            </w:r>
            <w:r w:rsidRPr="00543CDE">
              <w:rPr>
                <w:rFonts w:cs="Calibri"/>
                <w:b/>
                <w:bCs/>
                <w:sz w:val="20"/>
                <w:u w:val="single"/>
                <w:lang w:eastAsia="en-GB"/>
              </w:rPr>
              <w:t>283.70</w:t>
            </w:r>
          </w:p>
        </w:tc>
        <w:tc>
          <w:tcPr>
            <w:tcW w:w="415" w:type="pct"/>
            <w:tcBorders>
              <w:top w:val="nil"/>
              <w:left w:val="single" w:sz="4" w:space="0" w:color="auto"/>
              <w:bottom w:val="single" w:sz="4" w:space="0" w:color="auto"/>
              <w:right w:val="single" w:sz="4" w:space="0" w:color="auto"/>
            </w:tcBorders>
            <w:shd w:val="clear" w:color="auto" w:fill="auto"/>
            <w:noWrap/>
            <w:vAlign w:val="bottom"/>
          </w:tcPr>
          <w:p w14:paraId="287A7A5A" w14:textId="77777777" w:rsidR="004C18AD" w:rsidRPr="00543CDE" w:rsidRDefault="004C18AD" w:rsidP="00042C67">
            <w:pPr>
              <w:jc w:val="right"/>
              <w:rPr>
                <w:rFonts w:cs="Calibri"/>
                <w:sz w:val="20"/>
                <w:lang w:eastAsia="en-GB"/>
              </w:rPr>
            </w:pPr>
            <w:r w:rsidRPr="00543CDE">
              <w:rPr>
                <w:rFonts w:cs="Calibri"/>
                <w:b/>
                <w:bCs/>
                <w:sz w:val="20"/>
                <w:u w:val="single"/>
                <w:lang w:eastAsia="en-GB"/>
              </w:rPr>
              <w:t>-511</w:t>
            </w:r>
            <w:r>
              <w:rPr>
                <w:rFonts w:cs="Calibri"/>
                <w:b/>
                <w:bCs/>
                <w:sz w:val="20"/>
                <w:u w:val="single"/>
                <w:lang w:eastAsia="en-GB"/>
              </w:rPr>
              <w:t> </w:t>
            </w:r>
            <w:r w:rsidRPr="00543CDE">
              <w:rPr>
                <w:rFonts w:cs="Calibri"/>
                <w:b/>
                <w:bCs/>
                <w:sz w:val="20"/>
                <w:u w:val="single"/>
                <w:lang w:eastAsia="en-GB"/>
              </w:rPr>
              <w:t>822.30</w:t>
            </w:r>
          </w:p>
        </w:tc>
        <w:tc>
          <w:tcPr>
            <w:tcW w:w="420" w:type="pct"/>
            <w:tcBorders>
              <w:top w:val="nil"/>
              <w:left w:val="nil"/>
              <w:bottom w:val="single" w:sz="4" w:space="0" w:color="auto"/>
              <w:right w:val="nil"/>
            </w:tcBorders>
            <w:shd w:val="clear" w:color="auto" w:fill="auto"/>
            <w:noWrap/>
            <w:vAlign w:val="bottom"/>
          </w:tcPr>
          <w:p w14:paraId="7DB4A083" w14:textId="77777777" w:rsidR="004C18AD" w:rsidRPr="00543CDE" w:rsidRDefault="004C18AD" w:rsidP="00042C67">
            <w:pPr>
              <w:jc w:val="right"/>
              <w:rPr>
                <w:rFonts w:cs="Calibri"/>
                <w:sz w:val="20"/>
                <w:lang w:eastAsia="en-GB"/>
              </w:rPr>
            </w:pPr>
            <w:r w:rsidRPr="00543CDE">
              <w:rPr>
                <w:rFonts w:cs="Calibri"/>
                <w:b/>
                <w:bCs/>
                <w:sz w:val="20"/>
                <w:u w:val="single"/>
                <w:lang w:eastAsia="en-GB"/>
              </w:rPr>
              <w:t>-199</w:t>
            </w:r>
            <w:r>
              <w:rPr>
                <w:rFonts w:cs="Calibri"/>
                <w:b/>
                <w:bCs/>
                <w:sz w:val="20"/>
                <w:u w:val="single"/>
                <w:lang w:eastAsia="en-GB"/>
              </w:rPr>
              <w:t> </w:t>
            </w:r>
            <w:r w:rsidRPr="00543CDE">
              <w:rPr>
                <w:rFonts w:cs="Calibri"/>
                <w:b/>
                <w:bCs/>
                <w:sz w:val="20"/>
                <w:u w:val="single"/>
                <w:lang w:eastAsia="en-GB"/>
              </w:rPr>
              <w:t>801.81</w:t>
            </w:r>
          </w:p>
        </w:tc>
        <w:tc>
          <w:tcPr>
            <w:tcW w:w="468" w:type="pct"/>
            <w:tcBorders>
              <w:top w:val="nil"/>
              <w:left w:val="single" w:sz="4" w:space="0" w:color="auto"/>
              <w:bottom w:val="single" w:sz="4" w:space="0" w:color="auto"/>
              <w:right w:val="single" w:sz="4" w:space="0" w:color="auto"/>
            </w:tcBorders>
            <w:shd w:val="clear" w:color="auto" w:fill="auto"/>
            <w:noWrap/>
            <w:vAlign w:val="bottom"/>
          </w:tcPr>
          <w:p w14:paraId="157ECF48" w14:textId="77777777" w:rsidR="004C18AD" w:rsidRPr="00543CDE" w:rsidRDefault="004C18AD" w:rsidP="00042C67">
            <w:pPr>
              <w:jc w:val="right"/>
              <w:rPr>
                <w:rFonts w:cs="Calibri"/>
                <w:sz w:val="20"/>
                <w:lang w:eastAsia="en-GB"/>
              </w:rPr>
            </w:pPr>
            <w:r w:rsidRPr="00543CDE">
              <w:rPr>
                <w:rFonts w:cs="Calibri"/>
                <w:b/>
                <w:bCs/>
                <w:sz w:val="20"/>
                <w:u w:val="single"/>
                <w:lang w:eastAsia="en-GB"/>
              </w:rPr>
              <w:t>6</w:t>
            </w:r>
            <w:r>
              <w:rPr>
                <w:rFonts w:cs="Calibri"/>
                <w:b/>
                <w:bCs/>
                <w:sz w:val="20"/>
                <w:u w:val="single"/>
                <w:lang w:eastAsia="en-GB"/>
              </w:rPr>
              <w:t> </w:t>
            </w:r>
            <w:r w:rsidRPr="00543CDE">
              <w:rPr>
                <w:rFonts w:cs="Calibri"/>
                <w:b/>
                <w:bCs/>
                <w:sz w:val="20"/>
                <w:u w:val="single"/>
                <w:lang w:eastAsia="en-GB"/>
              </w:rPr>
              <w:t>191</w:t>
            </w:r>
            <w:r>
              <w:rPr>
                <w:rFonts w:cs="Calibri"/>
                <w:b/>
                <w:bCs/>
                <w:sz w:val="20"/>
                <w:u w:val="single"/>
                <w:lang w:eastAsia="en-GB"/>
              </w:rPr>
              <w:t> </w:t>
            </w:r>
            <w:r w:rsidRPr="00543CDE">
              <w:rPr>
                <w:rFonts w:cs="Calibri"/>
                <w:b/>
                <w:bCs/>
                <w:sz w:val="20"/>
                <w:u w:val="single"/>
                <w:lang w:eastAsia="en-GB"/>
              </w:rPr>
              <w:t>042.45</w:t>
            </w:r>
          </w:p>
        </w:tc>
      </w:tr>
    </w:tbl>
    <w:p w14:paraId="6267E873" w14:textId="77777777" w:rsidR="004C18AD" w:rsidRPr="000C156A" w:rsidRDefault="004C18AD" w:rsidP="004C18AD"/>
    <w:p w14:paraId="474D6AF4" w14:textId="77777777" w:rsidR="004C18AD" w:rsidRPr="000C156A" w:rsidRDefault="004C18AD" w:rsidP="004C18AD">
      <w:r w:rsidRPr="000C156A">
        <w:br w:type="page"/>
      </w:r>
    </w:p>
    <w:p w14:paraId="000CF10E" w14:textId="3671B033" w:rsidR="004C18AD" w:rsidRPr="0076544D" w:rsidRDefault="004C18AD" w:rsidP="004C18AD">
      <w:pPr>
        <w:pStyle w:val="Tabletitle"/>
        <w:spacing w:before="120" w:after="240"/>
        <w:rPr>
          <w:rFonts w:cs="Microsoft YaHei"/>
          <w:sz w:val="28"/>
          <w:szCs w:val="28"/>
          <w:lang w:eastAsia="zh-CN"/>
        </w:rPr>
      </w:pPr>
      <w:r w:rsidRPr="000C156A">
        <w:rPr>
          <w:rFonts w:cs="Microsoft YaHei" w:hint="eastAsia"/>
          <w:sz w:val="28"/>
          <w:szCs w:val="28"/>
          <w:lang w:val="fr-FR" w:eastAsia="zh-CN"/>
        </w:rPr>
        <w:lastRenderedPageBreak/>
        <w:t>已注销欠款专账中的欠款金额</w:t>
      </w:r>
      <w:r w:rsidR="00B64234" w:rsidRPr="0076544D">
        <w:rPr>
          <w:rFonts w:cs="Microsoft YaHei"/>
          <w:sz w:val="28"/>
          <w:szCs w:val="28"/>
          <w:lang w:eastAsia="zh-CN"/>
        </w:rPr>
        <w:br/>
      </w:r>
      <w:r w:rsidRPr="0076544D">
        <w:rPr>
          <w:rFonts w:cs="Microsoft YaHei" w:hint="eastAsia"/>
          <w:sz w:val="28"/>
          <w:szCs w:val="28"/>
          <w:lang w:eastAsia="zh-CN"/>
        </w:rPr>
        <w:t>（</w:t>
      </w:r>
      <w:r w:rsidRPr="000C156A">
        <w:rPr>
          <w:rFonts w:cs="Microsoft YaHei" w:hint="eastAsia"/>
          <w:sz w:val="28"/>
          <w:szCs w:val="28"/>
          <w:lang w:val="fr-FR" w:eastAsia="zh-CN"/>
        </w:rPr>
        <w:t>因未支付而注销的偿款协议</w:t>
      </w:r>
      <w:r w:rsidRPr="0076544D">
        <w:rPr>
          <w:rFonts w:cs="Microsoft YaHei" w:hint="eastAsia"/>
          <w:sz w:val="28"/>
          <w:szCs w:val="28"/>
          <w:lang w:eastAsia="zh-CN"/>
        </w:rPr>
        <w:t>）</w:t>
      </w:r>
    </w:p>
    <w:tbl>
      <w:tblPr>
        <w:tblW w:w="4740" w:type="pct"/>
        <w:tblLook w:val="04A0" w:firstRow="1" w:lastRow="0" w:firstColumn="1" w:lastColumn="0" w:noHBand="0" w:noVBand="1"/>
      </w:tblPr>
      <w:tblGrid>
        <w:gridCol w:w="3316"/>
        <w:gridCol w:w="2220"/>
        <w:gridCol w:w="1421"/>
        <w:gridCol w:w="1744"/>
        <w:gridCol w:w="1187"/>
        <w:gridCol w:w="1126"/>
        <w:gridCol w:w="873"/>
        <w:gridCol w:w="1374"/>
      </w:tblGrid>
      <w:tr w:rsidR="00483BE4" w:rsidRPr="000C156A" w14:paraId="329D240B" w14:textId="77777777" w:rsidTr="00483BE4">
        <w:trPr>
          <w:trHeight w:val="255"/>
        </w:trPr>
        <w:tc>
          <w:tcPr>
            <w:tcW w:w="1388" w:type="pct"/>
            <w:tcBorders>
              <w:top w:val="single" w:sz="4" w:space="0" w:color="auto"/>
              <w:left w:val="single" w:sz="4" w:space="0" w:color="auto"/>
              <w:bottom w:val="nil"/>
              <w:right w:val="nil"/>
            </w:tcBorders>
            <w:shd w:val="clear" w:color="auto" w:fill="auto"/>
            <w:noWrap/>
            <w:vAlign w:val="bottom"/>
            <w:hideMark/>
          </w:tcPr>
          <w:p w14:paraId="0B885478" w14:textId="77777777" w:rsidR="004C18AD" w:rsidRPr="000C156A" w:rsidRDefault="004C18AD" w:rsidP="00042C67">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sz w:val="20"/>
                <w:lang w:eastAsia="en-GB"/>
              </w:rPr>
              <w:t>成员国</w:t>
            </w:r>
            <w:r w:rsidRPr="000C156A">
              <w:rPr>
                <w:rFonts w:eastAsiaTheme="minorEastAsia" w:cs="Calibri"/>
                <w:b/>
                <w:bCs/>
                <w:sz w:val="20"/>
                <w:lang w:eastAsia="en-GB"/>
              </w:rPr>
              <w:t>/</w:t>
            </w:r>
            <w:r w:rsidRPr="000C156A">
              <w:rPr>
                <w:rFonts w:eastAsiaTheme="minorEastAsia" w:cs="Calibri"/>
                <w:b/>
                <w:bCs/>
                <w:sz w:val="20"/>
                <w:lang w:eastAsia="en-GB"/>
              </w:rPr>
              <w:t>部门成员</w:t>
            </w:r>
            <w:r w:rsidRPr="000C156A">
              <w:rPr>
                <w:rFonts w:eastAsiaTheme="minorEastAsia" w:cs="Calibri"/>
                <w:b/>
                <w:bCs/>
                <w:sz w:val="20"/>
                <w:lang w:eastAsia="en-GB"/>
              </w:rPr>
              <w:t>/</w:t>
            </w:r>
          </w:p>
        </w:tc>
        <w:tc>
          <w:tcPr>
            <w:tcW w:w="757" w:type="pct"/>
            <w:tcBorders>
              <w:top w:val="single" w:sz="4" w:space="0" w:color="auto"/>
              <w:left w:val="single" w:sz="4" w:space="0" w:color="auto"/>
              <w:bottom w:val="nil"/>
              <w:right w:val="single" w:sz="4" w:space="0" w:color="auto"/>
            </w:tcBorders>
            <w:shd w:val="clear" w:color="auto" w:fill="auto"/>
            <w:noWrap/>
            <w:vAlign w:val="bottom"/>
            <w:hideMark/>
          </w:tcPr>
          <w:p w14:paraId="081D43C9" w14:textId="77777777" w:rsidR="004C18AD" w:rsidRPr="000C156A" w:rsidRDefault="004C18AD" w:rsidP="00042C67">
            <w:pPr>
              <w:overflowPunct/>
              <w:autoSpaceDE/>
              <w:autoSpaceDN/>
              <w:adjustRightInd/>
              <w:spacing w:before="0"/>
              <w:jc w:val="center"/>
              <w:textAlignment w:val="auto"/>
              <w:rPr>
                <w:rFonts w:cs="Calibri"/>
                <w:b/>
                <w:bCs/>
                <w:color w:val="000000"/>
                <w:sz w:val="20"/>
                <w:lang w:eastAsia="zh-CN"/>
              </w:rPr>
            </w:pPr>
            <w:r w:rsidRPr="000C156A">
              <w:rPr>
                <w:rFonts w:eastAsiaTheme="minorEastAsia" w:cs="Calibri"/>
                <w:b/>
                <w:bCs/>
                <w:sz w:val="20"/>
                <w:lang w:eastAsia="zh-CN"/>
              </w:rPr>
              <w:t>全权代表大会（</w:t>
            </w:r>
            <w:r w:rsidRPr="000C156A">
              <w:rPr>
                <w:rFonts w:eastAsiaTheme="minorEastAsia" w:cs="Calibri"/>
                <w:b/>
                <w:bCs/>
                <w:sz w:val="20"/>
                <w:lang w:eastAsia="zh-CN"/>
              </w:rPr>
              <w:t>PP</w:t>
            </w:r>
            <w:r w:rsidRPr="000C156A">
              <w:rPr>
                <w:rFonts w:eastAsiaTheme="minorEastAsia" w:cs="Calibri"/>
                <w:b/>
                <w:bCs/>
                <w:sz w:val="20"/>
                <w:lang w:eastAsia="zh-CN"/>
              </w:rPr>
              <w:t>）</w:t>
            </w:r>
          </w:p>
        </w:tc>
        <w:tc>
          <w:tcPr>
            <w:tcW w:w="488" w:type="pct"/>
            <w:tcBorders>
              <w:top w:val="single" w:sz="4" w:space="0" w:color="auto"/>
              <w:left w:val="nil"/>
              <w:bottom w:val="nil"/>
              <w:right w:val="nil"/>
            </w:tcBorders>
            <w:shd w:val="clear" w:color="auto" w:fill="auto"/>
            <w:noWrap/>
            <w:vAlign w:val="bottom"/>
            <w:hideMark/>
          </w:tcPr>
          <w:p w14:paraId="65BE1C06"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转至</w:t>
            </w:r>
            <w:r w:rsidRPr="000C156A">
              <w:rPr>
                <w:rFonts w:eastAsiaTheme="minorEastAsia" w:cs="Calibri" w:hint="eastAsia"/>
                <w:b/>
                <w:bCs/>
                <w:sz w:val="20"/>
                <w:lang w:eastAsia="en-GB"/>
              </w:rPr>
              <w:t>注销</w:t>
            </w:r>
            <w:r w:rsidRPr="000C156A">
              <w:rPr>
                <w:rFonts w:eastAsiaTheme="minorEastAsia" w:cs="Calibri"/>
                <w:b/>
                <w:bCs/>
                <w:sz w:val="20"/>
                <w:lang w:eastAsia="en-GB"/>
              </w:rPr>
              <w:t>欠款</w:t>
            </w:r>
          </w:p>
        </w:tc>
        <w:tc>
          <w:tcPr>
            <w:tcW w:w="795" w:type="pct"/>
            <w:tcBorders>
              <w:top w:val="single" w:sz="4" w:space="0" w:color="auto"/>
              <w:left w:val="single" w:sz="4" w:space="0" w:color="auto"/>
              <w:bottom w:val="nil"/>
              <w:right w:val="single" w:sz="4" w:space="0" w:color="auto"/>
            </w:tcBorders>
            <w:shd w:val="clear" w:color="auto" w:fill="auto"/>
            <w:noWrap/>
            <w:vAlign w:val="bottom"/>
            <w:hideMark/>
          </w:tcPr>
          <w:p w14:paraId="49460E0E" w14:textId="37702849" w:rsidR="004C18AD" w:rsidRPr="000C156A" w:rsidRDefault="004C18AD" w:rsidP="00042C67">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sz w:val="20"/>
                <w:lang w:eastAsia="en-GB"/>
              </w:rPr>
              <w:t>截至</w:t>
            </w:r>
            <w:r>
              <w:rPr>
                <w:rFonts w:eastAsiaTheme="minorEastAsia" w:cs="Calibri"/>
                <w:b/>
                <w:bCs/>
                <w:sz w:val="20"/>
                <w:lang w:eastAsia="en-GB"/>
              </w:rPr>
              <w:t>2020</w:t>
            </w:r>
            <w:r w:rsidRPr="000C156A">
              <w:rPr>
                <w:rFonts w:eastAsiaTheme="minorEastAsia" w:cs="Calibri"/>
                <w:b/>
                <w:bCs/>
                <w:sz w:val="20"/>
                <w:lang w:eastAsia="en-GB"/>
              </w:rPr>
              <w:t>年</w:t>
            </w:r>
          </w:p>
        </w:tc>
        <w:tc>
          <w:tcPr>
            <w:tcW w:w="409" w:type="pct"/>
            <w:tcBorders>
              <w:top w:val="single" w:sz="4" w:space="0" w:color="auto"/>
              <w:left w:val="nil"/>
              <w:bottom w:val="nil"/>
              <w:right w:val="nil"/>
            </w:tcBorders>
            <w:shd w:val="clear" w:color="auto" w:fill="auto"/>
            <w:vAlign w:val="bottom"/>
            <w:hideMark/>
          </w:tcPr>
          <w:p w14:paraId="1F960ABA"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Pr>
                <w:rFonts w:eastAsiaTheme="minorEastAsia" w:cs="Calibri"/>
                <w:b/>
                <w:bCs/>
                <w:sz w:val="20"/>
                <w:lang w:eastAsia="en-GB"/>
              </w:rPr>
              <w:t>2021</w:t>
            </w:r>
            <w:r w:rsidRPr="000C156A">
              <w:rPr>
                <w:rFonts w:eastAsiaTheme="minorEastAsia" w:cs="Calibri"/>
                <w:b/>
                <w:bCs/>
                <w:sz w:val="20"/>
                <w:lang w:eastAsia="en-GB"/>
              </w:rPr>
              <w:t>年</w:t>
            </w:r>
          </w:p>
        </w:tc>
        <w:tc>
          <w:tcPr>
            <w:tcW w:w="388" w:type="pct"/>
            <w:tcBorders>
              <w:top w:val="single" w:sz="4" w:space="0" w:color="auto"/>
              <w:left w:val="single" w:sz="4" w:space="0" w:color="auto"/>
              <w:bottom w:val="nil"/>
              <w:right w:val="single" w:sz="4" w:space="0" w:color="auto"/>
            </w:tcBorders>
            <w:shd w:val="clear" w:color="auto" w:fill="auto"/>
            <w:noWrap/>
            <w:vAlign w:val="bottom"/>
            <w:hideMark/>
          </w:tcPr>
          <w:p w14:paraId="5A263AAA"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Pr>
                <w:rFonts w:eastAsiaTheme="minorEastAsia" w:cs="Calibri"/>
                <w:b/>
                <w:bCs/>
                <w:sz w:val="20"/>
                <w:lang w:eastAsia="en-GB"/>
              </w:rPr>
              <w:t>2021</w:t>
            </w:r>
            <w:r w:rsidRPr="000C156A">
              <w:rPr>
                <w:rFonts w:eastAsiaTheme="minorEastAsia" w:cs="Calibri"/>
                <w:b/>
                <w:bCs/>
                <w:sz w:val="20"/>
                <w:lang w:eastAsia="en-GB"/>
              </w:rPr>
              <w:t>年</w:t>
            </w:r>
          </w:p>
        </w:tc>
        <w:tc>
          <w:tcPr>
            <w:tcW w:w="303" w:type="pct"/>
            <w:tcBorders>
              <w:top w:val="single" w:sz="4" w:space="0" w:color="auto"/>
              <w:left w:val="nil"/>
              <w:bottom w:val="nil"/>
              <w:right w:val="single" w:sz="4" w:space="0" w:color="auto"/>
            </w:tcBorders>
            <w:shd w:val="clear" w:color="auto" w:fill="auto"/>
            <w:noWrap/>
            <w:vAlign w:val="bottom"/>
            <w:hideMark/>
          </w:tcPr>
          <w:p w14:paraId="07A57556"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Pr>
                <w:rFonts w:eastAsiaTheme="minorEastAsia" w:cs="Calibri"/>
                <w:b/>
                <w:bCs/>
                <w:sz w:val="20"/>
                <w:lang w:eastAsia="en-GB"/>
              </w:rPr>
              <w:t>2021</w:t>
            </w:r>
            <w:r w:rsidRPr="000C156A">
              <w:rPr>
                <w:rFonts w:eastAsiaTheme="minorEastAsia" w:cs="Calibri"/>
                <w:b/>
                <w:bCs/>
                <w:sz w:val="20"/>
                <w:lang w:eastAsia="en-GB"/>
              </w:rPr>
              <w:t>年</w:t>
            </w:r>
          </w:p>
        </w:tc>
        <w:tc>
          <w:tcPr>
            <w:tcW w:w="472" w:type="pct"/>
            <w:tcBorders>
              <w:top w:val="single" w:sz="4" w:space="0" w:color="auto"/>
              <w:left w:val="nil"/>
              <w:bottom w:val="nil"/>
              <w:right w:val="single" w:sz="4" w:space="0" w:color="auto"/>
            </w:tcBorders>
            <w:shd w:val="clear" w:color="auto" w:fill="auto"/>
            <w:noWrap/>
            <w:vAlign w:val="bottom"/>
            <w:hideMark/>
          </w:tcPr>
          <w:p w14:paraId="71931518"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截至</w:t>
            </w:r>
            <w:r>
              <w:rPr>
                <w:rFonts w:eastAsiaTheme="minorEastAsia" w:cs="Calibri"/>
                <w:b/>
                <w:bCs/>
                <w:sz w:val="20"/>
                <w:lang w:eastAsia="en-GB"/>
              </w:rPr>
              <w:t>2021</w:t>
            </w:r>
            <w:r w:rsidRPr="000C156A">
              <w:rPr>
                <w:rFonts w:eastAsiaTheme="minorEastAsia" w:cs="Calibri"/>
                <w:b/>
                <w:bCs/>
                <w:sz w:val="20"/>
                <w:lang w:eastAsia="en-GB"/>
              </w:rPr>
              <w:t>年</w:t>
            </w:r>
          </w:p>
        </w:tc>
      </w:tr>
      <w:tr w:rsidR="00483BE4" w:rsidRPr="000C156A" w14:paraId="5CA621FB"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517C8A3E" w14:textId="77777777" w:rsidR="004C18AD" w:rsidRPr="000C156A" w:rsidRDefault="004C18AD" w:rsidP="00042C67">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sz w:val="20"/>
                <w:lang w:eastAsia="en-GB"/>
              </w:rPr>
              <w:t>公司</w:t>
            </w:r>
          </w:p>
        </w:tc>
        <w:tc>
          <w:tcPr>
            <w:tcW w:w="757" w:type="pct"/>
            <w:tcBorders>
              <w:top w:val="nil"/>
              <w:left w:val="single" w:sz="4" w:space="0" w:color="auto"/>
              <w:bottom w:val="nil"/>
              <w:right w:val="single" w:sz="4" w:space="0" w:color="auto"/>
            </w:tcBorders>
            <w:shd w:val="clear" w:color="auto" w:fill="auto"/>
            <w:noWrap/>
            <w:vAlign w:val="bottom"/>
            <w:hideMark/>
          </w:tcPr>
          <w:p w14:paraId="31D05AF8" w14:textId="77777777" w:rsidR="004C18AD" w:rsidRPr="000C156A" w:rsidRDefault="004C18AD" w:rsidP="00042C67">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sz w:val="20"/>
                <w:lang w:eastAsia="zh-CN"/>
              </w:rPr>
              <w:t>决议</w:t>
            </w:r>
          </w:p>
        </w:tc>
        <w:tc>
          <w:tcPr>
            <w:tcW w:w="488" w:type="pct"/>
            <w:tcBorders>
              <w:top w:val="nil"/>
              <w:left w:val="nil"/>
              <w:bottom w:val="nil"/>
              <w:right w:val="nil"/>
            </w:tcBorders>
            <w:shd w:val="clear" w:color="auto" w:fill="auto"/>
            <w:noWrap/>
            <w:vAlign w:val="bottom"/>
            <w:hideMark/>
          </w:tcPr>
          <w:p w14:paraId="213EABE5"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专账的金额</w:t>
            </w:r>
          </w:p>
        </w:tc>
        <w:tc>
          <w:tcPr>
            <w:tcW w:w="795" w:type="pct"/>
            <w:tcBorders>
              <w:top w:val="nil"/>
              <w:left w:val="single" w:sz="4" w:space="0" w:color="auto"/>
              <w:bottom w:val="nil"/>
              <w:right w:val="single" w:sz="4" w:space="0" w:color="auto"/>
            </w:tcBorders>
            <w:shd w:val="clear" w:color="auto" w:fill="auto"/>
            <w:noWrap/>
            <w:vAlign w:val="bottom"/>
            <w:hideMark/>
          </w:tcPr>
          <w:p w14:paraId="7C5534D3" w14:textId="4C1C7DD4" w:rsidR="004C18AD" w:rsidRPr="000C156A" w:rsidRDefault="00483BE4" w:rsidP="00042C67">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sz w:val="20"/>
                <w:lang w:eastAsia="en-GB"/>
              </w:rPr>
              <w:t>12</w:t>
            </w:r>
            <w:r w:rsidRPr="000C156A">
              <w:rPr>
                <w:rFonts w:eastAsiaTheme="minorEastAsia" w:cs="Calibri"/>
                <w:b/>
                <w:bCs/>
                <w:sz w:val="20"/>
                <w:lang w:eastAsia="en-GB"/>
              </w:rPr>
              <w:t>月</w:t>
            </w:r>
            <w:r w:rsidRPr="000C156A">
              <w:rPr>
                <w:rFonts w:eastAsiaTheme="minorEastAsia" w:cs="Calibri"/>
                <w:b/>
                <w:bCs/>
                <w:sz w:val="20"/>
                <w:lang w:eastAsia="en-GB"/>
              </w:rPr>
              <w:t>31</w:t>
            </w:r>
            <w:r w:rsidRPr="000C156A">
              <w:rPr>
                <w:rFonts w:eastAsiaTheme="minorEastAsia" w:cs="Calibri"/>
                <w:b/>
                <w:bCs/>
                <w:sz w:val="20"/>
                <w:lang w:eastAsia="en-GB"/>
              </w:rPr>
              <w:t>日</w:t>
            </w:r>
            <w:r w:rsidR="004C18AD" w:rsidRPr="000C156A">
              <w:rPr>
                <w:rFonts w:eastAsiaTheme="minorEastAsia" w:cs="Calibri"/>
                <w:b/>
                <w:bCs/>
                <w:color w:val="000000"/>
                <w:sz w:val="20"/>
                <w:lang w:eastAsia="en-GB"/>
              </w:rPr>
              <w:t>余额</w:t>
            </w:r>
          </w:p>
        </w:tc>
        <w:tc>
          <w:tcPr>
            <w:tcW w:w="409" w:type="pct"/>
            <w:tcBorders>
              <w:top w:val="nil"/>
              <w:left w:val="nil"/>
              <w:bottom w:val="nil"/>
              <w:right w:val="nil"/>
            </w:tcBorders>
            <w:shd w:val="clear" w:color="auto" w:fill="auto"/>
            <w:noWrap/>
            <w:vAlign w:val="bottom"/>
            <w:hideMark/>
          </w:tcPr>
          <w:p w14:paraId="6BD86B2D"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变动</w:t>
            </w:r>
          </w:p>
        </w:tc>
        <w:tc>
          <w:tcPr>
            <w:tcW w:w="388" w:type="pct"/>
            <w:tcBorders>
              <w:top w:val="nil"/>
              <w:left w:val="single" w:sz="4" w:space="0" w:color="auto"/>
              <w:bottom w:val="nil"/>
              <w:right w:val="single" w:sz="4" w:space="0" w:color="auto"/>
            </w:tcBorders>
            <w:shd w:val="clear" w:color="auto" w:fill="auto"/>
            <w:noWrap/>
            <w:vAlign w:val="bottom"/>
            <w:hideMark/>
          </w:tcPr>
          <w:p w14:paraId="6894862C"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利息</w:t>
            </w:r>
          </w:p>
        </w:tc>
        <w:tc>
          <w:tcPr>
            <w:tcW w:w="303" w:type="pct"/>
            <w:tcBorders>
              <w:top w:val="nil"/>
              <w:left w:val="nil"/>
              <w:bottom w:val="nil"/>
              <w:right w:val="single" w:sz="4" w:space="0" w:color="auto"/>
            </w:tcBorders>
            <w:shd w:val="clear" w:color="auto" w:fill="auto"/>
            <w:noWrap/>
            <w:vAlign w:val="bottom"/>
            <w:hideMark/>
          </w:tcPr>
          <w:p w14:paraId="24EC2452"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sidRPr="000C156A">
              <w:rPr>
                <w:rFonts w:eastAsiaTheme="minorEastAsia" w:cs="Calibri"/>
                <w:b/>
                <w:bCs/>
                <w:sz w:val="20"/>
                <w:lang w:eastAsia="en-GB"/>
              </w:rPr>
              <w:t>支付</w:t>
            </w:r>
          </w:p>
        </w:tc>
        <w:tc>
          <w:tcPr>
            <w:tcW w:w="472" w:type="pct"/>
            <w:tcBorders>
              <w:top w:val="nil"/>
              <w:left w:val="nil"/>
              <w:bottom w:val="nil"/>
              <w:right w:val="single" w:sz="4" w:space="0" w:color="auto"/>
            </w:tcBorders>
            <w:shd w:val="clear" w:color="auto" w:fill="auto"/>
            <w:noWrap/>
            <w:vAlign w:val="bottom"/>
            <w:hideMark/>
          </w:tcPr>
          <w:p w14:paraId="123A2B91" w14:textId="77777777" w:rsidR="004C18AD" w:rsidRPr="000C156A" w:rsidRDefault="004C18AD" w:rsidP="00042C67">
            <w:pPr>
              <w:overflowPunct/>
              <w:autoSpaceDE/>
              <w:autoSpaceDN/>
              <w:adjustRightInd/>
              <w:spacing w:before="0"/>
              <w:jc w:val="center"/>
              <w:textAlignment w:val="auto"/>
              <w:rPr>
                <w:rFonts w:cs="Calibri"/>
                <w:b/>
                <w:bCs/>
                <w:color w:val="000000"/>
                <w:sz w:val="20"/>
                <w:lang w:eastAsia="en-GB"/>
              </w:rPr>
            </w:pPr>
            <w:r w:rsidRPr="000C156A">
              <w:rPr>
                <w:rFonts w:eastAsiaTheme="minorEastAsia" w:cs="Calibri"/>
                <w:b/>
                <w:bCs/>
                <w:sz w:val="20"/>
                <w:lang w:eastAsia="en-GB"/>
              </w:rPr>
              <w:t>12</w:t>
            </w:r>
            <w:r w:rsidRPr="000C156A">
              <w:rPr>
                <w:rFonts w:eastAsiaTheme="minorEastAsia" w:cs="Calibri"/>
                <w:b/>
                <w:bCs/>
                <w:sz w:val="20"/>
                <w:lang w:eastAsia="en-GB"/>
              </w:rPr>
              <w:t>月</w:t>
            </w:r>
            <w:r w:rsidRPr="000C156A">
              <w:rPr>
                <w:rFonts w:eastAsiaTheme="minorEastAsia" w:cs="Calibri"/>
                <w:b/>
                <w:bCs/>
                <w:sz w:val="20"/>
                <w:lang w:eastAsia="en-GB"/>
              </w:rPr>
              <w:t>31</w:t>
            </w:r>
            <w:r w:rsidRPr="000C156A">
              <w:rPr>
                <w:rFonts w:eastAsiaTheme="minorEastAsia" w:cs="Calibri"/>
                <w:b/>
                <w:bCs/>
                <w:sz w:val="20"/>
                <w:lang w:eastAsia="en-GB"/>
              </w:rPr>
              <w:t>日</w:t>
            </w:r>
          </w:p>
        </w:tc>
      </w:tr>
      <w:tr w:rsidR="00483BE4" w:rsidRPr="000C156A" w14:paraId="426061D6" w14:textId="77777777" w:rsidTr="00483BE4">
        <w:trPr>
          <w:trHeight w:val="255"/>
        </w:trPr>
        <w:tc>
          <w:tcPr>
            <w:tcW w:w="1388" w:type="pct"/>
            <w:tcBorders>
              <w:top w:val="nil"/>
              <w:left w:val="single" w:sz="4" w:space="0" w:color="auto"/>
              <w:bottom w:val="single" w:sz="4" w:space="0" w:color="auto"/>
              <w:right w:val="nil"/>
            </w:tcBorders>
            <w:shd w:val="clear" w:color="auto" w:fill="auto"/>
            <w:noWrap/>
            <w:vAlign w:val="bottom"/>
            <w:hideMark/>
          </w:tcPr>
          <w:p w14:paraId="6C727EE3" w14:textId="77777777" w:rsidR="004C18AD" w:rsidRPr="000C156A" w:rsidRDefault="004C18AD" w:rsidP="00042C67">
            <w:pPr>
              <w:overflowPunct/>
              <w:autoSpaceDE/>
              <w:autoSpaceDN/>
              <w:adjustRightInd/>
              <w:spacing w:before="0"/>
              <w:textAlignment w:val="auto"/>
              <w:rPr>
                <w:rFonts w:ascii="Times New Roman" w:hAnsi="Times New Roman"/>
                <w:sz w:val="20"/>
                <w:lang w:eastAsia="en-GB"/>
              </w:rPr>
            </w:pPr>
            <w:r w:rsidRPr="000C156A">
              <w:rPr>
                <w:rFonts w:eastAsiaTheme="minorEastAsia" w:cs="Calibri"/>
                <w:b/>
                <w:bCs/>
                <w:sz w:val="20"/>
                <w:lang w:eastAsia="en-GB"/>
              </w:rPr>
              <w:t> </w:t>
            </w:r>
          </w:p>
        </w:tc>
        <w:tc>
          <w:tcPr>
            <w:tcW w:w="757" w:type="pct"/>
            <w:tcBorders>
              <w:top w:val="nil"/>
              <w:left w:val="single" w:sz="4" w:space="0" w:color="auto"/>
              <w:bottom w:val="single" w:sz="4" w:space="0" w:color="auto"/>
              <w:right w:val="single" w:sz="4" w:space="0" w:color="auto"/>
            </w:tcBorders>
            <w:shd w:val="clear" w:color="auto" w:fill="auto"/>
            <w:noWrap/>
            <w:vAlign w:val="bottom"/>
            <w:hideMark/>
          </w:tcPr>
          <w:p w14:paraId="7F7AA919" w14:textId="77777777" w:rsidR="004C18AD" w:rsidRPr="000C156A" w:rsidRDefault="004C18AD" w:rsidP="00042C67">
            <w:pPr>
              <w:overflowPunct/>
              <w:autoSpaceDE/>
              <w:autoSpaceDN/>
              <w:adjustRightInd/>
              <w:spacing w:before="0"/>
              <w:textAlignment w:val="auto"/>
              <w:rPr>
                <w:rFonts w:cs="Calibri"/>
                <w:b/>
                <w:bCs/>
                <w:color w:val="000000"/>
                <w:sz w:val="20"/>
                <w:lang w:val="en-US" w:eastAsia="en-GB"/>
              </w:rPr>
            </w:pPr>
            <w:r w:rsidRPr="000C156A">
              <w:rPr>
                <w:rFonts w:eastAsiaTheme="minorEastAsia" w:cs="Calibri"/>
                <w:b/>
                <w:bCs/>
                <w:sz w:val="20"/>
                <w:lang w:val="en-US" w:eastAsia="en-GB"/>
              </w:rPr>
              <w:t> </w:t>
            </w:r>
          </w:p>
        </w:tc>
        <w:tc>
          <w:tcPr>
            <w:tcW w:w="488" w:type="pct"/>
            <w:tcBorders>
              <w:top w:val="nil"/>
              <w:left w:val="nil"/>
              <w:bottom w:val="single" w:sz="4" w:space="0" w:color="auto"/>
              <w:right w:val="nil"/>
            </w:tcBorders>
            <w:shd w:val="clear" w:color="auto" w:fill="auto"/>
            <w:noWrap/>
            <w:vAlign w:val="bottom"/>
            <w:hideMark/>
          </w:tcPr>
          <w:p w14:paraId="1FB60DCF"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p>
        </w:tc>
        <w:tc>
          <w:tcPr>
            <w:tcW w:w="795" w:type="pct"/>
            <w:tcBorders>
              <w:top w:val="nil"/>
              <w:left w:val="single" w:sz="4" w:space="0" w:color="auto"/>
              <w:bottom w:val="single" w:sz="4" w:space="0" w:color="auto"/>
              <w:right w:val="single" w:sz="4" w:space="0" w:color="auto"/>
            </w:tcBorders>
            <w:shd w:val="clear" w:color="auto" w:fill="auto"/>
            <w:noWrap/>
            <w:vAlign w:val="bottom"/>
            <w:hideMark/>
          </w:tcPr>
          <w:p w14:paraId="263C7D11"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eastAsiaTheme="minorEastAsia" w:cs="Calibri"/>
                <w:sz w:val="20"/>
                <w:lang w:eastAsia="en-GB"/>
              </w:rPr>
              <w:t> </w:t>
            </w:r>
          </w:p>
        </w:tc>
        <w:tc>
          <w:tcPr>
            <w:tcW w:w="409" w:type="pct"/>
            <w:tcBorders>
              <w:top w:val="nil"/>
              <w:left w:val="nil"/>
              <w:bottom w:val="single" w:sz="4" w:space="0" w:color="auto"/>
              <w:right w:val="nil"/>
            </w:tcBorders>
            <w:shd w:val="clear" w:color="auto" w:fill="auto"/>
            <w:noWrap/>
            <w:vAlign w:val="bottom"/>
            <w:hideMark/>
          </w:tcPr>
          <w:p w14:paraId="7996B7DC"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eastAsiaTheme="minorEastAsia" w:cs="Calibri"/>
                <w:sz w:val="20"/>
                <w:lang w:eastAsia="en-GB"/>
              </w:rPr>
              <w:t> </w:t>
            </w:r>
          </w:p>
        </w:tc>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26186617"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eastAsiaTheme="minorEastAsia" w:cs="Calibri"/>
                <w:sz w:val="20"/>
                <w:lang w:eastAsia="en-GB"/>
              </w:rPr>
              <w:t> </w:t>
            </w:r>
          </w:p>
        </w:tc>
        <w:tc>
          <w:tcPr>
            <w:tcW w:w="303" w:type="pct"/>
            <w:tcBorders>
              <w:top w:val="nil"/>
              <w:left w:val="nil"/>
              <w:bottom w:val="single" w:sz="4" w:space="0" w:color="auto"/>
              <w:right w:val="single" w:sz="4" w:space="0" w:color="auto"/>
            </w:tcBorders>
            <w:shd w:val="clear" w:color="auto" w:fill="auto"/>
            <w:noWrap/>
            <w:vAlign w:val="bottom"/>
            <w:hideMark/>
          </w:tcPr>
          <w:p w14:paraId="11113AE1"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eastAsiaTheme="minorEastAsia" w:cs="Calibri"/>
                <w:sz w:val="20"/>
                <w:lang w:eastAsia="en-GB"/>
              </w:rPr>
              <w:t> </w:t>
            </w:r>
          </w:p>
        </w:tc>
        <w:tc>
          <w:tcPr>
            <w:tcW w:w="472" w:type="pct"/>
            <w:tcBorders>
              <w:top w:val="nil"/>
              <w:left w:val="nil"/>
              <w:bottom w:val="single" w:sz="4" w:space="0" w:color="auto"/>
              <w:right w:val="single" w:sz="4" w:space="0" w:color="auto"/>
            </w:tcBorders>
            <w:shd w:val="clear" w:color="auto" w:fill="auto"/>
            <w:noWrap/>
            <w:vAlign w:val="bottom"/>
            <w:hideMark/>
          </w:tcPr>
          <w:p w14:paraId="5D0C77E5" w14:textId="77777777" w:rsidR="004C18AD" w:rsidRPr="000C156A" w:rsidRDefault="004C18AD" w:rsidP="00042C67">
            <w:pPr>
              <w:overflowPunct/>
              <w:autoSpaceDE/>
              <w:autoSpaceDN/>
              <w:adjustRightInd/>
              <w:spacing w:before="0"/>
              <w:jc w:val="center"/>
              <w:textAlignment w:val="auto"/>
              <w:rPr>
                <w:rFonts w:cs="Calibri"/>
                <w:color w:val="000000"/>
                <w:sz w:val="20"/>
                <w:lang w:eastAsia="en-GB"/>
              </w:rPr>
            </w:pPr>
            <w:r w:rsidRPr="000C156A">
              <w:rPr>
                <w:rFonts w:eastAsiaTheme="minorEastAsia" w:cs="Calibri"/>
                <w:b/>
                <w:bCs/>
                <w:sz w:val="20"/>
                <w:lang w:eastAsia="en-GB"/>
              </w:rPr>
              <w:t>余额</w:t>
            </w:r>
          </w:p>
        </w:tc>
      </w:tr>
      <w:tr w:rsidR="00483BE4" w:rsidRPr="000C156A" w14:paraId="2C082C09"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069619D3" w14:textId="77777777" w:rsidR="004C18AD" w:rsidRPr="000C156A" w:rsidRDefault="004C18AD" w:rsidP="00483BE4">
            <w:pPr>
              <w:overflowPunct/>
              <w:autoSpaceDE/>
              <w:autoSpaceDN/>
              <w:adjustRightInd/>
              <w:spacing w:before="0"/>
              <w:ind w:right="763"/>
              <w:jc w:val="center"/>
              <w:textAlignment w:val="auto"/>
              <w:rPr>
                <w:rFonts w:cs="Calibri"/>
                <w:b/>
                <w:bCs/>
                <w:color w:val="000000"/>
                <w:sz w:val="20"/>
                <w:lang w:eastAsia="en-GB"/>
              </w:rPr>
            </w:pPr>
            <w:r w:rsidRPr="000C156A">
              <w:rPr>
                <w:rFonts w:cs="Calibri"/>
                <w:b/>
                <w:bCs/>
                <w:color w:val="000000"/>
                <w:sz w:val="20"/>
                <w:lang w:eastAsia="en-GB"/>
              </w:rPr>
              <w:t> </w:t>
            </w:r>
          </w:p>
        </w:tc>
        <w:tc>
          <w:tcPr>
            <w:tcW w:w="757" w:type="pct"/>
            <w:tcBorders>
              <w:top w:val="nil"/>
              <w:left w:val="single" w:sz="4" w:space="0" w:color="auto"/>
              <w:bottom w:val="nil"/>
              <w:right w:val="single" w:sz="4" w:space="0" w:color="auto"/>
            </w:tcBorders>
            <w:shd w:val="clear" w:color="auto" w:fill="auto"/>
            <w:noWrap/>
            <w:vAlign w:val="bottom"/>
            <w:hideMark/>
          </w:tcPr>
          <w:p w14:paraId="47696747" w14:textId="77777777" w:rsidR="004C18AD" w:rsidRPr="000C156A" w:rsidRDefault="004C18AD" w:rsidP="00042C67">
            <w:pPr>
              <w:overflowPunct/>
              <w:autoSpaceDE/>
              <w:autoSpaceDN/>
              <w:adjustRightInd/>
              <w:spacing w:before="0"/>
              <w:textAlignment w:val="auto"/>
              <w:rPr>
                <w:rFonts w:cs="Calibri"/>
                <w:b/>
                <w:bCs/>
                <w:color w:val="000000"/>
                <w:sz w:val="20"/>
                <w:lang w:eastAsia="en-GB"/>
              </w:rPr>
            </w:pPr>
            <w:r w:rsidRPr="000C156A">
              <w:rPr>
                <w:rFonts w:cs="Calibri"/>
                <w:b/>
                <w:bCs/>
                <w:color w:val="000000"/>
                <w:sz w:val="20"/>
                <w:lang w:eastAsia="en-GB"/>
              </w:rPr>
              <w:t> </w:t>
            </w:r>
          </w:p>
        </w:tc>
        <w:tc>
          <w:tcPr>
            <w:tcW w:w="488" w:type="pct"/>
            <w:tcBorders>
              <w:top w:val="nil"/>
              <w:left w:val="nil"/>
              <w:bottom w:val="nil"/>
              <w:right w:val="nil"/>
            </w:tcBorders>
            <w:shd w:val="clear" w:color="auto" w:fill="auto"/>
            <w:noWrap/>
            <w:vAlign w:val="bottom"/>
            <w:hideMark/>
          </w:tcPr>
          <w:p w14:paraId="31ABEE67" w14:textId="77777777" w:rsidR="004C18AD" w:rsidRPr="000C156A" w:rsidRDefault="004C18AD" w:rsidP="00042C67">
            <w:pPr>
              <w:overflowPunct/>
              <w:autoSpaceDE/>
              <w:autoSpaceDN/>
              <w:adjustRightInd/>
              <w:spacing w:before="0"/>
              <w:jc w:val="center"/>
              <w:textAlignment w:val="auto"/>
              <w:rPr>
                <w:rFonts w:cs="Calibri"/>
                <w:b/>
                <w:bCs/>
                <w:color w:val="000000"/>
                <w:sz w:val="20"/>
                <w:lang w:eastAsia="en-GB"/>
              </w:rPr>
            </w:pPr>
            <w:r w:rsidRPr="000C156A">
              <w:rPr>
                <w:rFonts w:cs="Calibri"/>
                <w:b/>
                <w:bCs/>
                <w:color w:val="000000"/>
                <w:sz w:val="20"/>
                <w:lang w:eastAsia="en-GB"/>
              </w:rPr>
              <w:t> </w:t>
            </w:r>
          </w:p>
        </w:tc>
        <w:tc>
          <w:tcPr>
            <w:tcW w:w="795" w:type="pct"/>
            <w:tcBorders>
              <w:top w:val="nil"/>
              <w:left w:val="single" w:sz="4" w:space="0" w:color="auto"/>
              <w:bottom w:val="nil"/>
              <w:right w:val="single" w:sz="4" w:space="0" w:color="auto"/>
            </w:tcBorders>
            <w:shd w:val="clear" w:color="auto" w:fill="auto"/>
            <w:noWrap/>
            <w:vAlign w:val="bottom"/>
            <w:hideMark/>
          </w:tcPr>
          <w:p w14:paraId="2BE5B691"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409" w:type="pct"/>
            <w:tcBorders>
              <w:top w:val="nil"/>
              <w:left w:val="nil"/>
              <w:bottom w:val="nil"/>
              <w:right w:val="nil"/>
            </w:tcBorders>
            <w:shd w:val="clear" w:color="auto" w:fill="auto"/>
            <w:noWrap/>
            <w:vAlign w:val="bottom"/>
            <w:hideMark/>
          </w:tcPr>
          <w:p w14:paraId="2699A7A7"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388" w:type="pct"/>
            <w:tcBorders>
              <w:top w:val="nil"/>
              <w:left w:val="single" w:sz="4" w:space="0" w:color="auto"/>
              <w:bottom w:val="nil"/>
              <w:right w:val="single" w:sz="4" w:space="0" w:color="auto"/>
            </w:tcBorders>
            <w:shd w:val="clear" w:color="auto" w:fill="auto"/>
            <w:noWrap/>
            <w:vAlign w:val="bottom"/>
            <w:hideMark/>
          </w:tcPr>
          <w:p w14:paraId="6FC17660"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303" w:type="pct"/>
            <w:tcBorders>
              <w:top w:val="nil"/>
              <w:left w:val="nil"/>
              <w:bottom w:val="nil"/>
              <w:right w:val="single" w:sz="4" w:space="0" w:color="auto"/>
            </w:tcBorders>
            <w:shd w:val="clear" w:color="auto" w:fill="auto"/>
            <w:noWrap/>
            <w:vAlign w:val="bottom"/>
            <w:hideMark/>
          </w:tcPr>
          <w:p w14:paraId="6BE7305E"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472" w:type="pct"/>
            <w:tcBorders>
              <w:top w:val="nil"/>
              <w:left w:val="nil"/>
              <w:bottom w:val="nil"/>
              <w:right w:val="single" w:sz="4" w:space="0" w:color="auto"/>
            </w:tcBorders>
            <w:shd w:val="clear" w:color="auto" w:fill="auto"/>
            <w:noWrap/>
            <w:vAlign w:val="bottom"/>
            <w:hideMark/>
          </w:tcPr>
          <w:p w14:paraId="1F376AC8"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r>
      <w:tr w:rsidR="00483BE4" w:rsidRPr="000C156A" w14:paraId="446CADF7"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508E23A5" w14:textId="77777777" w:rsidR="004C18AD" w:rsidRPr="000C156A" w:rsidRDefault="004C18AD" w:rsidP="00042C67">
            <w:pPr>
              <w:overflowPunct/>
              <w:autoSpaceDE/>
              <w:autoSpaceDN/>
              <w:adjustRightInd/>
              <w:spacing w:before="0"/>
              <w:jc w:val="center"/>
              <w:textAlignment w:val="auto"/>
              <w:rPr>
                <w:rFonts w:cs="Calibri"/>
                <w:b/>
                <w:bCs/>
                <w:color w:val="000000"/>
                <w:sz w:val="20"/>
                <w:lang w:eastAsia="en-GB"/>
              </w:rPr>
            </w:pPr>
            <w:r w:rsidRPr="000C156A">
              <w:rPr>
                <w:rFonts w:cs="Calibri" w:hint="eastAsia"/>
                <w:b/>
                <w:bCs/>
                <w:color w:val="000000"/>
                <w:sz w:val="20"/>
                <w:lang w:eastAsia="en-GB"/>
              </w:rPr>
              <w:t>成员国</w:t>
            </w:r>
          </w:p>
        </w:tc>
        <w:tc>
          <w:tcPr>
            <w:tcW w:w="757" w:type="pct"/>
            <w:tcBorders>
              <w:top w:val="nil"/>
              <w:left w:val="single" w:sz="4" w:space="0" w:color="auto"/>
              <w:bottom w:val="nil"/>
              <w:right w:val="single" w:sz="4" w:space="0" w:color="auto"/>
            </w:tcBorders>
            <w:shd w:val="clear" w:color="auto" w:fill="auto"/>
            <w:noWrap/>
            <w:vAlign w:val="bottom"/>
            <w:hideMark/>
          </w:tcPr>
          <w:p w14:paraId="77FA4AA1"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488" w:type="pct"/>
            <w:tcBorders>
              <w:top w:val="nil"/>
              <w:left w:val="nil"/>
              <w:bottom w:val="nil"/>
              <w:right w:val="nil"/>
            </w:tcBorders>
            <w:shd w:val="clear" w:color="auto" w:fill="auto"/>
            <w:noWrap/>
            <w:vAlign w:val="bottom"/>
            <w:hideMark/>
          </w:tcPr>
          <w:p w14:paraId="580DEC96" w14:textId="77777777" w:rsidR="004C18AD" w:rsidRPr="000C156A" w:rsidRDefault="004C18AD" w:rsidP="00042C67">
            <w:pPr>
              <w:overflowPunct/>
              <w:autoSpaceDE/>
              <w:autoSpaceDN/>
              <w:adjustRightInd/>
              <w:spacing w:before="0"/>
              <w:textAlignment w:val="auto"/>
              <w:rPr>
                <w:rFonts w:cs="Calibri"/>
                <w:color w:val="000000"/>
                <w:sz w:val="20"/>
                <w:lang w:eastAsia="en-GB"/>
              </w:rPr>
            </w:pPr>
          </w:p>
        </w:tc>
        <w:tc>
          <w:tcPr>
            <w:tcW w:w="795" w:type="pct"/>
            <w:tcBorders>
              <w:top w:val="nil"/>
              <w:left w:val="single" w:sz="4" w:space="0" w:color="auto"/>
              <w:bottom w:val="nil"/>
              <w:right w:val="single" w:sz="4" w:space="0" w:color="auto"/>
            </w:tcBorders>
            <w:shd w:val="clear" w:color="auto" w:fill="auto"/>
            <w:noWrap/>
            <w:vAlign w:val="bottom"/>
            <w:hideMark/>
          </w:tcPr>
          <w:p w14:paraId="293A1820"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409" w:type="pct"/>
            <w:tcBorders>
              <w:top w:val="nil"/>
              <w:left w:val="nil"/>
              <w:bottom w:val="nil"/>
              <w:right w:val="nil"/>
            </w:tcBorders>
            <w:shd w:val="clear" w:color="auto" w:fill="auto"/>
            <w:noWrap/>
            <w:vAlign w:val="bottom"/>
            <w:hideMark/>
          </w:tcPr>
          <w:p w14:paraId="34BC511A" w14:textId="77777777" w:rsidR="004C18AD" w:rsidRPr="000C156A" w:rsidRDefault="004C18AD" w:rsidP="00042C67">
            <w:pPr>
              <w:overflowPunct/>
              <w:autoSpaceDE/>
              <w:autoSpaceDN/>
              <w:adjustRightInd/>
              <w:spacing w:before="0"/>
              <w:textAlignment w:val="auto"/>
              <w:rPr>
                <w:rFonts w:cs="Calibri"/>
                <w:color w:val="000000"/>
                <w:sz w:val="20"/>
                <w:lang w:eastAsia="en-GB"/>
              </w:rPr>
            </w:pPr>
          </w:p>
        </w:tc>
        <w:tc>
          <w:tcPr>
            <w:tcW w:w="388" w:type="pct"/>
            <w:tcBorders>
              <w:top w:val="nil"/>
              <w:left w:val="single" w:sz="4" w:space="0" w:color="auto"/>
              <w:bottom w:val="nil"/>
              <w:right w:val="single" w:sz="4" w:space="0" w:color="auto"/>
            </w:tcBorders>
            <w:shd w:val="clear" w:color="auto" w:fill="auto"/>
            <w:noWrap/>
            <w:vAlign w:val="bottom"/>
            <w:hideMark/>
          </w:tcPr>
          <w:p w14:paraId="3780253E"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303" w:type="pct"/>
            <w:tcBorders>
              <w:top w:val="nil"/>
              <w:left w:val="nil"/>
              <w:bottom w:val="nil"/>
              <w:right w:val="single" w:sz="4" w:space="0" w:color="auto"/>
            </w:tcBorders>
            <w:shd w:val="clear" w:color="auto" w:fill="auto"/>
            <w:noWrap/>
            <w:vAlign w:val="bottom"/>
            <w:hideMark/>
          </w:tcPr>
          <w:p w14:paraId="4A218A59"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c>
          <w:tcPr>
            <w:tcW w:w="472" w:type="pct"/>
            <w:tcBorders>
              <w:top w:val="nil"/>
              <w:left w:val="nil"/>
              <w:bottom w:val="nil"/>
              <w:right w:val="single" w:sz="4" w:space="0" w:color="auto"/>
            </w:tcBorders>
            <w:shd w:val="clear" w:color="auto" w:fill="auto"/>
            <w:noWrap/>
            <w:vAlign w:val="bottom"/>
            <w:hideMark/>
          </w:tcPr>
          <w:p w14:paraId="03C55579" w14:textId="77777777" w:rsidR="004C18AD" w:rsidRPr="000C156A" w:rsidRDefault="004C18AD" w:rsidP="00042C67">
            <w:pPr>
              <w:overflowPunct/>
              <w:autoSpaceDE/>
              <w:autoSpaceDN/>
              <w:adjustRightInd/>
              <w:spacing w:before="0"/>
              <w:textAlignment w:val="auto"/>
              <w:rPr>
                <w:rFonts w:cs="Calibri"/>
                <w:color w:val="000000"/>
                <w:sz w:val="20"/>
                <w:lang w:eastAsia="en-GB"/>
              </w:rPr>
            </w:pPr>
            <w:r w:rsidRPr="000C156A">
              <w:rPr>
                <w:rFonts w:cs="Calibri"/>
                <w:color w:val="000000"/>
                <w:sz w:val="20"/>
                <w:lang w:eastAsia="en-GB"/>
              </w:rPr>
              <w:t> </w:t>
            </w:r>
          </w:p>
        </w:tc>
      </w:tr>
      <w:tr w:rsidR="00483BE4" w:rsidRPr="000C156A" w14:paraId="78EB520F" w14:textId="77777777" w:rsidTr="00483BE4">
        <w:trPr>
          <w:trHeight w:val="255"/>
        </w:trPr>
        <w:tc>
          <w:tcPr>
            <w:tcW w:w="1388" w:type="pct"/>
            <w:tcBorders>
              <w:top w:val="nil"/>
              <w:left w:val="single" w:sz="4" w:space="0" w:color="auto"/>
              <w:bottom w:val="nil"/>
              <w:right w:val="nil"/>
            </w:tcBorders>
            <w:shd w:val="clear" w:color="auto" w:fill="auto"/>
            <w:noWrap/>
            <w:vAlign w:val="bottom"/>
          </w:tcPr>
          <w:p w14:paraId="185AC09D" w14:textId="77777777" w:rsidR="004C18AD" w:rsidRPr="000C156A" w:rsidRDefault="004C18AD" w:rsidP="00042C67">
            <w:pPr>
              <w:overflowPunct/>
              <w:autoSpaceDE/>
              <w:autoSpaceDN/>
              <w:adjustRightInd/>
              <w:spacing w:before="0"/>
              <w:jc w:val="center"/>
              <w:textAlignment w:val="auto"/>
              <w:rPr>
                <w:rFonts w:cs="Calibri"/>
                <w:b/>
                <w:bCs/>
                <w:color w:val="000000"/>
                <w:sz w:val="20"/>
                <w:lang w:eastAsia="en-GB"/>
              </w:rPr>
            </w:pPr>
          </w:p>
        </w:tc>
        <w:tc>
          <w:tcPr>
            <w:tcW w:w="757" w:type="pct"/>
            <w:tcBorders>
              <w:top w:val="nil"/>
              <w:left w:val="single" w:sz="4" w:space="0" w:color="auto"/>
              <w:bottom w:val="nil"/>
              <w:right w:val="single" w:sz="4" w:space="0" w:color="auto"/>
            </w:tcBorders>
            <w:shd w:val="clear" w:color="auto" w:fill="auto"/>
            <w:noWrap/>
            <w:vAlign w:val="bottom"/>
          </w:tcPr>
          <w:p w14:paraId="6C9BFF61" w14:textId="77777777" w:rsidR="004C18AD" w:rsidRPr="000C156A" w:rsidRDefault="004C18AD" w:rsidP="00042C67">
            <w:pPr>
              <w:overflowPunct/>
              <w:autoSpaceDE/>
              <w:autoSpaceDN/>
              <w:adjustRightInd/>
              <w:spacing w:before="0"/>
              <w:textAlignment w:val="auto"/>
              <w:rPr>
                <w:rFonts w:cs="Calibri"/>
                <w:color w:val="000000"/>
                <w:sz w:val="20"/>
                <w:lang w:eastAsia="en-GB"/>
              </w:rPr>
            </w:pPr>
          </w:p>
        </w:tc>
        <w:tc>
          <w:tcPr>
            <w:tcW w:w="488" w:type="pct"/>
            <w:tcBorders>
              <w:top w:val="nil"/>
              <w:left w:val="nil"/>
              <w:bottom w:val="nil"/>
              <w:right w:val="nil"/>
            </w:tcBorders>
            <w:shd w:val="clear" w:color="auto" w:fill="auto"/>
            <w:noWrap/>
            <w:vAlign w:val="bottom"/>
          </w:tcPr>
          <w:p w14:paraId="37A11CDB" w14:textId="77777777" w:rsidR="004C18AD" w:rsidRPr="000C156A" w:rsidRDefault="004C18AD" w:rsidP="00042C67">
            <w:pPr>
              <w:overflowPunct/>
              <w:autoSpaceDE/>
              <w:autoSpaceDN/>
              <w:adjustRightInd/>
              <w:spacing w:before="0"/>
              <w:textAlignment w:val="auto"/>
              <w:rPr>
                <w:rFonts w:cs="Calibri"/>
                <w:color w:val="000000"/>
                <w:sz w:val="20"/>
                <w:lang w:eastAsia="en-GB"/>
              </w:rPr>
            </w:pPr>
          </w:p>
        </w:tc>
        <w:tc>
          <w:tcPr>
            <w:tcW w:w="795" w:type="pct"/>
            <w:tcBorders>
              <w:top w:val="nil"/>
              <w:left w:val="single" w:sz="4" w:space="0" w:color="auto"/>
              <w:bottom w:val="nil"/>
              <w:right w:val="single" w:sz="4" w:space="0" w:color="auto"/>
            </w:tcBorders>
            <w:shd w:val="clear" w:color="auto" w:fill="auto"/>
            <w:noWrap/>
            <w:vAlign w:val="bottom"/>
          </w:tcPr>
          <w:p w14:paraId="3ADCD7B3" w14:textId="77777777" w:rsidR="004C18AD" w:rsidRPr="000C156A" w:rsidRDefault="004C18AD" w:rsidP="00042C67">
            <w:pPr>
              <w:overflowPunct/>
              <w:autoSpaceDE/>
              <w:autoSpaceDN/>
              <w:adjustRightInd/>
              <w:spacing w:before="0"/>
              <w:textAlignment w:val="auto"/>
              <w:rPr>
                <w:rFonts w:cs="Calibri"/>
                <w:color w:val="000000"/>
                <w:sz w:val="20"/>
                <w:lang w:eastAsia="en-GB"/>
              </w:rPr>
            </w:pPr>
          </w:p>
        </w:tc>
        <w:tc>
          <w:tcPr>
            <w:tcW w:w="409" w:type="pct"/>
            <w:tcBorders>
              <w:top w:val="nil"/>
              <w:left w:val="nil"/>
              <w:bottom w:val="nil"/>
              <w:right w:val="nil"/>
            </w:tcBorders>
            <w:shd w:val="clear" w:color="auto" w:fill="auto"/>
            <w:noWrap/>
            <w:vAlign w:val="bottom"/>
          </w:tcPr>
          <w:p w14:paraId="454BB536" w14:textId="77777777" w:rsidR="004C18AD" w:rsidRPr="000C156A" w:rsidRDefault="004C18AD" w:rsidP="00042C67">
            <w:pPr>
              <w:overflowPunct/>
              <w:autoSpaceDE/>
              <w:autoSpaceDN/>
              <w:adjustRightInd/>
              <w:spacing w:before="0"/>
              <w:textAlignment w:val="auto"/>
              <w:rPr>
                <w:rFonts w:cs="Calibri"/>
                <w:color w:val="000000"/>
                <w:sz w:val="20"/>
                <w:lang w:eastAsia="en-GB"/>
              </w:rPr>
            </w:pPr>
          </w:p>
        </w:tc>
        <w:tc>
          <w:tcPr>
            <w:tcW w:w="388" w:type="pct"/>
            <w:tcBorders>
              <w:top w:val="nil"/>
              <w:left w:val="single" w:sz="4" w:space="0" w:color="auto"/>
              <w:bottom w:val="nil"/>
              <w:right w:val="single" w:sz="4" w:space="0" w:color="auto"/>
            </w:tcBorders>
            <w:shd w:val="clear" w:color="auto" w:fill="auto"/>
            <w:noWrap/>
            <w:vAlign w:val="bottom"/>
          </w:tcPr>
          <w:p w14:paraId="0473A187" w14:textId="77777777" w:rsidR="004C18AD" w:rsidRPr="000C156A" w:rsidRDefault="004C18AD" w:rsidP="00042C67">
            <w:pPr>
              <w:overflowPunct/>
              <w:autoSpaceDE/>
              <w:autoSpaceDN/>
              <w:adjustRightInd/>
              <w:spacing w:before="0"/>
              <w:textAlignment w:val="auto"/>
              <w:rPr>
                <w:rFonts w:cs="Calibri"/>
                <w:color w:val="000000"/>
                <w:sz w:val="20"/>
                <w:lang w:eastAsia="en-GB"/>
              </w:rPr>
            </w:pPr>
          </w:p>
        </w:tc>
        <w:tc>
          <w:tcPr>
            <w:tcW w:w="303" w:type="pct"/>
            <w:tcBorders>
              <w:top w:val="nil"/>
              <w:left w:val="nil"/>
              <w:bottom w:val="nil"/>
              <w:right w:val="single" w:sz="4" w:space="0" w:color="auto"/>
            </w:tcBorders>
            <w:shd w:val="clear" w:color="auto" w:fill="auto"/>
            <w:noWrap/>
            <w:vAlign w:val="bottom"/>
          </w:tcPr>
          <w:p w14:paraId="63086167" w14:textId="77777777" w:rsidR="004C18AD" w:rsidRPr="000C156A" w:rsidRDefault="004C18AD" w:rsidP="00042C67">
            <w:pPr>
              <w:overflowPunct/>
              <w:autoSpaceDE/>
              <w:autoSpaceDN/>
              <w:adjustRightInd/>
              <w:spacing w:before="0"/>
              <w:textAlignment w:val="auto"/>
              <w:rPr>
                <w:rFonts w:cs="Calibri"/>
                <w:color w:val="000000"/>
                <w:sz w:val="20"/>
                <w:lang w:eastAsia="en-GB"/>
              </w:rPr>
            </w:pPr>
          </w:p>
        </w:tc>
        <w:tc>
          <w:tcPr>
            <w:tcW w:w="472" w:type="pct"/>
            <w:tcBorders>
              <w:top w:val="nil"/>
              <w:left w:val="nil"/>
              <w:bottom w:val="nil"/>
              <w:right w:val="single" w:sz="4" w:space="0" w:color="auto"/>
            </w:tcBorders>
            <w:shd w:val="clear" w:color="auto" w:fill="auto"/>
            <w:noWrap/>
            <w:vAlign w:val="bottom"/>
          </w:tcPr>
          <w:p w14:paraId="538D9072" w14:textId="77777777" w:rsidR="004C18AD" w:rsidRPr="000C156A" w:rsidRDefault="004C18AD" w:rsidP="00042C67">
            <w:pPr>
              <w:overflowPunct/>
              <w:autoSpaceDE/>
              <w:autoSpaceDN/>
              <w:adjustRightInd/>
              <w:spacing w:before="0"/>
              <w:textAlignment w:val="auto"/>
              <w:rPr>
                <w:rFonts w:cs="Calibri"/>
                <w:color w:val="000000"/>
                <w:sz w:val="20"/>
                <w:lang w:eastAsia="en-GB"/>
              </w:rPr>
            </w:pPr>
          </w:p>
        </w:tc>
      </w:tr>
      <w:tr w:rsidR="00483BE4" w:rsidRPr="000C156A" w14:paraId="534B6B79"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76B7F1D2" w14:textId="77777777" w:rsidR="004C18AD" w:rsidRPr="000C156A" w:rsidRDefault="004C18AD" w:rsidP="00042C67">
            <w:pPr>
              <w:overflowPunct/>
              <w:autoSpaceDE/>
              <w:autoSpaceDN/>
              <w:adjustRightInd/>
              <w:spacing w:before="0"/>
              <w:textAlignment w:val="auto"/>
              <w:rPr>
                <w:rFonts w:cs="Calibri"/>
                <w:sz w:val="20"/>
                <w:lang w:eastAsia="en-GB"/>
              </w:rPr>
            </w:pPr>
            <w:bookmarkStart w:id="1458" w:name="_Hlk40864527"/>
            <w:r w:rsidRPr="000C156A">
              <w:rPr>
                <w:sz w:val="20"/>
              </w:rPr>
              <w:t>尼加拉</w:t>
            </w:r>
            <w:r w:rsidRPr="000C156A">
              <w:rPr>
                <w:rFonts w:hint="eastAsia"/>
                <w:sz w:val="20"/>
              </w:rPr>
              <w:t>瓜</w:t>
            </w:r>
          </w:p>
        </w:tc>
        <w:tc>
          <w:tcPr>
            <w:tcW w:w="757" w:type="pct"/>
            <w:tcBorders>
              <w:top w:val="nil"/>
              <w:left w:val="single" w:sz="4" w:space="0" w:color="auto"/>
              <w:bottom w:val="nil"/>
              <w:right w:val="single" w:sz="4" w:space="0" w:color="auto"/>
            </w:tcBorders>
            <w:shd w:val="clear" w:color="auto" w:fill="auto"/>
            <w:noWrap/>
            <w:vAlign w:val="bottom"/>
            <w:hideMark/>
          </w:tcPr>
          <w:p w14:paraId="09C5068B"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w:t>
            </w:r>
            <w:r w:rsidRPr="000C156A">
              <w:rPr>
                <w:sz w:val="20"/>
                <w:lang w:eastAsia="zh-CN"/>
              </w:rPr>
              <w:t xml:space="preserve"> </w:t>
            </w:r>
            <w:r w:rsidRPr="000C156A">
              <w:rPr>
                <w:sz w:val="20"/>
              </w:rPr>
              <w:t>201</w:t>
            </w:r>
            <w:r w:rsidRPr="000C156A">
              <w:rPr>
                <w:rFonts w:hint="eastAsia"/>
                <w:sz w:val="20"/>
                <w:lang w:eastAsia="zh-CN"/>
              </w:rPr>
              <w:t>6</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hideMark/>
          </w:tcPr>
          <w:p w14:paraId="6698C2B5" w14:textId="77777777" w:rsidR="004C18AD" w:rsidRPr="000C156A" w:rsidRDefault="004C18AD" w:rsidP="00042C67">
            <w:pPr>
              <w:jc w:val="right"/>
              <w:rPr>
                <w:rFonts w:cs="Calibri"/>
                <w:sz w:val="20"/>
                <w:lang w:eastAsia="en-GB"/>
              </w:rPr>
            </w:pPr>
            <w:r w:rsidRPr="003A300A">
              <w:rPr>
                <w:rFonts w:cs="Calibri"/>
                <w:sz w:val="20"/>
                <w:lang w:val="en-US"/>
              </w:rPr>
              <w:t>1</w:t>
            </w:r>
            <w:r>
              <w:rPr>
                <w:rFonts w:cs="Calibri"/>
                <w:sz w:val="20"/>
                <w:lang w:val="en-US"/>
              </w:rPr>
              <w:t> </w:t>
            </w:r>
            <w:r w:rsidRPr="003A300A">
              <w:rPr>
                <w:rFonts w:cs="Calibri"/>
                <w:sz w:val="20"/>
                <w:lang w:val="en-US"/>
              </w:rPr>
              <w:t>462</w:t>
            </w:r>
            <w:r>
              <w:rPr>
                <w:rFonts w:cs="Calibri"/>
                <w:sz w:val="20"/>
                <w:lang w:val="en-US"/>
              </w:rPr>
              <w:t> </w:t>
            </w:r>
            <w:r w:rsidRPr="003A300A">
              <w:rPr>
                <w:rFonts w:cs="Calibri"/>
                <w:sz w:val="20"/>
                <w:lang w:val="en-US"/>
              </w:rPr>
              <w:t>488.98</w:t>
            </w:r>
          </w:p>
        </w:tc>
        <w:tc>
          <w:tcPr>
            <w:tcW w:w="795" w:type="pct"/>
            <w:tcBorders>
              <w:top w:val="nil"/>
              <w:left w:val="single" w:sz="4" w:space="0" w:color="auto"/>
              <w:bottom w:val="nil"/>
              <w:right w:val="single" w:sz="4" w:space="0" w:color="auto"/>
            </w:tcBorders>
            <w:shd w:val="clear" w:color="auto" w:fill="auto"/>
            <w:noWrap/>
            <w:vAlign w:val="bottom"/>
            <w:hideMark/>
          </w:tcPr>
          <w:p w14:paraId="0D728D26" w14:textId="77777777" w:rsidR="004C18AD" w:rsidRPr="000C156A" w:rsidRDefault="004C18AD" w:rsidP="00042C67">
            <w:pPr>
              <w:jc w:val="right"/>
              <w:rPr>
                <w:rFonts w:cs="Calibri"/>
                <w:sz w:val="20"/>
                <w:lang w:eastAsia="en-GB"/>
              </w:rPr>
            </w:pPr>
            <w:r w:rsidRPr="003A300A">
              <w:rPr>
                <w:rFonts w:cs="Calibri"/>
                <w:sz w:val="20"/>
                <w:lang w:val="en-US"/>
              </w:rPr>
              <w:t>1</w:t>
            </w:r>
            <w:r>
              <w:rPr>
                <w:rFonts w:cs="Calibri"/>
                <w:sz w:val="20"/>
                <w:lang w:val="en-US"/>
              </w:rPr>
              <w:t> </w:t>
            </w:r>
            <w:r w:rsidRPr="003A300A">
              <w:rPr>
                <w:rFonts w:cs="Calibri"/>
                <w:sz w:val="20"/>
                <w:lang w:val="en-US"/>
              </w:rPr>
              <w:t>956</w:t>
            </w:r>
            <w:r>
              <w:rPr>
                <w:rFonts w:cs="Calibri"/>
                <w:sz w:val="20"/>
                <w:lang w:val="en-US"/>
              </w:rPr>
              <w:t> </w:t>
            </w:r>
            <w:r w:rsidRPr="003A300A">
              <w:rPr>
                <w:rFonts w:cs="Calibri"/>
                <w:sz w:val="20"/>
                <w:lang w:val="en-US"/>
              </w:rPr>
              <w:t>832.48</w:t>
            </w:r>
          </w:p>
        </w:tc>
        <w:tc>
          <w:tcPr>
            <w:tcW w:w="409" w:type="pct"/>
            <w:tcBorders>
              <w:top w:val="nil"/>
              <w:left w:val="nil"/>
              <w:bottom w:val="nil"/>
              <w:right w:val="nil"/>
            </w:tcBorders>
            <w:shd w:val="clear" w:color="auto" w:fill="auto"/>
            <w:noWrap/>
            <w:vAlign w:val="bottom"/>
            <w:hideMark/>
          </w:tcPr>
          <w:p w14:paraId="7E9D93C9"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88" w:type="pct"/>
            <w:tcBorders>
              <w:top w:val="nil"/>
              <w:left w:val="single" w:sz="4" w:space="0" w:color="auto"/>
              <w:bottom w:val="nil"/>
              <w:right w:val="single" w:sz="4" w:space="0" w:color="auto"/>
            </w:tcBorders>
            <w:shd w:val="clear" w:color="auto" w:fill="auto"/>
            <w:noWrap/>
            <w:vAlign w:val="bottom"/>
            <w:hideMark/>
          </w:tcPr>
          <w:p w14:paraId="7E3B93EE" w14:textId="77777777" w:rsidR="004C18AD" w:rsidRPr="000C156A" w:rsidRDefault="004C18AD" w:rsidP="00042C67">
            <w:pPr>
              <w:jc w:val="right"/>
              <w:rPr>
                <w:rFonts w:cs="Calibri"/>
                <w:sz w:val="20"/>
                <w:lang w:eastAsia="en-GB"/>
              </w:rPr>
            </w:pPr>
            <w:r w:rsidRPr="003A300A">
              <w:rPr>
                <w:rFonts w:cs="Calibri"/>
                <w:sz w:val="20"/>
                <w:lang w:val="en-US"/>
              </w:rPr>
              <w:t>117</w:t>
            </w:r>
            <w:r>
              <w:rPr>
                <w:rFonts w:cs="Calibri"/>
                <w:sz w:val="20"/>
                <w:lang w:val="en-US"/>
              </w:rPr>
              <w:t> </w:t>
            </w:r>
            <w:r w:rsidRPr="003A300A">
              <w:rPr>
                <w:rFonts w:cs="Calibri"/>
                <w:sz w:val="20"/>
                <w:lang w:val="en-US"/>
              </w:rPr>
              <w:t>409.95</w:t>
            </w:r>
          </w:p>
        </w:tc>
        <w:tc>
          <w:tcPr>
            <w:tcW w:w="303" w:type="pct"/>
            <w:tcBorders>
              <w:top w:val="nil"/>
              <w:left w:val="nil"/>
              <w:bottom w:val="nil"/>
              <w:right w:val="single" w:sz="4" w:space="0" w:color="auto"/>
            </w:tcBorders>
            <w:shd w:val="clear" w:color="auto" w:fill="auto"/>
            <w:noWrap/>
            <w:vAlign w:val="bottom"/>
            <w:hideMark/>
          </w:tcPr>
          <w:p w14:paraId="4EA712DD"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hideMark/>
          </w:tcPr>
          <w:p w14:paraId="7A8B766F" w14:textId="77777777" w:rsidR="004C18AD" w:rsidRPr="000C156A" w:rsidRDefault="004C18AD" w:rsidP="00042C67">
            <w:pPr>
              <w:jc w:val="right"/>
              <w:rPr>
                <w:rFonts w:cs="Calibri"/>
                <w:sz w:val="20"/>
                <w:lang w:eastAsia="en-GB"/>
              </w:rPr>
            </w:pPr>
            <w:r w:rsidRPr="003A300A">
              <w:rPr>
                <w:rFonts w:cs="Calibri"/>
                <w:sz w:val="20"/>
                <w:lang w:val="en-US"/>
              </w:rPr>
              <w:t>2</w:t>
            </w:r>
            <w:r>
              <w:rPr>
                <w:rFonts w:cs="Calibri"/>
                <w:sz w:val="20"/>
                <w:lang w:val="en-US"/>
              </w:rPr>
              <w:t> </w:t>
            </w:r>
            <w:r w:rsidRPr="003A300A">
              <w:rPr>
                <w:rFonts w:cs="Calibri"/>
                <w:sz w:val="20"/>
                <w:lang w:val="en-US"/>
              </w:rPr>
              <w:t>074</w:t>
            </w:r>
            <w:r>
              <w:rPr>
                <w:rFonts w:cs="Calibri"/>
                <w:sz w:val="20"/>
                <w:lang w:val="en-US"/>
              </w:rPr>
              <w:t> </w:t>
            </w:r>
            <w:r w:rsidRPr="003A300A">
              <w:rPr>
                <w:rFonts w:cs="Calibri"/>
                <w:sz w:val="20"/>
                <w:lang w:val="en-US"/>
              </w:rPr>
              <w:t>242.43</w:t>
            </w:r>
          </w:p>
        </w:tc>
      </w:tr>
      <w:tr w:rsidR="00483BE4" w:rsidRPr="000C156A" w14:paraId="4BD6B2E0"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0F66D135"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sz w:val="20"/>
              </w:rPr>
              <w:t>赤道几内亚</w:t>
            </w:r>
          </w:p>
        </w:tc>
        <w:tc>
          <w:tcPr>
            <w:tcW w:w="757" w:type="pct"/>
            <w:tcBorders>
              <w:top w:val="nil"/>
              <w:left w:val="single" w:sz="4" w:space="0" w:color="auto"/>
              <w:bottom w:val="nil"/>
              <w:right w:val="single" w:sz="4" w:space="0" w:color="auto"/>
            </w:tcBorders>
            <w:shd w:val="clear" w:color="auto" w:fill="auto"/>
            <w:noWrap/>
            <w:vAlign w:val="bottom"/>
            <w:hideMark/>
          </w:tcPr>
          <w:p w14:paraId="7674A655"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w:t>
            </w:r>
            <w:r w:rsidRPr="000C156A">
              <w:rPr>
                <w:sz w:val="20"/>
                <w:lang w:eastAsia="zh-CN"/>
              </w:rPr>
              <w:t xml:space="preserve"> </w:t>
            </w:r>
            <w:r w:rsidRPr="000C156A">
              <w:rPr>
                <w:sz w:val="20"/>
              </w:rPr>
              <w:t>201</w:t>
            </w:r>
            <w:r w:rsidRPr="000C156A">
              <w:rPr>
                <w:rFonts w:hint="eastAsia"/>
                <w:sz w:val="20"/>
                <w:lang w:eastAsia="zh-CN"/>
              </w:rPr>
              <w:t>8</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hideMark/>
          </w:tcPr>
          <w:p w14:paraId="741E010A" w14:textId="77777777" w:rsidR="004C18AD" w:rsidRPr="000C156A" w:rsidRDefault="004C18AD" w:rsidP="00042C67">
            <w:pPr>
              <w:jc w:val="right"/>
              <w:rPr>
                <w:rFonts w:cs="Calibri"/>
                <w:sz w:val="20"/>
                <w:lang w:eastAsia="en-GB"/>
              </w:rPr>
            </w:pPr>
            <w:r w:rsidRPr="003A300A">
              <w:rPr>
                <w:rFonts w:cs="Calibri"/>
                <w:sz w:val="20"/>
                <w:lang w:val="en-US"/>
              </w:rPr>
              <w:t>118</w:t>
            </w:r>
            <w:r>
              <w:rPr>
                <w:rFonts w:cs="Calibri"/>
                <w:sz w:val="20"/>
                <w:lang w:val="en-US"/>
              </w:rPr>
              <w:t> </w:t>
            </w:r>
            <w:r w:rsidRPr="003A300A">
              <w:rPr>
                <w:rFonts w:cs="Calibri"/>
                <w:sz w:val="20"/>
                <w:lang w:val="en-US"/>
              </w:rPr>
              <w:t>043.75</w:t>
            </w:r>
          </w:p>
        </w:tc>
        <w:tc>
          <w:tcPr>
            <w:tcW w:w="795" w:type="pct"/>
            <w:tcBorders>
              <w:top w:val="nil"/>
              <w:left w:val="single" w:sz="4" w:space="0" w:color="auto"/>
              <w:bottom w:val="nil"/>
              <w:right w:val="single" w:sz="4" w:space="0" w:color="auto"/>
            </w:tcBorders>
            <w:shd w:val="clear" w:color="auto" w:fill="auto"/>
            <w:noWrap/>
            <w:vAlign w:val="bottom"/>
            <w:hideMark/>
          </w:tcPr>
          <w:p w14:paraId="3E1AC7B5" w14:textId="77777777" w:rsidR="004C18AD" w:rsidRPr="000C156A" w:rsidRDefault="004C18AD" w:rsidP="00042C67">
            <w:pPr>
              <w:jc w:val="right"/>
              <w:rPr>
                <w:rFonts w:cs="Calibri"/>
                <w:sz w:val="20"/>
                <w:lang w:eastAsia="en-GB"/>
              </w:rPr>
            </w:pPr>
            <w:r w:rsidRPr="003A300A">
              <w:rPr>
                <w:rFonts w:cs="Calibri"/>
                <w:sz w:val="20"/>
                <w:lang w:val="en-US"/>
              </w:rPr>
              <w:t>132</w:t>
            </w:r>
            <w:r>
              <w:rPr>
                <w:rFonts w:cs="Calibri"/>
                <w:sz w:val="20"/>
                <w:lang w:val="en-US"/>
              </w:rPr>
              <w:t> </w:t>
            </w:r>
            <w:r w:rsidRPr="003A300A">
              <w:rPr>
                <w:rFonts w:cs="Calibri"/>
                <w:sz w:val="20"/>
                <w:lang w:val="en-US"/>
              </w:rPr>
              <w:t>634.00</w:t>
            </w:r>
          </w:p>
        </w:tc>
        <w:tc>
          <w:tcPr>
            <w:tcW w:w="409" w:type="pct"/>
            <w:tcBorders>
              <w:top w:val="nil"/>
              <w:left w:val="nil"/>
              <w:bottom w:val="nil"/>
              <w:right w:val="nil"/>
            </w:tcBorders>
            <w:shd w:val="clear" w:color="auto" w:fill="auto"/>
            <w:noWrap/>
            <w:vAlign w:val="bottom"/>
            <w:hideMark/>
          </w:tcPr>
          <w:p w14:paraId="246C33F6"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88" w:type="pct"/>
            <w:tcBorders>
              <w:top w:val="nil"/>
              <w:left w:val="single" w:sz="4" w:space="0" w:color="auto"/>
              <w:bottom w:val="nil"/>
              <w:right w:val="single" w:sz="4" w:space="0" w:color="auto"/>
            </w:tcBorders>
            <w:shd w:val="clear" w:color="auto" w:fill="auto"/>
            <w:noWrap/>
            <w:vAlign w:val="bottom"/>
            <w:hideMark/>
          </w:tcPr>
          <w:p w14:paraId="66122999" w14:textId="77777777" w:rsidR="004C18AD" w:rsidRPr="000C156A" w:rsidRDefault="004C18AD" w:rsidP="00042C67">
            <w:pPr>
              <w:jc w:val="right"/>
              <w:rPr>
                <w:rFonts w:cs="Calibri"/>
                <w:sz w:val="20"/>
                <w:lang w:eastAsia="en-GB"/>
              </w:rPr>
            </w:pPr>
            <w:r w:rsidRPr="003A300A">
              <w:rPr>
                <w:rFonts w:cs="Calibri"/>
                <w:sz w:val="20"/>
                <w:lang w:val="en-US"/>
              </w:rPr>
              <w:t>7</w:t>
            </w:r>
            <w:r>
              <w:rPr>
                <w:rFonts w:cs="Calibri"/>
                <w:sz w:val="20"/>
                <w:lang w:val="en-US"/>
              </w:rPr>
              <w:t> </w:t>
            </w:r>
            <w:r w:rsidRPr="003A300A">
              <w:rPr>
                <w:rFonts w:cs="Calibri"/>
                <w:sz w:val="20"/>
                <w:lang w:val="en-US"/>
              </w:rPr>
              <w:t>958.05</w:t>
            </w:r>
          </w:p>
        </w:tc>
        <w:tc>
          <w:tcPr>
            <w:tcW w:w="303" w:type="pct"/>
            <w:tcBorders>
              <w:top w:val="nil"/>
              <w:left w:val="nil"/>
              <w:bottom w:val="nil"/>
              <w:right w:val="single" w:sz="4" w:space="0" w:color="auto"/>
            </w:tcBorders>
            <w:shd w:val="clear" w:color="auto" w:fill="auto"/>
            <w:noWrap/>
            <w:vAlign w:val="bottom"/>
            <w:hideMark/>
          </w:tcPr>
          <w:p w14:paraId="61D2CC7D"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hideMark/>
          </w:tcPr>
          <w:p w14:paraId="6EFBC58D" w14:textId="77777777" w:rsidR="004C18AD" w:rsidRPr="000C156A" w:rsidRDefault="004C18AD" w:rsidP="00042C67">
            <w:pPr>
              <w:jc w:val="right"/>
              <w:rPr>
                <w:rFonts w:cs="Calibri"/>
                <w:sz w:val="20"/>
                <w:lang w:eastAsia="en-GB"/>
              </w:rPr>
            </w:pPr>
            <w:r w:rsidRPr="003A300A">
              <w:rPr>
                <w:rFonts w:cs="Calibri"/>
                <w:sz w:val="20"/>
                <w:lang w:val="en-US"/>
              </w:rPr>
              <w:t>140</w:t>
            </w:r>
            <w:r>
              <w:rPr>
                <w:rFonts w:cs="Calibri"/>
                <w:sz w:val="20"/>
                <w:lang w:val="en-US"/>
              </w:rPr>
              <w:t> </w:t>
            </w:r>
            <w:r w:rsidRPr="003A300A">
              <w:rPr>
                <w:rFonts w:cs="Calibri"/>
                <w:sz w:val="20"/>
                <w:lang w:val="en-US"/>
              </w:rPr>
              <w:t>592.05</w:t>
            </w:r>
          </w:p>
        </w:tc>
      </w:tr>
      <w:tr w:rsidR="00483BE4" w:rsidRPr="000C156A" w14:paraId="60D6DC8C"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06991093"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sz w:val="20"/>
              </w:rPr>
              <w:t>科摩罗</w:t>
            </w:r>
          </w:p>
        </w:tc>
        <w:tc>
          <w:tcPr>
            <w:tcW w:w="757" w:type="pct"/>
            <w:tcBorders>
              <w:top w:val="nil"/>
              <w:left w:val="single" w:sz="4" w:space="0" w:color="auto"/>
              <w:bottom w:val="nil"/>
              <w:right w:val="single" w:sz="4" w:space="0" w:color="auto"/>
            </w:tcBorders>
            <w:shd w:val="clear" w:color="auto" w:fill="auto"/>
            <w:noWrap/>
            <w:vAlign w:val="bottom"/>
            <w:hideMark/>
          </w:tcPr>
          <w:p w14:paraId="391D78AC"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 201</w:t>
            </w:r>
            <w:r w:rsidRPr="000C156A">
              <w:rPr>
                <w:rFonts w:hint="eastAsia"/>
                <w:sz w:val="20"/>
                <w:lang w:eastAsia="zh-CN"/>
              </w:rPr>
              <w:t>9</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hideMark/>
          </w:tcPr>
          <w:p w14:paraId="3AAB2AD6" w14:textId="77777777" w:rsidR="004C18AD" w:rsidRPr="000C156A" w:rsidRDefault="004C18AD" w:rsidP="00042C67">
            <w:pPr>
              <w:jc w:val="right"/>
              <w:rPr>
                <w:rFonts w:cs="Calibri"/>
                <w:sz w:val="20"/>
                <w:lang w:eastAsia="en-GB"/>
              </w:rPr>
            </w:pPr>
            <w:r w:rsidRPr="003A300A">
              <w:rPr>
                <w:rFonts w:cs="Calibri"/>
                <w:sz w:val="20"/>
                <w:lang w:val="en-US"/>
              </w:rPr>
              <w:t>210</w:t>
            </w:r>
            <w:r>
              <w:rPr>
                <w:rFonts w:cs="Calibri"/>
                <w:sz w:val="20"/>
                <w:lang w:val="en-US"/>
              </w:rPr>
              <w:t> </w:t>
            </w:r>
            <w:r w:rsidRPr="003A300A">
              <w:rPr>
                <w:rFonts w:cs="Calibri"/>
                <w:sz w:val="20"/>
                <w:lang w:val="en-US"/>
              </w:rPr>
              <w:t>094.66</w:t>
            </w:r>
          </w:p>
        </w:tc>
        <w:tc>
          <w:tcPr>
            <w:tcW w:w="795" w:type="pct"/>
            <w:tcBorders>
              <w:top w:val="nil"/>
              <w:left w:val="single" w:sz="4" w:space="0" w:color="auto"/>
              <w:bottom w:val="nil"/>
              <w:right w:val="single" w:sz="4" w:space="0" w:color="auto"/>
            </w:tcBorders>
            <w:shd w:val="clear" w:color="auto" w:fill="auto"/>
            <w:noWrap/>
            <w:vAlign w:val="bottom"/>
            <w:hideMark/>
          </w:tcPr>
          <w:p w14:paraId="5397311A" w14:textId="77777777" w:rsidR="004C18AD" w:rsidRPr="000C156A" w:rsidRDefault="004C18AD" w:rsidP="00042C67">
            <w:pPr>
              <w:jc w:val="right"/>
              <w:rPr>
                <w:rFonts w:cs="Calibri"/>
                <w:sz w:val="20"/>
                <w:lang w:eastAsia="en-GB"/>
              </w:rPr>
            </w:pPr>
            <w:r w:rsidRPr="003A300A">
              <w:rPr>
                <w:rFonts w:cs="Calibri"/>
                <w:sz w:val="20"/>
                <w:lang w:val="en-US"/>
              </w:rPr>
              <w:t>222</w:t>
            </w:r>
            <w:r>
              <w:rPr>
                <w:rFonts w:cs="Calibri"/>
                <w:sz w:val="20"/>
                <w:lang w:val="en-US"/>
              </w:rPr>
              <w:t> </w:t>
            </w:r>
            <w:r w:rsidRPr="003A300A">
              <w:rPr>
                <w:rFonts w:cs="Calibri"/>
                <w:sz w:val="20"/>
                <w:lang w:val="en-US"/>
              </w:rPr>
              <w:t>700.36</w:t>
            </w:r>
          </w:p>
        </w:tc>
        <w:tc>
          <w:tcPr>
            <w:tcW w:w="409" w:type="pct"/>
            <w:tcBorders>
              <w:top w:val="nil"/>
              <w:left w:val="nil"/>
              <w:bottom w:val="nil"/>
              <w:right w:val="nil"/>
            </w:tcBorders>
            <w:shd w:val="clear" w:color="auto" w:fill="auto"/>
            <w:noWrap/>
            <w:vAlign w:val="bottom"/>
            <w:hideMark/>
          </w:tcPr>
          <w:p w14:paraId="6A4398B8"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88" w:type="pct"/>
            <w:tcBorders>
              <w:top w:val="nil"/>
              <w:left w:val="single" w:sz="4" w:space="0" w:color="auto"/>
              <w:bottom w:val="nil"/>
              <w:right w:val="single" w:sz="4" w:space="0" w:color="auto"/>
            </w:tcBorders>
            <w:shd w:val="clear" w:color="auto" w:fill="auto"/>
            <w:noWrap/>
            <w:vAlign w:val="bottom"/>
            <w:hideMark/>
          </w:tcPr>
          <w:p w14:paraId="3E46C8B9" w14:textId="77777777" w:rsidR="004C18AD" w:rsidRPr="000C156A" w:rsidRDefault="004C18AD" w:rsidP="00042C67">
            <w:pPr>
              <w:jc w:val="right"/>
              <w:rPr>
                <w:rFonts w:cs="Calibri"/>
                <w:sz w:val="20"/>
                <w:lang w:eastAsia="en-GB"/>
              </w:rPr>
            </w:pPr>
            <w:r w:rsidRPr="003A300A">
              <w:rPr>
                <w:rFonts w:cs="Calibri"/>
                <w:sz w:val="20"/>
                <w:lang w:val="en-US"/>
              </w:rPr>
              <w:t>13</w:t>
            </w:r>
            <w:r>
              <w:rPr>
                <w:rFonts w:cs="Calibri"/>
                <w:sz w:val="20"/>
                <w:lang w:val="en-US"/>
              </w:rPr>
              <w:t> </w:t>
            </w:r>
            <w:r w:rsidRPr="003A300A">
              <w:rPr>
                <w:rFonts w:cs="Calibri"/>
                <w:sz w:val="20"/>
                <w:lang w:val="en-US"/>
              </w:rPr>
              <w:t>362.00</w:t>
            </w:r>
          </w:p>
        </w:tc>
        <w:tc>
          <w:tcPr>
            <w:tcW w:w="303" w:type="pct"/>
            <w:tcBorders>
              <w:top w:val="nil"/>
              <w:left w:val="nil"/>
              <w:bottom w:val="nil"/>
              <w:right w:val="single" w:sz="4" w:space="0" w:color="auto"/>
            </w:tcBorders>
            <w:shd w:val="clear" w:color="auto" w:fill="auto"/>
            <w:noWrap/>
            <w:vAlign w:val="bottom"/>
            <w:hideMark/>
          </w:tcPr>
          <w:p w14:paraId="3C8F410A"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hideMark/>
          </w:tcPr>
          <w:p w14:paraId="5EBF02AF" w14:textId="77777777" w:rsidR="004C18AD" w:rsidRPr="000C156A" w:rsidRDefault="004C18AD" w:rsidP="00042C67">
            <w:pPr>
              <w:jc w:val="right"/>
              <w:rPr>
                <w:rFonts w:cs="Calibri"/>
                <w:sz w:val="20"/>
                <w:lang w:eastAsia="en-GB"/>
              </w:rPr>
            </w:pPr>
            <w:r w:rsidRPr="003A300A">
              <w:rPr>
                <w:rFonts w:cs="Calibri"/>
                <w:sz w:val="20"/>
                <w:lang w:val="en-US"/>
              </w:rPr>
              <w:t>236</w:t>
            </w:r>
            <w:r>
              <w:rPr>
                <w:rFonts w:cs="Calibri"/>
                <w:sz w:val="20"/>
                <w:lang w:val="en-US"/>
              </w:rPr>
              <w:t> </w:t>
            </w:r>
            <w:r w:rsidRPr="003A300A">
              <w:rPr>
                <w:rFonts w:cs="Calibri"/>
                <w:sz w:val="20"/>
                <w:lang w:val="en-US"/>
              </w:rPr>
              <w:t>062.36</w:t>
            </w:r>
          </w:p>
        </w:tc>
      </w:tr>
      <w:tr w:rsidR="00483BE4" w:rsidRPr="000C156A" w14:paraId="5018A0C8"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2DD7D30F"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sz w:val="20"/>
              </w:rPr>
              <w:t>冈比亚</w:t>
            </w:r>
          </w:p>
        </w:tc>
        <w:tc>
          <w:tcPr>
            <w:tcW w:w="757" w:type="pct"/>
            <w:tcBorders>
              <w:top w:val="nil"/>
              <w:left w:val="single" w:sz="4" w:space="0" w:color="auto"/>
              <w:bottom w:val="nil"/>
              <w:right w:val="single" w:sz="4" w:space="0" w:color="auto"/>
            </w:tcBorders>
            <w:shd w:val="clear" w:color="auto" w:fill="auto"/>
            <w:noWrap/>
            <w:vAlign w:val="bottom"/>
            <w:hideMark/>
          </w:tcPr>
          <w:p w14:paraId="4BC8A504"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rPr>
              <w:t>–</w:t>
            </w:r>
            <w:r w:rsidRPr="000C156A">
              <w:rPr>
                <w:sz w:val="20"/>
                <w:lang w:eastAsia="zh-CN"/>
              </w:rPr>
              <w:t xml:space="preserve"> </w:t>
            </w:r>
            <w:r w:rsidRPr="000C156A">
              <w:rPr>
                <w:sz w:val="20"/>
              </w:rPr>
              <w:t>201</w:t>
            </w:r>
            <w:r w:rsidRPr="000C156A">
              <w:rPr>
                <w:rFonts w:hint="eastAsia"/>
                <w:sz w:val="20"/>
                <w:lang w:eastAsia="zh-CN"/>
              </w:rPr>
              <w:t>9</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hideMark/>
          </w:tcPr>
          <w:p w14:paraId="6B6F57A0" w14:textId="77777777" w:rsidR="004C18AD" w:rsidRPr="000C156A" w:rsidRDefault="004C18AD" w:rsidP="00042C67">
            <w:pPr>
              <w:jc w:val="right"/>
              <w:rPr>
                <w:rFonts w:cs="Calibri"/>
                <w:sz w:val="20"/>
                <w:lang w:eastAsia="en-GB"/>
              </w:rPr>
            </w:pPr>
            <w:r w:rsidRPr="003A300A">
              <w:rPr>
                <w:rFonts w:cs="Calibri"/>
                <w:sz w:val="20"/>
                <w:lang w:val="en-US"/>
              </w:rPr>
              <w:t>255</w:t>
            </w:r>
            <w:r>
              <w:rPr>
                <w:rFonts w:cs="Calibri"/>
                <w:sz w:val="20"/>
                <w:lang w:val="en-US"/>
              </w:rPr>
              <w:t> </w:t>
            </w:r>
            <w:r w:rsidRPr="003A300A">
              <w:rPr>
                <w:rFonts w:cs="Calibri"/>
                <w:sz w:val="20"/>
                <w:lang w:val="en-US"/>
              </w:rPr>
              <w:t>414.83</w:t>
            </w:r>
          </w:p>
        </w:tc>
        <w:tc>
          <w:tcPr>
            <w:tcW w:w="795" w:type="pct"/>
            <w:tcBorders>
              <w:top w:val="nil"/>
              <w:left w:val="single" w:sz="4" w:space="0" w:color="auto"/>
              <w:bottom w:val="nil"/>
              <w:right w:val="single" w:sz="4" w:space="0" w:color="auto"/>
            </w:tcBorders>
            <w:shd w:val="clear" w:color="auto" w:fill="auto"/>
            <w:noWrap/>
            <w:vAlign w:val="bottom"/>
            <w:hideMark/>
          </w:tcPr>
          <w:p w14:paraId="298198C7" w14:textId="77777777" w:rsidR="004C18AD" w:rsidRPr="000C156A" w:rsidRDefault="004C18AD" w:rsidP="00042C67">
            <w:pPr>
              <w:jc w:val="right"/>
              <w:rPr>
                <w:rFonts w:cs="Calibri"/>
                <w:sz w:val="20"/>
                <w:lang w:eastAsia="en-GB"/>
              </w:rPr>
            </w:pPr>
            <w:r w:rsidRPr="003A300A">
              <w:rPr>
                <w:rFonts w:cs="Calibri"/>
                <w:sz w:val="20"/>
                <w:lang w:val="en-US"/>
              </w:rPr>
              <w:t>270</w:t>
            </w:r>
            <w:r>
              <w:rPr>
                <w:rFonts w:cs="Calibri"/>
                <w:sz w:val="20"/>
                <w:lang w:val="en-US"/>
              </w:rPr>
              <w:t> </w:t>
            </w:r>
            <w:r w:rsidRPr="003A300A">
              <w:rPr>
                <w:rFonts w:cs="Calibri"/>
                <w:sz w:val="20"/>
                <w:lang w:val="en-US"/>
              </w:rPr>
              <w:t>739.73</w:t>
            </w:r>
          </w:p>
        </w:tc>
        <w:tc>
          <w:tcPr>
            <w:tcW w:w="409" w:type="pct"/>
            <w:tcBorders>
              <w:top w:val="nil"/>
              <w:left w:val="nil"/>
              <w:bottom w:val="nil"/>
              <w:right w:val="nil"/>
            </w:tcBorders>
            <w:shd w:val="clear" w:color="auto" w:fill="auto"/>
            <w:noWrap/>
            <w:vAlign w:val="bottom"/>
            <w:hideMark/>
          </w:tcPr>
          <w:p w14:paraId="6BCEC350"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88" w:type="pct"/>
            <w:tcBorders>
              <w:top w:val="nil"/>
              <w:left w:val="single" w:sz="4" w:space="0" w:color="auto"/>
              <w:bottom w:val="nil"/>
              <w:right w:val="single" w:sz="4" w:space="0" w:color="auto"/>
            </w:tcBorders>
            <w:shd w:val="clear" w:color="auto" w:fill="auto"/>
            <w:noWrap/>
            <w:vAlign w:val="bottom"/>
            <w:hideMark/>
          </w:tcPr>
          <w:p w14:paraId="7627B6AA" w14:textId="77777777" w:rsidR="004C18AD" w:rsidRPr="000C156A" w:rsidRDefault="004C18AD" w:rsidP="00042C67">
            <w:pPr>
              <w:jc w:val="right"/>
              <w:rPr>
                <w:rFonts w:cs="Calibri"/>
                <w:sz w:val="20"/>
                <w:lang w:eastAsia="en-GB"/>
              </w:rPr>
            </w:pPr>
            <w:r w:rsidRPr="003A300A">
              <w:rPr>
                <w:rFonts w:cs="Calibri"/>
                <w:sz w:val="20"/>
                <w:lang w:val="en-US"/>
              </w:rPr>
              <w:t>16</w:t>
            </w:r>
            <w:r>
              <w:rPr>
                <w:rFonts w:cs="Calibri"/>
                <w:sz w:val="20"/>
                <w:lang w:val="en-US"/>
              </w:rPr>
              <w:t> </w:t>
            </w:r>
            <w:r w:rsidRPr="003A300A">
              <w:rPr>
                <w:rFonts w:cs="Calibri"/>
                <w:sz w:val="20"/>
                <w:lang w:val="en-US"/>
              </w:rPr>
              <w:t>244.40</w:t>
            </w:r>
          </w:p>
        </w:tc>
        <w:tc>
          <w:tcPr>
            <w:tcW w:w="303" w:type="pct"/>
            <w:tcBorders>
              <w:top w:val="nil"/>
              <w:left w:val="nil"/>
              <w:bottom w:val="nil"/>
              <w:right w:val="single" w:sz="4" w:space="0" w:color="auto"/>
            </w:tcBorders>
            <w:shd w:val="clear" w:color="auto" w:fill="auto"/>
            <w:noWrap/>
            <w:vAlign w:val="bottom"/>
            <w:hideMark/>
          </w:tcPr>
          <w:p w14:paraId="6C979975"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hideMark/>
          </w:tcPr>
          <w:p w14:paraId="0EE70788" w14:textId="77777777" w:rsidR="004C18AD" w:rsidRPr="000C156A" w:rsidRDefault="004C18AD" w:rsidP="00042C67">
            <w:pPr>
              <w:jc w:val="right"/>
              <w:rPr>
                <w:rFonts w:cs="Calibri"/>
                <w:sz w:val="20"/>
                <w:lang w:eastAsia="en-GB"/>
              </w:rPr>
            </w:pPr>
            <w:r w:rsidRPr="003A300A">
              <w:rPr>
                <w:rFonts w:cs="Calibri"/>
                <w:sz w:val="20"/>
                <w:lang w:val="en-US"/>
              </w:rPr>
              <w:t>286</w:t>
            </w:r>
            <w:r>
              <w:rPr>
                <w:rFonts w:cs="Calibri"/>
                <w:sz w:val="20"/>
                <w:lang w:val="en-US"/>
              </w:rPr>
              <w:t> </w:t>
            </w:r>
            <w:r w:rsidRPr="003A300A">
              <w:rPr>
                <w:rFonts w:cs="Calibri"/>
                <w:sz w:val="20"/>
                <w:lang w:val="en-US"/>
              </w:rPr>
              <w:t>984.13</w:t>
            </w:r>
          </w:p>
        </w:tc>
      </w:tr>
      <w:tr w:rsidR="00483BE4" w:rsidRPr="000C156A" w14:paraId="31962BBC"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5BDCF138"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sz w:val="20"/>
              </w:rPr>
              <w:t>几内亚比绍</w:t>
            </w:r>
          </w:p>
        </w:tc>
        <w:tc>
          <w:tcPr>
            <w:tcW w:w="757" w:type="pct"/>
            <w:tcBorders>
              <w:top w:val="nil"/>
              <w:left w:val="single" w:sz="4" w:space="0" w:color="auto"/>
              <w:bottom w:val="nil"/>
              <w:right w:val="single" w:sz="4" w:space="0" w:color="auto"/>
            </w:tcBorders>
            <w:shd w:val="clear" w:color="auto" w:fill="auto"/>
            <w:noWrap/>
            <w:vAlign w:val="bottom"/>
            <w:hideMark/>
          </w:tcPr>
          <w:p w14:paraId="461EE602"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sidRPr="000C156A">
              <w:rPr>
                <w:sz w:val="20"/>
              </w:rPr>
              <w:t>201</w:t>
            </w:r>
            <w:r w:rsidRPr="000C156A">
              <w:rPr>
                <w:rFonts w:hint="eastAsia"/>
                <w:sz w:val="20"/>
                <w:lang w:eastAsia="zh-CN"/>
              </w:rPr>
              <w:t>9</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hideMark/>
          </w:tcPr>
          <w:p w14:paraId="2A6AAD73" w14:textId="77777777" w:rsidR="004C18AD" w:rsidRPr="000C156A" w:rsidRDefault="004C18AD" w:rsidP="00042C67">
            <w:pPr>
              <w:jc w:val="right"/>
              <w:rPr>
                <w:rFonts w:cs="Calibri"/>
                <w:sz w:val="20"/>
                <w:lang w:eastAsia="en-GB"/>
              </w:rPr>
            </w:pPr>
            <w:r w:rsidRPr="003A300A">
              <w:rPr>
                <w:rFonts w:cs="Calibri"/>
                <w:sz w:val="20"/>
                <w:lang w:val="en-US"/>
              </w:rPr>
              <w:t>4</w:t>
            </w:r>
            <w:r>
              <w:rPr>
                <w:rFonts w:cs="Calibri"/>
                <w:sz w:val="20"/>
                <w:lang w:val="en-US"/>
              </w:rPr>
              <w:t> </w:t>
            </w:r>
            <w:r w:rsidRPr="003A300A">
              <w:rPr>
                <w:rFonts w:cs="Calibri"/>
                <w:sz w:val="20"/>
                <w:lang w:val="en-US"/>
              </w:rPr>
              <w:t>416</w:t>
            </w:r>
            <w:r>
              <w:rPr>
                <w:rFonts w:cs="Calibri"/>
                <w:sz w:val="20"/>
                <w:lang w:val="en-US"/>
              </w:rPr>
              <w:t> </w:t>
            </w:r>
            <w:r w:rsidRPr="003A300A">
              <w:rPr>
                <w:rFonts w:cs="Calibri"/>
                <w:sz w:val="20"/>
                <w:lang w:val="en-US"/>
              </w:rPr>
              <w:t>613.50</w:t>
            </w:r>
          </w:p>
        </w:tc>
        <w:tc>
          <w:tcPr>
            <w:tcW w:w="795" w:type="pct"/>
            <w:tcBorders>
              <w:top w:val="nil"/>
              <w:left w:val="single" w:sz="4" w:space="0" w:color="auto"/>
              <w:bottom w:val="nil"/>
              <w:right w:val="single" w:sz="4" w:space="0" w:color="auto"/>
            </w:tcBorders>
            <w:shd w:val="clear" w:color="auto" w:fill="auto"/>
            <w:noWrap/>
            <w:vAlign w:val="bottom"/>
            <w:hideMark/>
          </w:tcPr>
          <w:p w14:paraId="598CDCA2" w14:textId="77777777" w:rsidR="004C18AD" w:rsidRPr="000C156A" w:rsidRDefault="004C18AD" w:rsidP="00042C67">
            <w:pPr>
              <w:jc w:val="right"/>
              <w:rPr>
                <w:rFonts w:cs="Calibri"/>
                <w:sz w:val="20"/>
                <w:lang w:eastAsia="en-GB"/>
              </w:rPr>
            </w:pPr>
            <w:r w:rsidRPr="003A300A">
              <w:rPr>
                <w:rFonts w:cs="Calibri"/>
                <w:sz w:val="20"/>
                <w:lang w:val="en-US"/>
              </w:rPr>
              <w:t>4</w:t>
            </w:r>
            <w:r>
              <w:rPr>
                <w:rFonts w:cs="Calibri"/>
                <w:sz w:val="20"/>
                <w:lang w:val="en-US"/>
              </w:rPr>
              <w:t> </w:t>
            </w:r>
            <w:r w:rsidRPr="003A300A">
              <w:rPr>
                <w:rFonts w:cs="Calibri"/>
                <w:sz w:val="20"/>
                <w:lang w:val="en-US"/>
              </w:rPr>
              <w:t>681</w:t>
            </w:r>
            <w:r>
              <w:rPr>
                <w:rFonts w:cs="Calibri"/>
                <w:sz w:val="20"/>
                <w:lang w:val="en-US"/>
              </w:rPr>
              <w:t> </w:t>
            </w:r>
            <w:r w:rsidRPr="003A300A">
              <w:rPr>
                <w:rFonts w:cs="Calibri"/>
                <w:sz w:val="20"/>
                <w:lang w:val="en-US"/>
              </w:rPr>
              <w:t>610.30</w:t>
            </w:r>
          </w:p>
        </w:tc>
        <w:tc>
          <w:tcPr>
            <w:tcW w:w="409" w:type="pct"/>
            <w:tcBorders>
              <w:top w:val="nil"/>
              <w:left w:val="nil"/>
              <w:bottom w:val="nil"/>
              <w:right w:val="nil"/>
            </w:tcBorders>
            <w:shd w:val="clear" w:color="auto" w:fill="auto"/>
            <w:noWrap/>
            <w:vAlign w:val="bottom"/>
            <w:hideMark/>
          </w:tcPr>
          <w:p w14:paraId="0BF9141D"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88" w:type="pct"/>
            <w:tcBorders>
              <w:top w:val="nil"/>
              <w:left w:val="single" w:sz="4" w:space="0" w:color="auto"/>
              <w:bottom w:val="nil"/>
              <w:right w:val="single" w:sz="4" w:space="0" w:color="auto"/>
            </w:tcBorders>
            <w:shd w:val="clear" w:color="auto" w:fill="auto"/>
            <w:noWrap/>
            <w:vAlign w:val="bottom"/>
            <w:hideMark/>
          </w:tcPr>
          <w:p w14:paraId="6D85472B" w14:textId="77777777" w:rsidR="004C18AD" w:rsidRPr="000C156A" w:rsidRDefault="004C18AD" w:rsidP="00042C67">
            <w:pPr>
              <w:jc w:val="right"/>
              <w:rPr>
                <w:rFonts w:cs="Calibri"/>
                <w:sz w:val="20"/>
                <w:lang w:eastAsia="en-GB"/>
              </w:rPr>
            </w:pPr>
            <w:r w:rsidRPr="003A300A">
              <w:rPr>
                <w:rFonts w:cs="Calibri"/>
                <w:sz w:val="20"/>
                <w:lang w:val="en-US"/>
              </w:rPr>
              <w:t>280</w:t>
            </w:r>
            <w:r>
              <w:rPr>
                <w:rFonts w:cs="Calibri"/>
                <w:sz w:val="20"/>
                <w:lang w:val="en-US"/>
              </w:rPr>
              <w:t> </w:t>
            </w:r>
            <w:r w:rsidRPr="003A300A">
              <w:rPr>
                <w:rFonts w:cs="Calibri"/>
                <w:sz w:val="20"/>
                <w:lang w:val="en-US"/>
              </w:rPr>
              <w:t>896.60</w:t>
            </w:r>
          </w:p>
        </w:tc>
        <w:tc>
          <w:tcPr>
            <w:tcW w:w="303" w:type="pct"/>
            <w:tcBorders>
              <w:top w:val="nil"/>
              <w:left w:val="nil"/>
              <w:bottom w:val="nil"/>
              <w:right w:val="single" w:sz="4" w:space="0" w:color="auto"/>
            </w:tcBorders>
            <w:shd w:val="clear" w:color="auto" w:fill="auto"/>
            <w:noWrap/>
            <w:vAlign w:val="bottom"/>
            <w:hideMark/>
          </w:tcPr>
          <w:p w14:paraId="2D082406"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hideMark/>
          </w:tcPr>
          <w:p w14:paraId="2C5AC722" w14:textId="77777777" w:rsidR="004C18AD" w:rsidRPr="000C156A" w:rsidRDefault="004C18AD" w:rsidP="00042C67">
            <w:pPr>
              <w:jc w:val="right"/>
              <w:rPr>
                <w:rFonts w:cs="Calibri"/>
                <w:sz w:val="20"/>
                <w:lang w:eastAsia="en-GB"/>
              </w:rPr>
            </w:pPr>
            <w:r w:rsidRPr="003A300A">
              <w:rPr>
                <w:rFonts w:cs="Calibri"/>
                <w:sz w:val="20"/>
                <w:lang w:val="en-US"/>
              </w:rPr>
              <w:t>4</w:t>
            </w:r>
            <w:r>
              <w:rPr>
                <w:rFonts w:cs="Calibri"/>
                <w:sz w:val="20"/>
                <w:lang w:val="en-US"/>
              </w:rPr>
              <w:t> </w:t>
            </w:r>
            <w:r w:rsidRPr="003A300A">
              <w:rPr>
                <w:rFonts w:cs="Calibri"/>
                <w:sz w:val="20"/>
                <w:lang w:val="en-US"/>
              </w:rPr>
              <w:t>962</w:t>
            </w:r>
            <w:r>
              <w:rPr>
                <w:rFonts w:cs="Calibri"/>
                <w:sz w:val="20"/>
                <w:lang w:val="en-US"/>
              </w:rPr>
              <w:t> </w:t>
            </w:r>
            <w:r w:rsidRPr="003A300A">
              <w:rPr>
                <w:rFonts w:cs="Calibri"/>
                <w:sz w:val="20"/>
                <w:lang w:val="en-US"/>
              </w:rPr>
              <w:t>506.90</w:t>
            </w:r>
          </w:p>
        </w:tc>
      </w:tr>
      <w:tr w:rsidR="00483BE4" w:rsidRPr="000C156A" w14:paraId="2D0375D0" w14:textId="77777777" w:rsidTr="00483BE4">
        <w:trPr>
          <w:trHeight w:val="62"/>
        </w:trPr>
        <w:tc>
          <w:tcPr>
            <w:tcW w:w="1388" w:type="pct"/>
            <w:tcBorders>
              <w:top w:val="nil"/>
              <w:left w:val="single" w:sz="4" w:space="0" w:color="auto"/>
              <w:bottom w:val="nil"/>
              <w:right w:val="nil"/>
            </w:tcBorders>
            <w:shd w:val="clear" w:color="auto" w:fill="auto"/>
            <w:noWrap/>
            <w:vAlign w:val="bottom"/>
            <w:hideMark/>
          </w:tcPr>
          <w:p w14:paraId="6918909A" w14:textId="77777777" w:rsidR="004C18AD" w:rsidRPr="000C156A" w:rsidRDefault="004C18AD" w:rsidP="00042C67">
            <w:pPr>
              <w:overflowPunct/>
              <w:autoSpaceDE/>
              <w:autoSpaceDN/>
              <w:adjustRightInd/>
              <w:spacing w:before="0"/>
              <w:textAlignment w:val="auto"/>
              <w:rPr>
                <w:sz w:val="20"/>
              </w:rPr>
            </w:pPr>
            <w:r w:rsidRPr="000C156A">
              <w:rPr>
                <w:rFonts w:hint="eastAsia"/>
                <w:sz w:val="20"/>
              </w:rPr>
              <w:t>塞拉利昂</w:t>
            </w:r>
          </w:p>
        </w:tc>
        <w:tc>
          <w:tcPr>
            <w:tcW w:w="757" w:type="pct"/>
            <w:tcBorders>
              <w:top w:val="nil"/>
              <w:left w:val="single" w:sz="4" w:space="0" w:color="auto"/>
              <w:bottom w:val="nil"/>
              <w:right w:val="single" w:sz="4" w:space="0" w:color="auto"/>
            </w:tcBorders>
            <w:shd w:val="clear" w:color="auto" w:fill="auto"/>
            <w:noWrap/>
            <w:vAlign w:val="bottom"/>
            <w:hideMark/>
          </w:tcPr>
          <w:p w14:paraId="6E7064D2"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sidRPr="000C156A">
              <w:rPr>
                <w:sz w:val="20"/>
              </w:rPr>
              <w:t>201</w:t>
            </w:r>
            <w:r w:rsidRPr="000C156A">
              <w:rPr>
                <w:rFonts w:hint="eastAsia"/>
                <w:sz w:val="20"/>
                <w:lang w:eastAsia="zh-CN"/>
              </w:rPr>
              <w:t>9</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hideMark/>
          </w:tcPr>
          <w:p w14:paraId="68D8B64F" w14:textId="77777777" w:rsidR="004C18AD" w:rsidRPr="000C156A" w:rsidRDefault="004C18AD" w:rsidP="00042C67">
            <w:pPr>
              <w:jc w:val="right"/>
              <w:rPr>
                <w:rFonts w:cs="Calibri"/>
                <w:sz w:val="20"/>
                <w:lang w:eastAsia="en-GB"/>
              </w:rPr>
            </w:pPr>
            <w:r w:rsidRPr="003A300A">
              <w:rPr>
                <w:rFonts w:cs="Calibri"/>
                <w:sz w:val="20"/>
                <w:lang w:val="en-US"/>
              </w:rPr>
              <w:t>2</w:t>
            </w:r>
            <w:r>
              <w:rPr>
                <w:rFonts w:cs="Calibri"/>
                <w:sz w:val="20"/>
                <w:lang w:val="en-US"/>
              </w:rPr>
              <w:t> </w:t>
            </w:r>
            <w:r w:rsidRPr="003A300A">
              <w:rPr>
                <w:rFonts w:cs="Calibri"/>
                <w:sz w:val="20"/>
                <w:lang w:val="en-US"/>
              </w:rPr>
              <w:t>731</w:t>
            </w:r>
            <w:r>
              <w:rPr>
                <w:rFonts w:cs="Calibri"/>
                <w:sz w:val="20"/>
                <w:lang w:val="en-US"/>
              </w:rPr>
              <w:t> </w:t>
            </w:r>
            <w:r w:rsidRPr="003A300A">
              <w:rPr>
                <w:rFonts w:cs="Calibri"/>
                <w:sz w:val="20"/>
                <w:lang w:val="en-US"/>
              </w:rPr>
              <w:t>266.28</w:t>
            </w:r>
          </w:p>
        </w:tc>
        <w:tc>
          <w:tcPr>
            <w:tcW w:w="795" w:type="pct"/>
            <w:tcBorders>
              <w:top w:val="nil"/>
              <w:left w:val="single" w:sz="4" w:space="0" w:color="auto"/>
              <w:bottom w:val="nil"/>
              <w:right w:val="single" w:sz="4" w:space="0" w:color="auto"/>
            </w:tcBorders>
            <w:shd w:val="clear" w:color="auto" w:fill="auto"/>
            <w:noWrap/>
            <w:vAlign w:val="bottom"/>
            <w:hideMark/>
          </w:tcPr>
          <w:p w14:paraId="5CD6F5CD" w14:textId="77777777" w:rsidR="004C18AD" w:rsidRPr="000C156A" w:rsidRDefault="004C18AD" w:rsidP="00042C67">
            <w:pPr>
              <w:jc w:val="right"/>
              <w:rPr>
                <w:rFonts w:cs="Calibri"/>
                <w:sz w:val="20"/>
                <w:lang w:eastAsia="en-GB"/>
              </w:rPr>
            </w:pPr>
            <w:r w:rsidRPr="003A300A">
              <w:rPr>
                <w:rFonts w:cs="Calibri"/>
                <w:sz w:val="20"/>
                <w:lang w:val="en-US"/>
              </w:rPr>
              <w:t>2</w:t>
            </w:r>
            <w:r>
              <w:rPr>
                <w:rFonts w:cs="Calibri"/>
                <w:sz w:val="20"/>
                <w:lang w:val="en-US"/>
              </w:rPr>
              <w:t> </w:t>
            </w:r>
            <w:r w:rsidRPr="003A300A">
              <w:rPr>
                <w:rFonts w:cs="Calibri"/>
                <w:sz w:val="20"/>
                <w:lang w:val="en-US"/>
              </w:rPr>
              <w:t>895</w:t>
            </w:r>
            <w:r>
              <w:rPr>
                <w:rFonts w:cs="Calibri"/>
                <w:sz w:val="20"/>
                <w:lang w:val="en-US"/>
              </w:rPr>
              <w:t> </w:t>
            </w:r>
            <w:r w:rsidRPr="003A300A">
              <w:rPr>
                <w:rFonts w:cs="Calibri"/>
                <w:sz w:val="20"/>
                <w:lang w:val="en-US"/>
              </w:rPr>
              <w:t>142.28</w:t>
            </w:r>
          </w:p>
        </w:tc>
        <w:tc>
          <w:tcPr>
            <w:tcW w:w="409" w:type="pct"/>
            <w:tcBorders>
              <w:top w:val="nil"/>
              <w:left w:val="nil"/>
              <w:bottom w:val="nil"/>
              <w:right w:val="nil"/>
            </w:tcBorders>
            <w:shd w:val="clear" w:color="auto" w:fill="auto"/>
            <w:noWrap/>
            <w:vAlign w:val="bottom"/>
            <w:hideMark/>
          </w:tcPr>
          <w:p w14:paraId="3DA0920A"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88" w:type="pct"/>
            <w:tcBorders>
              <w:top w:val="nil"/>
              <w:left w:val="single" w:sz="4" w:space="0" w:color="auto"/>
              <w:bottom w:val="nil"/>
              <w:right w:val="single" w:sz="4" w:space="0" w:color="auto"/>
            </w:tcBorders>
            <w:shd w:val="clear" w:color="auto" w:fill="auto"/>
            <w:noWrap/>
            <w:vAlign w:val="bottom"/>
            <w:hideMark/>
          </w:tcPr>
          <w:p w14:paraId="540F57EF" w14:textId="77777777" w:rsidR="004C18AD" w:rsidRPr="000C156A" w:rsidRDefault="004C18AD" w:rsidP="00042C67">
            <w:pPr>
              <w:jc w:val="right"/>
              <w:rPr>
                <w:rFonts w:cs="Calibri"/>
                <w:sz w:val="20"/>
                <w:lang w:eastAsia="en-GB"/>
              </w:rPr>
            </w:pPr>
            <w:r w:rsidRPr="003A300A">
              <w:rPr>
                <w:rFonts w:cs="Calibri"/>
                <w:sz w:val="20"/>
                <w:lang w:val="en-US"/>
              </w:rPr>
              <w:t>173</w:t>
            </w:r>
            <w:r>
              <w:rPr>
                <w:rFonts w:cs="Calibri"/>
                <w:sz w:val="20"/>
                <w:lang w:val="en-US"/>
              </w:rPr>
              <w:t> </w:t>
            </w:r>
            <w:r w:rsidRPr="003A300A">
              <w:rPr>
                <w:rFonts w:cs="Calibri"/>
                <w:sz w:val="20"/>
                <w:lang w:val="en-US"/>
              </w:rPr>
              <w:t>708.55</w:t>
            </w:r>
          </w:p>
        </w:tc>
        <w:tc>
          <w:tcPr>
            <w:tcW w:w="303" w:type="pct"/>
            <w:tcBorders>
              <w:top w:val="nil"/>
              <w:left w:val="nil"/>
              <w:bottom w:val="nil"/>
              <w:right w:val="single" w:sz="4" w:space="0" w:color="auto"/>
            </w:tcBorders>
            <w:shd w:val="clear" w:color="auto" w:fill="auto"/>
            <w:noWrap/>
            <w:vAlign w:val="bottom"/>
            <w:hideMark/>
          </w:tcPr>
          <w:p w14:paraId="6BAD3E8B"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hideMark/>
          </w:tcPr>
          <w:p w14:paraId="704548B7" w14:textId="77777777" w:rsidR="004C18AD" w:rsidRPr="000C156A" w:rsidRDefault="004C18AD" w:rsidP="00042C67">
            <w:pPr>
              <w:jc w:val="right"/>
              <w:rPr>
                <w:rFonts w:cs="Calibri"/>
                <w:sz w:val="20"/>
                <w:lang w:eastAsia="en-GB"/>
              </w:rPr>
            </w:pPr>
            <w:r w:rsidRPr="003A300A">
              <w:rPr>
                <w:rFonts w:cs="Calibri"/>
                <w:sz w:val="20"/>
                <w:lang w:val="en-US"/>
              </w:rPr>
              <w:t>3</w:t>
            </w:r>
            <w:r>
              <w:rPr>
                <w:rFonts w:cs="Calibri"/>
                <w:sz w:val="20"/>
                <w:lang w:val="en-US"/>
              </w:rPr>
              <w:t> </w:t>
            </w:r>
            <w:r w:rsidRPr="003A300A">
              <w:rPr>
                <w:rFonts w:cs="Calibri"/>
                <w:sz w:val="20"/>
                <w:lang w:val="en-US"/>
              </w:rPr>
              <w:t>068</w:t>
            </w:r>
            <w:r>
              <w:rPr>
                <w:rFonts w:cs="Calibri"/>
                <w:sz w:val="20"/>
                <w:lang w:val="en-US"/>
              </w:rPr>
              <w:t> </w:t>
            </w:r>
            <w:r w:rsidRPr="003A300A">
              <w:rPr>
                <w:rFonts w:cs="Calibri"/>
                <w:sz w:val="20"/>
                <w:lang w:val="en-US"/>
              </w:rPr>
              <w:t>850.83</w:t>
            </w:r>
          </w:p>
        </w:tc>
      </w:tr>
      <w:tr w:rsidR="00483BE4" w:rsidRPr="000C156A" w14:paraId="03007892" w14:textId="77777777" w:rsidTr="00483BE4">
        <w:trPr>
          <w:trHeight w:val="103"/>
        </w:trPr>
        <w:tc>
          <w:tcPr>
            <w:tcW w:w="1388" w:type="pct"/>
            <w:tcBorders>
              <w:top w:val="nil"/>
              <w:left w:val="single" w:sz="4" w:space="0" w:color="auto"/>
              <w:bottom w:val="nil"/>
              <w:right w:val="nil"/>
            </w:tcBorders>
            <w:shd w:val="clear" w:color="auto" w:fill="auto"/>
            <w:noWrap/>
            <w:vAlign w:val="bottom"/>
          </w:tcPr>
          <w:p w14:paraId="78CB849A" w14:textId="77777777" w:rsidR="004C18AD" w:rsidRPr="000C156A" w:rsidRDefault="004C18AD" w:rsidP="00042C67">
            <w:pPr>
              <w:overflowPunct/>
              <w:autoSpaceDE/>
              <w:autoSpaceDN/>
              <w:adjustRightInd/>
              <w:spacing w:before="0"/>
              <w:textAlignment w:val="auto"/>
              <w:rPr>
                <w:sz w:val="20"/>
              </w:rPr>
            </w:pPr>
            <w:r w:rsidRPr="000C156A">
              <w:rPr>
                <w:rFonts w:hint="eastAsia"/>
                <w:sz w:val="20"/>
              </w:rPr>
              <w:t>中非共和国</w:t>
            </w:r>
          </w:p>
        </w:tc>
        <w:tc>
          <w:tcPr>
            <w:tcW w:w="757" w:type="pct"/>
            <w:tcBorders>
              <w:top w:val="nil"/>
              <w:left w:val="single" w:sz="4" w:space="0" w:color="auto"/>
              <w:bottom w:val="nil"/>
              <w:right w:val="single" w:sz="4" w:space="0" w:color="auto"/>
            </w:tcBorders>
            <w:shd w:val="clear" w:color="auto" w:fill="auto"/>
            <w:noWrap/>
            <w:vAlign w:val="bottom"/>
          </w:tcPr>
          <w:p w14:paraId="32AAF232"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sidRPr="000C156A">
              <w:rPr>
                <w:sz w:val="20"/>
              </w:rPr>
              <w:t>2020</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tcPr>
          <w:p w14:paraId="631A3184" w14:textId="77777777" w:rsidR="004C18AD" w:rsidRPr="000C156A" w:rsidRDefault="004C18AD" w:rsidP="00042C67">
            <w:pPr>
              <w:jc w:val="right"/>
              <w:rPr>
                <w:rFonts w:cs="Calibri"/>
                <w:sz w:val="20"/>
                <w:lang w:eastAsia="en-GB"/>
              </w:rPr>
            </w:pPr>
            <w:r w:rsidRPr="003A300A">
              <w:rPr>
                <w:rFonts w:cs="Calibri"/>
                <w:sz w:val="20"/>
                <w:lang w:val="en-US"/>
              </w:rPr>
              <w:t>109</w:t>
            </w:r>
            <w:r>
              <w:rPr>
                <w:rFonts w:cs="Calibri"/>
                <w:sz w:val="20"/>
                <w:lang w:val="en-US"/>
              </w:rPr>
              <w:t> </w:t>
            </w:r>
            <w:r w:rsidRPr="003A300A">
              <w:rPr>
                <w:rFonts w:cs="Calibri"/>
                <w:sz w:val="20"/>
                <w:lang w:val="en-US"/>
              </w:rPr>
              <w:t>952.30</w:t>
            </w:r>
          </w:p>
        </w:tc>
        <w:tc>
          <w:tcPr>
            <w:tcW w:w="795" w:type="pct"/>
            <w:tcBorders>
              <w:top w:val="nil"/>
              <w:left w:val="single" w:sz="4" w:space="0" w:color="auto"/>
              <w:bottom w:val="nil"/>
              <w:right w:val="single" w:sz="4" w:space="0" w:color="auto"/>
            </w:tcBorders>
            <w:shd w:val="clear" w:color="auto" w:fill="auto"/>
            <w:noWrap/>
            <w:vAlign w:val="bottom"/>
          </w:tcPr>
          <w:p w14:paraId="7EEA8E7C" w14:textId="77777777" w:rsidR="004C18AD" w:rsidRPr="000C156A" w:rsidRDefault="004C18AD" w:rsidP="00042C67">
            <w:pPr>
              <w:jc w:val="right"/>
              <w:rPr>
                <w:rFonts w:cs="Calibri"/>
                <w:sz w:val="20"/>
                <w:lang w:eastAsia="en-GB"/>
              </w:rPr>
            </w:pPr>
            <w:r w:rsidRPr="003A300A">
              <w:rPr>
                <w:rFonts w:cs="Calibri"/>
                <w:sz w:val="20"/>
                <w:lang w:val="en-US"/>
              </w:rPr>
              <w:t>111</w:t>
            </w:r>
            <w:r>
              <w:rPr>
                <w:rFonts w:cs="Calibri"/>
                <w:sz w:val="20"/>
                <w:lang w:val="en-US"/>
              </w:rPr>
              <w:t> </w:t>
            </w:r>
            <w:r w:rsidRPr="003A300A">
              <w:rPr>
                <w:rFonts w:cs="Calibri"/>
                <w:sz w:val="20"/>
                <w:lang w:val="en-US"/>
              </w:rPr>
              <w:t>583.25</w:t>
            </w:r>
          </w:p>
        </w:tc>
        <w:tc>
          <w:tcPr>
            <w:tcW w:w="409" w:type="pct"/>
            <w:tcBorders>
              <w:top w:val="nil"/>
              <w:left w:val="nil"/>
              <w:bottom w:val="nil"/>
              <w:right w:val="nil"/>
            </w:tcBorders>
            <w:shd w:val="clear" w:color="auto" w:fill="auto"/>
            <w:noWrap/>
            <w:vAlign w:val="bottom"/>
          </w:tcPr>
          <w:p w14:paraId="07691CB8"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88" w:type="pct"/>
            <w:tcBorders>
              <w:top w:val="nil"/>
              <w:left w:val="single" w:sz="4" w:space="0" w:color="auto"/>
              <w:bottom w:val="nil"/>
              <w:right w:val="single" w:sz="4" w:space="0" w:color="auto"/>
            </w:tcBorders>
            <w:shd w:val="clear" w:color="auto" w:fill="auto"/>
            <w:noWrap/>
            <w:vAlign w:val="bottom"/>
          </w:tcPr>
          <w:p w14:paraId="667F6115" w14:textId="77777777" w:rsidR="004C18AD" w:rsidRPr="000C156A" w:rsidRDefault="004C18AD" w:rsidP="00042C67">
            <w:pPr>
              <w:jc w:val="right"/>
              <w:rPr>
                <w:rFonts w:cs="Calibri"/>
                <w:sz w:val="20"/>
                <w:lang w:eastAsia="en-GB"/>
              </w:rPr>
            </w:pPr>
            <w:r w:rsidRPr="003A300A">
              <w:rPr>
                <w:rFonts w:cs="Calibri"/>
                <w:sz w:val="20"/>
                <w:lang w:val="en-US"/>
              </w:rPr>
              <w:t>6</w:t>
            </w:r>
            <w:r>
              <w:rPr>
                <w:rFonts w:cs="Calibri"/>
                <w:sz w:val="20"/>
                <w:lang w:val="en-US"/>
              </w:rPr>
              <w:t> </w:t>
            </w:r>
            <w:r w:rsidRPr="003A300A">
              <w:rPr>
                <w:rFonts w:cs="Calibri"/>
                <w:sz w:val="20"/>
                <w:lang w:val="en-US"/>
              </w:rPr>
              <w:t>695.00</w:t>
            </w:r>
          </w:p>
        </w:tc>
        <w:tc>
          <w:tcPr>
            <w:tcW w:w="303" w:type="pct"/>
            <w:tcBorders>
              <w:top w:val="nil"/>
              <w:left w:val="nil"/>
              <w:bottom w:val="nil"/>
              <w:right w:val="single" w:sz="4" w:space="0" w:color="auto"/>
            </w:tcBorders>
            <w:shd w:val="clear" w:color="auto" w:fill="auto"/>
            <w:noWrap/>
            <w:vAlign w:val="bottom"/>
          </w:tcPr>
          <w:p w14:paraId="3FBC6335"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tcPr>
          <w:p w14:paraId="3936B668" w14:textId="77777777" w:rsidR="004C18AD" w:rsidRPr="000C156A" w:rsidRDefault="004C18AD" w:rsidP="00042C67">
            <w:pPr>
              <w:jc w:val="right"/>
              <w:rPr>
                <w:rFonts w:cs="Calibri"/>
                <w:sz w:val="20"/>
                <w:lang w:eastAsia="en-GB"/>
              </w:rPr>
            </w:pPr>
            <w:r w:rsidRPr="003A300A">
              <w:rPr>
                <w:rFonts w:cs="Calibri"/>
                <w:sz w:val="20"/>
                <w:lang w:val="en-US"/>
              </w:rPr>
              <w:t>118</w:t>
            </w:r>
            <w:r>
              <w:rPr>
                <w:rFonts w:cs="Calibri"/>
                <w:sz w:val="20"/>
                <w:lang w:val="en-US"/>
              </w:rPr>
              <w:t> </w:t>
            </w:r>
            <w:r w:rsidRPr="003A300A">
              <w:rPr>
                <w:rFonts w:cs="Calibri"/>
                <w:sz w:val="20"/>
                <w:lang w:val="en-US"/>
              </w:rPr>
              <w:t>278.25</w:t>
            </w:r>
          </w:p>
        </w:tc>
      </w:tr>
      <w:tr w:rsidR="00483BE4" w:rsidRPr="000C156A" w14:paraId="59744B08" w14:textId="77777777" w:rsidTr="00483BE4">
        <w:trPr>
          <w:trHeight w:val="255"/>
        </w:trPr>
        <w:tc>
          <w:tcPr>
            <w:tcW w:w="1388" w:type="pct"/>
            <w:tcBorders>
              <w:top w:val="nil"/>
              <w:left w:val="single" w:sz="4" w:space="0" w:color="auto"/>
              <w:bottom w:val="nil"/>
              <w:right w:val="nil"/>
            </w:tcBorders>
            <w:shd w:val="clear" w:color="auto" w:fill="auto"/>
            <w:noWrap/>
            <w:vAlign w:val="bottom"/>
          </w:tcPr>
          <w:p w14:paraId="441E22C6" w14:textId="77777777" w:rsidR="004C18AD" w:rsidRPr="000C156A" w:rsidRDefault="004C18AD" w:rsidP="00042C67">
            <w:pPr>
              <w:overflowPunct/>
              <w:autoSpaceDE/>
              <w:autoSpaceDN/>
              <w:adjustRightInd/>
              <w:spacing w:before="0"/>
              <w:textAlignment w:val="auto"/>
              <w:rPr>
                <w:sz w:val="20"/>
              </w:rPr>
            </w:pPr>
            <w:r w:rsidRPr="000C156A">
              <w:rPr>
                <w:sz w:val="20"/>
              </w:rPr>
              <w:t>加蓬</w:t>
            </w:r>
          </w:p>
        </w:tc>
        <w:tc>
          <w:tcPr>
            <w:tcW w:w="757" w:type="pct"/>
            <w:tcBorders>
              <w:top w:val="nil"/>
              <w:left w:val="single" w:sz="4" w:space="0" w:color="auto"/>
              <w:bottom w:val="nil"/>
              <w:right w:val="single" w:sz="4" w:space="0" w:color="auto"/>
            </w:tcBorders>
            <w:shd w:val="clear" w:color="auto" w:fill="auto"/>
            <w:noWrap/>
            <w:vAlign w:val="bottom"/>
          </w:tcPr>
          <w:p w14:paraId="5328E670"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sidRPr="000C156A">
              <w:rPr>
                <w:sz w:val="20"/>
              </w:rPr>
              <w:t>2020</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tcPr>
          <w:p w14:paraId="631D45BB" w14:textId="77777777" w:rsidR="004C18AD" w:rsidRPr="000C156A" w:rsidRDefault="004C18AD" w:rsidP="00042C67">
            <w:pPr>
              <w:jc w:val="right"/>
              <w:rPr>
                <w:rFonts w:cs="Calibri"/>
                <w:sz w:val="20"/>
                <w:lang w:eastAsia="en-GB"/>
              </w:rPr>
            </w:pPr>
            <w:r w:rsidRPr="003A300A">
              <w:rPr>
                <w:rFonts w:cs="Calibri"/>
                <w:sz w:val="20"/>
                <w:lang w:val="en-US"/>
              </w:rPr>
              <w:t>267</w:t>
            </w:r>
            <w:r>
              <w:rPr>
                <w:rFonts w:cs="Calibri"/>
                <w:sz w:val="20"/>
                <w:lang w:val="en-US"/>
              </w:rPr>
              <w:t> </w:t>
            </w:r>
            <w:r w:rsidRPr="003A300A">
              <w:rPr>
                <w:rFonts w:cs="Calibri"/>
                <w:sz w:val="20"/>
                <w:lang w:val="en-US"/>
              </w:rPr>
              <w:t>633.89</w:t>
            </w:r>
          </w:p>
        </w:tc>
        <w:tc>
          <w:tcPr>
            <w:tcW w:w="795" w:type="pct"/>
            <w:tcBorders>
              <w:top w:val="nil"/>
              <w:left w:val="single" w:sz="4" w:space="0" w:color="auto"/>
              <w:bottom w:val="nil"/>
              <w:right w:val="single" w:sz="4" w:space="0" w:color="auto"/>
            </w:tcBorders>
            <w:shd w:val="clear" w:color="auto" w:fill="auto"/>
            <w:noWrap/>
            <w:vAlign w:val="bottom"/>
          </w:tcPr>
          <w:p w14:paraId="7508F81D" w14:textId="77777777" w:rsidR="004C18AD" w:rsidRPr="000C156A" w:rsidRDefault="004C18AD" w:rsidP="00042C67">
            <w:pPr>
              <w:jc w:val="right"/>
              <w:rPr>
                <w:rFonts w:cs="Calibri"/>
                <w:sz w:val="20"/>
                <w:lang w:eastAsia="en-GB"/>
              </w:rPr>
            </w:pPr>
            <w:r w:rsidRPr="003A300A">
              <w:rPr>
                <w:rFonts w:cs="Calibri"/>
                <w:sz w:val="20"/>
                <w:lang w:val="en-US"/>
              </w:rPr>
              <w:t>270</w:t>
            </w:r>
            <w:r>
              <w:rPr>
                <w:rFonts w:cs="Calibri"/>
                <w:sz w:val="20"/>
                <w:lang w:val="en-US"/>
              </w:rPr>
              <w:t> </w:t>
            </w:r>
            <w:r w:rsidRPr="003A300A">
              <w:rPr>
                <w:rFonts w:cs="Calibri"/>
                <w:sz w:val="20"/>
                <w:lang w:val="en-US"/>
              </w:rPr>
              <w:t>310.24</w:t>
            </w:r>
          </w:p>
        </w:tc>
        <w:tc>
          <w:tcPr>
            <w:tcW w:w="409" w:type="pct"/>
            <w:tcBorders>
              <w:top w:val="nil"/>
              <w:left w:val="nil"/>
              <w:bottom w:val="nil"/>
              <w:right w:val="nil"/>
            </w:tcBorders>
            <w:shd w:val="clear" w:color="auto" w:fill="auto"/>
            <w:noWrap/>
            <w:vAlign w:val="bottom"/>
          </w:tcPr>
          <w:p w14:paraId="742360ED"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88" w:type="pct"/>
            <w:tcBorders>
              <w:top w:val="nil"/>
              <w:left w:val="single" w:sz="4" w:space="0" w:color="auto"/>
              <w:bottom w:val="nil"/>
              <w:right w:val="single" w:sz="4" w:space="0" w:color="auto"/>
            </w:tcBorders>
            <w:shd w:val="clear" w:color="auto" w:fill="auto"/>
            <w:noWrap/>
            <w:vAlign w:val="bottom"/>
          </w:tcPr>
          <w:p w14:paraId="0C4A4FA0" w14:textId="77777777" w:rsidR="004C18AD" w:rsidRPr="000C156A" w:rsidRDefault="004C18AD" w:rsidP="00042C67">
            <w:pPr>
              <w:jc w:val="right"/>
              <w:rPr>
                <w:rFonts w:cs="Calibri"/>
                <w:sz w:val="20"/>
                <w:lang w:eastAsia="en-GB"/>
              </w:rPr>
            </w:pPr>
            <w:r w:rsidRPr="003A300A">
              <w:rPr>
                <w:rFonts w:cs="Calibri"/>
                <w:sz w:val="20"/>
                <w:lang w:val="en-US"/>
              </w:rPr>
              <w:t>16</w:t>
            </w:r>
            <w:r>
              <w:rPr>
                <w:rFonts w:cs="Calibri"/>
                <w:sz w:val="20"/>
                <w:lang w:val="en-US"/>
              </w:rPr>
              <w:t> </w:t>
            </w:r>
            <w:r w:rsidRPr="003A300A">
              <w:rPr>
                <w:rFonts w:cs="Calibri"/>
                <w:sz w:val="20"/>
                <w:lang w:val="en-US"/>
              </w:rPr>
              <w:t>218.60</w:t>
            </w:r>
          </w:p>
        </w:tc>
        <w:tc>
          <w:tcPr>
            <w:tcW w:w="303" w:type="pct"/>
            <w:tcBorders>
              <w:top w:val="nil"/>
              <w:left w:val="nil"/>
              <w:bottom w:val="nil"/>
              <w:right w:val="single" w:sz="4" w:space="0" w:color="auto"/>
            </w:tcBorders>
            <w:shd w:val="clear" w:color="auto" w:fill="auto"/>
            <w:noWrap/>
            <w:vAlign w:val="bottom"/>
          </w:tcPr>
          <w:p w14:paraId="19DD536B"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tcPr>
          <w:p w14:paraId="5AD5DC61" w14:textId="77777777" w:rsidR="004C18AD" w:rsidRPr="000C156A" w:rsidRDefault="004C18AD" w:rsidP="00042C67">
            <w:pPr>
              <w:jc w:val="right"/>
              <w:rPr>
                <w:rFonts w:cs="Calibri"/>
                <w:sz w:val="20"/>
                <w:lang w:eastAsia="en-GB"/>
              </w:rPr>
            </w:pPr>
            <w:r w:rsidRPr="003A300A">
              <w:rPr>
                <w:rFonts w:cs="Calibri"/>
                <w:sz w:val="20"/>
                <w:lang w:val="en-US"/>
              </w:rPr>
              <w:t>286</w:t>
            </w:r>
            <w:r>
              <w:rPr>
                <w:rFonts w:cs="Calibri"/>
                <w:sz w:val="20"/>
                <w:lang w:val="en-US"/>
              </w:rPr>
              <w:t> </w:t>
            </w:r>
            <w:r w:rsidRPr="003A300A">
              <w:rPr>
                <w:rFonts w:cs="Calibri"/>
                <w:sz w:val="20"/>
                <w:lang w:val="en-US"/>
              </w:rPr>
              <w:t>528.84</w:t>
            </w:r>
          </w:p>
        </w:tc>
      </w:tr>
      <w:tr w:rsidR="00483BE4" w:rsidRPr="000C156A" w14:paraId="03616F97" w14:textId="77777777" w:rsidTr="00483BE4">
        <w:trPr>
          <w:trHeight w:val="255"/>
        </w:trPr>
        <w:tc>
          <w:tcPr>
            <w:tcW w:w="1388" w:type="pct"/>
            <w:tcBorders>
              <w:top w:val="nil"/>
              <w:left w:val="single" w:sz="4" w:space="0" w:color="auto"/>
              <w:bottom w:val="nil"/>
              <w:right w:val="nil"/>
            </w:tcBorders>
            <w:shd w:val="clear" w:color="auto" w:fill="auto"/>
            <w:noWrap/>
            <w:vAlign w:val="bottom"/>
          </w:tcPr>
          <w:p w14:paraId="5D6F4AEB" w14:textId="77777777" w:rsidR="004C18AD" w:rsidRPr="000C156A" w:rsidRDefault="004C18AD" w:rsidP="00042C67">
            <w:pPr>
              <w:overflowPunct/>
              <w:autoSpaceDE/>
              <w:autoSpaceDN/>
              <w:adjustRightInd/>
              <w:spacing w:before="0"/>
              <w:textAlignment w:val="auto"/>
              <w:rPr>
                <w:sz w:val="20"/>
              </w:rPr>
            </w:pPr>
            <w:r w:rsidRPr="000C156A">
              <w:rPr>
                <w:sz w:val="20"/>
              </w:rPr>
              <w:t>索马里</w:t>
            </w:r>
          </w:p>
        </w:tc>
        <w:tc>
          <w:tcPr>
            <w:tcW w:w="757" w:type="pct"/>
            <w:tcBorders>
              <w:top w:val="nil"/>
              <w:left w:val="single" w:sz="4" w:space="0" w:color="auto"/>
              <w:bottom w:val="nil"/>
              <w:right w:val="single" w:sz="4" w:space="0" w:color="auto"/>
            </w:tcBorders>
            <w:shd w:val="clear" w:color="auto" w:fill="auto"/>
            <w:noWrap/>
            <w:vAlign w:val="bottom"/>
          </w:tcPr>
          <w:p w14:paraId="119A117C"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Pr>
                <w:sz w:val="20"/>
              </w:rPr>
              <w:t>202</w:t>
            </w:r>
            <w:r>
              <w:rPr>
                <w:rFonts w:hint="eastAsia"/>
                <w:sz w:val="20"/>
                <w:lang w:eastAsia="zh-CN"/>
              </w:rPr>
              <w:t>1</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tcPr>
          <w:p w14:paraId="5E9D7C0A" w14:textId="77777777" w:rsidR="004C18AD" w:rsidRPr="000C156A" w:rsidRDefault="004C18AD" w:rsidP="00042C67">
            <w:pPr>
              <w:jc w:val="right"/>
              <w:rPr>
                <w:rFonts w:cs="Calibri"/>
                <w:sz w:val="20"/>
                <w:lang w:eastAsia="en-GB"/>
              </w:rPr>
            </w:pPr>
            <w:r w:rsidRPr="003A300A">
              <w:rPr>
                <w:rFonts w:cs="Calibri"/>
                <w:sz w:val="20"/>
                <w:lang w:val="en-US"/>
              </w:rPr>
              <w:t>2</w:t>
            </w:r>
            <w:r>
              <w:rPr>
                <w:rFonts w:cs="Calibri"/>
                <w:sz w:val="20"/>
                <w:lang w:val="en-US"/>
              </w:rPr>
              <w:t> </w:t>
            </w:r>
            <w:r w:rsidRPr="003A300A">
              <w:rPr>
                <w:rFonts w:cs="Calibri"/>
                <w:sz w:val="20"/>
                <w:lang w:val="en-US"/>
              </w:rPr>
              <w:t>093</w:t>
            </w:r>
            <w:r>
              <w:rPr>
                <w:rFonts w:cs="Calibri"/>
                <w:sz w:val="20"/>
                <w:lang w:val="en-US"/>
              </w:rPr>
              <w:t> </w:t>
            </w:r>
            <w:r w:rsidRPr="003A300A">
              <w:rPr>
                <w:rFonts w:cs="Calibri"/>
                <w:sz w:val="20"/>
                <w:lang w:val="en-US"/>
              </w:rPr>
              <w:t>262.73</w:t>
            </w:r>
          </w:p>
        </w:tc>
        <w:tc>
          <w:tcPr>
            <w:tcW w:w="795" w:type="pct"/>
            <w:tcBorders>
              <w:top w:val="nil"/>
              <w:left w:val="single" w:sz="4" w:space="0" w:color="auto"/>
              <w:bottom w:val="nil"/>
              <w:right w:val="single" w:sz="4" w:space="0" w:color="auto"/>
            </w:tcBorders>
            <w:shd w:val="clear" w:color="auto" w:fill="auto"/>
            <w:noWrap/>
            <w:vAlign w:val="bottom"/>
          </w:tcPr>
          <w:p w14:paraId="5AAC7C19" w14:textId="77777777" w:rsidR="004C18AD" w:rsidRPr="000C156A" w:rsidRDefault="004C18AD" w:rsidP="00042C67">
            <w:pPr>
              <w:jc w:val="right"/>
              <w:rPr>
                <w:rFonts w:cs="Calibri"/>
                <w:sz w:val="20"/>
                <w:lang w:eastAsia="en-GB"/>
              </w:rPr>
            </w:pPr>
            <w:r w:rsidRPr="003A300A">
              <w:rPr>
                <w:rFonts w:cs="Calibri"/>
                <w:sz w:val="20"/>
                <w:lang w:val="en-US"/>
              </w:rPr>
              <w:t>2</w:t>
            </w:r>
            <w:r>
              <w:rPr>
                <w:rFonts w:cs="Calibri"/>
                <w:sz w:val="20"/>
                <w:lang w:val="en-US"/>
              </w:rPr>
              <w:t> </w:t>
            </w:r>
            <w:r w:rsidRPr="003A300A">
              <w:rPr>
                <w:rFonts w:cs="Calibri"/>
                <w:sz w:val="20"/>
                <w:lang w:val="en-US"/>
              </w:rPr>
              <w:t>124</w:t>
            </w:r>
            <w:r>
              <w:rPr>
                <w:rFonts w:cs="Calibri"/>
                <w:sz w:val="20"/>
                <w:lang w:val="en-US"/>
              </w:rPr>
              <w:t> </w:t>
            </w:r>
            <w:r w:rsidRPr="003A300A">
              <w:rPr>
                <w:rFonts w:cs="Calibri"/>
                <w:sz w:val="20"/>
                <w:lang w:val="en-US"/>
              </w:rPr>
              <w:t>312.78</w:t>
            </w:r>
          </w:p>
        </w:tc>
        <w:tc>
          <w:tcPr>
            <w:tcW w:w="409" w:type="pct"/>
            <w:tcBorders>
              <w:top w:val="nil"/>
              <w:left w:val="nil"/>
              <w:bottom w:val="nil"/>
              <w:right w:val="nil"/>
            </w:tcBorders>
            <w:shd w:val="clear" w:color="auto" w:fill="auto"/>
            <w:noWrap/>
            <w:vAlign w:val="bottom"/>
          </w:tcPr>
          <w:p w14:paraId="2621BD93" w14:textId="77777777" w:rsidR="004C18AD" w:rsidRPr="000C156A" w:rsidRDefault="004C18AD" w:rsidP="00042C67">
            <w:pPr>
              <w:jc w:val="right"/>
              <w:rPr>
                <w:rFonts w:cs="Calibri"/>
                <w:sz w:val="20"/>
                <w:lang w:eastAsia="en-GB"/>
              </w:rPr>
            </w:pPr>
            <w:r w:rsidRPr="003A300A">
              <w:rPr>
                <w:rFonts w:cs="Calibri"/>
                <w:sz w:val="20"/>
                <w:lang w:val="en-US"/>
              </w:rPr>
              <w:t>-62</w:t>
            </w:r>
            <w:r>
              <w:rPr>
                <w:rFonts w:cs="Calibri"/>
                <w:sz w:val="20"/>
                <w:lang w:val="en-US"/>
              </w:rPr>
              <w:t> </w:t>
            </w:r>
            <w:r w:rsidRPr="003A300A">
              <w:rPr>
                <w:rFonts w:cs="Calibri"/>
                <w:sz w:val="20"/>
                <w:lang w:val="en-US"/>
              </w:rPr>
              <w:t>584.81</w:t>
            </w:r>
          </w:p>
        </w:tc>
        <w:tc>
          <w:tcPr>
            <w:tcW w:w="388" w:type="pct"/>
            <w:tcBorders>
              <w:top w:val="nil"/>
              <w:left w:val="single" w:sz="4" w:space="0" w:color="auto"/>
              <w:bottom w:val="nil"/>
              <w:right w:val="single" w:sz="4" w:space="0" w:color="auto"/>
            </w:tcBorders>
            <w:shd w:val="clear" w:color="auto" w:fill="auto"/>
            <w:noWrap/>
            <w:vAlign w:val="bottom"/>
          </w:tcPr>
          <w:p w14:paraId="777278DB" w14:textId="77777777" w:rsidR="004C18AD" w:rsidRPr="000C156A" w:rsidRDefault="004C18AD" w:rsidP="00042C67">
            <w:pPr>
              <w:jc w:val="right"/>
              <w:rPr>
                <w:rFonts w:cs="Calibri"/>
                <w:sz w:val="20"/>
                <w:lang w:eastAsia="en-GB"/>
              </w:rPr>
            </w:pPr>
            <w:r w:rsidRPr="003A300A">
              <w:rPr>
                <w:rFonts w:cs="Calibri"/>
                <w:sz w:val="20"/>
                <w:lang w:val="en-US"/>
              </w:rPr>
              <w:t>20</w:t>
            </w:r>
            <w:r>
              <w:rPr>
                <w:rFonts w:cs="Calibri"/>
                <w:sz w:val="20"/>
                <w:lang w:val="en-US"/>
              </w:rPr>
              <w:t> </w:t>
            </w:r>
            <w:r w:rsidRPr="003A300A">
              <w:rPr>
                <w:rFonts w:cs="Calibri"/>
                <w:sz w:val="20"/>
                <w:lang w:val="en-US"/>
              </w:rPr>
              <w:t>617.30</w:t>
            </w:r>
          </w:p>
        </w:tc>
        <w:tc>
          <w:tcPr>
            <w:tcW w:w="303" w:type="pct"/>
            <w:tcBorders>
              <w:top w:val="nil"/>
              <w:left w:val="nil"/>
              <w:bottom w:val="nil"/>
              <w:right w:val="single" w:sz="4" w:space="0" w:color="auto"/>
            </w:tcBorders>
            <w:shd w:val="clear" w:color="auto" w:fill="auto"/>
            <w:noWrap/>
            <w:vAlign w:val="bottom"/>
          </w:tcPr>
          <w:p w14:paraId="7D935C32"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tcPr>
          <w:p w14:paraId="1944E712" w14:textId="77777777" w:rsidR="004C18AD" w:rsidRPr="000C156A" w:rsidRDefault="004C18AD" w:rsidP="00042C67">
            <w:pPr>
              <w:jc w:val="right"/>
              <w:rPr>
                <w:rFonts w:cs="Calibri"/>
                <w:sz w:val="20"/>
                <w:lang w:eastAsia="en-GB"/>
              </w:rPr>
            </w:pPr>
            <w:r w:rsidRPr="003A300A">
              <w:rPr>
                <w:rFonts w:cs="Calibri"/>
                <w:sz w:val="20"/>
                <w:lang w:val="en-US"/>
              </w:rPr>
              <w:t>2</w:t>
            </w:r>
            <w:r>
              <w:rPr>
                <w:rFonts w:cs="Calibri"/>
                <w:sz w:val="20"/>
                <w:lang w:val="en-US"/>
              </w:rPr>
              <w:t> </w:t>
            </w:r>
            <w:r w:rsidRPr="003A300A">
              <w:rPr>
                <w:rFonts w:cs="Calibri"/>
                <w:sz w:val="20"/>
                <w:lang w:val="en-US"/>
              </w:rPr>
              <w:t>082</w:t>
            </w:r>
            <w:r>
              <w:rPr>
                <w:rFonts w:cs="Calibri"/>
                <w:sz w:val="20"/>
                <w:lang w:val="en-US"/>
              </w:rPr>
              <w:t> </w:t>
            </w:r>
            <w:r w:rsidRPr="003A300A">
              <w:rPr>
                <w:rFonts w:cs="Calibri"/>
                <w:sz w:val="20"/>
                <w:lang w:val="en-US"/>
              </w:rPr>
              <w:t>345.27</w:t>
            </w:r>
          </w:p>
        </w:tc>
      </w:tr>
      <w:bookmarkEnd w:id="1458"/>
      <w:tr w:rsidR="00483BE4" w:rsidRPr="000C156A" w14:paraId="537DA690"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4C02A35C"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757" w:type="pct"/>
            <w:tcBorders>
              <w:top w:val="nil"/>
              <w:left w:val="single" w:sz="4" w:space="0" w:color="auto"/>
              <w:bottom w:val="nil"/>
              <w:right w:val="single" w:sz="4" w:space="0" w:color="auto"/>
            </w:tcBorders>
            <w:shd w:val="clear" w:color="auto" w:fill="auto"/>
            <w:noWrap/>
            <w:vAlign w:val="bottom"/>
            <w:hideMark/>
          </w:tcPr>
          <w:p w14:paraId="1C41E068"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88" w:type="pct"/>
            <w:tcBorders>
              <w:top w:val="nil"/>
              <w:left w:val="nil"/>
              <w:bottom w:val="nil"/>
              <w:right w:val="nil"/>
            </w:tcBorders>
            <w:shd w:val="clear" w:color="auto" w:fill="auto"/>
            <w:noWrap/>
            <w:vAlign w:val="bottom"/>
            <w:hideMark/>
          </w:tcPr>
          <w:p w14:paraId="264AC369"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795" w:type="pct"/>
            <w:tcBorders>
              <w:top w:val="nil"/>
              <w:left w:val="single" w:sz="4" w:space="0" w:color="auto"/>
              <w:bottom w:val="nil"/>
              <w:right w:val="single" w:sz="4" w:space="0" w:color="auto"/>
            </w:tcBorders>
            <w:shd w:val="clear" w:color="auto" w:fill="auto"/>
            <w:noWrap/>
            <w:vAlign w:val="bottom"/>
            <w:hideMark/>
          </w:tcPr>
          <w:p w14:paraId="1D374D84"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09" w:type="pct"/>
            <w:tcBorders>
              <w:top w:val="nil"/>
              <w:left w:val="nil"/>
              <w:bottom w:val="nil"/>
              <w:right w:val="nil"/>
            </w:tcBorders>
            <w:shd w:val="clear" w:color="auto" w:fill="auto"/>
            <w:noWrap/>
            <w:vAlign w:val="bottom"/>
            <w:hideMark/>
          </w:tcPr>
          <w:p w14:paraId="6DA58788"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388" w:type="pct"/>
            <w:tcBorders>
              <w:top w:val="nil"/>
              <w:left w:val="single" w:sz="4" w:space="0" w:color="auto"/>
              <w:bottom w:val="nil"/>
              <w:right w:val="single" w:sz="4" w:space="0" w:color="auto"/>
            </w:tcBorders>
            <w:shd w:val="clear" w:color="auto" w:fill="auto"/>
            <w:noWrap/>
            <w:vAlign w:val="bottom"/>
            <w:hideMark/>
          </w:tcPr>
          <w:p w14:paraId="024D70A9"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303" w:type="pct"/>
            <w:tcBorders>
              <w:top w:val="nil"/>
              <w:left w:val="nil"/>
              <w:bottom w:val="nil"/>
              <w:right w:val="single" w:sz="4" w:space="0" w:color="auto"/>
            </w:tcBorders>
            <w:shd w:val="clear" w:color="auto" w:fill="auto"/>
            <w:noWrap/>
            <w:vAlign w:val="bottom"/>
            <w:hideMark/>
          </w:tcPr>
          <w:p w14:paraId="6FE7A76F"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72" w:type="pct"/>
            <w:tcBorders>
              <w:top w:val="nil"/>
              <w:left w:val="nil"/>
              <w:bottom w:val="nil"/>
              <w:right w:val="single" w:sz="4" w:space="0" w:color="auto"/>
            </w:tcBorders>
            <w:shd w:val="clear" w:color="auto" w:fill="auto"/>
            <w:noWrap/>
            <w:vAlign w:val="bottom"/>
            <w:hideMark/>
          </w:tcPr>
          <w:p w14:paraId="250F3554"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r>
      <w:tr w:rsidR="00483BE4" w:rsidRPr="000C156A" w14:paraId="0CC2EE16"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166BD45B"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sidRPr="000C156A">
              <w:rPr>
                <w:rFonts w:cs="Calibri" w:hint="eastAsia"/>
                <w:b/>
                <w:bCs/>
                <w:sz w:val="20"/>
                <w:lang w:eastAsia="en-GB"/>
              </w:rPr>
              <w:t>部门成员</w:t>
            </w:r>
            <w:r w:rsidRPr="000C156A">
              <w:rPr>
                <w:rFonts w:cs="Calibri"/>
                <w:b/>
                <w:bCs/>
                <w:sz w:val="20"/>
                <w:lang w:eastAsia="en-GB"/>
              </w:rPr>
              <w:t>/</w:t>
            </w:r>
            <w:r w:rsidRPr="000C156A">
              <w:rPr>
                <w:rFonts w:cs="Calibri" w:hint="eastAsia"/>
                <w:b/>
                <w:bCs/>
                <w:sz w:val="20"/>
                <w:lang w:eastAsia="en-GB"/>
              </w:rPr>
              <w:t>公司</w:t>
            </w:r>
          </w:p>
        </w:tc>
        <w:tc>
          <w:tcPr>
            <w:tcW w:w="757" w:type="pct"/>
            <w:tcBorders>
              <w:top w:val="nil"/>
              <w:left w:val="single" w:sz="4" w:space="0" w:color="auto"/>
              <w:bottom w:val="nil"/>
              <w:right w:val="single" w:sz="4" w:space="0" w:color="auto"/>
            </w:tcBorders>
            <w:shd w:val="clear" w:color="auto" w:fill="auto"/>
            <w:noWrap/>
            <w:vAlign w:val="bottom"/>
            <w:hideMark/>
          </w:tcPr>
          <w:p w14:paraId="41BE6C11"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88" w:type="pct"/>
            <w:tcBorders>
              <w:top w:val="nil"/>
              <w:left w:val="nil"/>
              <w:bottom w:val="nil"/>
              <w:right w:val="nil"/>
            </w:tcBorders>
            <w:shd w:val="clear" w:color="auto" w:fill="auto"/>
            <w:noWrap/>
            <w:vAlign w:val="bottom"/>
            <w:hideMark/>
          </w:tcPr>
          <w:p w14:paraId="4144AD2E"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795" w:type="pct"/>
            <w:tcBorders>
              <w:top w:val="nil"/>
              <w:left w:val="single" w:sz="4" w:space="0" w:color="auto"/>
              <w:bottom w:val="nil"/>
              <w:right w:val="single" w:sz="4" w:space="0" w:color="auto"/>
            </w:tcBorders>
            <w:shd w:val="clear" w:color="auto" w:fill="auto"/>
            <w:noWrap/>
            <w:vAlign w:val="bottom"/>
            <w:hideMark/>
          </w:tcPr>
          <w:p w14:paraId="02B491DC"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09" w:type="pct"/>
            <w:tcBorders>
              <w:top w:val="nil"/>
              <w:left w:val="nil"/>
              <w:bottom w:val="nil"/>
              <w:right w:val="nil"/>
            </w:tcBorders>
            <w:shd w:val="clear" w:color="auto" w:fill="auto"/>
            <w:noWrap/>
            <w:vAlign w:val="bottom"/>
            <w:hideMark/>
          </w:tcPr>
          <w:p w14:paraId="644C57B9"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388" w:type="pct"/>
            <w:tcBorders>
              <w:top w:val="nil"/>
              <w:left w:val="single" w:sz="4" w:space="0" w:color="auto"/>
              <w:bottom w:val="nil"/>
              <w:right w:val="single" w:sz="4" w:space="0" w:color="auto"/>
            </w:tcBorders>
            <w:shd w:val="clear" w:color="auto" w:fill="auto"/>
            <w:noWrap/>
            <w:vAlign w:val="bottom"/>
            <w:hideMark/>
          </w:tcPr>
          <w:p w14:paraId="5FCE33E4"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303" w:type="pct"/>
            <w:tcBorders>
              <w:top w:val="nil"/>
              <w:left w:val="nil"/>
              <w:bottom w:val="nil"/>
              <w:right w:val="single" w:sz="4" w:space="0" w:color="auto"/>
            </w:tcBorders>
            <w:shd w:val="clear" w:color="auto" w:fill="auto"/>
            <w:noWrap/>
            <w:vAlign w:val="bottom"/>
            <w:hideMark/>
          </w:tcPr>
          <w:p w14:paraId="04A9A0F3"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72" w:type="pct"/>
            <w:tcBorders>
              <w:top w:val="nil"/>
              <w:left w:val="nil"/>
              <w:bottom w:val="nil"/>
              <w:right w:val="single" w:sz="4" w:space="0" w:color="auto"/>
            </w:tcBorders>
            <w:shd w:val="clear" w:color="auto" w:fill="auto"/>
            <w:noWrap/>
            <w:vAlign w:val="bottom"/>
            <w:hideMark/>
          </w:tcPr>
          <w:p w14:paraId="7A904C10"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r>
      <w:tr w:rsidR="00483BE4" w:rsidRPr="000C156A" w14:paraId="05B1FFD8"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2D34879A" w14:textId="77777777" w:rsidR="004C18AD" w:rsidRPr="000C156A" w:rsidRDefault="004C18AD" w:rsidP="00042C67">
            <w:pPr>
              <w:overflowPunct/>
              <w:autoSpaceDE/>
              <w:autoSpaceDN/>
              <w:adjustRightInd/>
              <w:spacing w:before="0"/>
              <w:jc w:val="center"/>
              <w:textAlignment w:val="auto"/>
              <w:rPr>
                <w:rFonts w:cs="Calibri"/>
                <w:b/>
                <w:bCs/>
                <w:sz w:val="20"/>
                <w:lang w:eastAsia="en-GB"/>
              </w:rPr>
            </w:pPr>
            <w:r w:rsidRPr="000C156A">
              <w:rPr>
                <w:rFonts w:cs="Calibri"/>
                <w:b/>
                <w:bCs/>
                <w:sz w:val="20"/>
                <w:lang w:eastAsia="en-GB"/>
              </w:rPr>
              <w:t> </w:t>
            </w:r>
          </w:p>
        </w:tc>
        <w:tc>
          <w:tcPr>
            <w:tcW w:w="757" w:type="pct"/>
            <w:tcBorders>
              <w:top w:val="nil"/>
              <w:left w:val="single" w:sz="4" w:space="0" w:color="auto"/>
              <w:bottom w:val="nil"/>
              <w:right w:val="single" w:sz="4" w:space="0" w:color="auto"/>
            </w:tcBorders>
            <w:shd w:val="clear" w:color="auto" w:fill="auto"/>
            <w:noWrap/>
            <w:vAlign w:val="bottom"/>
            <w:hideMark/>
          </w:tcPr>
          <w:p w14:paraId="5342EEF8"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88" w:type="pct"/>
            <w:tcBorders>
              <w:top w:val="nil"/>
              <w:left w:val="nil"/>
              <w:bottom w:val="nil"/>
              <w:right w:val="nil"/>
            </w:tcBorders>
            <w:shd w:val="clear" w:color="auto" w:fill="auto"/>
            <w:noWrap/>
            <w:vAlign w:val="bottom"/>
            <w:hideMark/>
          </w:tcPr>
          <w:p w14:paraId="49D679A2"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795" w:type="pct"/>
            <w:tcBorders>
              <w:top w:val="nil"/>
              <w:left w:val="single" w:sz="4" w:space="0" w:color="auto"/>
              <w:bottom w:val="nil"/>
              <w:right w:val="single" w:sz="4" w:space="0" w:color="auto"/>
            </w:tcBorders>
            <w:shd w:val="clear" w:color="auto" w:fill="auto"/>
            <w:noWrap/>
            <w:vAlign w:val="bottom"/>
            <w:hideMark/>
          </w:tcPr>
          <w:p w14:paraId="44051803"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09" w:type="pct"/>
            <w:tcBorders>
              <w:top w:val="nil"/>
              <w:left w:val="nil"/>
              <w:bottom w:val="nil"/>
              <w:right w:val="nil"/>
            </w:tcBorders>
            <w:shd w:val="clear" w:color="auto" w:fill="auto"/>
            <w:noWrap/>
            <w:vAlign w:val="bottom"/>
            <w:hideMark/>
          </w:tcPr>
          <w:p w14:paraId="127714F7" w14:textId="77777777" w:rsidR="004C18AD" w:rsidRPr="000C156A" w:rsidRDefault="004C18AD" w:rsidP="00042C67">
            <w:pPr>
              <w:overflowPunct/>
              <w:autoSpaceDE/>
              <w:autoSpaceDN/>
              <w:adjustRightInd/>
              <w:spacing w:before="0"/>
              <w:textAlignment w:val="auto"/>
              <w:rPr>
                <w:rFonts w:cs="Calibri"/>
                <w:sz w:val="20"/>
                <w:lang w:eastAsia="en-GB"/>
              </w:rPr>
            </w:pPr>
          </w:p>
        </w:tc>
        <w:tc>
          <w:tcPr>
            <w:tcW w:w="388" w:type="pct"/>
            <w:tcBorders>
              <w:top w:val="nil"/>
              <w:left w:val="single" w:sz="4" w:space="0" w:color="auto"/>
              <w:bottom w:val="nil"/>
              <w:right w:val="single" w:sz="4" w:space="0" w:color="auto"/>
            </w:tcBorders>
            <w:shd w:val="clear" w:color="auto" w:fill="auto"/>
            <w:noWrap/>
            <w:vAlign w:val="bottom"/>
            <w:hideMark/>
          </w:tcPr>
          <w:p w14:paraId="7D6C1474"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303" w:type="pct"/>
            <w:tcBorders>
              <w:top w:val="nil"/>
              <w:left w:val="nil"/>
              <w:bottom w:val="nil"/>
              <w:right w:val="single" w:sz="4" w:space="0" w:color="auto"/>
            </w:tcBorders>
            <w:shd w:val="clear" w:color="auto" w:fill="auto"/>
            <w:noWrap/>
            <w:vAlign w:val="bottom"/>
            <w:hideMark/>
          </w:tcPr>
          <w:p w14:paraId="3659A658"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72" w:type="pct"/>
            <w:tcBorders>
              <w:top w:val="nil"/>
              <w:left w:val="nil"/>
              <w:bottom w:val="nil"/>
              <w:right w:val="single" w:sz="4" w:space="0" w:color="auto"/>
            </w:tcBorders>
            <w:shd w:val="clear" w:color="auto" w:fill="auto"/>
            <w:noWrap/>
            <w:vAlign w:val="bottom"/>
            <w:hideMark/>
          </w:tcPr>
          <w:p w14:paraId="284F4FB8"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r>
      <w:tr w:rsidR="00483BE4" w:rsidRPr="000C156A" w14:paraId="5507EDD0"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18B0A536"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rPr>
              <w:t>黎巴嫩</w:t>
            </w:r>
            <w:r w:rsidRPr="000C156A">
              <w:rPr>
                <w:sz w:val="20"/>
              </w:rPr>
              <w:t>TIT</w:t>
            </w:r>
          </w:p>
        </w:tc>
        <w:tc>
          <w:tcPr>
            <w:tcW w:w="757" w:type="pct"/>
            <w:tcBorders>
              <w:top w:val="nil"/>
              <w:left w:val="single" w:sz="4" w:space="0" w:color="auto"/>
              <w:bottom w:val="nil"/>
              <w:right w:val="single" w:sz="4" w:space="0" w:color="auto"/>
            </w:tcBorders>
            <w:shd w:val="clear" w:color="auto" w:fill="auto"/>
            <w:noWrap/>
            <w:vAlign w:val="bottom"/>
            <w:hideMark/>
          </w:tcPr>
          <w:p w14:paraId="4BBED4BE" w14:textId="77777777" w:rsidR="004C18AD" w:rsidRPr="000C156A" w:rsidRDefault="004C18AD" w:rsidP="00042C67">
            <w:pPr>
              <w:overflowPunct/>
              <w:autoSpaceDE/>
              <w:autoSpaceDN/>
              <w:adjustRightInd/>
              <w:spacing w:before="0"/>
              <w:textAlignment w:val="auto"/>
              <w:rPr>
                <w:sz w:val="20"/>
                <w:lang w:eastAsia="zh-CN"/>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2008</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hideMark/>
          </w:tcPr>
          <w:p w14:paraId="72F46BD7" w14:textId="77777777" w:rsidR="004C18AD" w:rsidRPr="000C156A" w:rsidRDefault="004C18AD" w:rsidP="00042C67">
            <w:pPr>
              <w:jc w:val="right"/>
              <w:rPr>
                <w:rFonts w:cs="Calibri"/>
                <w:sz w:val="20"/>
                <w:lang w:eastAsia="en-GB"/>
              </w:rPr>
            </w:pPr>
            <w:r w:rsidRPr="003A300A">
              <w:rPr>
                <w:rFonts w:cs="Calibri"/>
                <w:sz w:val="20"/>
                <w:lang w:val="en-US"/>
              </w:rPr>
              <w:t>25</w:t>
            </w:r>
            <w:r>
              <w:rPr>
                <w:rFonts w:cs="Calibri"/>
                <w:sz w:val="20"/>
                <w:lang w:val="en-US"/>
              </w:rPr>
              <w:t> </w:t>
            </w:r>
            <w:r w:rsidRPr="003A300A">
              <w:rPr>
                <w:rFonts w:cs="Calibri"/>
                <w:sz w:val="20"/>
                <w:lang w:val="en-US"/>
              </w:rPr>
              <w:t>000.00</w:t>
            </w:r>
          </w:p>
        </w:tc>
        <w:tc>
          <w:tcPr>
            <w:tcW w:w="795" w:type="pct"/>
            <w:tcBorders>
              <w:top w:val="nil"/>
              <w:left w:val="single" w:sz="4" w:space="0" w:color="auto"/>
              <w:bottom w:val="nil"/>
              <w:right w:val="single" w:sz="4" w:space="0" w:color="auto"/>
            </w:tcBorders>
            <w:shd w:val="clear" w:color="auto" w:fill="auto"/>
            <w:noWrap/>
            <w:vAlign w:val="bottom"/>
            <w:hideMark/>
          </w:tcPr>
          <w:p w14:paraId="25DA09BF" w14:textId="77777777" w:rsidR="004C18AD" w:rsidRPr="000C156A" w:rsidRDefault="004C18AD" w:rsidP="00042C67">
            <w:pPr>
              <w:jc w:val="right"/>
              <w:rPr>
                <w:rFonts w:cs="Calibri"/>
                <w:sz w:val="20"/>
                <w:lang w:eastAsia="en-GB"/>
              </w:rPr>
            </w:pPr>
            <w:r w:rsidRPr="003A300A">
              <w:rPr>
                <w:rFonts w:cs="Calibri"/>
                <w:sz w:val="20"/>
                <w:lang w:val="en-US"/>
              </w:rPr>
              <w:t>50</w:t>
            </w:r>
            <w:r>
              <w:rPr>
                <w:rFonts w:cs="Calibri"/>
                <w:sz w:val="20"/>
                <w:lang w:val="en-US"/>
              </w:rPr>
              <w:t> </w:t>
            </w:r>
            <w:r w:rsidRPr="003A300A">
              <w:rPr>
                <w:rFonts w:cs="Calibri"/>
                <w:sz w:val="20"/>
                <w:lang w:val="en-US"/>
              </w:rPr>
              <w:t>304.80</w:t>
            </w:r>
          </w:p>
        </w:tc>
        <w:tc>
          <w:tcPr>
            <w:tcW w:w="409" w:type="pct"/>
            <w:tcBorders>
              <w:top w:val="nil"/>
              <w:left w:val="nil"/>
              <w:bottom w:val="nil"/>
              <w:right w:val="nil"/>
            </w:tcBorders>
            <w:shd w:val="clear" w:color="auto" w:fill="auto"/>
            <w:noWrap/>
            <w:vAlign w:val="bottom"/>
            <w:hideMark/>
          </w:tcPr>
          <w:p w14:paraId="38B4BAEE" w14:textId="77777777" w:rsidR="004C18AD" w:rsidRPr="000C156A" w:rsidRDefault="004C18AD" w:rsidP="00042C67">
            <w:pPr>
              <w:jc w:val="right"/>
              <w:rPr>
                <w:rFonts w:cs="Calibri"/>
                <w:sz w:val="20"/>
                <w:lang w:eastAsia="en-GB"/>
              </w:rPr>
            </w:pPr>
            <w:r w:rsidRPr="003A300A">
              <w:rPr>
                <w:rFonts w:cs="Calibri"/>
                <w:sz w:val="20"/>
                <w:lang w:val="en-US"/>
              </w:rPr>
              <w:t>-50</w:t>
            </w:r>
            <w:r>
              <w:rPr>
                <w:rFonts w:cs="Calibri"/>
                <w:sz w:val="20"/>
                <w:lang w:val="en-US"/>
              </w:rPr>
              <w:t> </w:t>
            </w:r>
            <w:r w:rsidRPr="003A300A">
              <w:rPr>
                <w:rFonts w:cs="Calibri"/>
                <w:sz w:val="20"/>
                <w:lang w:val="en-US"/>
              </w:rPr>
              <w:t>304.80</w:t>
            </w:r>
          </w:p>
        </w:tc>
        <w:tc>
          <w:tcPr>
            <w:tcW w:w="388" w:type="pct"/>
            <w:tcBorders>
              <w:top w:val="nil"/>
              <w:left w:val="single" w:sz="4" w:space="0" w:color="auto"/>
              <w:bottom w:val="nil"/>
              <w:right w:val="single" w:sz="4" w:space="0" w:color="auto"/>
            </w:tcBorders>
            <w:shd w:val="clear" w:color="auto" w:fill="auto"/>
            <w:noWrap/>
            <w:vAlign w:val="bottom"/>
            <w:hideMark/>
          </w:tcPr>
          <w:p w14:paraId="08740E70"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03" w:type="pct"/>
            <w:tcBorders>
              <w:top w:val="nil"/>
              <w:left w:val="nil"/>
              <w:bottom w:val="nil"/>
              <w:right w:val="single" w:sz="4" w:space="0" w:color="auto"/>
            </w:tcBorders>
            <w:shd w:val="clear" w:color="auto" w:fill="auto"/>
            <w:noWrap/>
            <w:vAlign w:val="bottom"/>
            <w:hideMark/>
          </w:tcPr>
          <w:p w14:paraId="675A8739"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hideMark/>
          </w:tcPr>
          <w:p w14:paraId="170279D0" w14:textId="77777777" w:rsidR="004C18AD" w:rsidRPr="000C156A" w:rsidRDefault="004C18AD" w:rsidP="00042C67">
            <w:pPr>
              <w:jc w:val="right"/>
              <w:rPr>
                <w:rFonts w:cs="Calibri"/>
                <w:sz w:val="20"/>
                <w:lang w:eastAsia="en-GB"/>
              </w:rPr>
            </w:pPr>
            <w:r w:rsidRPr="003A300A">
              <w:rPr>
                <w:rFonts w:cs="Calibri"/>
                <w:sz w:val="20"/>
                <w:lang w:val="en-US"/>
              </w:rPr>
              <w:t>0.00</w:t>
            </w:r>
          </w:p>
        </w:tc>
      </w:tr>
      <w:tr w:rsidR="00483BE4" w:rsidRPr="000C156A" w14:paraId="661F9119" w14:textId="77777777" w:rsidTr="00483BE4">
        <w:trPr>
          <w:trHeight w:val="255"/>
        </w:trPr>
        <w:tc>
          <w:tcPr>
            <w:tcW w:w="1388" w:type="pct"/>
            <w:tcBorders>
              <w:top w:val="nil"/>
              <w:left w:val="single" w:sz="4" w:space="0" w:color="auto"/>
              <w:bottom w:val="nil"/>
              <w:right w:val="nil"/>
            </w:tcBorders>
            <w:shd w:val="clear" w:color="auto" w:fill="auto"/>
            <w:noWrap/>
            <w:vAlign w:val="bottom"/>
            <w:hideMark/>
          </w:tcPr>
          <w:p w14:paraId="2C3B28D1"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rPr>
              <w:t>喀麦隆</w:t>
            </w:r>
            <w:r w:rsidRPr="000C156A">
              <w:rPr>
                <w:sz w:val="20"/>
                <w:lang w:eastAsia="zh-CN"/>
              </w:rPr>
              <w:t xml:space="preserve"> – </w:t>
            </w:r>
            <w:r w:rsidRPr="000C156A">
              <w:rPr>
                <w:rFonts w:hint="eastAsia"/>
                <w:sz w:val="20"/>
              </w:rPr>
              <w:t>喀麦隆</w:t>
            </w:r>
            <w:r w:rsidRPr="000C156A">
              <w:rPr>
                <w:rFonts w:hint="eastAsia"/>
                <w:sz w:val="20"/>
                <w:lang w:eastAsia="zh-CN"/>
              </w:rPr>
              <w:t>电信</w:t>
            </w:r>
          </w:p>
        </w:tc>
        <w:tc>
          <w:tcPr>
            <w:tcW w:w="757" w:type="pct"/>
            <w:tcBorders>
              <w:top w:val="nil"/>
              <w:left w:val="single" w:sz="4" w:space="0" w:color="auto"/>
              <w:bottom w:val="nil"/>
              <w:right w:val="single" w:sz="4" w:space="0" w:color="auto"/>
            </w:tcBorders>
            <w:shd w:val="clear" w:color="auto" w:fill="auto"/>
            <w:noWrap/>
            <w:vAlign w:val="bottom"/>
            <w:hideMark/>
          </w:tcPr>
          <w:p w14:paraId="7499B51C" w14:textId="77777777" w:rsidR="004C18AD" w:rsidRPr="000C156A" w:rsidRDefault="004C18AD" w:rsidP="00042C67">
            <w:pPr>
              <w:overflowPunct/>
              <w:autoSpaceDE/>
              <w:autoSpaceDN/>
              <w:adjustRightInd/>
              <w:spacing w:before="0"/>
              <w:textAlignment w:val="auto"/>
              <w:rPr>
                <w:sz w:val="20"/>
                <w:lang w:eastAsia="zh-CN"/>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2014</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hideMark/>
          </w:tcPr>
          <w:p w14:paraId="47C5F58C" w14:textId="77777777" w:rsidR="004C18AD" w:rsidRPr="000C156A" w:rsidRDefault="004C18AD" w:rsidP="00042C67">
            <w:pPr>
              <w:jc w:val="right"/>
              <w:rPr>
                <w:rFonts w:cs="Calibri"/>
                <w:sz w:val="20"/>
                <w:lang w:eastAsia="en-GB"/>
              </w:rPr>
            </w:pPr>
            <w:r w:rsidRPr="003A300A">
              <w:rPr>
                <w:rFonts w:cs="Calibri"/>
                <w:sz w:val="20"/>
                <w:lang w:val="en-US"/>
              </w:rPr>
              <w:t>149</w:t>
            </w:r>
            <w:r>
              <w:rPr>
                <w:rFonts w:cs="Calibri"/>
                <w:sz w:val="20"/>
                <w:lang w:val="en-US"/>
              </w:rPr>
              <w:t> </w:t>
            </w:r>
            <w:r w:rsidRPr="003A300A">
              <w:rPr>
                <w:rFonts w:cs="Calibri"/>
                <w:sz w:val="20"/>
                <w:lang w:val="en-US"/>
              </w:rPr>
              <w:t>588.50</w:t>
            </w:r>
          </w:p>
        </w:tc>
        <w:tc>
          <w:tcPr>
            <w:tcW w:w="795" w:type="pct"/>
            <w:tcBorders>
              <w:top w:val="nil"/>
              <w:left w:val="single" w:sz="4" w:space="0" w:color="auto"/>
              <w:bottom w:val="nil"/>
              <w:right w:val="single" w:sz="4" w:space="0" w:color="auto"/>
            </w:tcBorders>
            <w:shd w:val="clear" w:color="auto" w:fill="auto"/>
            <w:noWrap/>
            <w:vAlign w:val="bottom"/>
            <w:hideMark/>
          </w:tcPr>
          <w:p w14:paraId="1069D7CD" w14:textId="77777777" w:rsidR="004C18AD" w:rsidRPr="000C156A" w:rsidRDefault="004C18AD" w:rsidP="00042C67">
            <w:pPr>
              <w:jc w:val="right"/>
              <w:rPr>
                <w:rFonts w:cs="Calibri"/>
                <w:sz w:val="20"/>
                <w:lang w:eastAsia="en-GB"/>
              </w:rPr>
            </w:pPr>
            <w:r w:rsidRPr="003A300A">
              <w:rPr>
                <w:rFonts w:cs="Calibri"/>
                <w:sz w:val="20"/>
                <w:lang w:val="en-US"/>
              </w:rPr>
              <w:t>190</w:t>
            </w:r>
            <w:r>
              <w:rPr>
                <w:rFonts w:cs="Calibri"/>
                <w:sz w:val="20"/>
                <w:lang w:val="en-US"/>
              </w:rPr>
              <w:t> </w:t>
            </w:r>
            <w:r w:rsidRPr="003A300A">
              <w:rPr>
                <w:rFonts w:cs="Calibri"/>
                <w:sz w:val="20"/>
                <w:lang w:val="en-US"/>
              </w:rPr>
              <w:t>283.70</w:t>
            </w:r>
          </w:p>
        </w:tc>
        <w:tc>
          <w:tcPr>
            <w:tcW w:w="409" w:type="pct"/>
            <w:tcBorders>
              <w:top w:val="nil"/>
              <w:left w:val="nil"/>
              <w:bottom w:val="nil"/>
              <w:right w:val="nil"/>
            </w:tcBorders>
            <w:shd w:val="clear" w:color="auto" w:fill="auto"/>
            <w:noWrap/>
            <w:vAlign w:val="bottom"/>
            <w:hideMark/>
          </w:tcPr>
          <w:p w14:paraId="47888214" w14:textId="77777777" w:rsidR="004C18AD" w:rsidRPr="000C156A" w:rsidRDefault="004C18AD" w:rsidP="00042C67">
            <w:pPr>
              <w:jc w:val="right"/>
              <w:rPr>
                <w:rFonts w:cs="Calibri"/>
                <w:sz w:val="20"/>
                <w:lang w:eastAsia="en-GB"/>
              </w:rPr>
            </w:pPr>
            <w:r w:rsidRPr="003A300A">
              <w:rPr>
                <w:rFonts w:cs="Calibri"/>
                <w:sz w:val="20"/>
                <w:lang w:val="en-US"/>
              </w:rPr>
              <w:t>-190</w:t>
            </w:r>
            <w:r>
              <w:rPr>
                <w:rFonts w:cs="Calibri"/>
                <w:sz w:val="20"/>
                <w:lang w:val="en-US"/>
              </w:rPr>
              <w:t> </w:t>
            </w:r>
            <w:r w:rsidRPr="003A300A">
              <w:rPr>
                <w:rFonts w:cs="Calibri"/>
                <w:sz w:val="20"/>
                <w:lang w:val="en-US"/>
              </w:rPr>
              <w:t>283.70</w:t>
            </w:r>
          </w:p>
        </w:tc>
        <w:tc>
          <w:tcPr>
            <w:tcW w:w="388" w:type="pct"/>
            <w:tcBorders>
              <w:top w:val="nil"/>
              <w:left w:val="single" w:sz="4" w:space="0" w:color="auto"/>
              <w:bottom w:val="nil"/>
              <w:right w:val="single" w:sz="4" w:space="0" w:color="auto"/>
            </w:tcBorders>
            <w:shd w:val="clear" w:color="auto" w:fill="auto"/>
            <w:noWrap/>
            <w:vAlign w:val="bottom"/>
            <w:hideMark/>
          </w:tcPr>
          <w:p w14:paraId="5AF3125B"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03" w:type="pct"/>
            <w:tcBorders>
              <w:top w:val="nil"/>
              <w:left w:val="nil"/>
              <w:bottom w:val="nil"/>
              <w:right w:val="single" w:sz="4" w:space="0" w:color="auto"/>
            </w:tcBorders>
            <w:shd w:val="clear" w:color="auto" w:fill="auto"/>
            <w:noWrap/>
            <w:vAlign w:val="bottom"/>
            <w:hideMark/>
          </w:tcPr>
          <w:p w14:paraId="3A1405C6"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hideMark/>
          </w:tcPr>
          <w:p w14:paraId="2D2E592B" w14:textId="77777777" w:rsidR="004C18AD" w:rsidRPr="000C156A" w:rsidRDefault="004C18AD" w:rsidP="00042C67">
            <w:pPr>
              <w:jc w:val="right"/>
              <w:rPr>
                <w:rFonts w:cs="Calibri"/>
                <w:sz w:val="20"/>
                <w:lang w:eastAsia="en-GB"/>
              </w:rPr>
            </w:pPr>
            <w:r w:rsidRPr="003A300A">
              <w:rPr>
                <w:rFonts w:cs="Calibri"/>
                <w:sz w:val="20"/>
                <w:lang w:val="en-US"/>
              </w:rPr>
              <w:t>0.00</w:t>
            </w:r>
          </w:p>
        </w:tc>
      </w:tr>
      <w:tr w:rsidR="00483BE4" w:rsidRPr="000C156A" w14:paraId="1F6500D7" w14:textId="77777777" w:rsidTr="00483BE4">
        <w:trPr>
          <w:trHeight w:val="142"/>
        </w:trPr>
        <w:tc>
          <w:tcPr>
            <w:tcW w:w="1388" w:type="pct"/>
            <w:tcBorders>
              <w:top w:val="nil"/>
              <w:left w:val="single" w:sz="4" w:space="0" w:color="auto"/>
              <w:bottom w:val="nil"/>
              <w:right w:val="nil"/>
            </w:tcBorders>
            <w:shd w:val="clear" w:color="auto" w:fill="auto"/>
            <w:noWrap/>
            <w:vAlign w:val="bottom"/>
            <w:hideMark/>
          </w:tcPr>
          <w:p w14:paraId="640E5B0D" w14:textId="3A099F89" w:rsidR="004C18AD" w:rsidRPr="0076544D" w:rsidRDefault="004C18AD" w:rsidP="00042C67">
            <w:pPr>
              <w:overflowPunct/>
              <w:autoSpaceDE/>
              <w:autoSpaceDN/>
              <w:adjustRightInd/>
              <w:spacing w:before="0"/>
              <w:textAlignment w:val="auto"/>
              <w:rPr>
                <w:rFonts w:cs="Calibri"/>
                <w:sz w:val="20"/>
                <w:lang w:val="fr-CH" w:eastAsia="en-GB"/>
              </w:rPr>
            </w:pPr>
            <w:r w:rsidRPr="000C156A">
              <w:rPr>
                <w:rFonts w:hint="eastAsia"/>
                <w:sz w:val="20"/>
              </w:rPr>
              <w:t>瑞士</w:t>
            </w:r>
            <w:r w:rsidRPr="00F8370D">
              <w:rPr>
                <w:rFonts w:hint="eastAsia"/>
                <w:sz w:val="20"/>
              </w:rPr>
              <w:t>实习无国界组织</w:t>
            </w:r>
            <w:r w:rsidR="00483BE4" w:rsidRPr="0076544D">
              <w:rPr>
                <w:sz w:val="20"/>
                <w:lang w:val="fr-CH"/>
              </w:rPr>
              <w:br/>
            </w:r>
            <w:r w:rsidRPr="0076544D">
              <w:rPr>
                <w:rFonts w:hint="eastAsia"/>
                <w:sz w:val="20"/>
                <w:lang w:val="fr-CH"/>
              </w:rPr>
              <w:t>（</w:t>
            </w:r>
            <w:r w:rsidRPr="0076544D">
              <w:rPr>
                <w:rFonts w:hint="eastAsia"/>
                <w:sz w:val="20"/>
                <w:lang w:val="fr-CH"/>
              </w:rPr>
              <w:t>Apprentissages sans frontières</w:t>
            </w:r>
            <w:r w:rsidRPr="0076544D">
              <w:rPr>
                <w:rFonts w:hint="eastAsia"/>
                <w:sz w:val="20"/>
                <w:lang w:val="fr-CH" w:eastAsia="zh-CN"/>
              </w:rPr>
              <w:t>）</w:t>
            </w:r>
          </w:p>
        </w:tc>
        <w:tc>
          <w:tcPr>
            <w:tcW w:w="757" w:type="pct"/>
            <w:tcBorders>
              <w:top w:val="nil"/>
              <w:left w:val="single" w:sz="4" w:space="0" w:color="auto"/>
              <w:bottom w:val="nil"/>
              <w:right w:val="single" w:sz="4" w:space="0" w:color="auto"/>
            </w:tcBorders>
            <w:shd w:val="clear" w:color="auto" w:fill="auto"/>
            <w:noWrap/>
            <w:vAlign w:val="bottom"/>
            <w:hideMark/>
          </w:tcPr>
          <w:p w14:paraId="15C7DBF0" w14:textId="77777777" w:rsidR="004C18AD" w:rsidRPr="000C156A" w:rsidRDefault="004C18AD" w:rsidP="00042C67">
            <w:pPr>
              <w:overflowPunct/>
              <w:autoSpaceDE/>
              <w:autoSpaceDN/>
              <w:adjustRightInd/>
              <w:spacing w:before="0"/>
              <w:textAlignment w:val="auto"/>
              <w:rPr>
                <w:sz w:val="20"/>
                <w:lang w:eastAsia="zh-CN"/>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Pr>
                <w:sz w:val="20"/>
                <w:lang w:eastAsia="zh-CN"/>
              </w:rPr>
              <w:t>– 201</w:t>
            </w:r>
            <w:r>
              <w:rPr>
                <w:rFonts w:hint="eastAsia"/>
                <w:sz w:val="20"/>
                <w:lang w:eastAsia="zh-CN"/>
              </w:rPr>
              <w:t>6</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hideMark/>
          </w:tcPr>
          <w:p w14:paraId="2F4D5457" w14:textId="77777777" w:rsidR="004C18AD" w:rsidRPr="000C156A" w:rsidRDefault="004C18AD" w:rsidP="00042C67">
            <w:pPr>
              <w:jc w:val="right"/>
              <w:rPr>
                <w:rFonts w:cs="Calibri"/>
                <w:sz w:val="20"/>
                <w:lang w:eastAsia="en-GB"/>
              </w:rPr>
            </w:pPr>
            <w:r w:rsidRPr="003A300A">
              <w:rPr>
                <w:rFonts w:cs="Calibri"/>
                <w:sz w:val="20"/>
                <w:lang w:val="en-US"/>
              </w:rPr>
              <w:t>6</w:t>
            </w:r>
            <w:r>
              <w:rPr>
                <w:rFonts w:cs="Calibri"/>
                <w:sz w:val="20"/>
                <w:lang w:val="en-US"/>
              </w:rPr>
              <w:t> </w:t>
            </w:r>
            <w:r w:rsidRPr="003A300A">
              <w:rPr>
                <w:rFonts w:cs="Calibri"/>
                <w:sz w:val="20"/>
                <w:lang w:val="en-US"/>
              </w:rPr>
              <w:t>658.15</w:t>
            </w:r>
          </w:p>
        </w:tc>
        <w:tc>
          <w:tcPr>
            <w:tcW w:w="795" w:type="pct"/>
            <w:tcBorders>
              <w:top w:val="nil"/>
              <w:left w:val="single" w:sz="4" w:space="0" w:color="auto"/>
              <w:bottom w:val="nil"/>
              <w:right w:val="single" w:sz="4" w:space="0" w:color="auto"/>
            </w:tcBorders>
            <w:shd w:val="clear" w:color="auto" w:fill="auto"/>
            <w:noWrap/>
            <w:vAlign w:val="bottom"/>
            <w:hideMark/>
          </w:tcPr>
          <w:p w14:paraId="44A95264" w14:textId="77777777" w:rsidR="004C18AD" w:rsidRPr="000C156A" w:rsidRDefault="004C18AD" w:rsidP="00042C67">
            <w:pPr>
              <w:jc w:val="right"/>
              <w:rPr>
                <w:rFonts w:cs="Calibri"/>
                <w:sz w:val="20"/>
                <w:lang w:eastAsia="en-GB"/>
              </w:rPr>
            </w:pPr>
            <w:r w:rsidRPr="003A300A">
              <w:rPr>
                <w:rFonts w:cs="Calibri"/>
                <w:sz w:val="20"/>
                <w:lang w:val="en-US"/>
              </w:rPr>
              <w:t>8</w:t>
            </w:r>
            <w:r>
              <w:rPr>
                <w:rFonts w:cs="Calibri"/>
                <w:sz w:val="20"/>
                <w:lang w:val="en-US"/>
              </w:rPr>
              <w:t> </w:t>
            </w:r>
            <w:r w:rsidRPr="003A300A">
              <w:rPr>
                <w:rFonts w:cs="Calibri"/>
                <w:sz w:val="20"/>
                <w:lang w:val="en-US"/>
              </w:rPr>
              <w:t>658.00</w:t>
            </w:r>
          </w:p>
        </w:tc>
        <w:tc>
          <w:tcPr>
            <w:tcW w:w="409" w:type="pct"/>
            <w:tcBorders>
              <w:top w:val="nil"/>
              <w:left w:val="nil"/>
              <w:bottom w:val="nil"/>
              <w:right w:val="nil"/>
            </w:tcBorders>
            <w:shd w:val="clear" w:color="auto" w:fill="auto"/>
            <w:noWrap/>
            <w:vAlign w:val="bottom"/>
            <w:hideMark/>
          </w:tcPr>
          <w:p w14:paraId="2ECA966E"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88" w:type="pct"/>
            <w:tcBorders>
              <w:top w:val="nil"/>
              <w:left w:val="single" w:sz="4" w:space="0" w:color="auto"/>
              <w:bottom w:val="nil"/>
              <w:right w:val="single" w:sz="4" w:space="0" w:color="auto"/>
            </w:tcBorders>
            <w:shd w:val="clear" w:color="auto" w:fill="auto"/>
            <w:noWrap/>
            <w:vAlign w:val="bottom"/>
            <w:hideMark/>
          </w:tcPr>
          <w:p w14:paraId="2CF9B41B" w14:textId="77777777" w:rsidR="004C18AD" w:rsidRPr="000C156A" w:rsidRDefault="004C18AD" w:rsidP="00042C67">
            <w:pPr>
              <w:jc w:val="right"/>
              <w:rPr>
                <w:rFonts w:cs="Calibri"/>
                <w:sz w:val="20"/>
                <w:lang w:eastAsia="en-GB"/>
              </w:rPr>
            </w:pPr>
            <w:r w:rsidRPr="003A300A">
              <w:rPr>
                <w:rFonts w:cs="Calibri"/>
                <w:sz w:val="20"/>
                <w:lang w:val="en-US"/>
              </w:rPr>
              <w:t>519.50</w:t>
            </w:r>
          </w:p>
        </w:tc>
        <w:tc>
          <w:tcPr>
            <w:tcW w:w="303" w:type="pct"/>
            <w:tcBorders>
              <w:top w:val="nil"/>
              <w:left w:val="nil"/>
              <w:bottom w:val="nil"/>
              <w:right w:val="single" w:sz="4" w:space="0" w:color="auto"/>
            </w:tcBorders>
            <w:shd w:val="clear" w:color="auto" w:fill="auto"/>
            <w:noWrap/>
            <w:vAlign w:val="bottom"/>
            <w:hideMark/>
          </w:tcPr>
          <w:p w14:paraId="027F47DA"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hideMark/>
          </w:tcPr>
          <w:p w14:paraId="67F43A14" w14:textId="77777777" w:rsidR="004C18AD" w:rsidRPr="000C156A" w:rsidRDefault="004C18AD" w:rsidP="00042C67">
            <w:pPr>
              <w:jc w:val="right"/>
              <w:rPr>
                <w:rFonts w:cs="Calibri"/>
                <w:sz w:val="20"/>
                <w:lang w:eastAsia="en-GB"/>
              </w:rPr>
            </w:pPr>
            <w:r w:rsidRPr="003A300A">
              <w:rPr>
                <w:rFonts w:cs="Calibri"/>
                <w:sz w:val="20"/>
                <w:lang w:val="en-US"/>
              </w:rPr>
              <w:t>9</w:t>
            </w:r>
            <w:r>
              <w:rPr>
                <w:rFonts w:cs="Calibri"/>
                <w:sz w:val="20"/>
                <w:lang w:val="en-US"/>
              </w:rPr>
              <w:t> </w:t>
            </w:r>
            <w:r w:rsidRPr="003A300A">
              <w:rPr>
                <w:rFonts w:cs="Calibri"/>
                <w:sz w:val="20"/>
                <w:lang w:val="en-US"/>
              </w:rPr>
              <w:t>177.50</w:t>
            </w:r>
          </w:p>
        </w:tc>
      </w:tr>
      <w:tr w:rsidR="00483BE4" w:rsidRPr="000C156A" w14:paraId="7AE95B58" w14:textId="77777777" w:rsidTr="00483BE4">
        <w:trPr>
          <w:trHeight w:val="308"/>
        </w:trPr>
        <w:tc>
          <w:tcPr>
            <w:tcW w:w="1388" w:type="pct"/>
            <w:tcBorders>
              <w:top w:val="nil"/>
              <w:left w:val="single" w:sz="4" w:space="0" w:color="auto"/>
              <w:bottom w:val="nil"/>
              <w:right w:val="nil"/>
            </w:tcBorders>
            <w:shd w:val="clear" w:color="auto" w:fill="auto"/>
            <w:vAlign w:val="bottom"/>
            <w:hideMark/>
          </w:tcPr>
          <w:p w14:paraId="00DDEDFC"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rPr>
              <w:t>美国</w:t>
            </w:r>
            <w:r w:rsidRPr="000C156A">
              <w:rPr>
                <w:sz w:val="20"/>
              </w:rPr>
              <w:t>Ellipsat</w:t>
            </w:r>
            <w:r w:rsidRPr="000C156A">
              <w:rPr>
                <w:rFonts w:hint="eastAsia"/>
                <w:sz w:val="20"/>
                <w:lang w:eastAsia="zh-CN"/>
              </w:rPr>
              <w:t>公司</w:t>
            </w:r>
          </w:p>
        </w:tc>
        <w:tc>
          <w:tcPr>
            <w:tcW w:w="757" w:type="pct"/>
            <w:tcBorders>
              <w:top w:val="nil"/>
              <w:left w:val="single" w:sz="4" w:space="0" w:color="auto"/>
              <w:bottom w:val="nil"/>
              <w:right w:val="single" w:sz="4" w:space="0" w:color="auto"/>
            </w:tcBorders>
            <w:shd w:val="clear" w:color="auto" w:fill="auto"/>
            <w:noWrap/>
            <w:vAlign w:val="bottom"/>
            <w:hideMark/>
          </w:tcPr>
          <w:p w14:paraId="5CFF80A9"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hint="eastAsia"/>
                <w:sz w:val="20"/>
                <w:lang w:eastAsia="zh-CN"/>
              </w:rPr>
              <w:t>第</w:t>
            </w:r>
            <w:r w:rsidRPr="000C156A">
              <w:rPr>
                <w:sz w:val="20"/>
                <w:lang w:eastAsia="zh-CN"/>
              </w:rPr>
              <w:t>41</w:t>
            </w:r>
            <w:r w:rsidRPr="000C156A">
              <w:rPr>
                <w:rFonts w:hint="eastAsia"/>
                <w:sz w:val="20"/>
                <w:lang w:eastAsia="zh-CN"/>
              </w:rPr>
              <w:t>号决议</w:t>
            </w:r>
            <w:r w:rsidRPr="000C156A">
              <w:rPr>
                <w:rFonts w:hint="eastAsia"/>
                <w:sz w:val="20"/>
                <w:lang w:eastAsia="zh-CN"/>
              </w:rPr>
              <w:t xml:space="preserve"> </w:t>
            </w:r>
            <w:r w:rsidRPr="000C156A">
              <w:rPr>
                <w:sz w:val="20"/>
                <w:lang w:eastAsia="zh-CN"/>
              </w:rPr>
              <w:t xml:space="preserve">– </w:t>
            </w:r>
            <w:r>
              <w:rPr>
                <w:sz w:val="20"/>
              </w:rPr>
              <w:t>201</w:t>
            </w:r>
            <w:r>
              <w:rPr>
                <w:rFonts w:hint="eastAsia"/>
                <w:sz w:val="20"/>
                <w:lang w:eastAsia="zh-CN"/>
              </w:rPr>
              <w:t>7</w:t>
            </w:r>
            <w:r w:rsidRPr="000C156A">
              <w:rPr>
                <w:rFonts w:hint="eastAsia"/>
                <w:sz w:val="20"/>
                <w:lang w:eastAsia="zh-CN"/>
              </w:rPr>
              <w:t>年</w:t>
            </w:r>
          </w:p>
        </w:tc>
        <w:tc>
          <w:tcPr>
            <w:tcW w:w="488" w:type="pct"/>
            <w:tcBorders>
              <w:top w:val="nil"/>
              <w:left w:val="nil"/>
              <w:bottom w:val="nil"/>
              <w:right w:val="nil"/>
            </w:tcBorders>
            <w:shd w:val="clear" w:color="auto" w:fill="auto"/>
            <w:noWrap/>
            <w:vAlign w:val="bottom"/>
            <w:hideMark/>
          </w:tcPr>
          <w:p w14:paraId="50F7C25D" w14:textId="77777777" w:rsidR="004C18AD" w:rsidRPr="000C156A" w:rsidRDefault="004C18AD" w:rsidP="00042C67">
            <w:pPr>
              <w:jc w:val="right"/>
              <w:rPr>
                <w:rFonts w:cs="Calibri"/>
                <w:sz w:val="20"/>
                <w:lang w:eastAsia="en-GB"/>
              </w:rPr>
            </w:pPr>
            <w:r w:rsidRPr="003A300A">
              <w:rPr>
                <w:rFonts w:cs="Calibri"/>
                <w:sz w:val="20"/>
                <w:lang w:val="en-US"/>
              </w:rPr>
              <w:t>27</w:t>
            </w:r>
            <w:r>
              <w:rPr>
                <w:rFonts w:cs="Calibri"/>
                <w:sz w:val="20"/>
                <w:lang w:val="en-US"/>
              </w:rPr>
              <w:t> </w:t>
            </w:r>
            <w:r w:rsidRPr="003A300A">
              <w:rPr>
                <w:rFonts w:cs="Calibri"/>
                <w:sz w:val="20"/>
                <w:lang w:val="en-US"/>
              </w:rPr>
              <w:t>865.90</w:t>
            </w:r>
          </w:p>
        </w:tc>
        <w:tc>
          <w:tcPr>
            <w:tcW w:w="795" w:type="pct"/>
            <w:tcBorders>
              <w:top w:val="nil"/>
              <w:left w:val="single" w:sz="4" w:space="0" w:color="auto"/>
              <w:bottom w:val="nil"/>
              <w:right w:val="single" w:sz="4" w:space="0" w:color="auto"/>
            </w:tcBorders>
            <w:shd w:val="clear" w:color="auto" w:fill="auto"/>
            <w:noWrap/>
            <w:vAlign w:val="bottom"/>
            <w:hideMark/>
          </w:tcPr>
          <w:p w14:paraId="4BE84F76" w14:textId="77777777" w:rsidR="004C18AD" w:rsidRPr="000C156A" w:rsidRDefault="004C18AD" w:rsidP="00042C67">
            <w:pPr>
              <w:jc w:val="right"/>
              <w:rPr>
                <w:rFonts w:cs="Calibri"/>
                <w:sz w:val="20"/>
                <w:lang w:eastAsia="en-GB"/>
              </w:rPr>
            </w:pPr>
            <w:r w:rsidRPr="003A300A">
              <w:rPr>
                <w:rFonts w:cs="Calibri"/>
                <w:sz w:val="20"/>
                <w:lang w:val="en-US"/>
              </w:rPr>
              <w:t>33</w:t>
            </w:r>
            <w:r>
              <w:rPr>
                <w:rFonts w:cs="Calibri"/>
                <w:sz w:val="20"/>
                <w:lang w:val="en-US"/>
              </w:rPr>
              <w:t> </w:t>
            </w:r>
            <w:r w:rsidRPr="003A300A">
              <w:rPr>
                <w:rFonts w:cs="Calibri"/>
                <w:sz w:val="20"/>
                <w:lang w:val="en-US"/>
              </w:rPr>
              <w:t>188.70</w:t>
            </w:r>
          </w:p>
        </w:tc>
        <w:tc>
          <w:tcPr>
            <w:tcW w:w="409" w:type="pct"/>
            <w:tcBorders>
              <w:top w:val="nil"/>
              <w:left w:val="nil"/>
              <w:bottom w:val="nil"/>
              <w:right w:val="nil"/>
            </w:tcBorders>
            <w:shd w:val="clear" w:color="auto" w:fill="auto"/>
            <w:noWrap/>
            <w:vAlign w:val="bottom"/>
            <w:hideMark/>
          </w:tcPr>
          <w:p w14:paraId="2A3D4E5D"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388" w:type="pct"/>
            <w:tcBorders>
              <w:top w:val="nil"/>
              <w:left w:val="single" w:sz="4" w:space="0" w:color="auto"/>
              <w:bottom w:val="nil"/>
              <w:right w:val="single" w:sz="4" w:space="0" w:color="auto"/>
            </w:tcBorders>
            <w:shd w:val="clear" w:color="auto" w:fill="auto"/>
            <w:noWrap/>
            <w:vAlign w:val="bottom"/>
            <w:hideMark/>
          </w:tcPr>
          <w:p w14:paraId="0CF4203A" w14:textId="77777777" w:rsidR="004C18AD" w:rsidRPr="000C156A" w:rsidRDefault="004C18AD" w:rsidP="00042C67">
            <w:pPr>
              <w:jc w:val="right"/>
              <w:rPr>
                <w:rFonts w:cs="Calibri"/>
                <w:sz w:val="20"/>
                <w:lang w:eastAsia="en-GB"/>
              </w:rPr>
            </w:pPr>
            <w:r w:rsidRPr="003A300A">
              <w:rPr>
                <w:rFonts w:cs="Calibri"/>
                <w:sz w:val="20"/>
                <w:lang w:val="en-US"/>
              </w:rPr>
              <w:t>1</w:t>
            </w:r>
            <w:r>
              <w:rPr>
                <w:rFonts w:cs="Calibri"/>
                <w:sz w:val="20"/>
                <w:lang w:val="en-US"/>
              </w:rPr>
              <w:t> </w:t>
            </w:r>
            <w:r w:rsidRPr="003A300A">
              <w:rPr>
                <w:rFonts w:cs="Calibri"/>
                <w:sz w:val="20"/>
                <w:lang w:val="en-US"/>
              </w:rPr>
              <w:t>991.35</w:t>
            </w:r>
          </w:p>
        </w:tc>
        <w:tc>
          <w:tcPr>
            <w:tcW w:w="303" w:type="pct"/>
            <w:tcBorders>
              <w:top w:val="nil"/>
              <w:left w:val="nil"/>
              <w:bottom w:val="nil"/>
              <w:right w:val="single" w:sz="4" w:space="0" w:color="auto"/>
            </w:tcBorders>
            <w:shd w:val="clear" w:color="auto" w:fill="auto"/>
            <w:noWrap/>
            <w:vAlign w:val="bottom"/>
            <w:hideMark/>
          </w:tcPr>
          <w:p w14:paraId="0C850DC4" w14:textId="77777777" w:rsidR="004C18AD" w:rsidRPr="000C156A" w:rsidRDefault="004C18AD" w:rsidP="00042C67">
            <w:pPr>
              <w:jc w:val="right"/>
              <w:rPr>
                <w:rFonts w:cs="Calibri"/>
                <w:sz w:val="20"/>
                <w:lang w:eastAsia="en-GB"/>
              </w:rPr>
            </w:pPr>
            <w:r w:rsidRPr="003A300A">
              <w:rPr>
                <w:rFonts w:cs="Calibri"/>
                <w:sz w:val="20"/>
                <w:lang w:val="en-US"/>
              </w:rPr>
              <w:t>0.00</w:t>
            </w:r>
          </w:p>
        </w:tc>
        <w:tc>
          <w:tcPr>
            <w:tcW w:w="472" w:type="pct"/>
            <w:tcBorders>
              <w:top w:val="nil"/>
              <w:left w:val="nil"/>
              <w:bottom w:val="nil"/>
              <w:right w:val="single" w:sz="4" w:space="0" w:color="auto"/>
            </w:tcBorders>
            <w:shd w:val="clear" w:color="auto" w:fill="auto"/>
            <w:noWrap/>
            <w:vAlign w:val="bottom"/>
            <w:hideMark/>
          </w:tcPr>
          <w:p w14:paraId="676DD09F" w14:textId="77777777" w:rsidR="004C18AD" w:rsidRPr="000C156A" w:rsidRDefault="004C18AD" w:rsidP="00042C67">
            <w:pPr>
              <w:jc w:val="right"/>
              <w:rPr>
                <w:rFonts w:cs="Calibri"/>
                <w:sz w:val="20"/>
                <w:lang w:eastAsia="en-GB"/>
              </w:rPr>
            </w:pPr>
            <w:r w:rsidRPr="003A300A">
              <w:rPr>
                <w:rFonts w:cs="Calibri"/>
                <w:sz w:val="20"/>
                <w:lang w:val="en-US"/>
              </w:rPr>
              <w:t>35</w:t>
            </w:r>
            <w:r>
              <w:rPr>
                <w:rFonts w:cs="Calibri"/>
                <w:sz w:val="20"/>
                <w:lang w:val="en-US"/>
              </w:rPr>
              <w:t> </w:t>
            </w:r>
            <w:r w:rsidRPr="003A300A">
              <w:rPr>
                <w:rFonts w:cs="Calibri"/>
                <w:sz w:val="20"/>
                <w:lang w:val="en-US"/>
              </w:rPr>
              <w:t>180.05</w:t>
            </w:r>
          </w:p>
        </w:tc>
      </w:tr>
      <w:tr w:rsidR="00483BE4" w:rsidRPr="000C156A" w14:paraId="389E9E88" w14:textId="77777777" w:rsidTr="00483BE4">
        <w:trPr>
          <w:trHeight w:val="255"/>
        </w:trPr>
        <w:tc>
          <w:tcPr>
            <w:tcW w:w="1388" w:type="pct"/>
            <w:tcBorders>
              <w:top w:val="nil"/>
              <w:left w:val="single" w:sz="4" w:space="0" w:color="auto"/>
              <w:bottom w:val="single" w:sz="4" w:space="0" w:color="auto"/>
              <w:right w:val="nil"/>
            </w:tcBorders>
            <w:shd w:val="clear" w:color="auto" w:fill="auto"/>
            <w:vAlign w:val="bottom"/>
            <w:hideMark/>
          </w:tcPr>
          <w:p w14:paraId="65623B46"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757" w:type="pct"/>
            <w:tcBorders>
              <w:top w:val="nil"/>
              <w:left w:val="single" w:sz="4" w:space="0" w:color="auto"/>
              <w:bottom w:val="single" w:sz="4" w:space="0" w:color="auto"/>
              <w:right w:val="single" w:sz="4" w:space="0" w:color="auto"/>
            </w:tcBorders>
            <w:shd w:val="clear" w:color="auto" w:fill="auto"/>
            <w:noWrap/>
            <w:vAlign w:val="bottom"/>
            <w:hideMark/>
          </w:tcPr>
          <w:p w14:paraId="0488D376"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88" w:type="pct"/>
            <w:tcBorders>
              <w:top w:val="nil"/>
              <w:left w:val="nil"/>
              <w:bottom w:val="single" w:sz="4" w:space="0" w:color="auto"/>
              <w:right w:val="nil"/>
            </w:tcBorders>
            <w:shd w:val="clear" w:color="auto" w:fill="auto"/>
            <w:noWrap/>
            <w:vAlign w:val="bottom"/>
            <w:hideMark/>
          </w:tcPr>
          <w:p w14:paraId="1024FFFB" w14:textId="77777777" w:rsidR="004C18AD" w:rsidRPr="000C156A" w:rsidRDefault="004C18AD" w:rsidP="00042C67">
            <w:pPr>
              <w:rPr>
                <w:rFonts w:ascii="Times New Roman" w:hAnsi="Times New Roman"/>
                <w:sz w:val="20"/>
                <w:lang w:eastAsia="en-GB"/>
              </w:rPr>
            </w:pPr>
          </w:p>
        </w:tc>
        <w:tc>
          <w:tcPr>
            <w:tcW w:w="795" w:type="pct"/>
            <w:tcBorders>
              <w:top w:val="nil"/>
              <w:left w:val="single" w:sz="4" w:space="0" w:color="auto"/>
              <w:bottom w:val="single" w:sz="4" w:space="0" w:color="auto"/>
              <w:right w:val="single" w:sz="4" w:space="0" w:color="auto"/>
            </w:tcBorders>
            <w:shd w:val="clear" w:color="auto" w:fill="auto"/>
            <w:noWrap/>
            <w:vAlign w:val="bottom"/>
            <w:hideMark/>
          </w:tcPr>
          <w:p w14:paraId="767CF6CE" w14:textId="77777777" w:rsidR="004C18AD" w:rsidRPr="000C156A" w:rsidRDefault="004C18AD" w:rsidP="00042C67">
            <w:pPr>
              <w:rPr>
                <w:rFonts w:ascii="Times New Roman" w:hAnsi="Times New Roman"/>
                <w:sz w:val="20"/>
                <w:lang w:eastAsia="en-GB"/>
              </w:rPr>
            </w:pPr>
          </w:p>
        </w:tc>
        <w:tc>
          <w:tcPr>
            <w:tcW w:w="409" w:type="pct"/>
            <w:tcBorders>
              <w:top w:val="nil"/>
              <w:left w:val="nil"/>
              <w:bottom w:val="single" w:sz="4" w:space="0" w:color="auto"/>
              <w:right w:val="nil"/>
            </w:tcBorders>
            <w:shd w:val="clear" w:color="auto" w:fill="auto"/>
            <w:noWrap/>
            <w:vAlign w:val="bottom"/>
            <w:hideMark/>
          </w:tcPr>
          <w:p w14:paraId="331526A3" w14:textId="77777777" w:rsidR="004C18AD" w:rsidRPr="000C156A" w:rsidRDefault="004C18AD" w:rsidP="00042C67">
            <w:pPr>
              <w:rPr>
                <w:rFonts w:ascii="Times New Roman" w:hAnsi="Times New Roman"/>
                <w:sz w:val="20"/>
                <w:lang w:eastAsia="en-GB"/>
              </w:rPr>
            </w:pPr>
          </w:p>
        </w:tc>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4D7800F9" w14:textId="77777777" w:rsidR="004C18AD" w:rsidRPr="000C156A" w:rsidRDefault="004C18AD" w:rsidP="00042C67">
            <w:pPr>
              <w:rPr>
                <w:rFonts w:ascii="Times New Roman" w:hAnsi="Times New Roman"/>
                <w:sz w:val="20"/>
                <w:lang w:eastAsia="en-GB"/>
              </w:rPr>
            </w:pPr>
          </w:p>
        </w:tc>
        <w:tc>
          <w:tcPr>
            <w:tcW w:w="303" w:type="pct"/>
            <w:tcBorders>
              <w:top w:val="nil"/>
              <w:left w:val="nil"/>
              <w:bottom w:val="single" w:sz="4" w:space="0" w:color="auto"/>
              <w:right w:val="single" w:sz="4" w:space="0" w:color="auto"/>
            </w:tcBorders>
            <w:shd w:val="clear" w:color="auto" w:fill="auto"/>
            <w:noWrap/>
            <w:vAlign w:val="bottom"/>
            <w:hideMark/>
          </w:tcPr>
          <w:p w14:paraId="0FCA2E6C" w14:textId="77777777" w:rsidR="004C18AD" w:rsidRPr="000C156A" w:rsidRDefault="004C18AD" w:rsidP="00042C67">
            <w:pPr>
              <w:rPr>
                <w:rFonts w:ascii="Times New Roman" w:hAnsi="Times New Roman"/>
                <w:sz w:val="20"/>
                <w:lang w:eastAsia="en-GB"/>
              </w:rPr>
            </w:pPr>
          </w:p>
        </w:tc>
        <w:tc>
          <w:tcPr>
            <w:tcW w:w="472" w:type="pct"/>
            <w:tcBorders>
              <w:top w:val="nil"/>
              <w:left w:val="nil"/>
              <w:bottom w:val="single" w:sz="4" w:space="0" w:color="auto"/>
              <w:right w:val="single" w:sz="4" w:space="0" w:color="auto"/>
            </w:tcBorders>
            <w:shd w:val="clear" w:color="auto" w:fill="auto"/>
            <w:noWrap/>
            <w:vAlign w:val="bottom"/>
            <w:hideMark/>
          </w:tcPr>
          <w:p w14:paraId="5A63902B" w14:textId="77777777" w:rsidR="004C18AD" w:rsidRPr="000C156A" w:rsidRDefault="004C18AD" w:rsidP="00042C67">
            <w:pPr>
              <w:rPr>
                <w:rFonts w:ascii="Times New Roman" w:hAnsi="Times New Roman"/>
                <w:sz w:val="20"/>
                <w:lang w:eastAsia="en-GB"/>
              </w:rPr>
            </w:pPr>
          </w:p>
        </w:tc>
      </w:tr>
      <w:tr w:rsidR="00483BE4" w:rsidRPr="000C156A" w14:paraId="3C36C6E1" w14:textId="77777777" w:rsidTr="00483BE4">
        <w:trPr>
          <w:trHeight w:val="255"/>
        </w:trPr>
        <w:tc>
          <w:tcPr>
            <w:tcW w:w="1388" w:type="pct"/>
            <w:tcBorders>
              <w:top w:val="nil"/>
              <w:left w:val="single" w:sz="4" w:space="0" w:color="auto"/>
              <w:bottom w:val="single" w:sz="4" w:space="0" w:color="auto"/>
              <w:right w:val="nil"/>
            </w:tcBorders>
            <w:shd w:val="clear" w:color="auto" w:fill="auto"/>
            <w:noWrap/>
            <w:vAlign w:val="bottom"/>
            <w:hideMark/>
          </w:tcPr>
          <w:p w14:paraId="3834AA3D" w14:textId="77777777" w:rsidR="004C18AD" w:rsidRPr="000C156A" w:rsidRDefault="004C18AD" w:rsidP="00042C67">
            <w:pPr>
              <w:overflowPunct/>
              <w:autoSpaceDE/>
              <w:autoSpaceDN/>
              <w:adjustRightInd/>
              <w:spacing w:before="0"/>
              <w:textAlignment w:val="auto"/>
              <w:rPr>
                <w:rFonts w:cs="Calibri"/>
                <w:b/>
                <w:bCs/>
                <w:sz w:val="20"/>
                <w:lang w:eastAsia="en-GB"/>
              </w:rPr>
            </w:pPr>
            <w:r>
              <w:rPr>
                <w:rFonts w:cs="Calibri"/>
                <w:b/>
                <w:bCs/>
                <w:sz w:val="20"/>
                <w:lang w:eastAsia="en-GB"/>
              </w:rPr>
              <w:t>202</w:t>
            </w:r>
            <w:r>
              <w:rPr>
                <w:rFonts w:cs="Calibri" w:hint="eastAsia"/>
                <w:b/>
                <w:bCs/>
                <w:sz w:val="20"/>
                <w:lang w:eastAsia="zh-CN"/>
              </w:rPr>
              <w:t>1</w:t>
            </w:r>
            <w:r w:rsidRPr="000C156A">
              <w:rPr>
                <w:rFonts w:cs="Calibri" w:hint="eastAsia"/>
                <w:b/>
                <w:bCs/>
                <w:sz w:val="20"/>
                <w:lang w:eastAsia="en-GB"/>
              </w:rPr>
              <w:t>年</w:t>
            </w:r>
            <w:r w:rsidRPr="000C156A">
              <w:rPr>
                <w:rFonts w:cs="Calibri"/>
                <w:b/>
                <w:bCs/>
                <w:sz w:val="20"/>
                <w:lang w:eastAsia="en-GB"/>
              </w:rPr>
              <w:t>12</w:t>
            </w:r>
            <w:r w:rsidRPr="000C156A">
              <w:rPr>
                <w:rFonts w:cs="Calibri" w:hint="eastAsia"/>
                <w:b/>
                <w:bCs/>
                <w:sz w:val="20"/>
                <w:lang w:eastAsia="en-GB"/>
              </w:rPr>
              <w:t>月</w:t>
            </w:r>
            <w:r w:rsidRPr="000C156A">
              <w:rPr>
                <w:rFonts w:cs="Calibri"/>
                <w:b/>
                <w:bCs/>
                <w:sz w:val="20"/>
                <w:lang w:eastAsia="en-GB"/>
              </w:rPr>
              <w:t>31</w:t>
            </w:r>
            <w:r w:rsidRPr="000C156A">
              <w:rPr>
                <w:rFonts w:cs="Calibri" w:hint="eastAsia"/>
                <w:b/>
                <w:bCs/>
                <w:sz w:val="20"/>
                <w:lang w:eastAsia="en-GB"/>
              </w:rPr>
              <w:t>日</w:t>
            </w:r>
            <w:r>
              <w:rPr>
                <w:rFonts w:cs="Calibri" w:hint="eastAsia"/>
                <w:b/>
                <w:bCs/>
                <w:sz w:val="20"/>
                <w:lang w:eastAsia="zh-CN"/>
              </w:rPr>
              <w:t>合</w:t>
            </w:r>
            <w:r w:rsidRPr="000C156A">
              <w:rPr>
                <w:rFonts w:cs="Calibri" w:hint="eastAsia"/>
                <w:b/>
                <w:bCs/>
                <w:sz w:val="20"/>
                <w:lang w:eastAsia="en-GB"/>
              </w:rPr>
              <w:t>计</w:t>
            </w:r>
          </w:p>
        </w:tc>
        <w:tc>
          <w:tcPr>
            <w:tcW w:w="757" w:type="pct"/>
            <w:tcBorders>
              <w:top w:val="nil"/>
              <w:left w:val="single" w:sz="4" w:space="0" w:color="auto"/>
              <w:bottom w:val="single" w:sz="4" w:space="0" w:color="auto"/>
              <w:right w:val="single" w:sz="4" w:space="0" w:color="auto"/>
            </w:tcBorders>
            <w:shd w:val="clear" w:color="auto" w:fill="auto"/>
            <w:noWrap/>
            <w:vAlign w:val="bottom"/>
            <w:hideMark/>
          </w:tcPr>
          <w:p w14:paraId="5773B00A" w14:textId="77777777" w:rsidR="004C18AD" w:rsidRPr="000C156A" w:rsidRDefault="004C18AD" w:rsidP="00042C67">
            <w:pPr>
              <w:overflowPunct/>
              <w:autoSpaceDE/>
              <w:autoSpaceDN/>
              <w:adjustRightInd/>
              <w:spacing w:before="0"/>
              <w:textAlignment w:val="auto"/>
              <w:rPr>
                <w:rFonts w:cs="Calibri"/>
                <w:sz w:val="20"/>
                <w:lang w:eastAsia="en-GB"/>
              </w:rPr>
            </w:pPr>
            <w:r w:rsidRPr="000C156A">
              <w:rPr>
                <w:rFonts w:cs="Calibri"/>
                <w:sz w:val="20"/>
                <w:lang w:eastAsia="en-GB"/>
              </w:rPr>
              <w:t> </w:t>
            </w:r>
          </w:p>
        </w:tc>
        <w:tc>
          <w:tcPr>
            <w:tcW w:w="488" w:type="pct"/>
            <w:tcBorders>
              <w:top w:val="nil"/>
              <w:left w:val="nil"/>
              <w:bottom w:val="single" w:sz="4" w:space="0" w:color="auto"/>
              <w:right w:val="nil"/>
            </w:tcBorders>
            <w:shd w:val="clear" w:color="auto" w:fill="auto"/>
            <w:noWrap/>
            <w:vAlign w:val="bottom"/>
            <w:hideMark/>
          </w:tcPr>
          <w:p w14:paraId="0C354D39" w14:textId="77777777" w:rsidR="004C18AD" w:rsidRPr="000C156A" w:rsidRDefault="004C18AD" w:rsidP="00042C67">
            <w:pPr>
              <w:jc w:val="right"/>
              <w:rPr>
                <w:rFonts w:cs="Calibri"/>
                <w:b/>
                <w:bCs/>
                <w:sz w:val="20"/>
                <w:u w:val="single"/>
                <w:lang w:eastAsia="en-GB"/>
              </w:rPr>
            </w:pPr>
            <w:r w:rsidRPr="003A300A">
              <w:rPr>
                <w:rFonts w:cs="Calibri"/>
                <w:b/>
                <w:bCs/>
                <w:sz w:val="20"/>
                <w:u w:val="single"/>
                <w:lang w:val="en-US"/>
              </w:rPr>
              <w:t>11</w:t>
            </w:r>
            <w:r>
              <w:rPr>
                <w:rFonts w:cs="Calibri"/>
                <w:b/>
                <w:bCs/>
                <w:sz w:val="20"/>
                <w:u w:val="single"/>
                <w:lang w:val="en-US"/>
              </w:rPr>
              <w:t> </w:t>
            </w:r>
            <w:r w:rsidRPr="003A300A">
              <w:rPr>
                <w:rFonts w:cs="Calibri"/>
                <w:b/>
                <w:bCs/>
                <w:sz w:val="20"/>
                <w:u w:val="single"/>
                <w:lang w:val="en-US"/>
              </w:rPr>
              <w:t>873</w:t>
            </w:r>
            <w:r>
              <w:rPr>
                <w:rFonts w:cs="Calibri"/>
                <w:b/>
                <w:bCs/>
                <w:sz w:val="20"/>
                <w:u w:val="single"/>
                <w:lang w:val="en-US"/>
              </w:rPr>
              <w:t> </w:t>
            </w:r>
            <w:r w:rsidRPr="003A300A">
              <w:rPr>
                <w:rFonts w:cs="Calibri"/>
                <w:b/>
                <w:bCs/>
                <w:sz w:val="20"/>
                <w:u w:val="single"/>
                <w:lang w:val="en-US"/>
              </w:rPr>
              <w:t>883.47</w:t>
            </w:r>
          </w:p>
        </w:tc>
        <w:tc>
          <w:tcPr>
            <w:tcW w:w="795" w:type="pct"/>
            <w:tcBorders>
              <w:top w:val="nil"/>
              <w:left w:val="single" w:sz="4" w:space="0" w:color="auto"/>
              <w:bottom w:val="single" w:sz="4" w:space="0" w:color="auto"/>
              <w:right w:val="single" w:sz="4" w:space="0" w:color="auto"/>
            </w:tcBorders>
            <w:shd w:val="clear" w:color="auto" w:fill="auto"/>
            <w:noWrap/>
            <w:vAlign w:val="bottom"/>
            <w:hideMark/>
          </w:tcPr>
          <w:p w14:paraId="73E03229" w14:textId="77777777" w:rsidR="004C18AD" w:rsidRPr="000C156A" w:rsidRDefault="004C18AD" w:rsidP="00042C67">
            <w:pPr>
              <w:jc w:val="right"/>
              <w:rPr>
                <w:rFonts w:cs="Calibri"/>
                <w:b/>
                <w:bCs/>
                <w:sz w:val="20"/>
                <w:u w:val="single"/>
                <w:lang w:eastAsia="en-GB"/>
              </w:rPr>
            </w:pPr>
            <w:r w:rsidRPr="003A300A">
              <w:rPr>
                <w:rFonts w:cs="Calibri"/>
                <w:b/>
                <w:bCs/>
                <w:sz w:val="20"/>
                <w:u w:val="single"/>
                <w:lang w:val="en-US"/>
              </w:rPr>
              <w:t>12</w:t>
            </w:r>
            <w:r>
              <w:rPr>
                <w:rFonts w:cs="Calibri"/>
                <w:b/>
                <w:bCs/>
                <w:sz w:val="20"/>
                <w:u w:val="single"/>
                <w:lang w:val="en-US"/>
              </w:rPr>
              <w:t> </w:t>
            </w:r>
            <w:r w:rsidRPr="003A300A">
              <w:rPr>
                <w:rFonts w:cs="Calibri"/>
                <w:b/>
                <w:bCs/>
                <w:sz w:val="20"/>
                <w:u w:val="single"/>
                <w:lang w:val="en-US"/>
              </w:rPr>
              <w:t>948</w:t>
            </w:r>
            <w:r>
              <w:rPr>
                <w:rFonts w:cs="Calibri"/>
                <w:b/>
                <w:bCs/>
                <w:sz w:val="20"/>
                <w:u w:val="single"/>
                <w:lang w:val="en-US"/>
              </w:rPr>
              <w:t> </w:t>
            </w:r>
            <w:r w:rsidRPr="003A300A">
              <w:rPr>
                <w:rFonts w:cs="Calibri"/>
                <w:b/>
                <w:bCs/>
                <w:sz w:val="20"/>
                <w:u w:val="single"/>
                <w:lang w:val="en-US"/>
              </w:rPr>
              <w:t>300.62</w:t>
            </w:r>
          </w:p>
        </w:tc>
        <w:tc>
          <w:tcPr>
            <w:tcW w:w="409" w:type="pct"/>
            <w:tcBorders>
              <w:top w:val="nil"/>
              <w:left w:val="nil"/>
              <w:bottom w:val="single" w:sz="4" w:space="0" w:color="auto"/>
              <w:right w:val="nil"/>
            </w:tcBorders>
            <w:shd w:val="clear" w:color="auto" w:fill="auto"/>
            <w:noWrap/>
            <w:vAlign w:val="bottom"/>
            <w:hideMark/>
          </w:tcPr>
          <w:p w14:paraId="7AF14068" w14:textId="77777777" w:rsidR="004C18AD" w:rsidRPr="000C156A" w:rsidRDefault="004C18AD" w:rsidP="00042C67">
            <w:pPr>
              <w:jc w:val="right"/>
              <w:rPr>
                <w:rFonts w:cs="Calibri"/>
                <w:b/>
                <w:bCs/>
                <w:sz w:val="20"/>
                <w:u w:val="single"/>
                <w:lang w:eastAsia="en-GB"/>
              </w:rPr>
            </w:pPr>
            <w:r w:rsidRPr="003A300A">
              <w:rPr>
                <w:rFonts w:cs="Calibri"/>
                <w:b/>
                <w:bCs/>
                <w:sz w:val="20"/>
                <w:u w:val="single"/>
                <w:lang w:val="en-US"/>
              </w:rPr>
              <w:t>-303</w:t>
            </w:r>
            <w:r>
              <w:rPr>
                <w:rFonts w:cs="Calibri"/>
                <w:b/>
                <w:bCs/>
                <w:sz w:val="20"/>
                <w:u w:val="single"/>
                <w:lang w:val="en-US"/>
              </w:rPr>
              <w:t> </w:t>
            </w:r>
            <w:r w:rsidRPr="003A300A">
              <w:rPr>
                <w:rFonts w:cs="Calibri"/>
                <w:b/>
                <w:bCs/>
                <w:sz w:val="20"/>
                <w:u w:val="single"/>
                <w:lang w:val="en-US"/>
              </w:rPr>
              <w:t>173.31</w:t>
            </w:r>
          </w:p>
        </w:tc>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1440DD2E" w14:textId="77777777" w:rsidR="004C18AD" w:rsidRPr="000C156A" w:rsidRDefault="004C18AD" w:rsidP="00042C67">
            <w:pPr>
              <w:jc w:val="right"/>
              <w:rPr>
                <w:rFonts w:cs="Calibri"/>
                <w:b/>
                <w:bCs/>
                <w:sz w:val="20"/>
                <w:u w:val="single"/>
                <w:lang w:eastAsia="en-GB"/>
              </w:rPr>
            </w:pPr>
            <w:r w:rsidRPr="003A300A">
              <w:rPr>
                <w:rFonts w:cs="Calibri"/>
                <w:b/>
                <w:bCs/>
                <w:sz w:val="20"/>
                <w:u w:val="single"/>
                <w:lang w:val="en-US"/>
              </w:rPr>
              <w:t>655</w:t>
            </w:r>
            <w:r>
              <w:rPr>
                <w:rFonts w:cs="Calibri"/>
                <w:b/>
                <w:bCs/>
                <w:sz w:val="20"/>
                <w:u w:val="single"/>
                <w:lang w:val="en-US"/>
              </w:rPr>
              <w:t> </w:t>
            </w:r>
            <w:r w:rsidRPr="003A300A">
              <w:rPr>
                <w:rFonts w:cs="Calibri"/>
                <w:b/>
                <w:bCs/>
                <w:sz w:val="20"/>
                <w:u w:val="single"/>
                <w:lang w:val="en-US"/>
              </w:rPr>
              <w:t>621.30</w:t>
            </w:r>
          </w:p>
        </w:tc>
        <w:tc>
          <w:tcPr>
            <w:tcW w:w="303" w:type="pct"/>
            <w:tcBorders>
              <w:top w:val="nil"/>
              <w:left w:val="nil"/>
              <w:bottom w:val="single" w:sz="4" w:space="0" w:color="auto"/>
              <w:right w:val="nil"/>
            </w:tcBorders>
            <w:shd w:val="clear" w:color="auto" w:fill="auto"/>
            <w:noWrap/>
            <w:vAlign w:val="bottom"/>
            <w:hideMark/>
          </w:tcPr>
          <w:p w14:paraId="1771E9E2" w14:textId="77777777" w:rsidR="004C18AD" w:rsidRPr="000C156A" w:rsidRDefault="004C18AD" w:rsidP="00042C67">
            <w:pPr>
              <w:jc w:val="right"/>
              <w:rPr>
                <w:rFonts w:cs="Calibri"/>
                <w:b/>
                <w:bCs/>
                <w:sz w:val="20"/>
                <w:u w:val="single"/>
                <w:lang w:eastAsia="en-GB"/>
              </w:rPr>
            </w:pPr>
            <w:r w:rsidRPr="003A300A">
              <w:rPr>
                <w:rFonts w:cs="Calibri"/>
                <w:b/>
                <w:bCs/>
                <w:sz w:val="20"/>
                <w:u w:val="single"/>
                <w:lang w:val="en-US"/>
              </w:rPr>
              <w:t>0.00</w:t>
            </w:r>
          </w:p>
        </w:tc>
        <w:tc>
          <w:tcPr>
            <w:tcW w:w="472" w:type="pct"/>
            <w:tcBorders>
              <w:top w:val="nil"/>
              <w:left w:val="single" w:sz="4" w:space="0" w:color="auto"/>
              <w:bottom w:val="single" w:sz="4" w:space="0" w:color="auto"/>
              <w:right w:val="single" w:sz="4" w:space="0" w:color="auto"/>
            </w:tcBorders>
            <w:shd w:val="clear" w:color="auto" w:fill="auto"/>
            <w:noWrap/>
            <w:vAlign w:val="bottom"/>
            <w:hideMark/>
          </w:tcPr>
          <w:p w14:paraId="0826311C" w14:textId="77777777" w:rsidR="004C18AD" w:rsidRPr="000C156A" w:rsidRDefault="004C18AD" w:rsidP="00042C67">
            <w:pPr>
              <w:jc w:val="right"/>
              <w:rPr>
                <w:rFonts w:cs="Calibri"/>
                <w:b/>
                <w:bCs/>
                <w:sz w:val="20"/>
                <w:u w:val="single"/>
                <w:lang w:eastAsia="en-GB"/>
              </w:rPr>
            </w:pPr>
            <w:r w:rsidRPr="003A300A">
              <w:rPr>
                <w:rFonts w:cs="Calibri"/>
                <w:b/>
                <w:bCs/>
                <w:sz w:val="20"/>
                <w:u w:val="single"/>
                <w:lang w:val="en-US"/>
              </w:rPr>
              <w:t>13</w:t>
            </w:r>
            <w:r>
              <w:rPr>
                <w:rFonts w:cs="Calibri"/>
                <w:b/>
                <w:bCs/>
                <w:sz w:val="20"/>
                <w:u w:val="single"/>
                <w:lang w:val="en-US"/>
              </w:rPr>
              <w:t> </w:t>
            </w:r>
            <w:r w:rsidRPr="003A300A">
              <w:rPr>
                <w:rFonts w:cs="Calibri"/>
                <w:b/>
                <w:bCs/>
                <w:sz w:val="20"/>
                <w:u w:val="single"/>
                <w:lang w:val="en-US"/>
              </w:rPr>
              <w:t>300</w:t>
            </w:r>
            <w:r>
              <w:rPr>
                <w:rFonts w:cs="Calibri"/>
                <w:b/>
                <w:bCs/>
                <w:sz w:val="20"/>
                <w:u w:val="single"/>
                <w:lang w:val="en-US"/>
              </w:rPr>
              <w:t> </w:t>
            </w:r>
            <w:r w:rsidRPr="003A300A">
              <w:rPr>
                <w:rFonts w:cs="Calibri"/>
                <w:b/>
                <w:bCs/>
                <w:sz w:val="20"/>
                <w:u w:val="single"/>
                <w:lang w:val="en-US"/>
              </w:rPr>
              <w:t>748.61</w:t>
            </w:r>
          </w:p>
        </w:tc>
      </w:tr>
    </w:tbl>
    <w:p w14:paraId="1C787910" w14:textId="77777777" w:rsidR="004C18AD" w:rsidRPr="000C156A" w:rsidRDefault="004C18AD" w:rsidP="004C18AD">
      <w:pPr>
        <w:rPr>
          <w:lang w:eastAsia="zh-CN"/>
        </w:rPr>
      </w:pPr>
    </w:p>
    <w:p w14:paraId="54C90DB0" w14:textId="77777777" w:rsidR="004C18AD" w:rsidRPr="000C156A" w:rsidRDefault="004C18AD" w:rsidP="004C18AD">
      <w:pPr>
        <w:rPr>
          <w:lang w:eastAsia="zh-CN"/>
        </w:rPr>
        <w:sectPr w:rsidR="004C18AD" w:rsidRPr="000C156A" w:rsidSect="00483BE4">
          <w:pgSz w:w="16834" w:h="11907" w:orient="landscape"/>
          <w:pgMar w:top="1134" w:right="1418" w:bottom="1134" w:left="1418" w:header="720" w:footer="720" w:gutter="0"/>
          <w:paperSrc w:first="15" w:other="15"/>
          <w:cols w:space="720"/>
          <w:titlePg/>
          <w:docGrid w:linePitch="326"/>
        </w:sectPr>
      </w:pPr>
    </w:p>
    <w:p w14:paraId="401EFF97" w14:textId="77777777" w:rsidR="004C18AD" w:rsidRPr="000C156A" w:rsidRDefault="004C18AD" w:rsidP="004C18AD">
      <w:pPr>
        <w:spacing w:before="0"/>
        <w:rPr>
          <w:b/>
          <w:bCs/>
          <w:lang w:val="fr-CH"/>
        </w:rPr>
      </w:pPr>
    </w:p>
    <w:tbl>
      <w:tblPr>
        <w:tblW w:w="5000" w:type="pct"/>
        <w:tblLayout w:type="fixed"/>
        <w:tblLook w:val="04A0" w:firstRow="1" w:lastRow="0" w:firstColumn="1" w:lastColumn="0" w:noHBand="0" w:noVBand="1"/>
      </w:tblPr>
      <w:tblGrid>
        <w:gridCol w:w="7748"/>
        <w:gridCol w:w="237"/>
        <w:gridCol w:w="1654"/>
      </w:tblGrid>
      <w:tr w:rsidR="004C18AD" w:rsidRPr="00E7101E" w14:paraId="35DFD16D" w14:textId="77777777" w:rsidTr="00042C67">
        <w:trPr>
          <w:trHeight w:val="300"/>
        </w:trPr>
        <w:tc>
          <w:tcPr>
            <w:tcW w:w="5000" w:type="pct"/>
            <w:gridSpan w:val="3"/>
            <w:tcBorders>
              <w:top w:val="nil"/>
              <w:left w:val="nil"/>
              <w:bottom w:val="nil"/>
              <w:right w:val="nil"/>
            </w:tcBorders>
            <w:shd w:val="clear" w:color="auto" w:fill="auto"/>
            <w:noWrap/>
            <w:vAlign w:val="bottom"/>
            <w:hideMark/>
          </w:tcPr>
          <w:p w14:paraId="004017DB" w14:textId="77777777" w:rsidR="004C18AD" w:rsidRPr="004815CE" w:rsidRDefault="004C18AD" w:rsidP="00042C67">
            <w:pPr>
              <w:pStyle w:val="Tabletitle"/>
              <w:spacing w:before="120" w:after="240"/>
              <w:rPr>
                <w:rFonts w:cs="Calibri"/>
                <w:b w:val="0"/>
                <w:bCs/>
                <w:color w:val="000000"/>
                <w:sz w:val="22"/>
                <w:szCs w:val="22"/>
                <w:u w:val="single"/>
                <w:lang w:val="fr-CH" w:eastAsia="en-GB"/>
              </w:rPr>
            </w:pPr>
            <w:r w:rsidRPr="000C156A">
              <w:rPr>
                <w:rFonts w:cs="Microsoft YaHei" w:hint="eastAsia"/>
                <w:sz w:val="28"/>
                <w:szCs w:val="28"/>
                <w:u w:val="single"/>
                <w:lang w:val="fr-FR"/>
              </w:rPr>
              <w:t>截至</w:t>
            </w:r>
            <w:r>
              <w:rPr>
                <w:rFonts w:cs="Microsoft YaHei"/>
                <w:sz w:val="28"/>
                <w:szCs w:val="28"/>
                <w:u w:val="single"/>
                <w:lang w:val="fr-FR"/>
              </w:rPr>
              <w:t>202</w:t>
            </w:r>
            <w:r>
              <w:rPr>
                <w:rFonts w:cs="Microsoft YaHei" w:hint="eastAsia"/>
                <w:sz w:val="28"/>
                <w:szCs w:val="28"/>
                <w:u w:val="single"/>
                <w:lang w:val="fr-FR" w:eastAsia="zh-CN"/>
              </w:rPr>
              <w:t>1</w:t>
            </w:r>
            <w:r w:rsidRPr="000C156A">
              <w:rPr>
                <w:rFonts w:cs="Microsoft YaHei" w:hint="eastAsia"/>
                <w:sz w:val="28"/>
                <w:szCs w:val="28"/>
                <w:u w:val="single"/>
                <w:lang w:val="fr-FR"/>
              </w:rPr>
              <w:t>年</w:t>
            </w:r>
            <w:r w:rsidRPr="000C156A">
              <w:rPr>
                <w:rFonts w:cs="Microsoft YaHei"/>
                <w:sz w:val="28"/>
                <w:szCs w:val="28"/>
                <w:u w:val="single"/>
                <w:lang w:val="fr-FR"/>
              </w:rPr>
              <w:t>12</w:t>
            </w:r>
            <w:r w:rsidRPr="000C156A">
              <w:rPr>
                <w:rFonts w:cs="Microsoft YaHei" w:hint="eastAsia"/>
                <w:sz w:val="28"/>
                <w:szCs w:val="28"/>
                <w:u w:val="single"/>
                <w:lang w:val="fr-FR"/>
              </w:rPr>
              <w:t>月</w:t>
            </w:r>
            <w:r w:rsidRPr="000C156A">
              <w:rPr>
                <w:rFonts w:cs="Microsoft YaHei"/>
                <w:sz w:val="28"/>
                <w:szCs w:val="28"/>
                <w:u w:val="single"/>
                <w:lang w:val="fr-FR"/>
              </w:rPr>
              <w:t>31</w:t>
            </w:r>
            <w:r w:rsidRPr="000C156A">
              <w:rPr>
                <w:rFonts w:cs="Microsoft YaHei" w:hint="eastAsia"/>
                <w:sz w:val="28"/>
                <w:szCs w:val="28"/>
                <w:u w:val="single"/>
                <w:lang w:val="fr-FR"/>
              </w:rPr>
              <w:t>日的欠款概要</w:t>
            </w:r>
          </w:p>
        </w:tc>
      </w:tr>
      <w:tr w:rsidR="004C18AD" w:rsidRPr="00E7101E" w14:paraId="3529331A" w14:textId="77777777" w:rsidTr="00042C67">
        <w:trPr>
          <w:trHeight w:val="300"/>
        </w:trPr>
        <w:tc>
          <w:tcPr>
            <w:tcW w:w="4019" w:type="pct"/>
            <w:tcBorders>
              <w:top w:val="nil"/>
              <w:left w:val="nil"/>
              <w:bottom w:val="nil"/>
              <w:right w:val="nil"/>
            </w:tcBorders>
            <w:shd w:val="clear" w:color="auto" w:fill="auto"/>
            <w:noWrap/>
            <w:vAlign w:val="bottom"/>
            <w:hideMark/>
          </w:tcPr>
          <w:p w14:paraId="66720429" w14:textId="77777777" w:rsidR="004C18AD" w:rsidRPr="004815CE" w:rsidRDefault="004C18AD" w:rsidP="00042C67">
            <w:pPr>
              <w:overflowPunct/>
              <w:autoSpaceDE/>
              <w:autoSpaceDN/>
              <w:adjustRightInd/>
              <w:spacing w:before="0"/>
              <w:jc w:val="center"/>
              <w:textAlignment w:val="auto"/>
              <w:rPr>
                <w:rFonts w:cs="Calibri"/>
                <w:b/>
                <w:bCs/>
                <w:color w:val="000000"/>
                <w:sz w:val="22"/>
                <w:szCs w:val="22"/>
                <w:u w:val="single"/>
                <w:lang w:val="fr-CH" w:eastAsia="en-GB"/>
              </w:rPr>
            </w:pPr>
          </w:p>
        </w:tc>
        <w:tc>
          <w:tcPr>
            <w:tcW w:w="123" w:type="pct"/>
            <w:tcBorders>
              <w:top w:val="nil"/>
              <w:left w:val="nil"/>
              <w:bottom w:val="nil"/>
              <w:right w:val="nil"/>
            </w:tcBorders>
            <w:shd w:val="clear" w:color="auto" w:fill="auto"/>
            <w:noWrap/>
            <w:vAlign w:val="bottom"/>
            <w:hideMark/>
          </w:tcPr>
          <w:p w14:paraId="3F167EA6" w14:textId="77777777" w:rsidR="004C18AD" w:rsidRPr="004815CE" w:rsidRDefault="004C18AD" w:rsidP="00042C67">
            <w:pPr>
              <w:overflowPunct/>
              <w:autoSpaceDE/>
              <w:autoSpaceDN/>
              <w:adjustRightInd/>
              <w:spacing w:before="0"/>
              <w:textAlignment w:val="auto"/>
              <w:rPr>
                <w:rFonts w:ascii="Times New Roman" w:hAnsi="Times New Roman"/>
                <w:sz w:val="22"/>
                <w:szCs w:val="22"/>
                <w:lang w:val="fr-CH" w:eastAsia="en-GB"/>
              </w:rPr>
            </w:pPr>
          </w:p>
        </w:tc>
        <w:tc>
          <w:tcPr>
            <w:tcW w:w="858" w:type="pct"/>
            <w:tcBorders>
              <w:top w:val="nil"/>
              <w:left w:val="nil"/>
              <w:bottom w:val="nil"/>
              <w:right w:val="nil"/>
            </w:tcBorders>
            <w:shd w:val="clear" w:color="auto" w:fill="auto"/>
            <w:noWrap/>
            <w:vAlign w:val="bottom"/>
            <w:hideMark/>
          </w:tcPr>
          <w:p w14:paraId="5D057368" w14:textId="77777777" w:rsidR="004C18AD" w:rsidRPr="004815CE" w:rsidRDefault="004C18AD" w:rsidP="00042C67">
            <w:pPr>
              <w:overflowPunct/>
              <w:autoSpaceDE/>
              <w:autoSpaceDN/>
              <w:adjustRightInd/>
              <w:spacing w:before="0"/>
              <w:textAlignment w:val="auto"/>
              <w:rPr>
                <w:rFonts w:ascii="Times New Roman" w:hAnsi="Times New Roman"/>
                <w:sz w:val="22"/>
                <w:szCs w:val="22"/>
                <w:lang w:val="fr-CH" w:eastAsia="en-GB"/>
              </w:rPr>
            </w:pPr>
          </w:p>
        </w:tc>
      </w:tr>
      <w:tr w:rsidR="004C18AD" w:rsidRPr="000C156A" w14:paraId="6FCC5529" w14:textId="77777777" w:rsidTr="00042C67">
        <w:trPr>
          <w:trHeight w:val="300"/>
        </w:trPr>
        <w:tc>
          <w:tcPr>
            <w:tcW w:w="4019" w:type="pct"/>
            <w:tcBorders>
              <w:top w:val="single" w:sz="4" w:space="0" w:color="auto"/>
              <w:left w:val="single" w:sz="4" w:space="0" w:color="auto"/>
              <w:bottom w:val="single" w:sz="4" w:space="0" w:color="auto"/>
              <w:right w:val="nil"/>
            </w:tcBorders>
            <w:shd w:val="clear" w:color="auto" w:fill="auto"/>
            <w:noWrap/>
            <w:vAlign w:val="bottom"/>
            <w:hideMark/>
          </w:tcPr>
          <w:p w14:paraId="089A2984" w14:textId="77777777" w:rsidR="004C18AD" w:rsidRPr="000C156A" w:rsidRDefault="004C18AD" w:rsidP="00042C67">
            <w:pPr>
              <w:overflowPunct/>
              <w:autoSpaceDE/>
              <w:autoSpaceDN/>
              <w:adjustRightInd/>
              <w:spacing w:before="40" w:after="40"/>
              <w:textAlignment w:val="auto"/>
              <w:rPr>
                <w:rFonts w:cs="Calibri"/>
                <w:b/>
                <w:bCs/>
                <w:sz w:val="22"/>
                <w:szCs w:val="22"/>
                <w:lang w:eastAsia="en-GB"/>
              </w:rPr>
            </w:pPr>
            <w:r w:rsidRPr="000C156A">
              <w:rPr>
                <w:rFonts w:asciiTheme="minorHAnsi" w:eastAsiaTheme="minorEastAsia" w:hAnsiTheme="minorHAnsi" w:cs="Calibri" w:hint="eastAsia"/>
                <w:b/>
                <w:bCs/>
                <w:sz w:val="22"/>
                <w:szCs w:val="22"/>
              </w:rPr>
              <w:t>欠款</w:t>
            </w:r>
          </w:p>
        </w:tc>
        <w:tc>
          <w:tcPr>
            <w:tcW w:w="123" w:type="pct"/>
            <w:tcBorders>
              <w:top w:val="single" w:sz="4" w:space="0" w:color="auto"/>
              <w:left w:val="nil"/>
              <w:bottom w:val="single" w:sz="4" w:space="0" w:color="auto"/>
              <w:right w:val="nil"/>
            </w:tcBorders>
            <w:shd w:val="clear" w:color="auto" w:fill="auto"/>
            <w:noWrap/>
            <w:vAlign w:val="bottom"/>
            <w:hideMark/>
          </w:tcPr>
          <w:p w14:paraId="1D3761DB" w14:textId="77777777" w:rsidR="004C18AD" w:rsidRPr="000C156A" w:rsidRDefault="004C18AD" w:rsidP="00042C67">
            <w:pPr>
              <w:overflowPunct/>
              <w:autoSpaceDE/>
              <w:autoSpaceDN/>
              <w:adjustRightInd/>
              <w:spacing w:before="40" w:after="40"/>
              <w:jc w:val="center"/>
              <w:textAlignment w:val="auto"/>
              <w:rPr>
                <w:rFonts w:cs="Calibri"/>
                <w:sz w:val="22"/>
                <w:szCs w:val="22"/>
                <w:lang w:eastAsia="en-GB"/>
              </w:rPr>
            </w:pPr>
            <w:r w:rsidRPr="000C156A">
              <w:rPr>
                <w:rFonts w:asciiTheme="minorHAnsi" w:eastAsiaTheme="minorEastAsia" w:hAnsiTheme="minorHAnsi"/>
                <w:sz w:val="22"/>
                <w:szCs w:val="22"/>
              </w:rPr>
              <w:t> </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B1CB2C" w14:textId="77777777" w:rsidR="004C18AD" w:rsidRPr="000C156A" w:rsidRDefault="004C18AD" w:rsidP="00042C67">
            <w:pPr>
              <w:overflowPunct/>
              <w:autoSpaceDE/>
              <w:autoSpaceDN/>
              <w:adjustRightInd/>
              <w:spacing w:before="40" w:after="40"/>
              <w:jc w:val="center"/>
              <w:textAlignment w:val="auto"/>
              <w:rPr>
                <w:rFonts w:cs="Calibri"/>
                <w:b/>
                <w:bCs/>
                <w:sz w:val="22"/>
                <w:szCs w:val="22"/>
                <w:lang w:eastAsia="en-GB"/>
              </w:rPr>
            </w:pPr>
            <w:r w:rsidRPr="000C156A">
              <w:rPr>
                <w:rFonts w:asciiTheme="minorHAnsi" w:eastAsiaTheme="minorEastAsia" w:hAnsiTheme="minorHAnsi" w:cs="Calibri" w:hint="eastAsia"/>
                <w:b/>
                <w:bCs/>
                <w:sz w:val="22"/>
                <w:szCs w:val="22"/>
                <w:lang w:eastAsia="zh-CN"/>
              </w:rPr>
              <w:t>瑞郎</w:t>
            </w:r>
          </w:p>
        </w:tc>
      </w:tr>
      <w:tr w:rsidR="004C18AD" w:rsidRPr="000C156A" w14:paraId="568B7FD0" w14:textId="77777777" w:rsidTr="00042C67">
        <w:trPr>
          <w:trHeight w:val="211"/>
        </w:trPr>
        <w:tc>
          <w:tcPr>
            <w:tcW w:w="4019" w:type="pct"/>
            <w:tcBorders>
              <w:top w:val="nil"/>
              <w:left w:val="single" w:sz="4" w:space="0" w:color="auto"/>
              <w:bottom w:val="nil"/>
              <w:right w:val="nil"/>
            </w:tcBorders>
            <w:shd w:val="clear" w:color="auto" w:fill="auto"/>
            <w:noWrap/>
            <w:vAlign w:val="bottom"/>
            <w:hideMark/>
          </w:tcPr>
          <w:p w14:paraId="0CEC019B" w14:textId="77777777" w:rsidR="004C18AD" w:rsidRPr="000C156A" w:rsidRDefault="004C18AD" w:rsidP="00042C67">
            <w:pPr>
              <w:overflowPunct/>
              <w:autoSpaceDE/>
              <w:autoSpaceDN/>
              <w:adjustRightInd/>
              <w:spacing w:before="40" w:after="40"/>
              <w:textAlignment w:val="auto"/>
              <w:rPr>
                <w:rFonts w:cs="Calibri"/>
                <w:sz w:val="22"/>
                <w:szCs w:val="22"/>
                <w:lang w:eastAsia="en-GB"/>
              </w:rPr>
            </w:pPr>
            <w:r w:rsidRPr="000C156A">
              <w:rPr>
                <w:rFonts w:asciiTheme="minorHAnsi" w:eastAsiaTheme="minorEastAsia" w:hAnsiTheme="minorHAnsi" w:cstheme="minorHAnsi" w:hint="eastAsia"/>
                <w:sz w:val="22"/>
                <w:szCs w:val="22"/>
                <w:lang w:eastAsia="zh-CN"/>
              </w:rPr>
              <w:t>会费</w:t>
            </w:r>
          </w:p>
        </w:tc>
        <w:tc>
          <w:tcPr>
            <w:tcW w:w="123" w:type="pct"/>
            <w:tcBorders>
              <w:top w:val="nil"/>
              <w:left w:val="nil"/>
              <w:bottom w:val="nil"/>
              <w:right w:val="single" w:sz="4" w:space="0" w:color="auto"/>
            </w:tcBorders>
            <w:shd w:val="clear" w:color="auto" w:fill="auto"/>
            <w:noWrap/>
            <w:vAlign w:val="bottom"/>
            <w:hideMark/>
          </w:tcPr>
          <w:p w14:paraId="55064696" w14:textId="77777777" w:rsidR="004C18AD" w:rsidRPr="000C156A" w:rsidRDefault="004C18AD" w:rsidP="00042C67">
            <w:pPr>
              <w:overflowPunct/>
              <w:autoSpaceDE/>
              <w:autoSpaceDN/>
              <w:adjustRightInd/>
              <w:spacing w:before="40" w:after="40"/>
              <w:jc w:val="center"/>
              <w:textAlignment w:val="auto"/>
              <w:rPr>
                <w:rFonts w:cs="Calibri"/>
                <w:sz w:val="22"/>
                <w:szCs w:val="22"/>
                <w:lang w:eastAsia="en-GB"/>
              </w:rPr>
            </w:pPr>
            <w:r w:rsidRPr="000C156A">
              <w:rPr>
                <w:rFonts w:asciiTheme="minorHAnsi" w:eastAsiaTheme="minorEastAsia" w:hAnsiTheme="minorHAnsi"/>
                <w:sz w:val="22"/>
                <w:szCs w:val="22"/>
                <w:lang w:eastAsia="zh-CN"/>
              </w:rPr>
              <w:t> </w:t>
            </w:r>
          </w:p>
        </w:tc>
        <w:tc>
          <w:tcPr>
            <w:tcW w:w="858" w:type="pct"/>
            <w:tcBorders>
              <w:top w:val="nil"/>
              <w:left w:val="nil"/>
              <w:bottom w:val="nil"/>
              <w:right w:val="single" w:sz="4" w:space="0" w:color="auto"/>
            </w:tcBorders>
            <w:shd w:val="clear" w:color="auto" w:fill="auto"/>
            <w:vAlign w:val="bottom"/>
            <w:hideMark/>
          </w:tcPr>
          <w:p w14:paraId="6CCED9EE" w14:textId="77777777" w:rsidR="004C18AD" w:rsidRPr="000C156A" w:rsidRDefault="004C18AD" w:rsidP="00042C67">
            <w:pPr>
              <w:keepNext/>
              <w:keepLines/>
              <w:spacing w:before="40" w:after="40"/>
              <w:jc w:val="right"/>
              <w:rPr>
                <w:rFonts w:cs="Calibri"/>
                <w:b/>
                <w:bCs/>
                <w:sz w:val="22"/>
                <w:szCs w:val="22"/>
                <w:lang w:eastAsia="en-GB"/>
              </w:rPr>
            </w:pPr>
            <w:r w:rsidRPr="003A300A">
              <w:rPr>
                <w:rFonts w:cs="Calibri"/>
                <w:b/>
                <w:bCs/>
                <w:sz w:val="22"/>
                <w:szCs w:val="22"/>
                <w:lang w:val="en-US"/>
              </w:rPr>
              <w:t>19</w:t>
            </w:r>
            <w:r>
              <w:rPr>
                <w:rFonts w:cs="Calibri"/>
                <w:b/>
                <w:bCs/>
                <w:sz w:val="22"/>
                <w:szCs w:val="22"/>
                <w:lang w:val="en-US"/>
              </w:rPr>
              <w:t> </w:t>
            </w:r>
            <w:r w:rsidRPr="003A300A">
              <w:rPr>
                <w:rFonts w:cs="Calibri"/>
                <w:b/>
                <w:bCs/>
                <w:sz w:val="22"/>
                <w:szCs w:val="22"/>
                <w:lang w:val="en-US"/>
              </w:rPr>
              <w:t>911</w:t>
            </w:r>
            <w:r>
              <w:rPr>
                <w:rFonts w:cs="Calibri"/>
                <w:b/>
                <w:bCs/>
                <w:sz w:val="22"/>
                <w:szCs w:val="22"/>
                <w:lang w:val="en-US"/>
              </w:rPr>
              <w:t> </w:t>
            </w:r>
            <w:r w:rsidRPr="003A300A">
              <w:rPr>
                <w:rFonts w:cs="Calibri"/>
                <w:b/>
                <w:bCs/>
                <w:sz w:val="22"/>
                <w:szCs w:val="22"/>
                <w:lang w:val="en-US"/>
              </w:rPr>
              <w:t>786.22</w:t>
            </w:r>
          </w:p>
        </w:tc>
      </w:tr>
      <w:tr w:rsidR="004C18AD" w:rsidRPr="000C156A" w14:paraId="3362ED6E" w14:textId="77777777" w:rsidTr="00042C67">
        <w:trPr>
          <w:trHeight w:val="300"/>
        </w:trPr>
        <w:tc>
          <w:tcPr>
            <w:tcW w:w="4019" w:type="pct"/>
            <w:tcBorders>
              <w:top w:val="nil"/>
              <w:left w:val="single" w:sz="4" w:space="0" w:color="auto"/>
              <w:bottom w:val="nil"/>
              <w:right w:val="nil"/>
            </w:tcBorders>
            <w:shd w:val="clear" w:color="auto" w:fill="auto"/>
            <w:noWrap/>
            <w:vAlign w:val="bottom"/>
            <w:hideMark/>
          </w:tcPr>
          <w:p w14:paraId="40B32E3F" w14:textId="77777777" w:rsidR="004C18AD" w:rsidRPr="000C156A" w:rsidRDefault="004C18AD" w:rsidP="00042C67">
            <w:pPr>
              <w:overflowPunct/>
              <w:autoSpaceDE/>
              <w:autoSpaceDN/>
              <w:adjustRightInd/>
              <w:spacing w:before="40" w:after="40"/>
              <w:textAlignment w:val="auto"/>
              <w:rPr>
                <w:rFonts w:asciiTheme="minorHAnsi" w:eastAsiaTheme="minorEastAsia" w:hAnsiTheme="minorHAnsi" w:cstheme="minorHAnsi"/>
                <w:sz w:val="22"/>
                <w:szCs w:val="22"/>
                <w:lang w:eastAsia="zh-CN"/>
              </w:rPr>
            </w:pPr>
            <w:r w:rsidRPr="000C156A">
              <w:rPr>
                <w:rFonts w:asciiTheme="minorHAnsi" w:eastAsiaTheme="minorEastAsia" w:hAnsiTheme="minorHAnsi" w:cstheme="minorHAnsi" w:hint="eastAsia"/>
                <w:sz w:val="22"/>
                <w:szCs w:val="22"/>
                <w:lang w:eastAsia="zh-CN"/>
              </w:rPr>
              <w:t>出版物</w:t>
            </w:r>
          </w:p>
        </w:tc>
        <w:tc>
          <w:tcPr>
            <w:tcW w:w="123" w:type="pct"/>
            <w:tcBorders>
              <w:top w:val="nil"/>
              <w:left w:val="nil"/>
              <w:bottom w:val="nil"/>
              <w:right w:val="single" w:sz="4" w:space="0" w:color="auto"/>
            </w:tcBorders>
            <w:shd w:val="clear" w:color="auto" w:fill="auto"/>
            <w:noWrap/>
            <w:vAlign w:val="bottom"/>
            <w:hideMark/>
          </w:tcPr>
          <w:p w14:paraId="3501FF01" w14:textId="77777777" w:rsidR="004C18AD" w:rsidRPr="000C156A" w:rsidRDefault="004C18AD" w:rsidP="00042C67">
            <w:pPr>
              <w:overflowPunct/>
              <w:autoSpaceDE/>
              <w:autoSpaceDN/>
              <w:adjustRightInd/>
              <w:spacing w:before="40" w:after="40"/>
              <w:jc w:val="center"/>
              <w:textAlignment w:val="auto"/>
              <w:rPr>
                <w:rFonts w:cs="Calibri"/>
                <w:sz w:val="22"/>
                <w:szCs w:val="22"/>
                <w:lang w:eastAsia="en-GB"/>
              </w:rPr>
            </w:pPr>
            <w:r w:rsidRPr="000C156A">
              <w:rPr>
                <w:rFonts w:asciiTheme="minorHAnsi" w:eastAsiaTheme="minorEastAsia" w:hAnsiTheme="minorHAnsi"/>
                <w:sz w:val="22"/>
                <w:szCs w:val="22"/>
                <w:lang w:eastAsia="zh-CN"/>
              </w:rPr>
              <w:t> </w:t>
            </w:r>
          </w:p>
        </w:tc>
        <w:tc>
          <w:tcPr>
            <w:tcW w:w="858" w:type="pct"/>
            <w:tcBorders>
              <w:top w:val="nil"/>
              <w:left w:val="nil"/>
              <w:bottom w:val="nil"/>
              <w:right w:val="single" w:sz="4" w:space="0" w:color="auto"/>
            </w:tcBorders>
            <w:shd w:val="clear" w:color="auto" w:fill="auto"/>
            <w:vAlign w:val="bottom"/>
            <w:hideMark/>
          </w:tcPr>
          <w:p w14:paraId="28A09438" w14:textId="77777777" w:rsidR="004C18AD" w:rsidRPr="000C156A" w:rsidRDefault="004C18AD" w:rsidP="00042C67">
            <w:pPr>
              <w:keepNext/>
              <w:keepLines/>
              <w:spacing w:before="40" w:after="40"/>
              <w:jc w:val="right"/>
              <w:rPr>
                <w:rFonts w:cs="Calibri"/>
                <w:b/>
                <w:bCs/>
                <w:sz w:val="22"/>
                <w:szCs w:val="22"/>
                <w:lang w:eastAsia="en-GB"/>
              </w:rPr>
            </w:pPr>
            <w:r w:rsidRPr="003A300A">
              <w:rPr>
                <w:rFonts w:cs="Calibri"/>
                <w:b/>
                <w:bCs/>
                <w:sz w:val="22"/>
                <w:szCs w:val="22"/>
                <w:lang w:val="en-US"/>
              </w:rPr>
              <w:t>99</w:t>
            </w:r>
            <w:r>
              <w:rPr>
                <w:rFonts w:cs="Calibri"/>
                <w:b/>
                <w:bCs/>
                <w:sz w:val="22"/>
                <w:szCs w:val="22"/>
                <w:lang w:val="en-US"/>
              </w:rPr>
              <w:t> </w:t>
            </w:r>
            <w:r w:rsidRPr="003A300A">
              <w:rPr>
                <w:rFonts w:cs="Calibri"/>
                <w:b/>
                <w:bCs/>
                <w:sz w:val="22"/>
                <w:szCs w:val="22"/>
                <w:lang w:val="en-US"/>
              </w:rPr>
              <w:t>721.83</w:t>
            </w:r>
          </w:p>
        </w:tc>
      </w:tr>
      <w:tr w:rsidR="004C18AD" w:rsidRPr="000C156A" w14:paraId="1FFB365B" w14:textId="77777777" w:rsidTr="00042C67">
        <w:trPr>
          <w:trHeight w:val="300"/>
        </w:trPr>
        <w:tc>
          <w:tcPr>
            <w:tcW w:w="4142" w:type="pct"/>
            <w:gridSpan w:val="2"/>
            <w:tcBorders>
              <w:top w:val="nil"/>
              <w:left w:val="single" w:sz="4" w:space="0" w:color="auto"/>
              <w:bottom w:val="nil"/>
              <w:right w:val="single" w:sz="4" w:space="0" w:color="000000"/>
            </w:tcBorders>
            <w:shd w:val="clear" w:color="auto" w:fill="auto"/>
            <w:noWrap/>
            <w:vAlign w:val="bottom"/>
            <w:hideMark/>
          </w:tcPr>
          <w:p w14:paraId="753B5A91" w14:textId="77777777" w:rsidR="004C18AD" w:rsidRPr="000C156A" w:rsidRDefault="004C18AD" w:rsidP="00042C67">
            <w:pPr>
              <w:overflowPunct/>
              <w:autoSpaceDE/>
              <w:autoSpaceDN/>
              <w:adjustRightInd/>
              <w:spacing w:before="40" w:after="40"/>
              <w:textAlignment w:val="auto"/>
              <w:rPr>
                <w:rFonts w:cs="Calibri"/>
                <w:sz w:val="22"/>
                <w:szCs w:val="22"/>
                <w:lang w:eastAsia="zh-CN"/>
              </w:rPr>
            </w:pPr>
            <w:r w:rsidRPr="000C156A">
              <w:rPr>
                <w:rFonts w:asciiTheme="minorHAnsi" w:eastAsiaTheme="minorEastAsia" w:hAnsiTheme="minorHAnsi" w:cstheme="minorHAnsi" w:hint="eastAsia"/>
                <w:sz w:val="22"/>
                <w:szCs w:val="22"/>
                <w:lang w:eastAsia="zh-CN"/>
              </w:rPr>
              <w:t>卫星网络申报（</w:t>
            </w:r>
            <w:r w:rsidRPr="000C156A">
              <w:rPr>
                <w:rFonts w:asciiTheme="minorHAnsi" w:eastAsiaTheme="minorEastAsia" w:hAnsiTheme="minorHAnsi" w:cstheme="minorHAnsi" w:hint="eastAsia"/>
                <w:sz w:val="22"/>
                <w:szCs w:val="22"/>
                <w:lang w:eastAsia="zh-CN"/>
              </w:rPr>
              <w:t>SNF</w:t>
            </w:r>
            <w:r w:rsidRPr="000C156A">
              <w:rPr>
                <w:rFonts w:asciiTheme="minorHAnsi" w:eastAsiaTheme="minorEastAsia" w:hAnsiTheme="minorHAnsi" w:cstheme="minorHAnsi" w:hint="eastAsia"/>
                <w:sz w:val="22"/>
                <w:szCs w:val="22"/>
                <w:lang w:eastAsia="zh-CN"/>
              </w:rPr>
              <w:t>）</w:t>
            </w:r>
          </w:p>
        </w:tc>
        <w:tc>
          <w:tcPr>
            <w:tcW w:w="858" w:type="pct"/>
            <w:tcBorders>
              <w:top w:val="nil"/>
              <w:left w:val="nil"/>
              <w:bottom w:val="nil"/>
              <w:right w:val="single" w:sz="4" w:space="0" w:color="auto"/>
            </w:tcBorders>
            <w:shd w:val="clear" w:color="000000" w:fill="FFFFFF"/>
            <w:vAlign w:val="bottom"/>
            <w:hideMark/>
          </w:tcPr>
          <w:p w14:paraId="010E6311" w14:textId="77777777" w:rsidR="004C18AD" w:rsidRPr="000C156A" w:rsidRDefault="004C18AD" w:rsidP="00042C67">
            <w:pPr>
              <w:overflowPunct/>
              <w:autoSpaceDE/>
              <w:autoSpaceDN/>
              <w:adjustRightInd/>
              <w:spacing w:before="40" w:after="40"/>
              <w:jc w:val="right"/>
              <w:textAlignment w:val="auto"/>
              <w:rPr>
                <w:rFonts w:cs="Calibri"/>
                <w:b/>
                <w:bCs/>
                <w:sz w:val="22"/>
                <w:szCs w:val="22"/>
                <w:lang w:eastAsia="en-GB"/>
              </w:rPr>
            </w:pPr>
            <w:r w:rsidRPr="003A300A">
              <w:rPr>
                <w:rFonts w:cs="Calibri"/>
                <w:b/>
                <w:bCs/>
                <w:sz w:val="22"/>
                <w:szCs w:val="22"/>
                <w:lang w:val="en-US"/>
              </w:rPr>
              <w:t>267</w:t>
            </w:r>
            <w:r>
              <w:rPr>
                <w:rFonts w:cs="Calibri"/>
                <w:b/>
                <w:bCs/>
                <w:sz w:val="22"/>
                <w:szCs w:val="22"/>
                <w:lang w:val="en-US"/>
              </w:rPr>
              <w:t> </w:t>
            </w:r>
            <w:r w:rsidRPr="003A300A">
              <w:rPr>
                <w:rFonts w:cs="Calibri"/>
                <w:b/>
                <w:bCs/>
                <w:sz w:val="22"/>
                <w:szCs w:val="22"/>
                <w:lang w:val="en-US"/>
              </w:rPr>
              <w:t>294.25</w:t>
            </w:r>
          </w:p>
        </w:tc>
      </w:tr>
      <w:tr w:rsidR="004C18AD" w:rsidRPr="000C156A" w14:paraId="0CF4C034" w14:textId="77777777" w:rsidTr="00042C67">
        <w:trPr>
          <w:trHeight w:val="300"/>
        </w:trPr>
        <w:tc>
          <w:tcPr>
            <w:tcW w:w="4142" w:type="pct"/>
            <w:gridSpan w:val="2"/>
            <w:tcBorders>
              <w:top w:val="nil"/>
              <w:left w:val="single" w:sz="4" w:space="0" w:color="auto"/>
              <w:bottom w:val="nil"/>
              <w:right w:val="single" w:sz="4" w:space="0" w:color="000000"/>
            </w:tcBorders>
            <w:shd w:val="clear" w:color="auto" w:fill="auto"/>
            <w:noWrap/>
            <w:vAlign w:val="bottom"/>
            <w:hideMark/>
          </w:tcPr>
          <w:p w14:paraId="0360F6DD" w14:textId="77777777" w:rsidR="004C18AD" w:rsidRPr="000C156A" w:rsidRDefault="004C18AD" w:rsidP="00042C67">
            <w:pPr>
              <w:overflowPunct/>
              <w:autoSpaceDE/>
              <w:autoSpaceDN/>
              <w:adjustRightInd/>
              <w:spacing w:before="40" w:after="40"/>
              <w:textAlignment w:val="auto"/>
              <w:rPr>
                <w:rFonts w:cs="Calibri"/>
                <w:sz w:val="22"/>
                <w:szCs w:val="22"/>
                <w:lang w:eastAsia="en-GB"/>
              </w:rPr>
            </w:pPr>
            <w:r w:rsidRPr="000C156A">
              <w:rPr>
                <w:rFonts w:asciiTheme="minorHAnsi" w:eastAsiaTheme="minorEastAsia" w:hAnsiTheme="minorHAnsi" w:cstheme="minorHAnsi" w:hint="eastAsia"/>
                <w:sz w:val="22"/>
                <w:szCs w:val="22"/>
                <w:lang w:eastAsia="zh-CN"/>
              </w:rPr>
              <w:t>杂项发票</w:t>
            </w:r>
          </w:p>
        </w:tc>
        <w:tc>
          <w:tcPr>
            <w:tcW w:w="858" w:type="pct"/>
            <w:tcBorders>
              <w:top w:val="nil"/>
              <w:left w:val="nil"/>
              <w:bottom w:val="nil"/>
              <w:right w:val="single" w:sz="4" w:space="0" w:color="auto"/>
            </w:tcBorders>
            <w:shd w:val="clear" w:color="auto" w:fill="auto"/>
            <w:vAlign w:val="bottom"/>
            <w:hideMark/>
          </w:tcPr>
          <w:p w14:paraId="39EB24EF" w14:textId="77777777" w:rsidR="004C18AD" w:rsidRPr="000C156A" w:rsidRDefault="004C18AD" w:rsidP="00042C67">
            <w:pPr>
              <w:overflowPunct/>
              <w:autoSpaceDE/>
              <w:autoSpaceDN/>
              <w:adjustRightInd/>
              <w:spacing w:before="40" w:after="40"/>
              <w:jc w:val="right"/>
              <w:textAlignment w:val="auto"/>
              <w:rPr>
                <w:rFonts w:cs="Calibri"/>
                <w:b/>
                <w:bCs/>
                <w:sz w:val="22"/>
                <w:szCs w:val="22"/>
                <w:lang w:eastAsia="en-GB"/>
              </w:rPr>
            </w:pPr>
            <w:r w:rsidRPr="003A300A">
              <w:rPr>
                <w:rFonts w:cs="Calibri"/>
                <w:b/>
                <w:bCs/>
                <w:sz w:val="22"/>
                <w:szCs w:val="22"/>
                <w:lang w:val="en-US"/>
              </w:rPr>
              <w:t>142</w:t>
            </w:r>
            <w:r>
              <w:rPr>
                <w:rFonts w:cs="Calibri"/>
                <w:b/>
                <w:bCs/>
                <w:sz w:val="22"/>
                <w:szCs w:val="22"/>
                <w:lang w:val="en-US"/>
              </w:rPr>
              <w:t> </w:t>
            </w:r>
            <w:r w:rsidRPr="003A300A">
              <w:rPr>
                <w:rFonts w:cs="Calibri"/>
                <w:b/>
                <w:bCs/>
                <w:sz w:val="22"/>
                <w:szCs w:val="22"/>
                <w:lang w:val="en-US"/>
              </w:rPr>
              <w:t>776.69</w:t>
            </w:r>
          </w:p>
        </w:tc>
      </w:tr>
      <w:tr w:rsidR="004C18AD" w:rsidRPr="000C156A" w14:paraId="3680FC22" w14:textId="77777777" w:rsidTr="00042C67">
        <w:trPr>
          <w:trHeight w:val="300"/>
        </w:trPr>
        <w:tc>
          <w:tcPr>
            <w:tcW w:w="4142" w:type="pct"/>
            <w:gridSpan w:val="2"/>
            <w:tcBorders>
              <w:top w:val="nil"/>
              <w:left w:val="single" w:sz="4" w:space="0" w:color="auto"/>
              <w:bottom w:val="nil"/>
              <w:right w:val="single" w:sz="4" w:space="0" w:color="000000"/>
            </w:tcBorders>
            <w:shd w:val="clear" w:color="auto" w:fill="auto"/>
            <w:noWrap/>
            <w:vAlign w:val="bottom"/>
          </w:tcPr>
          <w:p w14:paraId="247E3EBE" w14:textId="77777777" w:rsidR="004C18AD" w:rsidRPr="000C156A" w:rsidRDefault="004C18AD" w:rsidP="00042C67">
            <w:pPr>
              <w:overflowPunct/>
              <w:autoSpaceDE/>
              <w:autoSpaceDN/>
              <w:adjustRightInd/>
              <w:spacing w:before="40" w:after="40"/>
              <w:textAlignment w:val="auto"/>
              <w:rPr>
                <w:rFonts w:cs="Calibri"/>
                <w:sz w:val="22"/>
                <w:szCs w:val="22"/>
                <w:lang w:eastAsia="zh-CN"/>
              </w:rPr>
            </w:pPr>
            <w:r w:rsidRPr="000C156A">
              <w:rPr>
                <w:rFonts w:cs="Calibri"/>
                <w:sz w:val="22"/>
                <w:szCs w:val="22"/>
                <w:lang w:eastAsia="zh-CN"/>
              </w:rPr>
              <w:t>国际通用免费电话号码（</w:t>
            </w:r>
            <w:r w:rsidRPr="000C156A">
              <w:rPr>
                <w:rFonts w:cs="Calibri"/>
                <w:sz w:val="22"/>
                <w:szCs w:val="22"/>
                <w:lang w:eastAsia="zh-CN"/>
              </w:rPr>
              <w:t>UIFN</w:t>
            </w:r>
            <w:r w:rsidRPr="000C156A">
              <w:rPr>
                <w:rFonts w:cs="Calibri"/>
                <w:sz w:val="22"/>
                <w:szCs w:val="22"/>
                <w:lang w:eastAsia="zh-CN"/>
              </w:rPr>
              <w:t>）</w:t>
            </w:r>
            <w:r>
              <w:rPr>
                <w:rFonts w:cs="Calibri" w:hint="eastAsia"/>
                <w:sz w:val="22"/>
                <w:szCs w:val="22"/>
                <w:lang w:eastAsia="zh-CN"/>
              </w:rPr>
              <w:t>发票</w:t>
            </w:r>
          </w:p>
        </w:tc>
        <w:tc>
          <w:tcPr>
            <w:tcW w:w="858" w:type="pct"/>
            <w:tcBorders>
              <w:top w:val="nil"/>
              <w:left w:val="nil"/>
              <w:bottom w:val="nil"/>
              <w:right w:val="single" w:sz="4" w:space="0" w:color="auto"/>
            </w:tcBorders>
            <w:shd w:val="clear" w:color="auto" w:fill="auto"/>
            <w:vAlign w:val="bottom"/>
            <w:hideMark/>
          </w:tcPr>
          <w:p w14:paraId="1A39CD2D" w14:textId="77777777" w:rsidR="004C18AD" w:rsidRPr="000C156A" w:rsidRDefault="004C18AD" w:rsidP="00042C67">
            <w:pPr>
              <w:overflowPunct/>
              <w:autoSpaceDE/>
              <w:autoSpaceDN/>
              <w:adjustRightInd/>
              <w:spacing w:before="40" w:after="40"/>
              <w:jc w:val="right"/>
              <w:textAlignment w:val="auto"/>
              <w:rPr>
                <w:rFonts w:cs="Calibri"/>
                <w:b/>
                <w:bCs/>
                <w:sz w:val="22"/>
                <w:szCs w:val="22"/>
                <w:lang w:eastAsia="en-GB"/>
              </w:rPr>
            </w:pPr>
            <w:r w:rsidRPr="003A300A">
              <w:rPr>
                <w:rFonts w:cs="Calibri"/>
                <w:b/>
                <w:bCs/>
                <w:sz w:val="22"/>
                <w:szCs w:val="22"/>
                <w:lang w:val="en-US"/>
              </w:rPr>
              <w:t>77</w:t>
            </w:r>
            <w:r>
              <w:rPr>
                <w:rFonts w:cs="Calibri"/>
                <w:b/>
                <w:bCs/>
                <w:sz w:val="22"/>
                <w:szCs w:val="22"/>
                <w:lang w:val="en-US"/>
              </w:rPr>
              <w:t> </w:t>
            </w:r>
            <w:r w:rsidRPr="003A300A">
              <w:rPr>
                <w:rFonts w:cs="Calibri"/>
                <w:b/>
                <w:bCs/>
                <w:sz w:val="22"/>
                <w:szCs w:val="22"/>
                <w:lang w:val="en-US"/>
              </w:rPr>
              <w:t>100.00</w:t>
            </w:r>
          </w:p>
        </w:tc>
      </w:tr>
      <w:tr w:rsidR="004C18AD" w:rsidRPr="000C156A" w14:paraId="07EC0890" w14:textId="77777777" w:rsidTr="00042C67">
        <w:trPr>
          <w:trHeight w:val="300"/>
        </w:trPr>
        <w:tc>
          <w:tcPr>
            <w:tcW w:w="4142" w:type="pct"/>
            <w:gridSpan w:val="2"/>
            <w:tcBorders>
              <w:top w:val="nil"/>
              <w:left w:val="single" w:sz="4" w:space="0" w:color="auto"/>
              <w:bottom w:val="nil"/>
              <w:right w:val="single" w:sz="4" w:space="0" w:color="000000"/>
            </w:tcBorders>
            <w:shd w:val="clear" w:color="auto" w:fill="auto"/>
            <w:noWrap/>
            <w:vAlign w:val="bottom"/>
          </w:tcPr>
          <w:p w14:paraId="0D557474" w14:textId="77777777" w:rsidR="004C18AD" w:rsidRPr="000C156A" w:rsidRDefault="004C18AD" w:rsidP="00042C67">
            <w:pPr>
              <w:overflowPunct/>
              <w:autoSpaceDE/>
              <w:autoSpaceDN/>
              <w:adjustRightInd/>
              <w:spacing w:before="40" w:after="40"/>
              <w:textAlignment w:val="auto"/>
              <w:rPr>
                <w:rFonts w:cs="Calibri"/>
                <w:sz w:val="22"/>
                <w:szCs w:val="22"/>
                <w:lang w:eastAsia="zh-CN"/>
              </w:rPr>
            </w:pPr>
            <w:r w:rsidRPr="008F4E25">
              <w:rPr>
                <w:rFonts w:cs="Calibri" w:hint="eastAsia"/>
                <w:sz w:val="22"/>
                <w:szCs w:val="22"/>
                <w:lang w:eastAsia="zh-CN"/>
              </w:rPr>
              <w:t>全球卫星个人移动通信系统</w:t>
            </w:r>
            <w:r>
              <w:rPr>
                <w:rFonts w:cs="Calibri" w:hint="eastAsia"/>
                <w:sz w:val="22"/>
                <w:szCs w:val="22"/>
                <w:lang w:eastAsia="zh-CN"/>
              </w:rPr>
              <w:t>（</w:t>
            </w:r>
            <w:r w:rsidRPr="00BF3E02">
              <w:rPr>
                <w:rFonts w:cs="Calibri"/>
                <w:sz w:val="22"/>
                <w:szCs w:val="22"/>
                <w:lang w:eastAsia="zh-CN"/>
              </w:rPr>
              <w:t>GMPCS</w:t>
            </w:r>
            <w:r>
              <w:rPr>
                <w:rFonts w:cs="Calibri" w:hint="eastAsia"/>
                <w:sz w:val="22"/>
                <w:szCs w:val="22"/>
                <w:lang w:eastAsia="zh-CN"/>
              </w:rPr>
              <w:t>）发票</w:t>
            </w:r>
          </w:p>
        </w:tc>
        <w:tc>
          <w:tcPr>
            <w:tcW w:w="858" w:type="pct"/>
            <w:tcBorders>
              <w:top w:val="nil"/>
              <w:left w:val="nil"/>
              <w:bottom w:val="nil"/>
              <w:right w:val="single" w:sz="4" w:space="0" w:color="auto"/>
            </w:tcBorders>
            <w:shd w:val="clear" w:color="auto" w:fill="auto"/>
            <w:vAlign w:val="bottom"/>
          </w:tcPr>
          <w:p w14:paraId="2261404A" w14:textId="77777777" w:rsidR="004C18AD" w:rsidRPr="000C156A" w:rsidRDefault="004C18AD" w:rsidP="00042C67">
            <w:pPr>
              <w:overflowPunct/>
              <w:autoSpaceDE/>
              <w:autoSpaceDN/>
              <w:adjustRightInd/>
              <w:spacing w:before="40" w:after="40"/>
              <w:jc w:val="right"/>
              <w:textAlignment w:val="auto"/>
              <w:rPr>
                <w:rFonts w:cs="Calibri"/>
                <w:b/>
                <w:bCs/>
                <w:sz w:val="22"/>
                <w:szCs w:val="22"/>
                <w:lang w:eastAsia="zh-CN"/>
              </w:rPr>
            </w:pPr>
            <w:r w:rsidRPr="003A300A">
              <w:rPr>
                <w:rFonts w:cs="Calibri"/>
                <w:b/>
                <w:bCs/>
                <w:sz w:val="22"/>
                <w:szCs w:val="22"/>
                <w:lang w:val="en-US"/>
              </w:rPr>
              <w:t>1</w:t>
            </w:r>
            <w:r>
              <w:rPr>
                <w:rFonts w:cs="Calibri"/>
                <w:b/>
                <w:bCs/>
                <w:sz w:val="22"/>
                <w:szCs w:val="22"/>
                <w:lang w:val="en-US"/>
              </w:rPr>
              <w:t> </w:t>
            </w:r>
            <w:r w:rsidRPr="003A300A">
              <w:rPr>
                <w:rFonts w:cs="Calibri"/>
                <w:b/>
                <w:bCs/>
                <w:sz w:val="22"/>
                <w:szCs w:val="22"/>
                <w:lang w:val="en-US"/>
              </w:rPr>
              <w:t>820.00</w:t>
            </w:r>
          </w:p>
        </w:tc>
      </w:tr>
      <w:tr w:rsidR="004C18AD" w:rsidRPr="000C156A" w14:paraId="708DCA87" w14:textId="77777777" w:rsidTr="00042C67">
        <w:trPr>
          <w:trHeight w:val="300"/>
        </w:trPr>
        <w:tc>
          <w:tcPr>
            <w:tcW w:w="4142" w:type="pct"/>
            <w:gridSpan w:val="2"/>
            <w:tcBorders>
              <w:top w:val="nil"/>
              <w:left w:val="single" w:sz="4" w:space="0" w:color="auto"/>
              <w:bottom w:val="nil"/>
              <w:right w:val="single" w:sz="4" w:space="0" w:color="000000"/>
            </w:tcBorders>
            <w:shd w:val="clear" w:color="auto" w:fill="auto"/>
            <w:noWrap/>
            <w:vAlign w:val="bottom"/>
            <w:hideMark/>
          </w:tcPr>
          <w:p w14:paraId="05114034" w14:textId="77777777" w:rsidR="004C18AD" w:rsidRPr="000C156A" w:rsidRDefault="004C18AD" w:rsidP="00042C67">
            <w:pPr>
              <w:overflowPunct/>
              <w:autoSpaceDE/>
              <w:autoSpaceDN/>
              <w:adjustRightInd/>
              <w:spacing w:before="40" w:after="40"/>
              <w:textAlignment w:val="auto"/>
              <w:rPr>
                <w:rFonts w:cs="Calibri"/>
                <w:sz w:val="22"/>
                <w:szCs w:val="22"/>
                <w:lang w:eastAsia="zh-CN"/>
              </w:rPr>
            </w:pPr>
            <w:r w:rsidRPr="000C156A">
              <w:rPr>
                <w:rFonts w:asciiTheme="minorHAnsi" w:eastAsiaTheme="minorEastAsia" w:hAnsiTheme="minorHAnsi" w:cs="SimSun" w:hint="eastAsia"/>
                <w:sz w:val="22"/>
                <w:szCs w:val="22"/>
                <w:lang w:eastAsia="zh-CN"/>
              </w:rPr>
              <w:t>欠款专账（偿款协议）</w:t>
            </w:r>
          </w:p>
        </w:tc>
        <w:tc>
          <w:tcPr>
            <w:tcW w:w="858" w:type="pct"/>
            <w:tcBorders>
              <w:top w:val="nil"/>
              <w:left w:val="nil"/>
              <w:bottom w:val="nil"/>
              <w:right w:val="single" w:sz="4" w:space="0" w:color="auto"/>
            </w:tcBorders>
            <w:shd w:val="clear" w:color="000000" w:fill="FFFFFF"/>
            <w:vAlign w:val="bottom"/>
            <w:hideMark/>
          </w:tcPr>
          <w:p w14:paraId="01D8ADBD" w14:textId="77777777" w:rsidR="004C18AD" w:rsidRPr="000C156A" w:rsidRDefault="004C18AD" w:rsidP="00042C67">
            <w:pPr>
              <w:overflowPunct/>
              <w:autoSpaceDE/>
              <w:autoSpaceDN/>
              <w:adjustRightInd/>
              <w:spacing w:before="40" w:after="40"/>
              <w:jc w:val="right"/>
              <w:textAlignment w:val="auto"/>
              <w:rPr>
                <w:rFonts w:cs="Calibri"/>
                <w:b/>
                <w:bCs/>
                <w:sz w:val="22"/>
                <w:szCs w:val="22"/>
                <w:lang w:eastAsia="en-GB"/>
              </w:rPr>
            </w:pPr>
            <w:r w:rsidRPr="003A300A">
              <w:rPr>
                <w:rFonts w:cs="Calibri"/>
                <w:b/>
                <w:bCs/>
                <w:sz w:val="22"/>
                <w:szCs w:val="22"/>
                <w:lang w:val="en-US"/>
              </w:rPr>
              <w:t>6</w:t>
            </w:r>
            <w:r>
              <w:rPr>
                <w:rFonts w:cs="Calibri"/>
                <w:b/>
                <w:bCs/>
                <w:sz w:val="22"/>
                <w:szCs w:val="22"/>
                <w:lang w:val="en-US"/>
              </w:rPr>
              <w:t> </w:t>
            </w:r>
            <w:r w:rsidRPr="003A300A">
              <w:rPr>
                <w:rFonts w:cs="Calibri"/>
                <w:b/>
                <w:bCs/>
                <w:sz w:val="22"/>
                <w:szCs w:val="22"/>
                <w:lang w:val="en-US"/>
              </w:rPr>
              <w:t>191</w:t>
            </w:r>
            <w:r>
              <w:rPr>
                <w:rFonts w:cs="Calibri"/>
                <w:b/>
                <w:bCs/>
                <w:sz w:val="22"/>
                <w:szCs w:val="22"/>
                <w:lang w:val="en-US"/>
              </w:rPr>
              <w:t> </w:t>
            </w:r>
            <w:r w:rsidRPr="003A300A">
              <w:rPr>
                <w:rFonts w:cs="Calibri"/>
                <w:b/>
                <w:bCs/>
                <w:sz w:val="22"/>
                <w:szCs w:val="22"/>
                <w:lang w:val="en-US"/>
              </w:rPr>
              <w:t>042.45</w:t>
            </w:r>
          </w:p>
        </w:tc>
      </w:tr>
      <w:tr w:rsidR="004C18AD" w:rsidRPr="000C156A" w14:paraId="65973FD1" w14:textId="77777777" w:rsidTr="00042C67">
        <w:trPr>
          <w:trHeight w:val="223"/>
        </w:trPr>
        <w:tc>
          <w:tcPr>
            <w:tcW w:w="4142" w:type="pct"/>
            <w:gridSpan w:val="2"/>
            <w:tcBorders>
              <w:top w:val="nil"/>
              <w:left w:val="single" w:sz="4" w:space="0" w:color="auto"/>
              <w:bottom w:val="nil"/>
              <w:right w:val="single" w:sz="4" w:space="0" w:color="000000"/>
            </w:tcBorders>
            <w:shd w:val="clear" w:color="auto" w:fill="auto"/>
            <w:vAlign w:val="bottom"/>
            <w:hideMark/>
          </w:tcPr>
          <w:p w14:paraId="0A9F96F5" w14:textId="77777777" w:rsidR="004C18AD" w:rsidRPr="000C156A" w:rsidRDefault="004C18AD" w:rsidP="00042C67">
            <w:pPr>
              <w:overflowPunct/>
              <w:autoSpaceDE/>
              <w:autoSpaceDN/>
              <w:adjustRightInd/>
              <w:spacing w:before="40" w:after="40"/>
              <w:textAlignment w:val="auto"/>
              <w:rPr>
                <w:rFonts w:cs="Calibri"/>
                <w:sz w:val="22"/>
                <w:szCs w:val="22"/>
                <w:lang w:eastAsia="zh-CN"/>
              </w:rPr>
            </w:pPr>
            <w:r w:rsidRPr="000C156A">
              <w:rPr>
                <w:rFonts w:asciiTheme="minorHAnsi" w:eastAsiaTheme="minorEastAsia" w:hAnsiTheme="minorHAnsi" w:cstheme="minorHAnsi" w:hint="eastAsia"/>
                <w:sz w:val="22"/>
                <w:szCs w:val="22"/>
                <w:lang w:eastAsia="zh-CN"/>
              </w:rPr>
              <w:t>已注销欠款专账（因未支付而注销的偿款协议）</w:t>
            </w:r>
          </w:p>
        </w:tc>
        <w:tc>
          <w:tcPr>
            <w:tcW w:w="858" w:type="pct"/>
            <w:tcBorders>
              <w:top w:val="nil"/>
              <w:left w:val="nil"/>
              <w:bottom w:val="nil"/>
              <w:right w:val="single" w:sz="4" w:space="0" w:color="auto"/>
            </w:tcBorders>
            <w:shd w:val="clear" w:color="auto" w:fill="auto"/>
            <w:vAlign w:val="bottom"/>
            <w:hideMark/>
          </w:tcPr>
          <w:p w14:paraId="276EED6D" w14:textId="77777777" w:rsidR="004C18AD" w:rsidRPr="000C156A" w:rsidRDefault="004C18AD" w:rsidP="00042C67">
            <w:pPr>
              <w:overflowPunct/>
              <w:autoSpaceDE/>
              <w:autoSpaceDN/>
              <w:adjustRightInd/>
              <w:spacing w:before="40" w:after="40"/>
              <w:jc w:val="right"/>
              <w:textAlignment w:val="auto"/>
              <w:rPr>
                <w:rFonts w:cs="Calibri"/>
                <w:b/>
                <w:bCs/>
                <w:sz w:val="22"/>
                <w:szCs w:val="22"/>
                <w:lang w:eastAsia="en-GB"/>
              </w:rPr>
            </w:pPr>
            <w:r w:rsidRPr="003A300A">
              <w:rPr>
                <w:rFonts w:cs="Calibri"/>
                <w:b/>
                <w:bCs/>
                <w:sz w:val="22"/>
                <w:szCs w:val="22"/>
                <w:lang w:val="en-US"/>
              </w:rPr>
              <w:t>13</w:t>
            </w:r>
            <w:r>
              <w:rPr>
                <w:rFonts w:cs="Calibri"/>
                <w:b/>
                <w:bCs/>
                <w:sz w:val="22"/>
                <w:szCs w:val="22"/>
                <w:lang w:val="en-US"/>
              </w:rPr>
              <w:t> </w:t>
            </w:r>
            <w:r w:rsidRPr="003A300A">
              <w:rPr>
                <w:rFonts w:cs="Calibri"/>
                <w:b/>
                <w:bCs/>
                <w:sz w:val="22"/>
                <w:szCs w:val="22"/>
                <w:lang w:val="en-US"/>
              </w:rPr>
              <w:t>300</w:t>
            </w:r>
            <w:r>
              <w:rPr>
                <w:rFonts w:cs="Calibri"/>
                <w:b/>
                <w:bCs/>
                <w:sz w:val="22"/>
                <w:szCs w:val="22"/>
                <w:lang w:val="en-US"/>
              </w:rPr>
              <w:t> </w:t>
            </w:r>
            <w:r w:rsidRPr="003A300A">
              <w:rPr>
                <w:rFonts w:cs="Calibri"/>
                <w:b/>
                <w:bCs/>
                <w:sz w:val="22"/>
                <w:szCs w:val="22"/>
                <w:lang w:val="en-US"/>
              </w:rPr>
              <w:t>748.61</w:t>
            </w:r>
          </w:p>
        </w:tc>
      </w:tr>
      <w:tr w:rsidR="004C18AD" w:rsidRPr="000C156A" w14:paraId="3AC08285" w14:textId="77777777" w:rsidTr="00042C67">
        <w:trPr>
          <w:trHeight w:val="61"/>
        </w:trPr>
        <w:tc>
          <w:tcPr>
            <w:tcW w:w="4019" w:type="pct"/>
            <w:tcBorders>
              <w:top w:val="single" w:sz="4" w:space="0" w:color="auto"/>
              <w:left w:val="single" w:sz="4" w:space="0" w:color="auto"/>
              <w:bottom w:val="single" w:sz="4" w:space="0" w:color="auto"/>
              <w:right w:val="nil"/>
            </w:tcBorders>
            <w:shd w:val="clear" w:color="auto" w:fill="auto"/>
            <w:noWrap/>
            <w:vAlign w:val="bottom"/>
            <w:hideMark/>
          </w:tcPr>
          <w:p w14:paraId="7678313B" w14:textId="77777777" w:rsidR="004C18AD" w:rsidRPr="000C156A" w:rsidRDefault="004C18AD" w:rsidP="00042C67">
            <w:pPr>
              <w:overflowPunct/>
              <w:autoSpaceDE/>
              <w:autoSpaceDN/>
              <w:adjustRightInd/>
              <w:spacing w:before="40" w:after="40"/>
              <w:textAlignment w:val="auto"/>
              <w:rPr>
                <w:rFonts w:cs="Calibri"/>
                <w:b/>
                <w:bCs/>
                <w:sz w:val="22"/>
                <w:szCs w:val="22"/>
                <w:u w:val="single"/>
                <w:lang w:eastAsia="en-GB"/>
              </w:rPr>
            </w:pPr>
            <w:r w:rsidRPr="000C156A">
              <w:rPr>
                <w:rFonts w:cs="Calibri" w:hint="eastAsia"/>
                <w:b/>
                <w:bCs/>
                <w:sz w:val="22"/>
                <w:szCs w:val="22"/>
                <w:u w:val="single"/>
                <w:lang w:eastAsia="en-GB"/>
              </w:rPr>
              <w:t>欠款合计</w:t>
            </w:r>
          </w:p>
        </w:tc>
        <w:tc>
          <w:tcPr>
            <w:tcW w:w="123" w:type="pct"/>
            <w:tcBorders>
              <w:top w:val="single" w:sz="4" w:space="0" w:color="auto"/>
              <w:left w:val="nil"/>
              <w:bottom w:val="single" w:sz="4" w:space="0" w:color="auto"/>
              <w:right w:val="single" w:sz="4" w:space="0" w:color="auto"/>
            </w:tcBorders>
            <w:shd w:val="clear" w:color="auto" w:fill="auto"/>
            <w:noWrap/>
            <w:vAlign w:val="bottom"/>
            <w:hideMark/>
          </w:tcPr>
          <w:p w14:paraId="7C058B62" w14:textId="77777777" w:rsidR="004C18AD" w:rsidRPr="000C156A" w:rsidRDefault="004C18AD" w:rsidP="00042C67">
            <w:pPr>
              <w:overflowPunct/>
              <w:autoSpaceDE/>
              <w:autoSpaceDN/>
              <w:adjustRightInd/>
              <w:spacing w:before="40" w:after="40"/>
              <w:jc w:val="center"/>
              <w:textAlignment w:val="auto"/>
              <w:rPr>
                <w:rFonts w:cs="Calibri"/>
                <w:sz w:val="22"/>
                <w:szCs w:val="22"/>
                <w:lang w:eastAsia="en-GB"/>
              </w:rPr>
            </w:pPr>
            <w:r w:rsidRPr="000C156A">
              <w:rPr>
                <w:rFonts w:cs="Calibri"/>
                <w:sz w:val="22"/>
                <w:szCs w:val="22"/>
                <w:lang w:eastAsia="en-GB"/>
              </w:rPr>
              <w:t> </w:t>
            </w:r>
          </w:p>
        </w:tc>
        <w:tc>
          <w:tcPr>
            <w:tcW w:w="858" w:type="pct"/>
            <w:tcBorders>
              <w:top w:val="single" w:sz="4" w:space="0" w:color="auto"/>
              <w:left w:val="nil"/>
              <w:bottom w:val="single" w:sz="4" w:space="0" w:color="auto"/>
              <w:right w:val="single" w:sz="4" w:space="0" w:color="auto"/>
            </w:tcBorders>
            <w:shd w:val="clear" w:color="auto" w:fill="auto"/>
            <w:vAlign w:val="bottom"/>
            <w:hideMark/>
          </w:tcPr>
          <w:p w14:paraId="7BC11E9E" w14:textId="77777777" w:rsidR="004C18AD" w:rsidRPr="000C156A" w:rsidRDefault="004C18AD" w:rsidP="00042C67">
            <w:pPr>
              <w:spacing w:before="40" w:after="40"/>
              <w:jc w:val="right"/>
              <w:rPr>
                <w:rFonts w:cs="Calibri"/>
                <w:b/>
                <w:bCs/>
                <w:sz w:val="22"/>
                <w:szCs w:val="22"/>
                <w:u w:val="single"/>
                <w:lang w:eastAsia="en-GB"/>
              </w:rPr>
            </w:pPr>
            <w:r w:rsidRPr="003A300A">
              <w:rPr>
                <w:rFonts w:cs="Calibri"/>
                <w:b/>
                <w:bCs/>
                <w:sz w:val="22"/>
                <w:szCs w:val="22"/>
                <w:u w:val="single"/>
                <w:lang w:val="en-US"/>
              </w:rPr>
              <w:t>39</w:t>
            </w:r>
            <w:r>
              <w:rPr>
                <w:rFonts w:cs="Calibri"/>
                <w:b/>
                <w:bCs/>
                <w:sz w:val="22"/>
                <w:szCs w:val="22"/>
                <w:u w:val="single"/>
                <w:lang w:val="en-US"/>
              </w:rPr>
              <w:t> </w:t>
            </w:r>
            <w:r w:rsidRPr="003A300A">
              <w:rPr>
                <w:rFonts w:cs="Calibri"/>
                <w:b/>
                <w:bCs/>
                <w:sz w:val="22"/>
                <w:szCs w:val="22"/>
                <w:u w:val="single"/>
                <w:lang w:val="en-US"/>
              </w:rPr>
              <w:t>992</w:t>
            </w:r>
            <w:r>
              <w:rPr>
                <w:rFonts w:cs="Calibri"/>
                <w:b/>
                <w:bCs/>
                <w:sz w:val="22"/>
                <w:szCs w:val="22"/>
                <w:u w:val="single"/>
                <w:lang w:val="en-US"/>
              </w:rPr>
              <w:t> </w:t>
            </w:r>
            <w:r w:rsidRPr="003A300A">
              <w:rPr>
                <w:rFonts w:cs="Calibri"/>
                <w:b/>
                <w:bCs/>
                <w:sz w:val="22"/>
                <w:szCs w:val="22"/>
                <w:u w:val="single"/>
                <w:lang w:val="en-US"/>
              </w:rPr>
              <w:t>290.05</w:t>
            </w:r>
          </w:p>
        </w:tc>
      </w:tr>
    </w:tbl>
    <w:p w14:paraId="065BEA2F" w14:textId="77777777" w:rsidR="004C18AD" w:rsidRPr="000C156A" w:rsidRDefault="004C18AD" w:rsidP="004C18AD">
      <w:pPr>
        <w:tabs>
          <w:tab w:val="left" w:pos="720"/>
        </w:tabs>
        <w:overflowPunct/>
        <w:autoSpaceDE/>
        <w:adjustRightInd/>
        <w:spacing w:before="0"/>
        <w:rPr>
          <w:caps/>
          <w:sz w:val="28"/>
          <w:lang w:eastAsia="zh-CN"/>
        </w:rPr>
      </w:pPr>
      <w:r w:rsidRPr="000C156A">
        <w:rPr>
          <w:lang w:eastAsia="zh-CN"/>
        </w:rPr>
        <w:br w:type="page"/>
      </w:r>
    </w:p>
    <w:p w14:paraId="0F33B397" w14:textId="77777777" w:rsidR="004C18AD" w:rsidRPr="000C156A" w:rsidRDefault="004C18AD" w:rsidP="004C18AD">
      <w:pPr>
        <w:pStyle w:val="AnnexNo"/>
        <w:spacing w:before="120"/>
        <w:outlineLvl w:val="0"/>
        <w:rPr>
          <w:lang w:eastAsia="zh-CN"/>
        </w:rPr>
      </w:pPr>
      <w:bookmarkStart w:id="1459" w:name="_Toc482894805"/>
      <w:bookmarkStart w:id="1460" w:name="_Toc482894279"/>
      <w:bookmarkStart w:id="1461" w:name="_Toc41905919"/>
      <w:bookmarkStart w:id="1462" w:name="_Toc41908094"/>
      <w:bookmarkStart w:id="1463" w:name="_Toc73519311"/>
      <w:bookmarkStart w:id="1464" w:name="_Toc73636347"/>
      <w:bookmarkStart w:id="1465" w:name="_Toc110330304"/>
      <w:r w:rsidRPr="000C156A">
        <w:rPr>
          <w:rFonts w:hint="eastAsia"/>
          <w:lang w:eastAsia="zh-CN"/>
        </w:rPr>
        <w:lastRenderedPageBreak/>
        <w:t>附件</w:t>
      </w:r>
      <w:bookmarkEnd w:id="1459"/>
      <w:bookmarkEnd w:id="1460"/>
      <w:r w:rsidRPr="000C156A">
        <w:rPr>
          <w:rFonts w:hint="eastAsia"/>
          <w:lang w:eastAsia="zh-CN"/>
        </w:rPr>
        <w:t>D</w:t>
      </w:r>
      <w:bookmarkEnd w:id="1461"/>
      <w:bookmarkEnd w:id="1462"/>
      <w:bookmarkEnd w:id="1463"/>
      <w:bookmarkEnd w:id="1464"/>
      <w:bookmarkEnd w:id="1465"/>
    </w:p>
    <w:p w14:paraId="4D7D6944" w14:textId="77777777" w:rsidR="004C18AD" w:rsidRPr="000C156A" w:rsidRDefault="004C18AD" w:rsidP="004C18AD">
      <w:pPr>
        <w:pStyle w:val="Annextitle"/>
        <w:rPr>
          <w:rFonts w:asciiTheme="minorHAnsi" w:eastAsiaTheme="minorEastAsia" w:hAnsiTheme="minorHAnsi"/>
          <w:lang w:eastAsia="zh-CN"/>
        </w:rPr>
      </w:pPr>
      <w:bookmarkStart w:id="1466" w:name="_Toc482894806"/>
      <w:bookmarkStart w:id="1467" w:name="_Toc482892593"/>
      <w:bookmarkStart w:id="1468" w:name="_Toc511768735"/>
      <w:bookmarkStart w:id="1469" w:name="_Toc10536312"/>
      <w:r w:rsidRPr="000C156A">
        <w:rPr>
          <w:rFonts w:asciiTheme="minorHAnsi" w:eastAsiaTheme="minorEastAsia" w:hAnsiTheme="minorHAnsi" w:hint="eastAsia"/>
          <w:lang w:eastAsia="zh-CN"/>
        </w:rPr>
        <w:t>截至</w:t>
      </w:r>
      <w:r>
        <w:rPr>
          <w:rFonts w:asciiTheme="minorHAnsi" w:eastAsiaTheme="minorEastAsia" w:hAnsiTheme="minorHAnsi"/>
          <w:lang w:eastAsia="zh-CN"/>
        </w:rPr>
        <w:t>202</w:t>
      </w:r>
      <w:r>
        <w:rPr>
          <w:rFonts w:asciiTheme="minorHAnsi" w:eastAsiaTheme="minorEastAsia" w:hAnsiTheme="minorHAnsi" w:hint="eastAsia"/>
          <w:lang w:eastAsia="zh-CN"/>
        </w:rPr>
        <w:t>1</w:t>
      </w:r>
      <w:r w:rsidRPr="000C156A">
        <w:rPr>
          <w:rFonts w:asciiTheme="minorHAnsi" w:eastAsiaTheme="minorEastAsia" w:hAnsiTheme="minorHAnsi" w:hint="eastAsia"/>
          <w:lang w:eastAsia="zh-CN"/>
        </w:rPr>
        <w:t>年</w:t>
      </w:r>
      <w:r w:rsidRPr="000C156A">
        <w:rPr>
          <w:rFonts w:asciiTheme="minorHAnsi" w:eastAsiaTheme="minorEastAsia" w:hAnsiTheme="minorHAnsi"/>
          <w:lang w:eastAsia="zh-CN"/>
        </w:rPr>
        <w:t>12</w:t>
      </w:r>
      <w:r w:rsidRPr="000C156A">
        <w:rPr>
          <w:rFonts w:asciiTheme="minorHAnsi" w:eastAsiaTheme="minorEastAsia" w:hAnsiTheme="minorHAnsi" w:hint="eastAsia"/>
          <w:lang w:eastAsia="zh-CN"/>
        </w:rPr>
        <w:t>月</w:t>
      </w:r>
      <w:r w:rsidRPr="000C156A">
        <w:rPr>
          <w:rFonts w:asciiTheme="minorHAnsi" w:eastAsiaTheme="minorEastAsia" w:hAnsiTheme="minorHAnsi" w:hint="eastAsia"/>
          <w:lang w:eastAsia="zh-CN"/>
        </w:rPr>
        <w:t>31</w:t>
      </w:r>
      <w:r w:rsidRPr="000C156A">
        <w:rPr>
          <w:rFonts w:asciiTheme="minorHAnsi" w:eastAsiaTheme="minorEastAsia" w:hAnsiTheme="minorHAnsi" w:hint="eastAsia"/>
          <w:lang w:eastAsia="zh-CN"/>
        </w:rPr>
        <w:t>日已结账的国际电联电信展活动的债务方名单</w:t>
      </w:r>
      <w:bookmarkEnd w:id="1466"/>
      <w:bookmarkEnd w:id="1467"/>
      <w:bookmarkEnd w:id="1468"/>
      <w:bookmarkEnd w:id="1469"/>
    </w:p>
    <w:p w14:paraId="5F3C457F" w14:textId="77777777" w:rsidR="004C18AD" w:rsidRPr="000C156A" w:rsidRDefault="004C18AD" w:rsidP="004C18AD">
      <w:pPr>
        <w:spacing w:before="240" w:after="240"/>
        <w:jc w:val="center"/>
        <w:rPr>
          <w:lang w:eastAsia="zh-CN"/>
        </w:rPr>
      </w:pPr>
      <w:r w:rsidRPr="000C156A">
        <w:rPr>
          <w:rFonts w:cs="Microsoft YaHei" w:hint="eastAsia"/>
          <w:lang w:eastAsia="zh-CN"/>
        </w:rPr>
        <w:t>（</w:t>
      </w:r>
      <w:r>
        <w:rPr>
          <w:lang w:eastAsia="zh-CN"/>
        </w:rPr>
        <w:t>202</w:t>
      </w:r>
      <w:r>
        <w:rPr>
          <w:rFonts w:hint="eastAsia"/>
          <w:lang w:eastAsia="zh-CN"/>
        </w:rPr>
        <w:t>1</w:t>
      </w:r>
      <w:r w:rsidRPr="000C156A">
        <w:rPr>
          <w:rFonts w:cs="Microsoft YaHei" w:hint="eastAsia"/>
          <w:lang w:val="fr-CH" w:eastAsia="zh-CN"/>
        </w:rPr>
        <w:t>年</w:t>
      </w:r>
      <w:r w:rsidRPr="000C156A">
        <w:rPr>
          <w:lang w:eastAsia="zh-CN"/>
        </w:rPr>
        <w:t>12</w:t>
      </w:r>
      <w:r w:rsidRPr="000C156A">
        <w:rPr>
          <w:rFonts w:cs="Microsoft YaHei" w:hint="eastAsia"/>
          <w:lang w:val="fr-CH" w:eastAsia="zh-CN"/>
        </w:rPr>
        <w:t>月</w:t>
      </w:r>
      <w:r w:rsidRPr="000C156A">
        <w:rPr>
          <w:lang w:eastAsia="zh-CN"/>
        </w:rPr>
        <w:t>31</w:t>
      </w:r>
      <w:r w:rsidRPr="000C156A">
        <w:rPr>
          <w:rFonts w:cs="Microsoft YaHei" w:hint="eastAsia"/>
          <w:lang w:val="fr-CH" w:eastAsia="zh-CN"/>
        </w:rPr>
        <w:t>日之后收到的付款未记入此表</w:t>
      </w:r>
      <w:r w:rsidRPr="000C156A">
        <w:rPr>
          <w:rFonts w:cs="Microsoft YaHei" w:hint="eastAsia"/>
          <w:lang w:eastAsia="zh-CN"/>
        </w:rPr>
        <w:t>）</w:t>
      </w:r>
    </w:p>
    <w:tbl>
      <w:tblPr>
        <w:tblW w:w="4964" w:type="pct"/>
        <w:tblCellMar>
          <w:left w:w="0" w:type="dxa"/>
          <w:right w:w="0" w:type="dxa"/>
        </w:tblCellMar>
        <w:tblLook w:val="04A0" w:firstRow="1" w:lastRow="0" w:firstColumn="1" w:lastColumn="0" w:noHBand="0" w:noVBand="1"/>
      </w:tblPr>
      <w:tblGrid>
        <w:gridCol w:w="1517"/>
        <w:gridCol w:w="1138"/>
        <w:gridCol w:w="3182"/>
        <w:gridCol w:w="1377"/>
        <w:gridCol w:w="1394"/>
        <w:gridCol w:w="952"/>
      </w:tblGrid>
      <w:tr w:rsidR="004C18AD" w:rsidRPr="000C156A" w14:paraId="3149337B" w14:textId="77777777" w:rsidTr="00042C67">
        <w:trPr>
          <w:trHeight w:val="365"/>
        </w:trPr>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42F347"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eastAsia="zh-CN"/>
              </w:rPr>
              <w:t>活动</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BB1F9"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eastAsia="zh-CN"/>
              </w:rPr>
              <w:t>国家</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678CBA"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eastAsia="zh-CN"/>
              </w:rPr>
              <w:t>公司</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E8B5E" w14:textId="77777777" w:rsidR="004C18AD" w:rsidRPr="000C156A" w:rsidRDefault="004C18AD" w:rsidP="00042C67">
            <w:pPr>
              <w:pStyle w:val="Tabletext"/>
              <w:jc w:val="center"/>
              <w:rPr>
                <w:rFonts w:cs="Calibri"/>
                <w:b/>
                <w:bCs/>
                <w:szCs w:val="22"/>
                <w:lang w:val="en-US"/>
              </w:rPr>
            </w:pPr>
            <w:r w:rsidRPr="000C156A">
              <w:rPr>
                <w:rFonts w:cs="Calibri" w:hint="eastAsia"/>
                <w:b/>
                <w:bCs/>
                <w:szCs w:val="22"/>
                <w:lang w:val="en-US"/>
              </w:rPr>
              <w:t>发票金额</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858026" w14:textId="77777777" w:rsidR="004C18AD" w:rsidRPr="000C156A" w:rsidRDefault="004C18AD" w:rsidP="00042C67">
            <w:pPr>
              <w:pStyle w:val="Tabletext"/>
              <w:jc w:val="center"/>
              <w:rPr>
                <w:rFonts w:cs="Calibri"/>
                <w:b/>
                <w:bCs/>
                <w:szCs w:val="22"/>
                <w:lang w:val="en-US"/>
              </w:rPr>
            </w:pPr>
            <w:r w:rsidRPr="000C156A">
              <w:rPr>
                <w:rFonts w:cs="Calibri" w:hint="eastAsia"/>
                <w:b/>
                <w:bCs/>
                <w:szCs w:val="22"/>
                <w:lang w:val="en-US"/>
              </w:rPr>
              <w:t>收到付款</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91F3F8"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rPr>
              <w:t>欠款</w:t>
            </w:r>
            <w:r w:rsidRPr="000C156A">
              <w:rPr>
                <w:rFonts w:cs="Calibri" w:hint="eastAsia"/>
                <w:b/>
                <w:bCs/>
                <w:szCs w:val="22"/>
                <w:lang w:val="en-US" w:eastAsia="zh-CN"/>
              </w:rPr>
              <w:t>余额</w:t>
            </w:r>
          </w:p>
        </w:tc>
      </w:tr>
      <w:tr w:rsidR="004C18AD" w:rsidRPr="000C156A" w14:paraId="57F85ABB" w14:textId="77777777" w:rsidTr="00042C67">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8CCF9" w14:textId="77777777" w:rsidR="004C18AD" w:rsidRPr="000C156A" w:rsidRDefault="004C18AD" w:rsidP="00042C67">
            <w:pPr>
              <w:spacing w:before="40" w:after="40"/>
              <w:jc w:val="center"/>
              <w:rPr>
                <w:rFonts w:cs="Arial"/>
                <w:b/>
                <w:bCs/>
                <w:sz w:val="22"/>
                <w:szCs w:val="22"/>
              </w:rPr>
            </w:pPr>
            <w:r w:rsidRPr="000C156A">
              <w:rPr>
                <w:rFonts w:cs="Arial"/>
                <w:b/>
                <w:bCs/>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EC5DBF" w14:textId="77777777" w:rsidR="004C18AD" w:rsidRPr="000C156A" w:rsidRDefault="004C18AD" w:rsidP="00042C67">
            <w:pPr>
              <w:spacing w:before="40" w:after="40"/>
              <w:jc w:val="center"/>
              <w:rPr>
                <w:rFonts w:cs="Arial"/>
                <w:b/>
                <w:bCs/>
                <w:sz w:val="22"/>
                <w:szCs w:val="22"/>
              </w:rPr>
            </w:pPr>
            <w:r w:rsidRPr="000C156A">
              <w:rPr>
                <w:rFonts w:cs="Arial"/>
                <w:b/>
                <w:bCs/>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D55ACC"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95252"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80AB3"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F590E"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r>
      <w:tr w:rsidR="004C18AD" w:rsidRPr="000C156A" w14:paraId="3A3C0DEB" w14:textId="77777777" w:rsidTr="00042C67">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BDA075" w14:textId="77777777" w:rsidR="004C18AD" w:rsidRPr="000C156A" w:rsidRDefault="004C18AD" w:rsidP="00042C67">
            <w:pPr>
              <w:spacing w:before="40" w:after="40"/>
              <w:jc w:val="center"/>
              <w:rPr>
                <w:rFonts w:cs="Arial"/>
                <w:b/>
                <w:bCs/>
                <w:sz w:val="22"/>
                <w:szCs w:val="22"/>
              </w:rPr>
            </w:pP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EC19142" w14:textId="77777777" w:rsidR="004C18AD" w:rsidRPr="000C156A" w:rsidRDefault="004C18AD" w:rsidP="00042C67">
            <w:pPr>
              <w:spacing w:before="40" w:after="40"/>
              <w:jc w:val="center"/>
              <w:rPr>
                <w:rFonts w:cs="Arial"/>
                <w:b/>
                <w:bCs/>
                <w:sz w:val="22"/>
                <w:szCs w:val="22"/>
              </w:rPr>
            </w:pP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EE420F" w14:textId="77777777" w:rsidR="004C18AD" w:rsidRPr="000C156A" w:rsidRDefault="004C18AD" w:rsidP="00042C67">
            <w:pPr>
              <w:spacing w:before="40" w:after="40"/>
              <w:jc w:val="center"/>
              <w:rPr>
                <w:rFonts w:cs="Arial"/>
                <w:sz w:val="22"/>
                <w:szCs w:val="22"/>
              </w:rPr>
            </w:pP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68EBF4" w14:textId="77777777" w:rsidR="004C18AD" w:rsidRPr="000C156A" w:rsidRDefault="004C18AD" w:rsidP="00042C67">
            <w:pPr>
              <w:spacing w:before="40" w:after="40"/>
              <w:jc w:val="center"/>
              <w:rPr>
                <w:rFonts w:cs="Arial"/>
                <w:sz w:val="22"/>
                <w:szCs w:val="22"/>
              </w:rPr>
            </w:pP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930B375" w14:textId="77777777" w:rsidR="004C18AD" w:rsidRPr="000C156A" w:rsidRDefault="004C18AD" w:rsidP="00042C67">
            <w:pPr>
              <w:spacing w:before="40" w:after="40"/>
              <w:jc w:val="center"/>
              <w:rPr>
                <w:rFonts w:cs="Arial"/>
                <w:sz w:val="22"/>
                <w:szCs w:val="22"/>
              </w:rPr>
            </w:pP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C61425E" w14:textId="77777777" w:rsidR="004C18AD" w:rsidRPr="000C156A" w:rsidRDefault="004C18AD" w:rsidP="00042C67">
            <w:pPr>
              <w:spacing w:before="40" w:after="40"/>
              <w:jc w:val="center"/>
              <w:rPr>
                <w:rFonts w:cs="Arial"/>
                <w:sz w:val="22"/>
                <w:szCs w:val="22"/>
              </w:rPr>
            </w:pPr>
          </w:p>
        </w:tc>
      </w:tr>
      <w:tr w:rsidR="004C18AD" w:rsidRPr="000C156A" w14:paraId="320DD6E4" w14:textId="77777777" w:rsidTr="00042C67">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EB2AF" w14:textId="77777777" w:rsidR="004C18AD" w:rsidRPr="000C156A" w:rsidRDefault="004C18AD" w:rsidP="00042C67">
            <w:pPr>
              <w:spacing w:before="40" w:after="40"/>
              <w:jc w:val="center"/>
              <w:rPr>
                <w:rFonts w:cs="Arial"/>
                <w:sz w:val="22"/>
                <w:szCs w:val="22"/>
              </w:rPr>
            </w:pPr>
            <w:r w:rsidRPr="000C156A">
              <w:rPr>
                <w:rFonts w:cs="Arial"/>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9B3E5" w14:textId="77777777" w:rsidR="004C18AD" w:rsidRPr="000C156A" w:rsidRDefault="004C18AD" w:rsidP="00042C67">
            <w:pPr>
              <w:spacing w:before="40" w:after="40"/>
              <w:rPr>
                <w:rFonts w:cs="Arial"/>
                <w:sz w:val="22"/>
                <w:szCs w:val="22"/>
              </w:rPr>
            </w:pPr>
            <w:r w:rsidRPr="000C156A">
              <w:rPr>
                <w:rFonts w:cs="Arial" w:hint="eastAsia"/>
                <w:sz w:val="22"/>
                <w:szCs w:val="22"/>
              </w:rPr>
              <w:t>南非</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74D9B" w14:textId="77777777" w:rsidR="004C18AD" w:rsidRPr="000C156A" w:rsidRDefault="004C18AD" w:rsidP="00042C67">
            <w:pPr>
              <w:spacing w:before="40" w:after="40"/>
              <w:rPr>
                <w:rFonts w:cs="Arial"/>
                <w:sz w:val="22"/>
                <w:szCs w:val="22"/>
              </w:rPr>
            </w:pPr>
            <w:r w:rsidRPr="000C156A">
              <w:rPr>
                <w:rFonts w:cs="Arial"/>
                <w:sz w:val="22"/>
                <w:szCs w:val="22"/>
              </w:rPr>
              <w:t>MPCELL (Pty)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8FEFC" w14:textId="77777777" w:rsidR="004C18AD" w:rsidRPr="000C156A" w:rsidRDefault="004C18AD" w:rsidP="00042C67">
            <w:pPr>
              <w:spacing w:before="40" w:after="40"/>
              <w:jc w:val="right"/>
              <w:rPr>
                <w:rFonts w:cs="Arial"/>
                <w:sz w:val="22"/>
                <w:szCs w:val="22"/>
              </w:rPr>
            </w:pPr>
            <w:r w:rsidRPr="000C156A">
              <w:rPr>
                <w:rFonts w:cs="Arial"/>
                <w:sz w:val="22"/>
                <w:szCs w:val="22"/>
              </w:rPr>
              <w:t>3 690.00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AF4EC" w14:textId="77777777" w:rsidR="004C18AD" w:rsidRPr="000C156A" w:rsidRDefault="004C18AD" w:rsidP="00042C67">
            <w:pPr>
              <w:spacing w:before="40" w:after="40"/>
              <w:jc w:val="right"/>
              <w:rPr>
                <w:rFonts w:cs="Arial"/>
                <w:sz w:val="22"/>
                <w:szCs w:val="22"/>
              </w:rPr>
            </w:pPr>
            <w:r w:rsidRPr="000C156A">
              <w:rPr>
                <w:rFonts w:cs="Arial"/>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2C073" w14:textId="77777777" w:rsidR="004C18AD" w:rsidRPr="000C156A" w:rsidRDefault="004C18AD" w:rsidP="00042C67">
            <w:pPr>
              <w:spacing w:before="40" w:after="40"/>
              <w:jc w:val="right"/>
              <w:rPr>
                <w:rFonts w:cs="Arial"/>
                <w:sz w:val="22"/>
                <w:szCs w:val="22"/>
              </w:rPr>
            </w:pPr>
            <w:r w:rsidRPr="000C156A">
              <w:rPr>
                <w:rFonts w:cs="Arial"/>
                <w:sz w:val="22"/>
                <w:szCs w:val="22"/>
              </w:rPr>
              <w:t>3 690.00</w:t>
            </w:r>
          </w:p>
        </w:tc>
      </w:tr>
      <w:tr w:rsidR="004C18AD" w:rsidRPr="000C156A" w14:paraId="5308F135" w14:textId="77777777" w:rsidTr="00042C67">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9BDDF" w14:textId="77777777" w:rsidR="004C18AD" w:rsidRPr="000C156A" w:rsidRDefault="004C18AD" w:rsidP="00042C67">
            <w:pPr>
              <w:spacing w:before="40" w:after="40"/>
              <w:jc w:val="center"/>
              <w:rPr>
                <w:rFonts w:cs="Arial"/>
                <w:sz w:val="22"/>
                <w:szCs w:val="22"/>
              </w:rPr>
            </w:pPr>
            <w:r w:rsidRPr="000C156A">
              <w:rPr>
                <w:rFonts w:cs="Arial"/>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5F412" w14:textId="77777777" w:rsidR="004C18AD" w:rsidRPr="000C156A" w:rsidRDefault="004C18AD" w:rsidP="00042C67">
            <w:pPr>
              <w:spacing w:before="40" w:after="40"/>
              <w:rPr>
                <w:rFonts w:cs="Arial"/>
                <w:sz w:val="22"/>
                <w:szCs w:val="22"/>
              </w:rPr>
            </w:pPr>
            <w:r w:rsidRPr="000C156A">
              <w:rPr>
                <w:rFonts w:cs="Arial" w:hint="eastAsia"/>
                <w:sz w:val="22"/>
                <w:szCs w:val="22"/>
              </w:rPr>
              <w:t>加拿大</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12B22" w14:textId="77777777" w:rsidR="004C18AD" w:rsidRPr="000C156A" w:rsidRDefault="004C18AD" w:rsidP="00042C67">
            <w:pPr>
              <w:spacing w:before="40" w:after="40"/>
              <w:rPr>
                <w:rFonts w:cs="Arial"/>
                <w:sz w:val="22"/>
                <w:szCs w:val="22"/>
              </w:rPr>
            </w:pPr>
            <w:r w:rsidRPr="000C156A">
              <w:rPr>
                <w:rFonts w:cs="Arial"/>
                <w:sz w:val="22"/>
                <w:szCs w:val="22"/>
              </w:rPr>
              <w:t>Broad Connect Telecom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0093F6" w14:textId="77777777" w:rsidR="004C18AD" w:rsidRPr="000C156A" w:rsidRDefault="004C18AD" w:rsidP="00042C67">
            <w:pPr>
              <w:spacing w:before="40" w:after="40"/>
              <w:jc w:val="right"/>
              <w:rPr>
                <w:rFonts w:cs="Arial"/>
                <w:sz w:val="22"/>
                <w:szCs w:val="22"/>
              </w:rPr>
            </w:pPr>
            <w:r w:rsidRPr="000C156A">
              <w:rPr>
                <w:rFonts w:cs="Arial"/>
                <w:sz w:val="22"/>
                <w:szCs w:val="22"/>
              </w:rPr>
              <w:t>14 760.00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931AF" w14:textId="77777777" w:rsidR="004C18AD" w:rsidRPr="000C156A" w:rsidRDefault="004C18AD" w:rsidP="00042C67">
            <w:pPr>
              <w:spacing w:before="40" w:after="40"/>
              <w:jc w:val="right"/>
              <w:rPr>
                <w:rFonts w:cs="Arial"/>
                <w:sz w:val="22"/>
                <w:szCs w:val="22"/>
              </w:rPr>
            </w:pPr>
            <w:r w:rsidRPr="000C156A">
              <w:rPr>
                <w:rFonts w:cs="Arial"/>
                <w:sz w:val="22"/>
                <w:szCs w:val="22"/>
              </w:rPr>
              <w:t>5 850.00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4074D" w14:textId="77777777" w:rsidR="004C18AD" w:rsidRPr="000C156A" w:rsidRDefault="004C18AD" w:rsidP="00042C67">
            <w:pPr>
              <w:spacing w:before="40" w:after="40"/>
              <w:jc w:val="right"/>
              <w:rPr>
                <w:rFonts w:cs="Arial"/>
                <w:sz w:val="22"/>
                <w:szCs w:val="22"/>
              </w:rPr>
            </w:pPr>
            <w:r w:rsidRPr="000C156A">
              <w:rPr>
                <w:rFonts w:cs="Arial"/>
                <w:sz w:val="22"/>
                <w:szCs w:val="22"/>
              </w:rPr>
              <w:t>8 910.00</w:t>
            </w:r>
          </w:p>
        </w:tc>
      </w:tr>
      <w:tr w:rsidR="004C18AD" w:rsidRPr="000C156A" w14:paraId="7399FC0C" w14:textId="77777777" w:rsidTr="00042C67">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A6F19" w14:textId="77777777" w:rsidR="004C18AD" w:rsidRPr="000C156A" w:rsidRDefault="004C18AD" w:rsidP="00042C67">
            <w:pPr>
              <w:spacing w:before="40" w:after="40"/>
              <w:jc w:val="center"/>
              <w:rPr>
                <w:rFonts w:cs="Arial"/>
                <w:sz w:val="22"/>
                <w:szCs w:val="22"/>
              </w:rPr>
            </w:pPr>
            <w:r w:rsidRPr="000C156A">
              <w:rPr>
                <w:rFonts w:cs="Arial"/>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4DAB0" w14:textId="77777777" w:rsidR="004C18AD" w:rsidRPr="000C156A" w:rsidRDefault="004C18AD" w:rsidP="00042C67">
            <w:pPr>
              <w:spacing w:before="40" w:after="40"/>
              <w:rPr>
                <w:rFonts w:cs="Arial"/>
                <w:sz w:val="22"/>
                <w:szCs w:val="22"/>
              </w:rPr>
            </w:pPr>
            <w:r w:rsidRPr="000C156A">
              <w:rPr>
                <w:rFonts w:cs="Arial" w:hint="eastAsia"/>
                <w:sz w:val="22"/>
                <w:szCs w:val="22"/>
              </w:rPr>
              <w:t>中国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66C26" w14:textId="77777777" w:rsidR="004C18AD" w:rsidRPr="000C156A" w:rsidRDefault="004C18AD" w:rsidP="00042C67">
            <w:pPr>
              <w:spacing w:before="40" w:after="40"/>
              <w:rPr>
                <w:rFonts w:cs="Arial"/>
                <w:sz w:val="22"/>
                <w:szCs w:val="22"/>
              </w:rPr>
            </w:pPr>
            <w:r w:rsidRPr="000C156A">
              <w:rPr>
                <w:rFonts w:asciiTheme="minorHAnsi" w:hAnsiTheme="minorHAnsi" w:cs="Arial"/>
                <w:sz w:val="22"/>
                <w:szCs w:val="22"/>
                <w:lang w:val="en-US" w:eastAsia="zh-CN"/>
              </w:rPr>
              <w:t>SipRing Telecommunication</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FE252" w14:textId="77777777" w:rsidR="004C18AD" w:rsidRPr="000C156A" w:rsidRDefault="004C18AD" w:rsidP="00042C67">
            <w:pPr>
              <w:spacing w:before="40" w:after="40"/>
              <w:jc w:val="right"/>
              <w:rPr>
                <w:rFonts w:cs="Arial"/>
                <w:sz w:val="22"/>
                <w:szCs w:val="22"/>
              </w:rPr>
            </w:pPr>
            <w:r w:rsidRPr="000C156A">
              <w:rPr>
                <w:rFonts w:cs="Arial"/>
                <w:sz w:val="22"/>
                <w:szCs w:val="22"/>
              </w:rPr>
              <w:t>8 200.00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A28A5" w14:textId="77777777" w:rsidR="004C18AD" w:rsidRPr="000C156A" w:rsidRDefault="004C18AD" w:rsidP="00042C67">
            <w:pPr>
              <w:spacing w:before="40" w:after="40"/>
              <w:jc w:val="right"/>
              <w:rPr>
                <w:rFonts w:cs="Arial"/>
                <w:sz w:val="22"/>
                <w:szCs w:val="22"/>
              </w:rPr>
            </w:pPr>
            <w:r w:rsidRPr="000C156A">
              <w:rPr>
                <w:rFonts w:cs="Arial"/>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63F5F" w14:textId="77777777" w:rsidR="004C18AD" w:rsidRPr="000C156A" w:rsidRDefault="004C18AD" w:rsidP="00042C67">
            <w:pPr>
              <w:spacing w:before="40" w:after="40"/>
              <w:jc w:val="right"/>
              <w:rPr>
                <w:rFonts w:cs="Arial"/>
                <w:sz w:val="22"/>
                <w:szCs w:val="22"/>
              </w:rPr>
            </w:pPr>
            <w:r w:rsidRPr="000C156A">
              <w:rPr>
                <w:rFonts w:cs="Arial"/>
                <w:sz w:val="22"/>
                <w:szCs w:val="22"/>
              </w:rPr>
              <w:t>8 200.00</w:t>
            </w:r>
          </w:p>
        </w:tc>
      </w:tr>
      <w:tr w:rsidR="004C18AD" w:rsidRPr="000C156A" w14:paraId="16261635" w14:textId="77777777" w:rsidTr="00042C67">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73EB5" w14:textId="77777777" w:rsidR="004C18AD" w:rsidRPr="000C156A" w:rsidRDefault="004C18AD" w:rsidP="00042C67">
            <w:pPr>
              <w:spacing w:before="40" w:after="40"/>
              <w:jc w:val="center"/>
              <w:rPr>
                <w:rFonts w:cs="Arial"/>
                <w:sz w:val="22"/>
                <w:szCs w:val="22"/>
              </w:rPr>
            </w:pPr>
            <w:r w:rsidRPr="000C156A">
              <w:rPr>
                <w:rFonts w:cs="Arial"/>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DAAC1" w14:textId="77777777" w:rsidR="004C18AD" w:rsidRPr="000C156A" w:rsidRDefault="004C18AD" w:rsidP="00042C67">
            <w:pPr>
              <w:spacing w:before="40" w:after="40"/>
              <w:rPr>
                <w:rFonts w:cs="Arial"/>
                <w:sz w:val="22"/>
                <w:szCs w:val="22"/>
              </w:rPr>
            </w:pPr>
            <w:r w:rsidRPr="000C156A">
              <w:rPr>
                <w:rFonts w:cs="Arial" w:hint="eastAsia"/>
                <w:sz w:val="22"/>
                <w:szCs w:val="22"/>
              </w:rPr>
              <w:t>科特迪瓦</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EC717A" w14:textId="77777777" w:rsidR="004C18AD" w:rsidRPr="000C156A" w:rsidRDefault="004C18AD" w:rsidP="00042C67">
            <w:pPr>
              <w:spacing w:before="40" w:after="40"/>
              <w:rPr>
                <w:rFonts w:cs="Arial"/>
                <w:sz w:val="22"/>
                <w:szCs w:val="22"/>
              </w:rPr>
            </w:pPr>
            <w:r w:rsidRPr="000C156A">
              <w:rPr>
                <w:rFonts w:asciiTheme="minorHAnsi" w:hAnsiTheme="minorHAnsi" w:cs="Arial"/>
                <w:sz w:val="22"/>
                <w:szCs w:val="22"/>
                <w:lang w:val="en-US" w:eastAsia="zh-CN"/>
              </w:rPr>
              <w:t>Apex Technologies</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CA141D" w14:textId="77777777" w:rsidR="004C18AD" w:rsidRPr="000C156A" w:rsidRDefault="004C18AD" w:rsidP="00042C67">
            <w:pPr>
              <w:spacing w:before="40" w:after="40"/>
              <w:jc w:val="right"/>
              <w:rPr>
                <w:rFonts w:cs="Arial"/>
                <w:sz w:val="22"/>
                <w:szCs w:val="22"/>
              </w:rPr>
            </w:pPr>
            <w:r w:rsidRPr="000C156A">
              <w:rPr>
                <w:rFonts w:cs="Arial"/>
                <w:sz w:val="22"/>
                <w:szCs w:val="22"/>
              </w:rPr>
              <w:t>7 380.00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25840" w14:textId="77777777" w:rsidR="004C18AD" w:rsidRPr="000C156A" w:rsidRDefault="004C18AD" w:rsidP="00042C67">
            <w:pPr>
              <w:spacing w:before="40" w:after="40"/>
              <w:jc w:val="right"/>
              <w:rPr>
                <w:rFonts w:cs="Arial"/>
                <w:sz w:val="22"/>
                <w:szCs w:val="22"/>
              </w:rPr>
            </w:pPr>
            <w:r w:rsidRPr="000C156A">
              <w:rPr>
                <w:rFonts w:cs="Arial"/>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08689" w14:textId="77777777" w:rsidR="004C18AD" w:rsidRPr="000C156A" w:rsidRDefault="004C18AD" w:rsidP="00042C67">
            <w:pPr>
              <w:spacing w:before="40" w:after="40"/>
              <w:jc w:val="right"/>
              <w:rPr>
                <w:rFonts w:cs="Arial"/>
                <w:sz w:val="22"/>
                <w:szCs w:val="22"/>
              </w:rPr>
            </w:pPr>
            <w:r w:rsidRPr="000C156A">
              <w:rPr>
                <w:rFonts w:cs="Arial"/>
                <w:sz w:val="22"/>
                <w:szCs w:val="22"/>
              </w:rPr>
              <w:t>7 380.00</w:t>
            </w:r>
          </w:p>
        </w:tc>
      </w:tr>
      <w:tr w:rsidR="004C18AD" w:rsidRPr="000C156A" w14:paraId="01440A84" w14:textId="77777777" w:rsidTr="00042C67">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E99F6" w14:textId="77777777" w:rsidR="004C18AD" w:rsidRPr="000C156A" w:rsidRDefault="004C18AD" w:rsidP="00042C67">
            <w:pPr>
              <w:spacing w:before="40" w:after="40"/>
              <w:jc w:val="center"/>
              <w:rPr>
                <w:rFonts w:cs="Arial"/>
                <w:sz w:val="22"/>
                <w:szCs w:val="22"/>
              </w:rPr>
            </w:pPr>
            <w:r w:rsidRPr="000C156A">
              <w:rPr>
                <w:rFonts w:cs="Arial"/>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560BC" w14:textId="77777777" w:rsidR="004C18AD" w:rsidRPr="000C156A" w:rsidRDefault="004C18AD" w:rsidP="00042C67">
            <w:pPr>
              <w:spacing w:before="40" w:after="40"/>
              <w:rPr>
                <w:rFonts w:cs="Arial"/>
                <w:sz w:val="22"/>
                <w:szCs w:val="22"/>
              </w:rPr>
            </w:pPr>
            <w:r w:rsidRPr="000C156A">
              <w:rPr>
                <w:rFonts w:cs="Arial" w:hint="eastAsia"/>
                <w:sz w:val="22"/>
                <w:szCs w:val="22"/>
              </w:rPr>
              <w:t>黎巴嫩</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ECFB7D" w14:textId="77777777" w:rsidR="004C18AD" w:rsidRPr="000C156A" w:rsidRDefault="004C18AD" w:rsidP="00042C67">
            <w:pPr>
              <w:spacing w:before="40" w:after="40"/>
              <w:rPr>
                <w:rFonts w:cs="Arial"/>
                <w:sz w:val="22"/>
                <w:szCs w:val="22"/>
              </w:rPr>
            </w:pPr>
            <w:r w:rsidRPr="000C156A">
              <w:rPr>
                <w:rFonts w:cs="Arial"/>
                <w:sz w:val="22"/>
                <w:szCs w:val="22"/>
              </w:rPr>
              <w:t>Splendor</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78D988" w14:textId="77777777" w:rsidR="004C18AD" w:rsidRPr="000C156A" w:rsidRDefault="004C18AD" w:rsidP="00042C67">
            <w:pPr>
              <w:spacing w:before="40" w:after="40"/>
              <w:jc w:val="right"/>
              <w:rPr>
                <w:rFonts w:cs="Arial"/>
                <w:sz w:val="22"/>
                <w:szCs w:val="22"/>
              </w:rPr>
            </w:pPr>
            <w:r w:rsidRPr="000C156A">
              <w:rPr>
                <w:rFonts w:cs="Arial"/>
                <w:sz w:val="22"/>
                <w:szCs w:val="22"/>
              </w:rPr>
              <w:t>12 300.00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DF831" w14:textId="77777777" w:rsidR="004C18AD" w:rsidRPr="000C156A" w:rsidRDefault="004C18AD" w:rsidP="00042C67">
            <w:pPr>
              <w:spacing w:before="40" w:after="40"/>
              <w:jc w:val="right"/>
              <w:rPr>
                <w:rFonts w:cs="Arial"/>
                <w:sz w:val="22"/>
                <w:szCs w:val="22"/>
              </w:rPr>
            </w:pPr>
            <w:r w:rsidRPr="000C156A">
              <w:rPr>
                <w:rFonts w:cs="Arial"/>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75C12" w14:textId="77777777" w:rsidR="004C18AD" w:rsidRPr="000C156A" w:rsidRDefault="004C18AD" w:rsidP="00042C67">
            <w:pPr>
              <w:spacing w:before="40" w:after="40"/>
              <w:jc w:val="right"/>
              <w:rPr>
                <w:rFonts w:cs="Arial"/>
                <w:sz w:val="22"/>
                <w:szCs w:val="22"/>
              </w:rPr>
            </w:pPr>
            <w:r w:rsidRPr="000C156A">
              <w:rPr>
                <w:rFonts w:cs="Arial"/>
                <w:sz w:val="22"/>
                <w:szCs w:val="22"/>
              </w:rPr>
              <w:t>12 300.00</w:t>
            </w:r>
          </w:p>
        </w:tc>
      </w:tr>
      <w:tr w:rsidR="004C18AD" w:rsidRPr="000C156A" w14:paraId="55F34F6D" w14:textId="77777777" w:rsidTr="00042C67">
        <w:trPr>
          <w:trHeight w:val="197"/>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413B1"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42771"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A23F5"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7240A7" w14:textId="77777777" w:rsidR="004C18AD" w:rsidRPr="000C156A" w:rsidRDefault="004C18AD" w:rsidP="00042C67">
            <w:pPr>
              <w:spacing w:before="40" w:after="40"/>
              <w:jc w:val="right"/>
              <w:rPr>
                <w:rFonts w:cs="Arial"/>
                <w:sz w:val="22"/>
                <w:szCs w:val="22"/>
              </w:rPr>
            </w:pPr>
            <w:r w:rsidRPr="000C156A">
              <w:rPr>
                <w:rFonts w:cs="Arial"/>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27078D" w14:textId="77777777" w:rsidR="004C18AD" w:rsidRPr="000C156A" w:rsidRDefault="004C18AD" w:rsidP="00042C67">
            <w:pPr>
              <w:spacing w:before="40" w:after="40"/>
              <w:jc w:val="right"/>
              <w:rPr>
                <w:rFonts w:cs="Arial"/>
                <w:sz w:val="22"/>
                <w:szCs w:val="22"/>
              </w:rPr>
            </w:pPr>
            <w:r w:rsidRPr="000C156A">
              <w:rPr>
                <w:rFonts w:cs="Arial"/>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9B7F6" w14:textId="77777777" w:rsidR="004C18AD" w:rsidRPr="000C156A" w:rsidRDefault="004C18AD" w:rsidP="00042C67">
            <w:pPr>
              <w:spacing w:before="40" w:after="40"/>
              <w:jc w:val="right"/>
              <w:rPr>
                <w:rFonts w:cs="Arial"/>
                <w:sz w:val="22"/>
                <w:szCs w:val="22"/>
              </w:rPr>
            </w:pPr>
            <w:r w:rsidRPr="000C156A">
              <w:rPr>
                <w:rFonts w:cs="Arial"/>
                <w:sz w:val="22"/>
                <w:szCs w:val="22"/>
              </w:rPr>
              <w:t> </w:t>
            </w:r>
          </w:p>
        </w:tc>
      </w:tr>
      <w:tr w:rsidR="004C18AD" w:rsidRPr="000C156A" w14:paraId="6B63EE21" w14:textId="77777777" w:rsidTr="00042C67">
        <w:trPr>
          <w:trHeight w:val="43"/>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AFA7C" w14:textId="77777777" w:rsidR="004C18AD" w:rsidRPr="000C156A" w:rsidRDefault="004C18AD" w:rsidP="00042C67">
            <w:pPr>
              <w:spacing w:before="40" w:after="40"/>
              <w:jc w:val="center"/>
              <w:rPr>
                <w:rFonts w:cs="Arial"/>
                <w:b/>
                <w:bCs/>
                <w:sz w:val="22"/>
                <w:szCs w:val="22"/>
              </w:rPr>
            </w:pPr>
            <w:r w:rsidRPr="000C156A">
              <w:rPr>
                <w:rFonts w:cs="Arial"/>
                <w:b/>
                <w:bCs/>
                <w:sz w:val="22"/>
                <w:szCs w:val="22"/>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86AD8"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7CDC9"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E98C0" w14:textId="77777777" w:rsidR="004C18AD" w:rsidRPr="000C156A" w:rsidRDefault="004C18AD" w:rsidP="00042C67">
            <w:pPr>
              <w:spacing w:before="40" w:after="40"/>
              <w:jc w:val="right"/>
              <w:rPr>
                <w:rFonts w:cs="Arial"/>
                <w:sz w:val="22"/>
                <w:szCs w:val="22"/>
              </w:rPr>
            </w:pPr>
            <w:r w:rsidRPr="000C156A">
              <w:rPr>
                <w:rFonts w:cs="Arial"/>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6B379" w14:textId="77777777" w:rsidR="004C18AD" w:rsidRPr="000C156A" w:rsidRDefault="004C18AD" w:rsidP="00042C67">
            <w:pPr>
              <w:spacing w:before="40" w:after="40"/>
              <w:jc w:val="right"/>
              <w:rPr>
                <w:rFonts w:cs="Arial"/>
                <w:sz w:val="22"/>
                <w:szCs w:val="22"/>
              </w:rPr>
            </w:pPr>
            <w:r w:rsidRPr="000C156A">
              <w:rPr>
                <w:rFonts w:cs="Arial"/>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00BDC" w14:textId="77777777" w:rsidR="004C18AD" w:rsidRPr="000C156A" w:rsidRDefault="004C18AD" w:rsidP="00042C67">
            <w:pPr>
              <w:spacing w:before="40" w:after="40"/>
              <w:jc w:val="right"/>
              <w:rPr>
                <w:rFonts w:cs="Arial"/>
                <w:b/>
                <w:bCs/>
                <w:sz w:val="22"/>
                <w:szCs w:val="22"/>
              </w:rPr>
            </w:pPr>
            <w:r w:rsidRPr="000C156A">
              <w:rPr>
                <w:rFonts w:cs="Arial"/>
                <w:b/>
                <w:bCs/>
                <w:sz w:val="22"/>
                <w:szCs w:val="22"/>
              </w:rPr>
              <w:t>40 480.00</w:t>
            </w:r>
          </w:p>
        </w:tc>
      </w:tr>
    </w:tbl>
    <w:p w14:paraId="73B367E3" w14:textId="77777777" w:rsidR="004C18AD" w:rsidRPr="000C156A" w:rsidRDefault="004C18AD" w:rsidP="004C18AD">
      <w:pPr>
        <w:spacing w:before="0"/>
        <w:rPr>
          <w:sz w:val="22"/>
          <w:szCs w:val="22"/>
        </w:rPr>
      </w:pPr>
    </w:p>
    <w:tbl>
      <w:tblPr>
        <w:tblW w:w="5000" w:type="pct"/>
        <w:tblCellMar>
          <w:left w:w="0" w:type="dxa"/>
          <w:right w:w="0" w:type="dxa"/>
        </w:tblCellMar>
        <w:tblLook w:val="04A0" w:firstRow="1" w:lastRow="0" w:firstColumn="1" w:lastColumn="0" w:noHBand="0" w:noVBand="1"/>
      </w:tblPr>
      <w:tblGrid>
        <w:gridCol w:w="1501"/>
        <w:gridCol w:w="1121"/>
        <w:gridCol w:w="3330"/>
        <w:gridCol w:w="1362"/>
        <w:gridCol w:w="1379"/>
        <w:gridCol w:w="936"/>
      </w:tblGrid>
      <w:tr w:rsidR="004C18AD" w:rsidRPr="000C156A" w14:paraId="3D8B27CB" w14:textId="77777777" w:rsidTr="00042C67">
        <w:trPr>
          <w:trHeight w:val="525"/>
        </w:trPr>
        <w:tc>
          <w:tcPr>
            <w:tcW w:w="78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A57211"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eastAsia="zh-CN"/>
              </w:rPr>
              <w:t>活动</w:t>
            </w:r>
          </w:p>
        </w:tc>
        <w:tc>
          <w:tcPr>
            <w:tcW w:w="58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15C0BB"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eastAsia="zh-CN"/>
              </w:rPr>
              <w:t>国家</w:t>
            </w:r>
          </w:p>
        </w:tc>
        <w:tc>
          <w:tcPr>
            <w:tcW w:w="1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F9582"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eastAsia="zh-CN"/>
              </w:rPr>
              <w:t>公司</w:t>
            </w:r>
          </w:p>
        </w:tc>
        <w:tc>
          <w:tcPr>
            <w:tcW w:w="70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677252" w14:textId="77777777" w:rsidR="004C18AD" w:rsidRPr="000C156A" w:rsidRDefault="004C18AD" w:rsidP="00042C67">
            <w:pPr>
              <w:pStyle w:val="Tabletext"/>
              <w:jc w:val="center"/>
              <w:rPr>
                <w:rFonts w:cs="Calibri"/>
                <w:b/>
                <w:bCs/>
                <w:szCs w:val="22"/>
                <w:lang w:val="en-US"/>
              </w:rPr>
            </w:pPr>
            <w:r w:rsidRPr="000C156A">
              <w:rPr>
                <w:rFonts w:cs="Calibri" w:hint="eastAsia"/>
                <w:b/>
                <w:bCs/>
                <w:szCs w:val="22"/>
                <w:lang w:val="en-US"/>
              </w:rPr>
              <w:t>发票金额</w:t>
            </w:r>
          </w:p>
        </w:tc>
        <w:tc>
          <w:tcPr>
            <w:tcW w:w="71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998250" w14:textId="77777777" w:rsidR="004C18AD" w:rsidRPr="000C156A" w:rsidRDefault="004C18AD" w:rsidP="00042C67">
            <w:pPr>
              <w:pStyle w:val="Tabletext"/>
              <w:jc w:val="center"/>
              <w:rPr>
                <w:rFonts w:cs="Calibri"/>
                <w:b/>
                <w:bCs/>
                <w:szCs w:val="22"/>
                <w:lang w:val="en-US"/>
              </w:rPr>
            </w:pPr>
            <w:r w:rsidRPr="000C156A">
              <w:rPr>
                <w:rFonts w:cs="Calibri" w:hint="eastAsia"/>
                <w:b/>
                <w:bCs/>
                <w:szCs w:val="22"/>
                <w:lang w:val="en-US"/>
              </w:rPr>
              <w:t>收到付款</w:t>
            </w:r>
          </w:p>
        </w:tc>
        <w:tc>
          <w:tcPr>
            <w:tcW w:w="48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91EB0"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rPr>
              <w:t>欠款</w:t>
            </w:r>
            <w:r w:rsidRPr="000C156A">
              <w:rPr>
                <w:rFonts w:cs="Calibri" w:hint="eastAsia"/>
                <w:b/>
                <w:bCs/>
                <w:szCs w:val="22"/>
                <w:lang w:val="en-US" w:eastAsia="zh-CN"/>
              </w:rPr>
              <w:t>余额</w:t>
            </w:r>
          </w:p>
        </w:tc>
      </w:tr>
      <w:tr w:rsidR="004C18AD" w:rsidRPr="000C156A" w14:paraId="77357880" w14:textId="77777777" w:rsidTr="00042C67">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27921" w14:textId="77777777" w:rsidR="004C18AD" w:rsidRPr="000C156A" w:rsidRDefault="004C18AD" w:rsidP="00042C67">
            <w:pPr>
              <w:spacing w:before="40" w:after="40"/>
              <w:jc w:val="center"/>
              <w:rPr>
                <w:rFonts w:cs="Arial"/>
                <w:b/>
                <w:bCs/>
                <w:sz w:val="22"/>
                <w:szCs w:val="22"/>
              </w:rPr>
            </w:pPr>
            <w:r w:rsidRPr="000C156A">
              <w:rPr>
                <w:rFonts w:cs="Arial"/>
                <w:b/>
                <w:bCs/>
                <w:sz w:val="22"/>
                <w:szCs w:val="22"/>
              </w:rPr>
              <w:t> </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DAD6D" w14:textId="77777777" w:rsidR="004C18AD" w:rsidRPr="000C156A" w:rsidRDefault="004C18AD" w:rsidP="00042C67">
            <w:pPr>
              <w:spacing w:before="40" w:after="40"/>
              <w:jc w:val="center"/>
              <w:rPr>
                <w:rFonts w:cs="Arial"/>
                <w:b/>
                <w:bCs/>
                <w:sz w:val="22"/>
                <w:szCs w:val="22"/>
              </w:rPr>
            </w:pPr>
            <w:r w:rsidRPr="000C156A">
              <w:rPr>
                <w:rFonts w:cs="Arial"/>
                <w:b/>
                <w:bCs/>
                <w:sz w:val="22"/>
                <w:szCs w:val="22"/>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2D82F"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4C55A6"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7E7B39"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A2335"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r>
      <w:tr w:rsidR="004C18AD" w:rsidRPr="000C156A" w14:paraId="116F5109" w14:textId="77777777" w:rsidTr="00042C67">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CB4F1" w14:textId="77777777" w:rsidR="004C18AD" w:rsidRPr="000C156A" w:rsidRDefault="004C18AD" w:rsidP="00042C67">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9677DD" w14:textId="77777777" w:rsidR="004C18AD" w:rsidRPr="000C156A" w:rsidRDefault="004C18AD" w:rsidP="00042C67">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12BDC" w14:textId="77777777" w:rsidR="004C18AD" w:rsidRPr="000C156A" w:rsidRDefault="004C18AD" w:rsidP="00042C67">
            <w:pPr>
              <w:spacing w:before="40" w:after="40"/>
              <w:rPr>
                <w:rFonts w:cs="Arial"/>
                <w:sz w:val="22"/>
                <w:szCs w:val="22"/>
              </w:rPr>
            </w:pPr>
            <w:r w:rsidRPr="000C156A">
              <w:rPr>
                <w:rFonts w:asciiTheme="minorHAnsi" w:hAnsiTheme="minorHAnsi" w:cs="Arial" w:hint="eastAsia"/>
                <w:sz w:val="22"/>
                <w:szCs w:val="22"/>
                <w:lang w:val="en-US" w:eastAsia="zh-CN"/>
              </w:rPr>
              <w:t>香港美洲咨询公司</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7C50D8" w14:textId="77777777" w:rsidR="004C18AD" w:rsidRPr="000C156A" w:rsidRDefault="004C18AD" w:rsidP="00042C67">
            <w:pPr>
              <w:spacing w:before="40" w:after="40"/>
              <w:jc w:val="right"/>
              <w:rPr>
                <w:rFonts w:cs="Arial"/>
                <w:sz w:val="22"/>
                <w:szCs w:val="22"/>
              </w:rPr>
            </w:pPr>
            <w:r w:rsidRPr="000C156A">
              <w:rPr>
                <w:rFonts w:cs="Arial"/>
                <w:sz w:val="22"/>
                <w:szCs w:val="22"/>
              </w:rPr>
              <w:t>400.00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6319A" w14:textId="77777777" w:rsidR="004C18AD" w:rsidRPr="000C156A" w:rsidRDefault="004C18AD" w:rsidP="00042C67">
            <w:pPr>
              <w:spacing w:before="40" w:after="40"/>
              <w:jc w:val="right"/>
              <w:rPr>
                <w:rFonts w:cs="Arial"/>
                <w:sz w:val="22"/>
                <w:szCs w:val="22"/>
              </w:rPr>
            </w:pPr>
            <w:r w:rsidRPr="000C156A">
              <w:rPr>
                <w:rFonts w:cs="Arial"/>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9D790" w14:textId="77777777" w:rsidR="004C18AD" w:rsidRPr="000C156A" w:rsidRDefault="004C18AD" w:rsidP="00042C67">
            <w:pPr>
              <w:spacing w:before="40" w:after="40"/>
              <w:jc w:val="right"/>
              <w:rPr>
                <w:rFonts w:cs="Arial"/>
                <w:sz w:val="22"/>
                <w:szCs w:val="22"/>
              </w:rPr>
            </w:pPr>
            <w:r w:rsidRPr="000C156A">
              <w:rPr>
                <w:rFonts w:cs="Arial"/>
                <w:sz w:val="22"/>
                <w:szCs w:val="22"/>
              </w:rPr>
              <w:t>400.00</w:t>
            </w:r>
          </w:p>
        </w:tc>
      </w:tr>
      <w:tr w:rsidR="004C18AD" w:rsidRPr="000C156A" w14:paraId="42527AB8" w14:textId="77777777" w:rsidTr="00042C67">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46FB4" w14:textId="77777777" w:rsidR="004C18AD" w:rsidRPr="000C156A" w:rsidRDefault="004C18AD" w:rsidP="00042C67">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BE4E64" w14:textId="77777777" w:rsidR="004C18AD" w:rsidRPr="000C156A" w:rsidRDefault="004C18AD" w:rsidP="00042C67">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231DD" w14:textId="77777777" w:rsidR="004C18AD" w:rsidRPr="000C156A" w:rsidRDefault="004C18AD" w:rsidP="00042C67">
            <w:pPr>
              <w:spacing w:before="40" w:after="40"/>
              <w:rPr>
                <w:color w:val="000000"/>
                <w:sz w:val="22"/>
                <w:szCs w:val="22"/>
              </w:rPr>
            </w:pPr>
            <w:r w:rsidRPr="000C156A">
              <w:rPr>
                <w:color w:val="000000"/>
                <w:sz w:val="22"/>
                <w:szCs w:val="22"/>
              </w:rPr>
              <w:t>ChongQing Chong You</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CFB576" w14:textId="77777777" w:rsidR="004C18AD" w:rsidRPr="000C156A" w:rsidRDefault="004C18AD" w:rsidP="00042C67">
            <w:pPr>
              <w:spacing w:before="40" w:after="40"/>
              <w:jc w:val="right"/>
              <w:rPr>
                <w:color w:val="000000"/>
                <w:sz w:val="22"/>
                <w:szCs w:val="22"/>
              </w:rPr>
            </w:pPr>
            <w:r w:rsidRPr="000C156A">
              <w:rPr>
                <w:color w:val="000000"/>
                <w:sz w:val="22"/>
                <w:szCs w:val="22"/>
              </w:rPr>
              <w:t>7 200.00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16954" w14:textId="77777777" w:rsidR="004C18AD" w:rsidRPr="000C156A" w:rsidRDefault="004C18AD" w:rsidP="00042C67">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27FED" w14:textId="77777777" w:rsidR="004C18AD" w:rsidRPr="000C156A" w:rsidRDefault="004C18AD" w:rsidP="00042C67">
            <w:pPr>
              <w:spacing w:before="40" w:after="40"/>
              <w:jc w:val="right"/>
              <w:rPr>
                <w:color w:val="000000"/>
                <w:sz w:val="22"/>
                <w:szCs w:val="22"/>
              </w:rPr>
            </w:pPr>
            <w:r w:rsidRPr="000C156A">
              <w:rPr>
                <w:color w:val="000000"/>
                <w:sz w:val="22"/>
                <w:szCs w:val="22"/>
              </w:rPr>
              <w:t>7 200.00</w:t>
            </w:r>
          </w:p>
        </w:tc>
      </w:tr>
      <w:tr w:rsidR="004C18AD" w:rsidRPr="000C156A" w14:paraId="62F7BF6A" w14:textId="77777777" w:rsidTr="00042C67">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AB397" w14:textId="77777777" w:rsidR="004C18AD" w:rsidRPr="000C156A" w:rsidRDefault="004C18AD" w:rsidP="00042C67">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8A462" w14:textId="77777777" w:rsidR="004C18AD" w:rsidRPr="000C156A" w:rsidRDefault="004C18AD" w:rsidP="00042C67">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973F9D" w14:textId="77777777" w:rsidR="004C18AD" w:rsidRPr="000C156A" w:rsidRDefault="004C18AD" w:rsidP="00042C67">
            <w:pPr>
              <w:spacing w:before="40" w:after="40"/>
              <w:rPr>
                <w:color w:val="000000"/>
                <w:sz w:val="22"/>
                <w:szCs w:val="22"/>
              </w:rPr>
            </w:pPr>
            <w:r w:rsidRPr="000C156A">
              <w:rPr>
                <w:rFonts w:hint="eastAsia"/>
                <w:color w:val="000000"/>
                <w:sz w:val="22"/>
                <w:szCs w:val="22"/>
              </w:rPr>
              <w:t>江西联创</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00ED3" w14:textId="77777777" w:rsidR="004C18AD" w:rsidRPr="000C156A" w:rsidRDefault="004C18AD" w:rsidP="00042C67">
            <w:pPr>
              <w:spacing w:before="40" w:after="40"/>
              <w:jc w:val="right"/>
              <w:rPr>
                <w:color w:val="000000"/>
                <w:sz w:val="22"/>
                <w:szCs w:val="22"/>
              </w:rPr>
            </w:pPr>
            <w:r w:rsidRPr="000C156A">
              <w:rPr>
                <w:color w:val="000000"/>
                <w:sz w:val="22"/>
                <w:szCs w:val="22"/>
              </w:rPr>
              <w:t>7 200.00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5959C" w14:textId="77777777" w:rsidR="004C18AD" w:rsidRPr="000C156A" w:rsidRDefault="004C18AD" w:rsidP="00042C67">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95D28" w14:textId="77777777" w:rsidR="004C18AD" w:rsidRPr="000C156A" w:rsidRDefault="004C18AD" w:rsidP="00042C67">
            <w:pPr>
              <w:spacing w:before="40" w:after="40"/>
              <w:jc w:val="right"/>
              <w:rPr>
                <w:color w:val="000000"/>
                <w:sz w:val="22"/>
                <w:szCs w:val="22"/>
              </w:rPr>
            </w:pPr>
            <w:r w:rsidRPr="000C156A">
              <w:rPr>
                <w:color w:val="000000"/>
                <w:sz w:val="22"/>
                <w:szCs w:val="22"/>
              </w:rPr>
              <w:t>7 200.00</w:t>
            </w:r>
          </w:p>
        </w:tc>
      </w:tr>
      <w:tr w:rsidR="004C18AD" w:rsidRPr="000C156A" w14:paraId="5D1A995D" w14:textId="77777777" w:rsidTr="00042C67">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73753" w14:textId="77777777" w:rsidR="004C18AD" w:rsidRPr="000C156A" w:rsidRDefault="004C18AD" w:rsidP="00042C67">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92419E" w14:textId="77777777" w:rsidR="004C18AD" w:rsidRPr="000C156A" w:rsidRDefault="004C18AD" w:rsidP="00042C67">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C3BC3" w14:textId="77777777" w:rsidR="004C18AD" w:rsidRPr="000C156A" w:rsidRDefault="004C18AD" w:rsidP="00042C67">
            <w:pPr>
              <w:spacing w:before="40" w:after="40"/>
              <w:rPr>
                <w:color w:val="000000"/>
                <w:sz w:val="22"/>
                <w:szCs w:val="22"/>
              </w:rPr>
            </w:pPr>
            <w:r w:rsidRPr="000C156A">
              <w:rPr>
                <w:color w:val="000000"/>
                <w:sz w:val="22"/>
                <w:szCs w:val="22"/>
              </w:rPr>
              <w:t>Naike (HK) Digital</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DA13A" w14:textId="77777777" w:rsidR="004C18AD" w:rsidRPr="000C156A" w:rsidRDefault="004C18AD" w:rsidP="00042C67">
            <w:pPr>
              <w:spacing w:before="40" w:after="40"/>
              <w:jc w:val="right"/>
              <w:rPr>
                <w:color w:val="000000"/>
                <w:sz w:val="22"/>
                <w:szCs w:val="22"/>
              </w:rPr>
            </w:pPr>
            <w:r w:rsidRPr="000C156A">
              <w:rPr>
                <w:color w:val="000000"/>
                <w:sz w:val="22"/>
                <w:szCs w:val="22"/>
              </w:rPr>
              <w:t>7 200.00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EEB71" w14:textId="77777777" w:rsidR="004C18AD" w:rsidRPr="000C156A" w:rsidRDefault="004C18AD" w:rsidP="00042C67">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FAF875" w14:textId="77777777" w:rsidR="004C18AD" w:rsidRPr="000C156A" w:rsidRDefault="004C18AD" w:rsidP="00042C67">
            <w:pPr>
              <w:spacing w:before="40" w:after="40"/>
              <w:jc w:val="right"/>
              <w:rPr>
                <w:color w:val="000000"/>
                <w:sz w:val="22"/>
                <w:szCs w:val="22"/>
              </w:rPr>
            </w:pPr>
            <w:r w:rsidRPr="000C156A">
              <w:rPr>
                <w:color w:val="000000"/>
                <w:sz w:val="22"/>
                <w:szCs w:val="22"/>
              </w:rPr>
              <w:t>7 200.00</w:t>
            </w:r>
          </w:p>
        </w:tc>
      </w:tr>
      <w:tr w:rsidR="004C18AD" w:rsidRPr="000C156A" w14:paraId="503704CA" w14:textId="77777777" w:rsidTr="00042C67">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A5E19" w14:textId="77777777" w:rsidR="004C18AD" w:rsidRPr="000C156A" w:rsidRDefault="004C18AD" w:rsidP="00042C67">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8D2B4" w14:textId="77777777" w:rsidR="004C18AD" w:rsidRPr="000C156A" w:rsidRDefault="004C18AD" w:rsidP="00042C67">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81344" w14:textId="77777777" w:rsidR="004C18AD" w:rsidRPr="000C156A" w:rsidRDefault="004C18AD" w:rsidP="00042C67">
            <w:pPr>
              <w:spacing w:before="40" w:after="40"/>
              <w:rPr>
                <w:color w:val="000000"/>
                <w:sz w:val="22"/>
                <w:szCs w:val="22"/>
                <w:lang w:eastAsia="zh-CN"/>
              </w:rPr>
            </w:pPr>
            <w:r w:rsidRPr="000C156A">
              <w:rPr>
                <w:rFonts w:hint="eastAsia"/>
                <w:color w:val="000000"/>
                <w:sz w:val="22"/>
                <w:szCs w:val="22"/>
                <w:lang w:eastAsia="zh-CN"/>
              </w:rPr>
              <w:t>深圳灏域设计有限公司</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7E34E" w14:textId="77777777" w:rsidR="004C18AD" w:rsidRPr="000C156A" w:rsidRDefault="004C18AD" w:rsidP="00042C67">
            <w:pPr>
              <w:spacing w:before="40" w:after="40"/>
              <w:jc w:val="right"/>
              <w:rPr>
                <w:color w:val="000000"/>
                <w:sz w:val="22"/>
                <w:szCs w:val="22"/>
              </w:rPr>
            </w:pPr>
            <w:r w:rsidRPr="000C156A">
              <w:rPr>
                <w:color w:val="000000"/>
                <w:sz w:val="22"/>
                <w:szCs w:val="22"/>
              </w:rPr>
              <w:t>3 600.00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80BBE" w14:textId="77777777" w:rsidR="004C18AD" w:rsidRPr="000C156A" w:rsidRDefault="004C18AD" w:rsidP="00042C67">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73ACA" w14:textId="77777777" w:rsidR="004C18AD" w:rsidRPr="000C156A" w:rsidRDefault="004C18AD" w:rsidP="00042C67">
            <w:pPr>
              <w:spacing w:before="40" w:after="40"/>
              <w:jc w:val="right"/>
              <w:rPr>
                <w:color w:val="000000"/>
                <w:sz w:val="22"/>
                <w:szCs w:val="22"/>
              </w:rPr>
            </w:pPr>
            <w:r w:rsidRPr="000C156A">
              <w:rPr>
                <w:color w:val="000000"/>
                <w:sz w:val="22"/>
                <w:szCs w:val="22"/>
              </w:rPr>
              <w:t>3 600.00</w:t>
            </w:r>
          </w:p>
        </w:tc>
      </w:tr>
      <w:tr w:rsidR="004C18AD" w:rsidRPr="000C156A" w14:paraId="2E131B5E" w14:textId="77777777" w:rsidTr="00042C67">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F9612" w14:textId="77777777" w:rsidR="004C18AD" w:rsidRPr="000C156A" w:rsidRDefault="004C18AD" w:rsidP="00042C67">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D1577" w14:textId="77777777" w:rsidR="004C18AD" w:rsidRPr="000C156A" w:rsidRDefault="004C18AD" w:rsidP="00042C67">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D69C6" w14:textId="77777777" w:rsidR="004C18AD" w:rsidRPr="000C156A" w:rsidRDefault="004C18AD" w:rsidP="00042C67">
            <w:pPr>
              <w:spacing w:before="40" w:after="40"/>
              <w:rPr>
                <w:color w:val="000000"/>
                <w:sz w:val="22"/>
                <w:szCs w:val="22"/>
              </w:rPr>
            </w:pPr>
            <w:r w:rsidRPr="000C156A">
              <w:rPr>
                <w:color w:val="000000"/>
                <w:sz w:val="22"/>
                <w:szCs w:val="22"/>
              </w:rPr>
              <w:t>Sipnovo</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F8800" w14:textId="77777777" w:rsidR="004C18AD" w:rsidRPr="000C156A" w:rsidRDefault="004C18AD" w:rsidP="00042C67">
            <w:pPr>
              <w:spacing w:before="40" w:after="40"/>
              <w:jc w:val="right"/>
              <w:rPr>
                <w:color w:val="000000"/>
                <w:sz w:val="22"/>
                <w:szCs w:val="22"/>
              </w:rPr>
            </w:pPr>
            <w:r w:rsidRPr="000C156A">
              <w:rPr>
                <w:color w:val="000000"/>
                <w:sz w:val="22"/>
                <w:szCs w:val="22"/>
              </w:rPr>
              <w:t>7 200.00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1553F" w14:textId="77777777" w:rsidR="004C18AD" w:rsidRPr="000C156A" w:rsidRDefault="004C18AD" w:rsidP="00042C67">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02549" w14:textId="77777777" w:rsidR="004C18AD" w:rsidRPr="000C156A" w:rsidRDefault="004C18AD" w:rsidP="00042C67">
            <w:pPr>
              <w:spacing w:before="40" w:after="40"/>
              <w:jc w:val="right"/>
              <w:rPr>
                <w:color w:val="000000"/>
                <w:sz w:val="22"/>
                <w:szCs w:val="22"/>
              </w:rPr>
            </w:pPr>
            <w:r w:rsidRPr="000C156A">
              <w:rPr>
                <w:color w:val="000000"/>
                <w:sz w:val="22"/>
                <w:szCs w:val="22"/>
              </w:rPr>
              <w:t>7 200.00</w:t>
            </w:r>
          </w:p>
        </w:tc>
      </w:tr>
      <w:tr w:rsidR="004C18AD" w:rsidRPr="000C156A" w14:paraId="47B001CA" w14:textId="77777777" w:rsidTr="00042C67">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DA151" w14:textId="77777777" w:rsidR="004C18AD" w:rsidRPr="000C156A" w:rsidRDefault="004C18AD" w:rsidP="00042C67">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274CB" w14:textId="77777777" w:rsidR="004C18AD" w:rsidRPr="000C156A" w:rsidRDefault="004C18AD" w:rsidP="00042C67">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777DD0" w14:textId="77777777" w:rsidR="004C18AD" w:rsidRPr="000C156A" w:rsidRDefault="004C18AD" w:rsidP="00042C67">
            <w:pPr>
              <w:spacing w:before="40" w:after="40"/>
              <w:rPr>
                <w:color w:val="000000"/>
                <w:sz w:val="22"/>
                <w:szCs w:val="22"/>
              </w:rPr>
            </w:pPr>
            <w:r w:rsidRPr="000C156A">
              <w:rPr>
                <w:color w:val="000000"/>
                <w:sz w:val="22"/>
                <w:szCs w:val="22"/>
              </w:rPr>
              <w:t>Tiger NetCom</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28E3F" w14:textId="77777777" w:rsidR="004C18AD" w:rsidRPr="000C156A" w:rsidRDefault="004C18AD" w:rsidP="00042C67">
            <w:pPr>
              <w:spacing w:before="40" w:after="40"/>
              <w:jc w:val="right"/>
              <w:rPr>
                <w:color w:val="000000"/>
                <w:sz w:val="22"/>
                <w:szCs w:val="22"/>
              </w:rPr>
            </w:pPr>
            <w:r w:rsidRPr="000C156A">
              <w:rPr>
                <w:color w:val="000000"/>
                <w:sz w:val="22"/>
                <w:szCs w:val="22"/>
              </w:rPr>
              <w:t>3 150.00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7E021" w14:textId="77777777" w:rsidR="004C18AD" w:rsidRPr="000C156A" w:rsidRDefault="004C18AD" w:rsidP="00042C67">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E1247" w14:textId="77777777" w:rsidR="004C18AD" w:rsidRPr="000C156A" w:rsidRDefault="004C18AD" w:rsidP="00042C67">
            <w:pPr>
              <w:spacing w:before="40" w:after="40"/>
              <w:jc w:val="right"/>
              <w:rPr>
                <w:color w:val="000000"/>
                <w:sz w:val="22"/>
                <w:szCs w:val="22"/>
              </w:rPr>
            </w:pPr>
            <w:r w:rsidRPr="000C156A">
              <w:rPr>
                <w:color w:val="000000"/>
                <w:sz w:val="22"/>
                <w:szCs w:val="22"/>
              </w:rPr>
              <w:t>3 150.00</w:t>
            </w:r>
          </w:p>
        </w:tc>
      </w:tr>
      <w:tr w:rsidR="004C18AD" w:rsidRPr="000C156A" w14:paraId="71F51BB1" w14:textId="77777777" w:rsidTr="00042C67">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16D9C" w14:textId="77777777" w:rsidR="004C18AD" w:rsidRPr="000C156A" w:rsidRDefault="004C18AD" w:rsidP="00042C67">
            <w:pPr>
              <w:spacing w:before="40" w:after="40"/>
              <w:jc w:val="center"/>
              <w:rPr>
                <w:color w:val="000000"/>
                <w:sz w:val="22"/>
                <w:szCs w:val="22"/>
              </w:rPr>
            </w:pPr>
            <w:r w:rsidRPr="000C156A">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16E199" w14:textId="77777777" w:rsidR="004C18AD" w:rsidRPr="000C156A" w:rsidRDefault="004C18AD" w:rsidP="00042C67">
            <w:pPr>
              <w:spacing w:before="40" w:after="40"/>
              <w:rPr>
                <w:rFonts w:cs="Arial"/>
                <w:sz w:val="22"/>
                <w:szCs w:val="22"/>
              </w:rPr>
            </w:pPr>
            <w:r w:rsidRPr="000C156A">
              <w:rPr>
                <w:rFonts w:cs="Arial" w:hint="eastAsia"/>
                <w:sz w:val="22"/>
                <w:szCs w:val="22"/>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D981F3" w14:textId="77777777" w:rsidR="004C18AD" w:rsidRPr="000C156A" w:rsidRDefault="004C18AD" w:rsidP="00042C67">
            <w:pPr>
              <w:spacing w:before="40" w:after="40"/>
              <w:rPr>
                <w:color w:val="000000"/>
                <w:sz w:val="22"/>
                <w:szCs w:val="22"/>
                <w:lang w:eastAsia="zh-CN"/>
              </w:rPr>
            </w:pPr>
            <w:r w:rsidRPr="000C156A">
              <w:rPr>
                <w:rFonts w:hint="eastAsia"/>
                <w:color w:val="000000"/>
                <w:sz w:val="22"/>
                <w:szCs w:val="22"/>
                <w:lang w:eastAsia="zh-CN"/>
              </w:rPr>
              <w:t>核达中远通电源公司</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B192C" w14:textId="77777777" w:rsidR="004C18AD" w:rsidRPr="000C156A" w:rsidRDefault="004C18AD" w:rsidP="00042C67">
            <w:pPr>
              <w:spacing w:before="40" w:after="40"/>
              <w:jc w:val="right"/>
              <w:rPr>
                <w:color w:val="000000"/>
                <w:sz w:val="22"/>
                <w:szCs w:val="22"/>
              </w:rPr>
            </w:pPr>
            <w:r w:rsidRPr="000C156A">
              <w:rPr>
                <w:color w:val="000000"/>
                <w:sz w:val="22"/>
                <w:szCs w:val="22"/>
              </w:rPr>
              <w:t>4 800.00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E19B47" w14:textId="77777777" w:rsidR="004C18AD" w:rsidRPr="000C156A" w:rsidRDefault="004C18AD" w:rsidP="00042C67">
            <w:pPr>
              <w:spacing w:before="40" w:after="40"/>
              <w:jc w:val="right"/>
              <w:rPr>
                <w:color w:val="000000"/>
                <w:sz w:val="22"/>
                <w:szCs w:val="22"/>
              </w:rPr>
            </w:pPr>
            <w:r w:rsidRPr="000C156A">
              <w:rPr>
                <w:color w:val="000000"/>
                <w:sz w:val="22"/>
                <w:szCs w:val="22"/>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EDB05" w14:textId="77777777" w:rsidR="004C18AD" w:rsidRPr="000C156A" w:rsidRDefault="004C18AD" w:rsidP="00042C67">
            <w:pPr>
              <w:spacing w:before="40" w:after="40"/>
              <w:jc w:val="right"/>
              <w:rPr>
                <w:color w:val="000000"/>
                <w:sz w:val="22"/>
                <w:szCs w:val="22"/>
              </w:rPr>
            </w:pPr>
            <w:r w:rsidRPr="000C156A">
              <w:rPr>
                <w:color w:val="000000"/>
                <w:sz w:val="22"/>
                <w:szCs w:val="22"/>
              </w:rPr>
              <w:t>4 800.00</w:t>
            </w:r>
          </w:p>
        </w:tc>
      </w:tr>
      <w:tr w:rsidR="004C18AD" w:rsidRPr="000C156A" w14:paraId="2566C266" w14:textId="77777777" w:rsidTr="00042C67">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43D13" w14:textId="77777777" w:rsidR="004C18AD" w:rsidRPr="000C156A" w:rsidRDefault="004C18AD" w:rsidP="00042C67">
            <w:pPr>
              <w:spacing w:before="40" w:after="40"/>
              <w:jc w:val="center"/>
              <w:rPr>
                <w:color w:val="000000"/>
                <w:sz w:val="22"/>
                <w:szCs w:val="22"/>
              </w:rPr>
            </w:pPr>
            <w:r w:rsidRPr="000C156A">
              <w:rPr>
                <w:color w:val="000000"/>
                <w:sz w:val="22"/>
                <w:szCs w:val="22"/>
              </w:rPr>
              <w:t> </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7F1C5"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2F3AC"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AF6E8"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F11ED"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F7D4C" w14:textId="77777777" w:rsidR="004C18AD" w:rsidRPr="000C156A" w:rsidRDefault="004C18AD" w:rsidP="00042C67">
            <w:pPr>
              <w:spacing w:before="40" w:after="40"/>
              <w:rPr>
                <w:color w:val="000000"/>
                <w:sz w:val="22"/>
                <w:szCs w:val="22"/>
              </w:rPr>
            </w:pPr>
            <w:r w:rsidRPr="000C156A">
              <w:rPr>
                <w:color w:val="000000"/>
                <w:sz w:val="22"/>
                <w:szCs w:val="22"/>
              </w:rPr>
              <w:t> </w:t>
            </w:r>
          </w:p>
        </w:tc>
      </w:tr>
      <w:tr w:rsidR="004C18AD" w:rsidRPr="000C156A" w14:paraId="2854D4C4" w14:textId="77777777" w:rsidTr="00042C67">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C8B35" w14:textId="77777777" w:rsidR="004C18AD" w:rsidRPr="000C156A" w:rsidRDefault="004C18AD" w:rsidP="00042C67">
            <w:pPr>
              <w:spacing w:before="40" w:after="40"/>
              <w:jc w:val="center"/>
              <w:rPr>
                <w:rFonts w:cs="Arial"/>
                <w:b/>
                <w:bCs/>
                <w:sz w:val="22"/>
                <w:szCs w:val="22"/>
              </w:rPr>
            </w:pPr>
            <w:r w:rsidRPr="000C156A">
              <w:rPr>
                <w:rFonts w:cs="Arial"/>
                <w:b/>
                <w:bCs/>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56D63"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22FA1"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A03F5"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6D15B" w14:textId="77777777" w:rsidR="004C18AD" w:rsidRPr="000C156A" w:rsidRDefault="004C18AD" w:rsidP="00042C67">
            <w:pPr>
              <w:spacing w:before="40" w:after="40"/>
              <w:rPr>
                <w:rFonts w:cs="Arial"/>
                <w:b/>
                <w:bCs/>
                <w:sz w:val="22"/>
                <w:szCs w:val="22"/>
              </w:rPr>
            </w:pPr>
            <w:r w:rsidRPr="000C156A">
              <w:rPr>
                <w:rFonts w:cs="Arial"/>
                <w:b/>
                <w:bCs/>
                <w:sz w:val="22"/>
                <w:szCs w:val="22"/>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A5392" w14:textId="77777777" w:rsidR="004C18AD" w:rsidRPr="000C156A" w:rsidRDefault="004C18AD" w:rsidP="00042C67">
            <w:pPr>
              <w:spacing w:before="40" w:after="40"/>
              <w:jc w:val="right"/>
              <w:rPr>
                <w:rFonts w:cs="Arial"/>
                <w:b/>
                <w:bCs/>
                <w:sz w:val="22"/>
                <w:szCs w:val="22"/>
              </w:rPr>
            </w:pPr>
            <w:r w:rsidRPr="000C156A">
              <w:rPr>
                <w:rFonts w:cs="Arial"/>
                <w:b/>
                <w:bCs/>
                <w:sz w:val="22"/>
                <w:szCs w:val="22"/>
              </w:rPr>
              <w:t>40 750.00</w:t>
            </w:r>
          </w:p>
        </w:tc>
      </w:tr>
    </w:tbl>
    <w:p w14:paraId="59733D0A" w14:textId="77777777" w:rsidR="004C18AD" w:rsidRPr="000C156A" w:rsidRDefault="004C18AD" w:rsidP="004C18AD">
      <w:pPr>
        <w:spacing w:before="0"/>
        <w:rPr>
          <w:sz w:val="22"/>
          <w:szCs w:val="22"/>
        </w:rPr>
      </w:pPr>
    </w:p>
    <w:tbl>
      <w:tblPr>
        <w:tblW w:w="5000" w:type="pct"/>
        <w:tblCellMar>
          <w:left w:w="0" w:type="dxa"/>
          <w:right w:w="0" w:type="dxa"/>
        </w:tblCellMar>
        <w:tblLook w:val="04A0" w:firstRow="1" w:lastRow="0" w:firstColumn="1" w:lastColumn="0" w:noHBand="0" w:noVBand="1"/>
      </w:tblPr>
      <w:tblGrid>
        <w:gridCol w:w="1528"/>
        <w:gridCol w:w="1146"/>
        <w:gridCol w:w="3205"/>
        <w:gridCol w:w="1387"/>
        <w:gridCol w:w="1404"/>
        <w:gridCol w:w="959"/>
      </w:tblGrid>
      <w:tr w:rsidR="004C18AD" w:rsidRPr="000C156A" w14:paraId="7700FE32" w14:textId="77777777" w:rsidTr="00042C67">
        <w:trPr>
          <w:trHeight w:val="525"/>
        </w:trPr>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F9A0AB"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eastAsia="zh-CN"/>
              </w:rPr>
              <w:t>活动</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959982"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eastAsia="zh-CN"/>
              </w:rPr>
              <w:t>国家</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2F04D0"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eastAsia="zh-CN"/>
              </w:rPr>
              <w:t>公司</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D891AE" w14:textId="77777777" w:rsidR="004C18AD" w:rsidRPr="000C156A" w:rsidRDefault="004C18AD" w:rsidP="00042C67">
            <w:pPr>
              <w:pStyle w:val="Tabletext"/>
              <w:jc w:val="center"/>
              <w:rPr>
                <w:rFonts w:cs="Calibri"/>
                <w:b/>
                <w:bCs/>
                <w:szCs w:val="22"/>
                <w:lang w:val="en-US"/>
              </w:rPr>
            </w:pPr>
            <w:r w:rsidRPr="000C156A">
              <w:rPr>
                <w:rFonts w:cs="Calibri" w:hint="eastAsia"/>
                <w:b/>
                <w:bCs/>
                <w:szCs w:val="22"/>
                <w:lang w:val="en-US"/>
              </w:rPr>
              <w:t>发票金额</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598C44" w14:textId="77777777" w:rsidR="004C18AD" w:rsidRPr="000C156A" w:rsidRDefault="004C18AD" w:rsidP="00042C67">
            <w:pPr>
              <w:pStyle w:val="Tabletext"/>
              <w:jc w:val="center"/>
              <w:rPr>
                <w:rFonts w:cs="Calibri"/>
                <w:b/>
                <w:bCs/>
                <w:szCs w:val="22"/>
                <w:lang w:val="en-US"/>
              </w:rPr>
            </w:pPr>
            <w:r w:rsidRPr="000C156A">
              <w:rPr>
                <w:rFonts w:cs="Calibri" w:hint="eastAsia"/>
                <w:b/>
                <w:bCs/>
                <w:szCs w:val="22"/>
                <w:lang w:val="en-US"/>
              </w:rPr>
              <w:t>收到付款</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66CE32" w14:textId="77777777" w:rsidR="004C18AD" w:rsidRPr="000C156A" w:rsidRDefault="004C18AD" w:rsidP="00042C67">
            <w:pPr>
              <w:pStyle w:val="Tabletext"/>
              <w:jc w:val="center"/>
              <w:rPr>
                <w:rFonts w:cs="Calibri"/>
                <w:b/>
                <w:bCs/>
                <w:szCs w:val="22"/>
                <w:lang w:val="en-US" w:eastAsia="zh-CN"/>
              </w:rPr>
            </w:pPr>
            <w:r w:rsidRPr="000C156A">
              <w:rPr>
                <w:rFonts w:cs="Calibri" w:hint="eastAsia"/>
                <w:b/>
                <w:bCs/>
                <w:szCs w:val="22"/>
                <w:lang w:val="en-US"/>
              </w:rPr>
              <w:t>欠款</w:t>
            </w:r>
            <w:r w:rsidRPr="000C156A">
              <w:rPr>
                <w:rFonts w:cs="Calibri" w:hint="eastAsia"/>
                <w:b/>
                <w:bCs/>
                <w:szCs w:val="22"/>
                <w:lang w:val="en-US" w:eastAsia="zh-CN"/>
              </w:rPr>
              <w:t>余额</w:t>
            </w:r>
          </w:p>
        </w:tc>
      </w:tr>
      <w:tr w:rsidR="004C18AD" w:rsidRPr="000C156A" w14:paraId="194B24EB" w14:textId="77777777" w:rsidTr="00042C67">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4C08B" w14:textId="77777777" w:rsidR="004C18AD" w:rsidRPr="000C156A" w:rsidRDefault="004C18AD" w:rsidP="00042C67">
            <w:pPr>
              <w:spacing w:before="40" w:after="40"/>
              <w:jc w:val="center"/>
              <w:rPr>
                <w:rFonts w:cs="Arial"/>
                <w:b/>
                <w:bCs/>
                <w:sz w:val="22"/>
                <w:szCs w:val="22"/>
              </w:rPr>
            </w:pPr>
            <w:r w:rsidRPr="000C156A">
              <w:rPr>
                <w:rFonts w:cs="Arial"/>
                <w:b/>
                <w:bCs/>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B826B" w14:textId="77777777" w:rsidR="004C18AD" w:rsidRPr="000C156A" w:rsidRDefault="004C18AD" w:rsidP="00042C67">
            <w:pPr>
              <w:spacing w:before="40" w:after="40"/>
              <w:jc w:val="center"/>
              <w:rPr>
                <w:rFonts w:cs="Arial"/>
                <w:b/>
                <w:bCs/>
                <w:sz w:val="22"/>
                <w:szCs w:val="22"/>
              </w:rPr>
            </w:pPr>
            <w:r w:rsidRPr="000C156A">
              <w:rPr>
                <w:rFonts w:cs="Arial"/>
                <w:b/>
                <w:bCs/>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70854"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766F8"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5F382"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6BC401" w14:textId="77777777" w:rsidR="004C18AD" w:rsidRPr="000C156A" w:rsidRDefault="004C18AD" w:rsidP="00042C67">
            <w:pPr>
              <w:spacing w:before="40" w:after="40"/>
              <w:jc w:val="center"/>
              <w:rPr>
                <w:rFonts w:cs="Arial"/>
                <w:sz w:val="22"/>
                <w:szCs w:val="22"/>
              </w:rPr>
            </w:pPr>
            <w:r w:rsidRPr="000C156A">
              <w:rPr>
                <w:rFonts w:cs="Arial"/>
                <w:sz w:val="22"/>
                <w:szCs w:val="22"/>
              </w:rPr>
              <w:t> </w:t>
            </w:r>
          </w:p>
        </w:tc>
      </w:tr>
      <w:tr w:rsidR="004C18AD" w:rsidRPr="000C156A" w14:paraId="465A8CE1" w14:textId="77777777" w:rsidTr="00042C67">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41AF1" w14:textId="77777777" w:rsidR="004C18AD" w:rsidRPr="000C156A" w:rsidRDefault="004C18AD" w:rsidP="00042C67">
            <w:pPr>
              <w:spacing w:before="40" w:after="40"/>
              <w:jc w:val="center"/>
              <w:rPr>
                <w:color w:val="000000"/>
                <w:sz w:val="22"/>
                <w:szCs w:val="22"/>
              </w:rPr>
            </w:pPr>
            <w:r w:rsidRPr="000C156A">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A8C02" w14:textId="77777777" w:rsidR="004C18AD" w:rsidRPr="000C156A" w:rsidRDefault="004C18AD" w:rsidP="00042C67">
            <w:pPr>
              <w:spacing w:before="40" w:after="40"/>
              <w:rPr>
                <w:sz w:val="22"/>
                <w:szCs w:val="22"/>
              </w:rPr>
            </w:pPr>
            <w:r w:rsidRPr="000C156A">
              <w:rPr>
                <w:rFonts w:hint="eastAsia"/>
                <w:sz w:val="22"/>
                <w:szCs w:val="22"/>
              </w:rPr>
              <w:t>美国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9F753" w14:textId="77777777" w:rsidR="004C18AD" w:rsidRPr="000C156A" w:rsidRDefault="004C18AD" w:rsidP="00042C67">
            <w:pPr>
              <w:spacing w:before="40" w:after="40"/>
              <w:rPr>
                <w:sz w:val="22"/>
                <w:szCs w:val="22"/>
              </w:rPr>
            </w:pPr>
            <w:r w:rsidRPr="000C156A">
              <w:rPr>
                <w:sz w:val="22"/>
                <w:szCs w:val="22"/>
              </w:rPr>
              <w:t>E: Telesis Energy and Data</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219BF" w14:textId="77777777" w:rsidR="004C18AD" w:rsidRPr="000C156A" w:rsidRDefault="004C18AD" w:rsidP="00042C67">
            <w:pPr>
              <w:spacing w:before="40" w:after="40"/>
              <w:jc w:val="right"/>
              <w:rPr>
                <w:sz w:val="22"/>
                <w:szCs w:val="22"/>
              </w:rPr>
            </w:pPr>
            <w:r w:rsidRPr="000C156A">
              <w:rPr>
                <w:sz w:val="22"/>
                <w:szCs w:val="22"/>
              </w:rPr>
              <w:t>10 800.00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2921F" w14:textId="77777777" w:rsidR="004C18AD" w:rsidRPr="000C156A" w:rsidRDefault="004C18AD" w:rsidP="00042C67">
            <w:pPr>
              <w:spacing w:before="40" w:after="40"/>
              <w:jc w:val="right"/>
              <w:rPr>
                <w:sz w:val="22"/>
                <w:szCs w:val="22"/>
              </w:rPr>
            </w:pPr>
            <w:r w:rsidRPr="000C156A">
              <w:rPr>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C9205" w14:textId="77777777" w:rsidR="004C18AD" w:rsidRPr="000C156A" w:rsidRDefault="004C18AD" w:rsidP="00042C67">
            <w:pPr>
              <w:spacing w:before="40" w:after="40"/>
              <w:jc w:val="right"/>
              <w:rPr>
                <w:sz w:val="22"/>
                <w:szCs w:val="22"/>
              </w:rPr>
            </w:pPr>
            <w:r w:rsidRPr="000C156A">
              <w:rPr>
                <w:sz w:val="22"/>
                <w:szCs w:val="22"/>
              </w:rPr>
              <w:t>10 800.00</w:t>
            </w:r>
          </w:p>
        </w:tc>
      </w:tr>
      <w:tr w:rsidR="004C18AD" w:rsidRPr="000C156A" w14:paraId="314319A4" w14:textId="77777777" w:rsidTr="00042C67">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DB5D05" w14:textId="77777777" w:rsidR="004C18AD" w:rsidRPr="000C156A" w:rsidRDefault="004C18AD" w:rsidP="00042C67">
            <w:pPr>
              <w:spacing w:before="40" w:after="40"/>
              <w:jc w:val="center"/>
              <w:rPr>
                <w:color w:val="000000"/>
                <w:sz w:val="22"/>
                <w:szCs w:val="22"/>
              </w:rPr>
            </w:pPr>
            <w:r w:rsidRPr="000C156A">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C5504" w14:textId="77777777" w:rsidR="004C18AD" w:rsidRPr="000C156A" w:rsidRDefault="004C18AD" w:rsidP="00042C67">
            <w:pPr>
              <w:spacing w:before="40" w:after="40"/>
              <w:rPr>
                <w:color w:val="000000"/>
                <w:sz w:val="22"/>
                <w:szCs w:val="22"/>
              </w:rPr>
            </w:pPr>
            <w:r w:rsidRPr="000C156A">
              <w:rPr>
                <w:rFonts w:hint="eastAsia"/>
                <w:color w:val="000000"/>
                <w:sz w:val="22"/>
                <w:szCs w:val="22"/>
              </w:rPr>
              <w:t>印度</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6703D" w14:textId="77777777" w:rsidR="004C18AD" w:rsidRPr="000C156A" w:rsidRDefault="004C18AD" w:rsidP="00042C67">
            <w:pPr>
              <w:spacing w:before="40" w:after="40"/>
              <w:rPr>
                <w:sz w:val="22"/>
                <w:szCs w:val="22"/>
              </w:rPr>
            </w:pPr>
            <w:r w:rsidRPr="000C156A">
              <w:rPr>
                <w:sz w:val="22"/>
                <w:szCs w:val="22"/>
              </w:rPr>
              <w:t>REVE Systems (S) Pte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CC2AE" w14:textId="77777777" w:rsidR="004C18AD" w:rsidRPr="000C156A" w:rsidRDefault="004C18AD" w:rsidP="00042C67">
            <w:pPr>
              <w:spacing w:before="40" w:after="40"/>
              <w:jc w:val="right"/>
              <w:rPr>
                <w:color w:val="000000"/>
                <w:sz w:val="22"/>
                <w:szCs w:val="22"/>
              </w:rPr>
            </w:pPr>
            <w:r w:rsidRPr="000C156A">
              <w:rPr>
                <w:color w:val="000000"/>
                <w:sz w:val="22"/>
                <w:szCs w:val="22"/>
              </w:rPr>
              <w:t>10 800.00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563FA" w14:textId="77777777" w:rsidR="004C18AD" w:rsidRPr="000C156A" w:rsidRDefault="004C18AD" w:rsidP="00042C67">
            <w:pPr>
              <w:spacing w:before="40" w:after="40"/>
              <w:jc w:val="right"/>
              <w:rPr>
                <w:color w:val="000000"/>
                <w:sz w:val="22"/>
                <w:szCs w:val="22"/>
              </w:rPr>
            </w:pPr>
            <w:r w:rsidRPr="000C156A">
              <w:rPr>
                <w:color w:val="000000"/>
                <w:sz w:val="22"/>
                <w:szCs w:val="22"/>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954B2" w14:textId="77777777" w:rsidR="004C18AD" w:rsidRPr="000C156A" w:rsidRDefault="004C18AD" w:rsidP="00042C67">
            <w:pPr>
              <w:spacing w:before="40" w:after="40"/>
              <w:jc w:val="right"/>
              <w:rPr>
                <w:sz w:val="22"/>
                <w:szCs w:val="22"/>
              </w:rPr>
            </w:pPr>
            <w:r w:rsidRPr="000C156A">
              <w:rPr>
                <w:sz w:val="22"/>
                <w:szCs w:val="22"/>
              </w:rPr>
              <w:t>10 800.00</w:t>
            </w:r>
          </w:p>
        </w:tc>
      </w:tr>
      <w:tr w:rsidR="004C18AD" w:rsidRPr="000C156A" w14:paraId="33A10B9C" w14:textId="77777777" w:rsidTr="00042C67">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3B6E7C" w14:textId="77777777" w:rsidR="004C18AD" w:rsidRPr="000C156A" w:rsidRDefault="004C18AD" w:rsidP="00042C67">
            <w:pPr>
              <w:spacing w:before="40" w:after="40"/>
              <w:jc w:val="center"/>
              <w:rPr>
                <w:color w:val="000000"/>
                <w:sz w:val="22"/>
                <w:szCs w:val="22"/>
              </w:rPr>
            </w:pPr>
            <w:r w:rsidRPr="000C156A">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0A76F1" w14:textId="77777777" w:rsidR="004C18AD" w:rsidRPr="000C156A" w:rsidRDefault="004C18AD" w:rsidP="00042C67">
            <w:pPr>
              <w:spacing w:before="40" w:after="40"/>
              <w:rPr>
                <w:color w:val="000000"/>
                <w:sz w:val="22"/>
                <w:szCs w:val="22"/>
              </w:rPr>
            </w:pPr>
            <w:r w:rsidRPr="000C156A">
              <w:rPr>
                <w:rFonts w:hint="eastAsia"/>
                <w:color w:val="000000"/>
                <w:sz w:val="22"/>
                <w:szCs w:val="22"/>
              </w:rPr>
              <w:t>美国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1EAF8" w14:textId="77777777" w:rsidR="004C18AD" w:rsidRPr="000C156A" w:rsidRDefault="004C18AD" w:rsidP="00042C67">
            <w:pPr>
              <w:spacing w:before="40" w:after="40"/>
              <w:rPr>
                <w:sz w:val="22"/>
                <w:szCs w:val="22"/>
                <w:lang w:eastAsia="zh-CN"/>
              </w:rPr>
            </w:pPr>
            <w:r w:rsidRPr="00E563D0">
              <w:rPr>
                <w:rFonts w:hint="eastAsia"/>
                <w:sz w:val="22"/>
                <w:szCs w:val="22"/>
                <w:lang w:eastAsia="zh-CN"/>
              </w:rPr>
              <w:t>UT</w:t>
            </w:r>
            <w:r w:rsidRPr="00E563D0">
              <w:rPr>
                <w:rFonts w:hint="eastAsia"/>
                <w:sz w:val="22"/>
                <w:szCs w:val="22"/>
                <w:lang w:eastAsia="zh-CN"/>
              </w:rPr>
              <w:t>斯达康股份有限公司</w:t>
            </w:r>
            <w:r w:rsidRPr="000C156A">
              <w:rPr>
                <w:sz w:val="22"/>
                <w:szCs w:val="22"/>
                <w:lang w:eastAsia="zh-CN"/>
              </w:rPr>
              <w:t>.</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009C1" w14:textId="77777777" w:rsidR="004C18AD" w:rsidRPr="000C156A" w:rsidRDefault="004C18AD" w:rsidP="00042C67">
            <w:pPr>
              <w:spacing w:before="40" w:after="40"/>
              <w:jc w:val="right"/>
              <w:rPr>
                <w:color w:val="000000"/>
                <w:sz w:val="22"/>
                <w:szCs w:val="22"/>
              </w:rPr>
            </w:pPr>
            <w:r w:rsidRPr="000C156A">
              <w:rPr>
                <w:color w:val="000000"/>
                <w:sz w:val="22"/>
                <w:szCs w:val="22"/>
              </w:rPr>
              <w:t>94 050.00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30CE7" w14:textId="77777777" w:rsidR="004C18AD" w:rsidRPr="000C156A" w:rsidRDefault="004C18AD" w:rsidP="00042C67">
            <w:pPr>
              <w:spacing w:before="40" w:after="40"/>
              <w:jc w:val="right"/>
              <w:rPr>
                <w:color w:val="000000"/>
                <w:sz w:val="22"/>
                <w:szCs w:val="22"/>
              </w:rPr>
            </w:pPr>
            <w:r w:rsidRPr="000C156A">
              <w:rPr>
                <w:color w:val="000000"/>
                <w:sz w:val="22"/>
                <w:szCs w:val="22"/>
              </w:rPr>
              <w:t>47 025.00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B2C0F4" w14:textId="77777777" w:rsidR="004C18AD" w:rsidRPr="000C156A" w:rsidRDefault="004C18AD" w:rsidP="00042C67">
            <w:pPr>
              <w:spacing w:before="40" w:after="40"/>
              <w:jc w:val="right"/>
              <w:rPr>
                <w:sz w:val="22"/>
                <w:szCs w:val="22"/>
              </w:rPr>
            </w:pPr>
            <w:r w:rsidRPr="000C156A">
              <w:rPr>
                <w:sz w:val="22"/>
                <w:szCs w:val="22"/>
              </w:rPr>
              <w:t>47 025.00</w:t>
            </w:r>
          </w:p>
        </w:tc>
      </w:tr>
      <w:tr w:rsidR="004C18AD" w:rsidRPr="000C156A" w14:paraId="758A522D" w14:textId="77777777" w:rsidTr="00042C67">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737A3" w14:textId="77777777" w:rsidR="004C18AD" w:rsidRPr="000C156A" w:rsidRDefault="004C18AD" w:rsidP="00042C67">
            <w:pPr>
              <w:spacing w:before="40" w:after="40"/>
              <w:jc w:val="center"/>
              <w:rPr>
                <w:color w:val="000000"/>
                <w:sz w:val="22"/>
                <w:szCs w:val="22"/>
              </w:rPr>
            </w:pPr>
            <w:r w:rsidRPr="000C156A">
              <w:rPr>
                <w:color w:val="000000"/>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E4B7E"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31477"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4DE18"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C8EF6D"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5DE9F" w14:textId="77777777" w:rsidR="004C18AD" w:rsidRPr="000C156A" w:rsidRDefault="004C18AD" w:rsidP="00042C67">
            <w:pPr>
              <w:spacing w:before="40" w:after="40"/>
              <w:rPr>
                <w:color w:val="000000"/>
                <w:sz w:val="22"/>
                <w:szCs w:val="22"/>
              </w:rPr>
            </w:pPr>
            <w:r w:rsidRPr="000C156A">
              <w:rPr>
                <w:color w:val="000000"/>
                <w:sz w:val="22"/>
                <w:szCs w:val="22"/>
              </w:rPr>
              <w:t> </w:t>
            </w:r>
          </w:p>
        </w:tc>
      </w:tr>
      <w:tr w:rsidR="004C18AD" w:rsidRPr="000C156A" w14:paraId="61EA9CCF" w14:textId="77777777" w:rsidTr="00042C67">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F6F13" w14:textId="77777777" w:rsidR="004C18AD" w:rsidRPr="000C156A" w:rsidRDefault="004C18AD" w:rsidP="00042C67">
            <w:pPr>
              <w:spacing w:before="40" w:after="40"/>
              <w:jc w:val="center"/>
              <w:rPr>
                <w:rFonts w:cs="Arial"/>
                <w:b/>
                <w:bCs/>
                <w:sz w:val="22"/>
                <w:szCs w:val="22"/>
              </w:rPr>
            </w:pPr>
            <w:r w:rsidRPr="000C156A">
              <w:rPr>
                <w:rFonts w:cs="Arial"/>
                <w:b/>
                <w:bCs/>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D506F0"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819A1"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7BF374" w14:textId="77777777" w:rsidR="004C18AD" w:rsidRPr="000C156A" w:rsidRDefault="004C18AD" w:rsidP="00042C67">
            <w:pPr>
              <w:spacing w:before="40" w:after="40"/>
              <w:rPr>
                <w:color w:val="000000"/>
                <w:sz w:val="22"/>
                <w:szCs w:val="22"/>
              </w:rPr>
            </w:pPr>
            <w:r w:rsidRPr="000C156A">
              <w:rPr>
                <w:color w:val="000000"/>
                <w:sz w:val="22"/>
                <w:szCs w:val="22"/>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378B4C" w14:textId="77777777" w:rsidR="004C18AD" w:rsidRPr="000C156A" w:rsidRDefault="004C18AD" w:rsidP="00042C67">
            <w:pPr>
              <w:spacing w:before="40" w:after="40"/>
              <w:rPr>
                <w:b/>
                <w:bCs/>
                <w:sz w:val="22"/>
                <w:szCs w:val="22"/>
              </w:rPr>
            </w:pPr>
            <w:r w:rsidRPr="000C156A">
              <w:rPr>
                <w:b/>
                <w:bCs/>
                <w:sz w:val="22"/>
                <w:szCs w:val="22"/>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7BA7F" w14:textId="77777777" w:rsidR="004C18AD" w:rsidRPr="000C156A" w:rsidRDefault="004C18AD" w:rsidP="00042C67">
            <w:pPr>
              <w:spacing w:before="40" w:after="40"/>
              <w:jc w:val="right"/>
              <w:rPr>
                <w:b/>
                <w:bCs/>
                <w:sz w:val="22"/>
                <w:szCs w:val="22"/>
              </w:rPr>
            </w:pPr>
            <w:r w:rsidRPr="000C156A">
              <w:rPr>
                <w:b/>
                <w:bCs/>
                <w:sz w:val="22"/>
                <w:szCs w:val="22"/>
              </w:rPr>
              <w:t>68 625.00</w:t>
            </w:r>
          </w:p>
        </w:tc>
      </w:tr>
    </w:tbl>
    <w:p w14:paraId="008EA904" w14:textId="77777777" w:rsidR="004C18AD" w:rsidRPr="000C156A" w:rsidRDefault="004C18AD" w:rsidP="004C18AD">
      <w:pPr>
        <w:pStyle w:val="Annextitle"/>
        <w:rPr>
          <w:rFonts w:asciiTheme="minorHAnsi" w:eastAsiaTheme="minorEastAsia" w:hAnsiTheme="minorHAnsi"/>
          <w:lang w:eastAsia="zh-CN"/>
        </w:rPr>
      </w:pPr>
      <w:r w:rsidRPr="000C156A">
        <w:rPr>
          <w:rFonts w:asciiTheme="minorHAnsi" w:eastAsiaTheme="minorEastAsia" w:hAnsiTheme="minorHAnsi" w:hint="eastAsia"/>
          <w:lang w:eastAsia="zh-CN"/>
        </w:rPr>
        <w:lastRenderedPageBreak/>
        <w:t>截至</w:t>
      </w:r>
      <w:r>
        <w:rPr>
          <w:rFonts w:asciiTheme="minorHAnsi" w:eastAsiaTheme="minorEastAsia" w:hAnsiTheme="minorHAnsi"/>
          <w:lang w:eastAsia="zh-CN"/>
        </w:rPr>
        <w:t>202</w:t>
      </w:r>
      <w:r>
        <w:rPr>
          <w:rFonts w:asciiTheme="minorHAnsi" w:eastAsiaTheme="minorEastAsia" w:hAnsiTheme="minorHAnsi" w:hint="eastAsia"/>
          <w:lang w:eastAsia="zh-CN"/>
        </w:rPr>
        <w:t>1</w:t>
      </w:r>
      <w:r w:rsidRPr="000C156A">
        <w:rPr>
          <w:rFonts w:asciiTheme="minorHAnsi" w:eastAsiaTheme="minorEastAsia" w:hAnsiTheme="minorHAnsi" w:hint="eastAsia"/>
          <w:lang w:eastAsia="zh-CN"/>
        </w:rPr>
        <w:t>年</w:t>
      </w:r>
      <w:r w:rsidRPr="000C156A">
        <w:rPr>
          <w:rFonts w:asciiTheme="minorHAnsi" w:eastAsiaTheme="minorEastAsia" w:hAnsiTheme="minorHAnsi"/>
          <w:lang w:eastAsia="zh-CN"/>
        </w:rPr>
        <w:t>12</w:t>
      </w:r>
      <w:r w:rsidRPr="000C156A">
        <w:rPr>
          <w:rFonts w:asciiTheme="minorHAnsi" w:eastAsiaTheme="minorEastAsia" w:hAnsiTheme="minorHAnsi" w:hint="eastAsia"/>
          <w:lang w:eastAsia="zh-CN"/>
        </w:rPr>
        <w:t>月</w:t>
      </w:r>
      <w:r w:rsidRPr="000C156A">
        <w:rPr>
          <w:rFonts w:asciiTheme="minorHAnsi" w:eastAsiaTheme="minorEastAsia" w:hAnsiTheme="minorHAnsi" w:hint="eastAsia"/>
          <w:lang w:eastAsia="zh-CN"/>
        </w:rPr>
        <w:t>31</w:t>
      </w:r>
      <w:r w:rsidRPr="000C156A">
        <w:rPr>
          <w:rFonts w:asciiTheme="minorHAnsi" w:eastAsiaTheme="minorEastAsia" w:hAnsiTheme="minorHAnsi" w:hint="eastAsia"/>
          <w:lang w:eastAsia="zh-CN"/>
        </w:rPr>
        <w:t>日已结账的国际电联电信展活动的债务方名单（</w:t>
      </w:r>
      <w:r w:rsidRPr="000C156A">
        <w:rPr>
          <w:rFonts w:asciiTheme="minorHAnsi" w:eastAsia="STKaiti" w:hAnsiTheme="minorHAnsi" w:hint="eastAsia"/>
          <w:lang w:eastAsia="zh-CN"/>
        </w:rPr>
        <w:t>续</w:t>
      </w:r>
      <w:r w:rsidRPr="000C156A">
        <w:rPr>
          <w:rFonts w:asciiTheme="minorHAnsi" w:eastAsiaTheme="minorEastAsia" w:hAnsiTheme="minorHAnsi" w:hint="eastAsia"/>
          <w:lang w:eastAsia="zh-CN"/>
        </w:rPr>
        <w:t>）</w:t>
      </w:r>
    </w:p>
    <w:tbl>
      <w:tblPr>
        <w:tblW w:w="10006" w:type="dxa"/>
        <w:tblInd w:w="137" w:type="dxa"/>
        <w:tblLook w:val="04A0" w:firstRow="1" w:lastRow="0" w:firstColumn="1" w:lastColumn="0" w:noHBand="0" w:noVBand="1"/>
      </w:tblPr>
      <w:tblGrid>
        <w:gridCol w:w="1071"/>
        <w:gridCol w:w="1433"/>
        <w:gridCol w:w="3464"/>
        <w:gridCol w:w="1368"/>
        <w:gridCol w:w="1395"/>
        <w:gridCol w:w="1275"/>
      </w:tblGrid>
      <w:tr w:rsidR="004C18AD" w:rsidRPr="000C156A" w14:paraId="29F71698" w14:textId="77777777" w:rsidTr="00042C67">
        <w:trPr>
          <w:trHeight w:val="448"/>
        </w:trPr>
        <w:tc>
          <w:tcPr>
            <w:tcW w:w="1071" w:type="dxa"/>
            <w:tcBorders>
              <w:top w:val="single" w:sz="4" w:space="0" w:color="auto"/>
              <w:left w:val="single" w:sz="4" w:space="0" w:color="auto"/>
              <w:bottom w:val="single" w:sz="4" w:space="0" w:color="auto"/>
              <w:right w:val="single" w:sz="4" w:space="0" w:color="auto"/>
            </w:tcBorders>
            <w:hideMark/>
          </w:tcPr>
          <w:p w14:paraId="7BF69C92"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活动</w:t>
            </w:r>
          </w:p>
        </w:tc>
        <w:tc>
          <w:tcPr>
            <w:tcW w:w="1433" w:type="dxa"/>
            <w:tcBorders>
              <w:top w:val="single" w:sz="4" w:space="0" w:color="auto"/>
              <w:left w:val="nil"/>
              <w:bottom w:val="single" w:sz="4" w:space="0" w:color="auto"/>
              <w:right w:val="single" w:sz="4" w:space="0" w:color="auto"/>
            </w:tcBorders>
            <w:hideMark/>
          </w:tcPr>
          <w:p w14:paraId="3EE18DFE"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国家</w:t>
            </w:r>
          </w:p>
        </w:tc>
        <w:tc>
          <w:tcPr>
            <w:tcW w:w="3464" w:type="dxa"/>
            <w:tcBorders>
              <w:top w:val="single" w:sz="4" w:space="0" w:color="auto"/>
              <w:left w:val="nil"/>
              <w:bottom w:val="single" w:sz="4" w:space="0" w:color="auto"/>
              <w:right w:val="single" w:sz="4" w:space="0" w:color="auto"/>
            </w:tcBorders>
            <w:hideMark/>
          </w:tcPr>
          <w:p w14:paraId="6E111F83"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公司</w:t>
            </w:r>
          </w:p>
        </w:tc>
        <w:tc>
          <w:tcPr>
            <w:tcW w:w="1368" w:type="dxa"/>
            <w:tcBorders>
              <w:top w:val="single" w:sz="4" w:space="0" w:color="auto"/>
              <w:left w:val="nil"/>
              <w:bottom w:val="single" w:sz="4" w:space="0" w:color="auto"/>
              <w:right w:val="single" w:sz="4" w:space="0" w:color="auto"/>
            </w:tcBorders>
            <w:hideMark/>
          </w:tcPr>
          <w:p w14:paraId="21F2E76B"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发票金额</w:t>
            </w:r>
          </w:p>
        </w:tc>
        <w:tc>
          <w:tcPr>
            <w:tcW w:w="1395" w:type="dxa"/>
            <w:tcBorders>
              <w:top w:val="single" w:sz="4" w:space="0" w:color="auto"/>
              <w:left w:val="nil"/>
              <w:bottom w:val="single" w:sz="4" w:space="0" w:color="auto"/>
              <w:right w:val="single" w:sz="4" w:space="0" w:color="auto"/>
            </w:tcBorders>
            <w:hideMark/>
          </w:tcPr>
          <w:p w14:paraId="7EA4AD0A"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收到付款</w:t>
            </w:r>
          </w:p>
        </w:tc>
        <w:tc>
          <w:tcPr>
            <w:tcW w:w="1275" w:type="dxa"/>
            <w:tcBorders>
              <w:top w:val="single" w:sz="4" w:space="0" w:color="auto"/>
              <w:left w:val="nil"/>
              <w:bottom w:val="single" w:sz="4" w:space="0" w:color="auto"/>
              <w:right w:val="single" w:sz="4" w:space="0" w:color="auto"/>
            </w:tcBorders>
            <w:hideMark/>
          </w:tcPr>
          <w:p w14:paraId="0E8F492E" w14:textId="77777777" w:rsidR="004C18AD" w:rsidRPr="000C156A" w:rsidRDefault="004C18AD" w:rsidP="00042C67">
            <w:pPr>
              <w:pStyle w:val="Tablehead"/>
              <w:rPr>
                <w:rFonts w:asciiTheme="minorHAnsi" w:eastAsiaTheme="minorEastAsia" w:hAnsiTheme="minorHAnsi"/>
                <w:szCs w:val="22"/>
                <w:lang w:eastAsia="zh-CN"/>
              </w:rPr>
            </w:pPr>
            <w:r w:rsidRPr="000C156A">
              <w:rPr>
                <w:rFonts w:asciiTheme="minorHAnsi" w:eastAsiaTheme="minorEastAsia" w:hAnsiTheme="minorHAnsi" w:hint="eastAsia"/>
                <w:szCs w:val="22"/>
              </w:rPr>
              <w:t>欠款</w:t>
            </w:r>
            <w:r w:rsidRPr="000C156A">
              <w:rPr>
                <w:rFonts w:asciiTheme="minorHAnsi" w:eastAsiaTheme="minorEastAsia" w:hAnsiTheme="minorHAnsi" w:hint="eastAsia"/>
                <w:szCs w:val="22"/>
                <w:lang w:eastAsia="zh-CN"/>
              </w:rPr>
              <w:t>余额</w:t>
            </w:r>
          </w:p>
        </w:tc>
      </w:tr>
      <w:tr w:rsidR="004C18AD" w:rsidRPr="000C156A" w14:paraId="07D3F11D"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072A977E" w14:textId="77777777" w:rsidR="004C18AD" w:rsidRPr="000C156A" w:rsidRDefault="004C18AD" w:rsidP="00042C67">
            <w:pPr>
              <w:jc w:val="center"/>
              <w:rPr>
                <w:rFonts w:cs="Arial"/>
                <w:b/>
                <w:bCs/>
                <w:sz w:val="22"/>
                <w:szCs w:val="22"/>
              </w:rPr>
            </w:pPr>
            <w:r w:rsidRPr="000C156A">
              <w:rPr>
                <w:rFonts w:cs="Arial"/>
                <w:b/>
                <w:bCs/>
                <w:sz w:val="22"/>
                <w:szCs w:val="22"/>
              </w:rPr>
              <w:t> </w:t>
            </w:r>
          </w:p>
        </w:tc>
        <w:tc>
          <w:tcPr>
            <w:tcW w:w="1433" w:type="dxa"/>
            <w:tcBorders>
              <w:top w:val="nil"/>
              <w:left w:val="nil"/>
              <w:bottom w:val="single" w:sz="4" w:space="0" w:color="auto"/>
              <w:right w:val="single" w:sz="4" w:space="0" w:color="auto"/>
            </w:tcBorders>
            <w:noWrap/>
            <w:vAlign w:val="bottom"/>
            <w:hideMark/>
          </w:tcPr>
          <w:p w14:paraId="08028130" w14:textId="77777777" w:rsidR="004C18AD" w:rsidRPr="000C156A" w:rsidRDefault="004C18AD" w:rsidP="00042C67">
            <w:pPr>
              <w:jc w:val="center"/>
              <w:rPr>
                <w:rFonts w:cs="Arial"/>
                <w:b/>
                <w:bCs/>
                <w:sz w:val="22"/>
                <w:szCs w:val="22"/>
              </w:rPr>
            </w:pPr>
            <w:r w:rsidRPr="000C156A">
              <w:rPr>
                <w:rFonts w:cs="Arial"/>
                <w:b/>
                <w:bCs/>
                <w:sz w:val="22"/>
                <w:szCs w:val="22"/>
              </w:rPr>
              <w:t> </w:t>
            </w:r>
          </w:p>
        </w:tc>
        <w:tc>
          <w:tcPr>
            <w:tcW w:w="3464" w:type="dxa"/>
            <w:tcBorders>
              <w:top w:val="nil"/>
              <w:left w:val="nil"/>
              <w:bottom w:val="single" w:sz="4" w:space="0" w:color="auto"/>
              <w:right w:val="single" w:sz="4" w:space="0" w:color="auto"/>
            </w:tcBorders>
            <w:noWrap/>
            <w:vAlign w:val="bottom"/>
            <w:hideMark/>
          </w:tcPr>
          <w:p w14:paraId="6322BBB1" w14:textId="77777777" w:rsidR="004C18AD" w:rsidRPr="000C156A" w:rsidRDefault="004C18AD" w:rsidP="00042C67">
            <w:pPr>
              <w:jc w:val="center"/>
              <w:rPr>
                <w:rFonts w:cs="Arial"/>
                <w:sz w:val="22"/>
                <w:szCs w:val="22"/>
              </w:rPr>
            </w:pPr>
            <w:r w:rsidRPr="000C156A">
              <w:rPr>
                <w:rFonts w:cs="Arial"/>
                <w:sz w:val="22"/>
                <w:szCs w:val="22"/>
              </w:rPr>
              <w:t> </w:t>
            </w:r>
          </w:p>
        </w:tc>
        <w:tc>
          <w:tcPr>
            <w:tcW w:w="1368" w:type="dxa"/>
            <w:tcBorders>
              <w:top w:val="nil"/>
              <w:left w:val="nil"/>
              <w:bottom w:val="single" w:sz="4" w:space="0" w:color="auto"/>
              <w:right w:val="single" w:sz="4" w:space="0" w:color="auto"/>
            </w:tcBorders>
            <w:noWrap/>
            <w:vAlign w:val="bottom"/>
            <w:hideMark/>
          </w:tcPr>
          <w:p w14:paraId="46876A6A" w14:textId="77777777" w:rsidR="004C18AD" w:rsidRPr="000C156A" w:rsidRDefault="004C18AD" w:rsidP="00042C67">
            <w:pPr>
              <w:jc w:val="center"/>
              <w:rPr>
                <w:rFonts w:cs="Arial"/>
                <w:sz w:val="22"/>
                <w:szCs w:val="22"/>
              </w:rPr>
            </w:pPr>
            <w:r w:rsidRPr="000C156A">
              <w:rPr>
                <w:rFonts w:cs="Arial"/>
                <w:sz w:val="22"/>
                <w:szCs w:val="22"/>
              </w:rPr>
              <w:t> </w:t>
            </w:r>
          </w:p>
        </w:tc>
        <w:tc>
          <w:tcPr>
            <w:tcW w:w="1395" w:type="dxa"/>
            <w:tcBorders>
              <w:top w:val="nil"/>
              <w:left w:val="nil"/>
              <w:bottom w:val="single" w:sz="4" w:space="0" w:color="auto"/>
              <w:right w:val="single" w:sz="4" w:space="0" w:color="auto"/>
            </w:tcBorders>
            <w:noWrap/>
            <w:vAlign w:val="bottom"/>
            <w:hideMark/>
          </w:tcPr>
          <w:p w14:paraId="540A3AAD" w14:textId="77777777" w:rsidR="004C18AD" w:rsidRPr="000C156A" w:rsidRDefault="004C18AD" w:rsidP="00042C67">
            <w:pPr>
              <w:jc w:val="center"/>
              <w:rPr>
                <w:rFonts w:cs="Arial"/>
                <w:sz w:val="22"/>
                <w:szCs w:val="22"/>
              </w:rPr>
            </w:pPr>
            <w:r w:rsidRPr="000C156A">
              <w:rPr>
                <w:rFonts w:cs="Arial"/>
                <w:sz w:val="22"/>
                <w:szCs w:val="22"/>
              </w:rPr>
              <w:t> </w:t>
            </w:r>
          </w:p>
        </w:tc>
        <w:tc>
          <w:tcPr>
            <w:tcW w:w="1275" w:type="dxa"/>
            <w:tcBorders>
              <w:top w:val="nil"/>
              <w:left w:val="nil"/>
              <w:bottom w:val="single" w:sz="4" w:space="0" w:color="auto"/>
              <w:right w:val="single" w:sz="4" w:space="0" w:color="auto"/>
            </w:tcBorders>
            <w:noWrap/>
            <w:vAlign w:val="bottom"/>
            <w:hideMark/>
          </w:tcPr>
          <w:p w14:paraId="2779D458" w14:textId="77777777" w:rsidR="004C18AD" w:rsidRPr="000C156A" w:rsidRDefault="004C18AD" w:rsidP="00042C67">
            <w:pPr>
              <w:jc w:val="center"/>
              <w:rPr>
                <w:rFonts w:cs="Arial"/>
                <w:sz w:val="22"/>
                <w:szCs w:val="22"/>
              </w:rPr>
            </w:pPr>
            <w:r w:rsidRPr="000C156A">
              <w:rPr>
                <w:rFonts w:cs="Arial"/>
                <w:sz w:val="22"/>
                <w:szCs w:val="22"/>
              </w:rPr>
              <w:t> </w:t>
            </w:r>
          </w:p>
        </w:tc>
      </w:tr>
      <w:tr w:rsidR="004C18AD" w:rsidRPr="000C156A" w14:paraId="30A75AC9"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tcPr>
          <w:p w14:paraId="68D5A167" w14:textId="77777777" w:rsidR="004C18AD" w:rsidRPr="000C156A" w:rsidRDefault="004C18AD" w:rsidP="00042C67">
            <w:pPr>
              <w:jc w:val="center"/>
              <w:rPr>
                <w:color w:val="000000"/>
                <w:sz w:val="22"/>
                <w:szCs w:val="22"/>
              </w:rPr>
            </w:pPr>
            <w:r w:rsidRPr="000C156A">
              <w:rPr>
                <w:color w:val="000000"/>
                <w:sz w:val="22"/>
                <w:szCs w:val="22"/>
              </w:rPr>
              <w:t>TLC 2011</w:t>
            </w:r>
          </w:p>
        </w:tc>
        <w:tc>
          <w:tcPr>
            <w:tcW w:w="1433" w:type="dxa"/>
            <w:tcBorders>
              <w:top w:val="nil"/>
              <w:left w:val="nil"/>
              <w:bottom w:val="single" w:sz="4" w:space="0" w:color="auto"/>
              <w:right w:val="single" w:sz="4" w:space="0" w:color="auto"/>
            </w:tcBorders>
            <w:noWrap/>
            <w:vAlign w:val="bottom"/>
          </w:tcPr>
          <w:p w14:paraId="669DCB46" w14:textId="77777777" w:rsidR="004C18AD" w:rsidRPr="000C156A" w:rsidRDefault="004C18AD" w:rsidP="00042C67">
            <w:pPr>
              <w:jc w:val="center"/>
              <w:rPr>
                <w:color w:val="000000"/>
                <w:sz w:val="22"/>
                <w:szCs w:val="22"/>
              </w:rPr>
            </w:pPr>
            <w:r w:rsidRPr="000C156A">
              <w:rPr>
                <w:rFonts w:hint="eastAsia"/>
                <w:color w:val="000000"/>
                <w:sz w:val="22"/>
                <w:szCs w:val="22"/>
                <w:lang w:val="en-US" w:eastAsia="zh-CN"/>
              </w:rPr>
              <w:t>瑞士</w:t>
            </w:r>
          </w:p>
        </w:tc>
        <w:tc>
          <w:tcPr>
            <w:tcW w:w="3464" w:type="dxa"/>
            <w:tcBorders>
              <w:top w:val="nil"/>
              <w:left w:val="nil"/>
              <w:bottom w:val="single" w:sz="4" w:space="0" w:color="auto"/>
              <w:right w:val="single" w:sz="4" w:space="0" w:color="auto"/>
            </w:tcBorders>
            <w:noWrap/>
            <w:vAlign w:val="bottom"/>
          </w:tcPr>
          <w:p w14:paraId="4E8C3AFC" w14:textId="77777777" w:rsidR="004C18AD" w:rsidRPr="000C156A" w:rsidRDefault="004C18AD" w:rsidP="00042C67">
            <w:pPr>
              <w:rPr>
                <w:sz w:val="22"/>
                <w:szCs w:val="22"/>
              </w:rPr>
            </w:pPr>
            <w:r w:rsidRPr="000C156A">
              <w:rPr>
                <w:sz w:val="22"/>
                <w:szCs w:val="22"/>
              </w:rPr>
              <w:t>2011</w:t>
            </w:r>
            <w:r w:rsidRPr="000C156A">
              <w:rPr>
                <w:rFonts w:hint="eastAsia"/>
                <w:sz w:val="22"/>
                <w:szCs w:val="22"/>
                <w:lang w:eastAsia="zh-CN"/>
              </w:rPr>
              <w:t>年客户世界</w:t>
            </w:r>
            <w:r w:rsidRPr="000C156A">
              <w:rPr>
                <w:sz w:val="22"/>
                <w:szCs w:val="22"/>
                <w:lang w:val="en-US" w:eastAsia="zh-CN"/>
              </w:rPr>
              <w:t>*</w:t>
            </w:r>
          </w:p>
        </w:tc>
        <w:tc>
          <w:tcPr>
            <w:tcW w:w="1368" w:type="dxa"/>
            <w:tcBorders>
              <w:top w:val="nil"/>
              <w:left w:val="nil"/>
              <w:bottom w:val="single" w:sz="4" w:space="0" w:color="auto"/>
              <w:right w:val="single" w:sz="4" w:space="0" w:color="auto"/>
            </w:tcBorders>
            <w:noWrap/>
            <w:vAlign w:val="bottom"/>
          </w:tcPr>
          <w:p w14:paraId="74BFA75E" w14:textId="77777777" w:rsidR="004C18AD" w:rsidRPr="000C156A" w:rsidRDefault="004C18AD" w:rsidP="00042C67">
            <w:pPr>
              <w:overflowPunct/>
              <w:autoSpaceDE/>
              <w:autoSpaceDN/>
              <w:adjustRightInd/>
              <w:spacing w:before="0"/>
              <w:jc w:val="right"/>
              <w:textAlignment w:val="auto"/>
              <w:rPr>
                <w:color w:val="000000"/>
                <w:sz w:val="22"/>
                <w:szCs w:val="22"/>
                <w:lang w:val="en-US" w:eastAsia="zh-CN"/>
              </w:rPr>
            </w:pPr>
            <w:r w:rsidRPr="000C156A">
              <w:rPr>
                <w:color w:val="000000"/>
                <w:sz w:val="22"/>
                <w:szCs w:val="22"/>
                <w:lang w:val="en-US" w:eastAsia="zh-CN"/>
              </w:rPr>
              <w:t>203 243.05</w:t>
            </w:r>
          </w:p>
        </w:tc>
        <w:tc>
          <w:tcPr>
            <w:tcW w:w="1395" w:type="dxa"/>
            <w:tcBorders>
              <w:top w:val="nil"/>
              <w:left w:val="nil"/>
              <w:bottom w:val="single" w:sz="4" w:space="0" w:color="auto"/>
              <w:right w:val="single" w:sz="4" w:space="0" w:color="auto"/>
            </w:tcBorders>
            <w:noWrap/>
            <w:vAlign w:val="bottom"/>
          </w:tcPr>
          <w:p w14:paraId="7784A879" w14:textId="77777777" w:rsidR="004C18AD" w:rsidRPr="000C156A" w:rsidRDefault="004C18AD" w:rsidP="00042C67">
            <w:pPr>
              <w:overflowPunct/>
              <w:autoSpaceDE/>
              <w:autoSpaceDN/>
              <w:adjustRightInd/>
              <w:spacing w:before="0"/>
              <w:jc w:val="right"/>
              <w:textAlignment w:val="auto"/>
              <w:rPr>
                <w:color w:val="000000"/>
                <w:sz w:val="22"/>
                <w:szCs w:val="22"/>
                <w:lang w:val="en-US" w:eastAsia="zh-CN"/>
              </w:rPr>
            </w:pPr>
            <w:r w:rsidRPr="000C156A">
              <w:rPr>
                <w:color w:val="000000"/>
                <w:sz w:val="22"/>
                <w:szCs w:val="22"/>
                <w:lang w:val="en-US" w:eastAsia="zh-CN"/>
              </w:rPr>
              <w:t>194 643.25</w:t>
            </w:r>
          </w:p>
        </w:tc>
        <w:tc>
          <w:tcPr>
            <w:tcW w:w="1275" w:type="dxa"/>
            <w:tcBorders>
              <w:top w:val="nil"/>
              <w:left w:val="nil"/>
              <w:bottom w:val="single" w:sz="4" w:space="0" w:color="auto"/>
              <w:right w:val="single" w:sz="4" w:space="0" w:color="auto"/>
            </w:tcBorders>
            <w:noWrap/>
            <w:vAlign w:val="bottom"/>
          </w:tcPr>
          <w:p w14:paraId="37401661" w14:textId="77777777" w:rsidR="004C18AD" w:rsidRPr="000C156A" w:rsidRDefault="004C18AD" w:rsidP="00042C67">
            <w:pPr>
              <w:overflowPunct/>
              <w:autoSpaceDE/>
              <w:autoSpaceDN/>
              <w:adjustRightInd/>
              <w:spacing w:before="0"/>
              <w:jc w:val="right"/>
              <w:textAlignment w:val="auto"/>
              <w:rPr>
                <w:sz w:val="22"/>
                <w:szCs w:val="22"/>
                <w:lang w:val="en-US" w:eastAsia="zh-CN"/>
              </w:rPr>
            </w:pPr>
            <w:r w:rsidRPr="000C156A">
              <w:rPr>
                <w:sz w:val="22"/>
                <w:szCs w:val="22"/>
                <w:lang w:val="en-US" w:eastAsia="zh-CN"/>
              </w:rPr>
              <w:t>8 599.80</w:t>
            </w:r>
          </w:p>
        </w:tc>
      </w:tr>
      <w:tr w:rsidR="004C18AD" w:rsidRPr="000C156A" w14:paraId="09C1FC66"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tcPr>
          <w:p w14:paraId="1F5298CE" w14:textId="77777777" w:rsidR="004C18AD" w:rsidRPr="000C156A" w:rsidRDefault="004C18AD" w:rsidP="00042C67">
            <w:pPr>
              <w:jc w:val="center"/>
              <w:rPr>
                <w:color w:val="000000"/>
                <w:sz w:val="22"/>
                <w:szCs w:val="22"/>
              </w:rPr>
            </w:pPr>
            <w:r w:rsidRPr="000C156A">
              <w:rPr>
                <w:color w:val="000000"/>
                <w:sz w:val="22"/>
                <w:szCs w:val="22"/>
              </w:rPr>
              <w:t> </w:t>
            </w:r>
          </w:p>
        </w:tc>
        <w:tc>
          <w:tcPr>
            <w:tcW w:w="1433" w:type="dxa"/>
            <w:tcBorders>
              <w:top w:val="nil"/>
              <w:left w:val="nil"/>
              <w:bottom w:val="single" w:sz="4" w:space="0" w:color="auto"/>
              <w:right w:val="single" w:sz="4" w:space="0" w:color="auto"/>
            </w:tcBorders>
            <w:noWrap/>
            <w:vAlign w:val="bottom"/>
          </w:tcPr>
          <w:p w14:paraId="3EBCCAC3" w14:textId="77777777" w:rsidR="004C18AD" w:rsidRPr="000C156A" w:rsidRDefault="004C18AD" w:rsidP="00042C67">
            <w:pPr>
              <w:rPr>
                <w:color w:val="000000"/>
                <w:sz w:val="22"/>
                <w:szCs w:val="22"/>
              </w:rPr>
            </w:pPr>
            <w:r w:rsidRPr="000C156A">
              <w:rPr>
                <w:color w:val="000000"/>
                <w:sz w:val="22"/>
                <w:szCs w:val="22"/>
              </w:rPr>
              <w:t> </w:t>
            </w:r>
          </w:p>
        </w:tc>
        <w:tc>
          <w:tcPr>
            <w:tcW w:w="3464" w:type="dxa"/>
            <w:tcBorders>
              <w:top w:val="nil"/>
              <w:left w:val="nil"/>
              <w:bottom w:val="single" w:sz="4" w:space="0" w:color="auto"/>
              <w:right w:val="single" w:sz="4" w:space="0" w:color="auto"/>
            </w:tcBorders>
            <w:noWrap/>
            <w:vAlign w:val="bottom"/>
          </w:tcPr>
          <w:p w14:paraId="6BBB6FF5" w14:textId="77777777" w:rsidR="004C18AD" w:rsidRPr="000C156A" w:rsidRDefault="004C18AD" w:rsidP="00042C67">
            <w:pPr>
              <w:rPr>
                <w:color w:val="000000"/>
                <w:sz w:val="22"/>
                <w:szCs w:val="22"/>
              </w:rPr>
            </w:pPr>
            <w:r w:rsidRPr="000C156A">
              <w:rPr>
                <w:color w:val="000000"/>
                <w:sz w:val="22"/>
                <w:szCs w:val="22"/>
              </w:rPr>
              <w:t> </w:t>
            </w:r>
          </w:p>
        </w:tc>
        <w:tc>
          <w:tcPr>
            <w:tcW w:w="1368" w:type="dxa"/>
            <w:tcBorders>
              <w:top w:val="nil"/>
              <w:left w:val="nil"/>
              <w:bottom w:val="single" w:sz="4" w:space="0" w:color="auto"/>
              <w:right w:val="single" w:sz="4" w:space="0" w:color="auto"/>
            </w:tcBorders>
            <w:noWrap/>
            <w:vAlign w:val="bottom"/>
          </w:tcPr>
          <w:p w14:paraId="10C2F109" w14:textId="77777777" w:rsidR="004C18AD" w:rsidRPr="000C156A" w:rsidRDefault="004C18AD" w:rsidP="00042C67">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tcPr>
          <w:p w14:paraId="21A59075" w14:textId="77777777" w:rsidR="004C18AD" w:rsidRPr="000C156A" w:rsidRDefault="004C18AD" w:rsidP="00042C67">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1275" w:type="dxa"/>
            <w:tcBorders>
              <w:top w:val="nil"/>
              <w:left w:val="nil"/>
              <w:bottom w:val="single" w:sz="4" w:space="0" w:color="auto"/>
              <w:right w:val="single" w:sz="4" w:space="0" w:color="auto"/>
            </w:tcBorders>
            <w:noWrap/>
            <w:vAlign w:val="bottom"/>
          </w:tcPr>
          <w:p w14:paraId="67A39618" w14:textId="77777777" w:rsidR="004C18AD" w:rsidRPr="000C156A" w:rsidRDefault="004C18AD" w:rsidP="00042C67">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r>
      <w:tr w:rsidR="004C18AD" w:rsidRPr="000C156A" w14:paraId="475397CA"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tcPr>
          <w:p w14:paraId="71FC9B2F" w14:textId="77777777" w:rsidR="004C18AD" w:rsidRPr="000C156A" w:rsidRDefault="004C18AD" w:rsidP="00042C67">
            <w:pPr>
              <w:jc w:val="center"/>
              <w:rPr>
                <w:rFonts w:cs="Arial"/>
                <w:b/>
                <w:bCs/>
                <w:sz w:val="22"/>
                <w:szCs w:val="22"/>
              </w:rPr>
            </w:pPr>
            <w:r w:rsidRPr="000C156A">
              <w:rPr>
                <w:b/>
                <w:bCs/>
                <w:color w:val="000000"/>
                <w:sz w:val="22"/>
                <w:szCs w:val="22"/>
              </w:rPr>
              <w:t>TLC 2011</w:t>
            </w:r>
          </w:p>
        </w:tc>
        <w:tc>
          <w:tcPr>
            <w:tcW w:w="1433" w:type="dxa"/>
            <w:tcBorders>
              <w:top w:val="nil"/>
              <w:left w:val="nil"/>
              <w:bottom w:val="single" w:sz="4" w:space="0" w:color="auto"/>
              <w:right w:val="single" w:sz="4" w:space="0" w:color="auto"/>
            </w:tcBorders>
            <w:noWrap/>
            <w:vAlign w:val="bottom"/>
          </w:tcPr>
          <w:p w14:paraId="02DA5AE1" w14:textId="77777777" w:rsidR="004C18AD" w:rsidRPr="000C156A" w:rsidRDefault="004C18AD" w:rsidP="00042C67">
            <w:pPr>
              <w:rPr>
                <w:color w:val="000000"/>
                <w:sz w:val="22"/>
                <w:szCs w:val="22"/>
              </w:rPr>
            </w:pPr>
            <w:r w:rsidRPr="000C156A">
              <w:rPr>
                <w:color w:val="000000"/>
                <w:sz w:val="22"/>
                <w:szCs w:val="22"/>
              </w:rPr>
              <w:t> </w:t>
            </w:r>
          </w:p>
        </w:tc>
        <w:tc>
          <w:tcPr>
            <w:tcW w:w="3464" w:type="dxa"/>
            <w:tcBorders>
              <w:top w:val="nil"/>
              <w:left w:val="nil"/>
              <w:bottom w:val="single" w:sz="4" w:space="0" w:color="auto"/>
              <w:right w:val="single" w:sz="4" w:space="0" w:color="auto"/>
            </w:tcBorders>
            <w:noWrap/>
            <w:vAlign w:val="bottom"/>
          </w:tcPr>
          <w:p w14:paraId="0DDD2682" w14:textId="77777777" w:rsidR="004C18AD" w:rsidRPr="000C156A" w:rsidRDefault="004C18AD" w:rsidP="00042C67">
            <w:pPr>
              <w:rPr>
                <w:color w:val="000000"/>
                <w:sz w:val="22"/>
                <w:szCs w:val="22"/>
              </w:rPr>
            </w:pPr>
            <w:r w:rsidRPr="000C156A">
              <w:rPr>
                <w:color w:val="000000"/>
                <w:sz w:val="22"/>
                <w:szCs w:val="22"/>
              </w:rPr>
              <w:t> </w:t>
            </w:r>
          </w:p>
        </w:tc>
        <w:tc>
          <w:tcPr>
            <w:tcW w:w="1368" w:type="dxa"/>
            <w:tcBorders>
              <w:top w:val="nil"/>
              <w:left w:val="nil"/>
              <w:bottom w:val="single" w:sz="4" w:space="0" w:color="auto"/>
              <w:right w:val="single" w:sz="4" w:space="0" w:color="auto"/>
            </w:tcBorders>
            <w:noWrap/>
            <w:vAlign w:val="bottom"/>
          </w:tcPr>
          <w:p w14:paraId="781B089D" w14:textId="77777777" w:rsidR="004C18AD" w:rsidRPr="000C156A" w:rsidRDefault="004C18AD" w:rsidP="00042C67">
            <w:pPr>
              <w:overflowPunct/>
              <w:autoSpaceDE/>
              <w:autoSpaceDN/>
              <w:adjustRightInd/>
              <w:spacing w:before="0"/>
              <w:textAlignment w:val="auto"/>
              <w:rPr>
                <w:color w:val="000000"/>
                <w:sz w:val="22"/>
                <w:szCs w:val="22"/>
                <w:lang w:val="en-US" w:eastAsia="zh-CN"/>
              </w:rPr>
            </w:pPr>
            <w:r w:rsidRPr="000C156A">
              <w:rPr>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tcPr>
          <w:p w14:paraId="40267981" w14:textId="77777777" w:rsidR="004C18AD" w:rsidRPr="000C156A" w:rsidRDefault="004C18AD" w:rsidP="00042C67">
            <w:pPr>
              <w:overflowPunct/>
              <w:autoSpaceDE/>
              <w:autoSpaceDN/>
              <w:adjustRightInd/>
              <w:spacing w:before="0"/>
              <w:textAlignment w:val="auto"/>
              <w:rPr>
                <w:b/>
                <w:bCs/>
                <w:sz w:val="22"/>
                <w:szCs w:val="22"/>
                <w:lang w:val="en-US" w:eastAsia="zh-CN"/>
              </w:rPr>
            </w:pPr>
            <w:r w:rsidRPr="000C156A">
              <w:rPr>
                <w:b/>
                <w:bCs/>
                <w:sz w:val="22"/>
                <w:szCs w:val="22"/>
                <w:lang w:val="en-US" w:eastAsia="zh-CN"/>
              </w:rPr>
              <w:t> </w:t>
            </w:r>
          </w:p>
        </w:tc>
        <w:tc>
          <w:tcPr>
            <w:tcW w:w="1275" w:type="dxa"/>
            <w:tcBorders>
              <w:top w:val="nil"/>
              <w:left w:val="nil"/>
              <w:bottom w:val="single" w:sz="4" w:space="0" w:color="auto"/>
              <w:right w:val="single" w:sz="4" w:space="0" w:color="auto"/>
            </w:tcBorders>
            <w:noWrap/>
            <w:vAlign w:val="bottom"/>
          </w:tcPr>
          <w:p w14:paraId="1F10171E" w14:textId="77777777" w:rsidR="004C18AD" w:rsidRPr="000C156A" w:rsidRDefault="004C18AD" w:rsidP="00042C67">
            <w:pPr>
              <w:overflowPunct/>
              <w:autoSpaceDE/>
              <w:autoSpaceDN/>
              <w:adjustRightInd/>
              <w:spacing w:before="0"/>
              <w:jc w:val="right"/>
              <w:textAlignment w:val="auto"/>
              <w:rPr>
                <w:b/>
                <w:bCs/>
                <w:sz w:val="22"/>
                <w:szCs w:val="22"/>
                <w:lang w:val="en-US" w:eastAsia="zh-CN"/>
              </w:rPr>
            </w:pPr>
            <w:r w:rsidRPr="000C156A">
              <w:rPr>
                <w:b/>
                <w:bCs/>
                <w:sz w:val="22"/>
                <w:szCs w:val="22"/>
                <w:lang w:val="en-US" w:eastAsia="zh-CN"/>
              </w:rPr>
              <w:t>8 599.80</w:t>
            </w:r>
          </w:p>
        </w:tc>
      </w:tr>
    </w:tbl>
    <w:p w14:paraId="6CF2FB91" w14:textId="77777777" w:rsidR="004C18AD" w:rsidRPr="000C156A" w:rsidRDefault="004C18AD" w:rsidP="004C18AD">
      <w:pPr>
        <w:pStyle w:val="TableText0"/>
        <w:rPr>
          <w:rFonts w:eastAsia="STKaiti"/>
          <w:szCs w:val="22"/>
          <w:lang w:val="en-GB" w:eastAsia="zh-CN"/>
        </w:rPr>
      </w:pPr>
    </w:p>
    <w:tbl>
      <w:tblPr>
        <w:tblW w:w="10006" w:type="dxa"/>
        <w:tblInd w:w="137" w:type="dxa"/>
        <w:tblLook w:val="04A0" w:firstRow="1" w:lastRow="0" w:firstColumn="1" w:lastColumn="0" w:noHBand="0" w:noVBand="1"/>
      </w:tblPr>
      <w:tblGrid>
        <w:gridCol w:w="1071"/>
        <w:gridCol w:w="1433"/>
        <w:gridCol w:w="3464"/>
        <w:gridCol w:w="1368"/>
        <w:gridCol w:w="1395"/>
        <w:gridCol w:w="1275"/>
      </w:tblGrid>
      <w:tr w:rsidR="004C18AD" w:rsidRPr="000C156A" w14:paraId="37F6DD97" w14:textId="77777777" w:rsidTr="00042C67">
        <w:trPr>
          <w:trHeight w:val="448"/>
        </w:trPr>
        <w:tc>
          <w:tcPr>
            <w:tcW w:w="1071" w:type="dxa"/>
            <w:tcBorders>
              <w:top w:val="single" w:sz="4" w:space="0" w:color="auto"/>
              <w:left w:val="single" w:sz="4" w:space="0" w:color="auto"/>
              <w:bottom w:val="single" w:sz="4" w:space="0" w:color="auto"/>
              <w:right w:val="single" w:sz="4" w:space="0" w:color="auto"/>
            </w:tcBorders>
            <w:hideMark/>
          </w:tcPr>
          <w:p w14:paraId="40A9EC0D"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活动</w:t>
            </w:r>
          </w:p>
        </w:tc>
        <w:tc>
          <w:tcPr>
            <w:tcW w:w="1433" w:type="dxa"/>
            <w:tcBorders>
              <w:top w:val="single" w:sz="4" w:space="0" w:color="auto"/>
              <w:left w:val="nil"/>
              <w:bottom w:val="single" w:sz="4" w:space="0" w:color="auto"/>
              <w:right w:val="single" w:sz="4" w:space="0" w:color="auto"/>
            </w:tcBorders>
            <w:hideMark/>
          </w:tcPr>
          <w:p w14:paraId="51D18AA9"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国家</w:t>
            </w:r>
          </w:p>
        </w:tc>
        <w:tc>
          <w:tcPr>
            <w:tcW w:w="3464" w:type="dxa"/>
            <w:tcBorders>
              <w:top w:val="single" w:sz="4" w:space="0" w:color="auto"/>
              <w:left w:val="nil"/>
              <w:bottom w:val="single" w:sz="4" w:space="0" w:color="auto"/>
              <w:right w:val="single" w:sz="4" w:space="0" w:color="auto"/>
            </w:tcBorders>
            <w:hideMark/>
          </w:tcPr>
          <w:p w14:paraId="6EC14A5C"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公司</w:t>
            </w:r>
          </w:p>
        </w:tc>
        <w:tc>
          <w:tcPr>
            <w:tcW w:w="1368" w:type="dxa"/>
            <w:tcBorders>
              <w:top w:val="single" w:sz="4" w:space="0" w:color="auto"/>
              <w:left w:val="nil"/>
              <w:bottom w:val="single" w:sz="4" w:space="0" w:color="auto"/>
              <w:right w:val="single" w:sz="4" w:space="0" w:color="auto"/>
            </w:tcBorders>
            <w:hideMark/>
          </w:tcPr>
          <w:p w14:paraId="084EAAE1"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发票金额</w:t>
            </w:r>
          </w:p>
        </w:tc>
        <w:tc>
          <w:tcPr>
            <w:tcW w:w="1395" w:type="dxa"/>
            <w:tcBorders>
              <w:top w:val="single" w:sz="4" w:space="0" w:color="auto"/>
              <w:left w:val="nil"/>
              <w:bottom w:val="single" w:sz="4" w:space="0" w:color="auto"/>
              <w:right w:val="single" w:sz="4" w:space="0" w:color="auto"/>
            </w:tcBorders>
            <w:hideMark/>
          </w:tcPr>
          <w:p w14:paraId="4CFE2C2A"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收到付款</w:t>
            </w:r>
          </w:p>
        </w:tc>
        <w:tc>
          <w:tcPr>
            <w:tcW w:w="1275" w:type="dxa"/>
            <w:tcBorders>
              <w:top w:val="single" w:sz="4" w:space="0" w:color="auto"/>
              <w:left w:val="nil"/>
              <w:bottom w:val="single" w:sz="4" w:space="0" w:color="auto"/>
              <w:right w:val="single" w:sz="4" w:space="0" w:color="auto"/>
            </w:tcBorders>
            <w:hideMark/>
          </w:tcPr>
          <w:p w14:paraId="4DF12A76" w14:textId="77777777" w:rsidR="004C18AD" w:rsidRPr="000C156A" w:rsidRDefault="004C18AD" w:rsidP="00042C67">
            <w:pPr>
              <w:pStyle w:val="Tablehead"/>
              <w:rPr>
                <w:rFonts w:asciiTheme="minorHAnsi" w:eastAsiaTheme="minorEastAsia" w:hAnsiTheme="minorHAnsi"/>
                <w:szCs w:val="22"/>
                <w:lang w:eastAsia="zh-CN"/>
              </w:rPr>
            </w:pPr>
            <w:r w:rsidRPr="000C156A">
              <w:rPr>
                <w:rFonts w:asciiTheme="minorHAnsi" w:eastAsiaTheme="minorEastAsia" w:hAnsiTheme="minorHAnsi" w:hint="eastAsia"/>
                <w:szCs w:val="22"/>
              </w:rPr>
              <w:t>欠款</w:t>
            </w:r>
            <w:r w:rsidRPr="000C156A">
              <w:rPr>
                <w:rFonts w:asciiTheme="minorHAnsi" w:eastAsiaTheme="minorEastAsia" w:hAnsiTheme="minorHAnsi" w:hint="eastAsia"/>
                <w:szCs w:val="22"/>
                <w:lang w:eastAsia="zh-CN"/>
              </w:rPr>
              <w:t>余额</w:t>
            </w:r>
          </w:p>
        </w:tc>
      </w:tr>
      <w:tr w:rsidR="004C18AD" w:rsidRPr="000C156A" w14:paraId="54AAE1E0"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149FB2D7" w14:textId="77777777" w:rsidR="004C18AD" w:rsidRPr="000C156A" w:rsidRDefault="004C18AD" w:rsidP="00042C67">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1433" w:type="dxa"/>
            <w:tcBorders>
              <w:top w:val="nil"/>
              <w:left w:val="nil"/>
              <w:bottom w:val="single" w:sz="4" w:space="0" w:color="auto"/>
              <w:right w:val="single" w:sz="4" w:space="0" w:color="auto"/>
            </w:tcBorders>
            <w:noWrap/>
            <w:vAlign w:val="bottom"/>
            <w:hideMark/>
          </w:tcPr>
          <w:p w14:paraId="4D9C926F" w14:textId="77777777" w:rsidR="004C18AD" w:rsidRPr="000C156A" w:rsidRDefault="004C18AD" w:rsidP="00042C67">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0AAA8C3C" w14:textId="77777777" w:rsidR="004C18AD" w:rsidRPr="000C156A" w:rsidRDefault="004C18AD" w:rsidP="00042C67">
            <w:pPr>
              <w:overflowPunct/>
              <w:autoSpaceDE/>
              <w:adjustRightInd/>
              <w:spacing w:before="0"/>
              <w:jc w:val="center"/>
              <w:rPr>
                <w:rFonts w:asciiTheme="minorHAnsi" w:hAnsiTheme="minorHAnsi" w:cs="Arial"/>
                <w:sz w:val="22"/>
                <w:szCs w:val="22"/>
                <w:lang w:val="en-US" w:eastAsia="zh-CN"/>
              </w:rPr>
            </w:pPr>
            <w:r w:rsidRPr="000C156A">
              <w:rPr>
                <w:rFonts w:asciiTheme="minorHAnsi" w:hAnsiTheme="minorHAnsi" w:cs="Arial"/>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4BD2A074" w14:textId="77777777" w:rsidR="004C18AD" w:rsidRPr="000C156A" w:rsidRDefault="004C18AD" w:rsidP="00042C67">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6A6266FE" w14:textId="77777777" w:rsidR="004C18AD" w:rsidRPr="000C156A" w:rsidRDefault="004C18AD" w:rsidP="00042C67">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5C160AD8" w14:textId="77777777" w:rsidR="004C18AD" w:rsidRPr="000C156A" w:rsidRDefault="004C18AD" w:rsidP="00042C67">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r>
      <w:tr w:rsidR="004C18AD" w:rsidRPr="000C156A" w14:paraId="71048FFD"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3AA82D4F" w14:textId="77777777" w:rsidR="004C18AD" w:rsidRPr="000C156A" w:rsidRDefault="004C18AD" w:rsidP="00042C67">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TLC 2014</w:t>
            </w:r>
          </w:p>
        </w:tc>
        <w:tc>
          <w:tcPr>
            <w:tcW w:w="1433" w:type="dxa"/>
            <w:tcBorders>
              <w:top w:val="nil"/>
              <w:left w:val="nil"/>
              <w:bottom w:val="single" w:sz="4" w:space="0" w:color="auto"/>
              <w:right w:val="single" w:sz="4" w:space="0" w:color="auto"/>
            </w:tcBorders>
            <w:noWrap/>
            <w:vAlign w:val="bottom"/>
            <w:hideMark/>
          </w:tcPr>
          <w:p w14:paraId="60DF0EDB"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刚果</w:t>
            </w:r>
          </w:p>
        </w:tc>
        <w:tc>
          <w:tcPr>
            <w:tcW w:w="3464" w:type="dxa"/>
            <w:tcBorders>
              <w:top w:val="nil"/>
              <w:left w:val="nil"/>
              <w:bottom w:val="single" w:sz="4" w:space="0" w:color="auto"/>
              <w:right w:val="single" w:sz="4" w:space="0" w:color="auto"/>
            </w:tcBorders>
            <w:noWrap/>
            <w:vAlign w:val="bottom"/>
            <w:hideMark/>
          </w:tcPr>
          <w:p w14:paraId="6849DB9F"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eastAsiaTheme="minorEastAsia" w:hAnsiTheme="minorHAnsi" w:hint="eastAsia"/>
                <w:sz w:val="22"/>
                <w:szCs w:val="22"/>
                <w:lang w:eastAsia="zh-CN"/>
              </w:rPr>
              <w:t>邮政部</w:t>
            </w:r>
          </w:p>
        </w:tc>
        <w:tc>
          <w:tcPr>
            <w:tcW w:w="1368" w:type="dxa"/>
            <w:tcBorders>
              <w:top w:val="nil"/>
              <w:left w:val="nil"/>
              <w:bottom w:val="single" w:sz="4" w:space="0" w:color="auto"/>
              <w:right w:val="single" w:sz="4" w:space="0" w:color="auto"/>
            </w:tcBorders>
            <w:noWrap/>
            <w:vAlign w:val="bottom"/>
            <w:hideMark/>
          </w:tcPr>
          <w:p w14:paraId="747B4A76" w14:textId="77777777" w:rsidR="004C18AD" w:rsidRPr="000C156A" w:rsidRDefault="004C18AD" w:rsidP="00042C67">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110 000.00</w:t>
            </w:r>
          </w:p>
        </w:tc>
        <w:tc>
          <w:tcPr>
            <w:tcW w:w="1395" w:type="dxa"/>
            <w:tcBorders>
              <w:top w:val="nil"/>
              <w:left w:val="nil"/>
              <w:bottom w:val="single" w:sz="4" w:space="0" w:color="auto"/>
              <w:right w:val="single" w:sz="4" w:space="0" w:color="auto"/>
            </w:tcBorders>
            <w:noWrap/>
            <w:vAlign w:val="bottom"/>
            <w:hideMark/>
          </w:tcPr>
          <w:p w14:paraId="38E479B1" w14:textId="77777777" w:rsidR="004C18AD" w:rsidRPr="000C156A" w:rsidRDefault="004C18AD" w:rsidP="00042C67">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301D59A3" w14:textId="77777777" w:rsidR="004C18AD" w:rsidRPr="000C156A" w:rsidRDefault="004C18AD" w:rsidP="00042C67">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110 000.00</w:t>
            </w:r>
          </w:p>
        </w:tc>
      </w:tr>
      <w:tr w:rsidR="004C18AD" w:rsidRPr="000C156A" w14:paraId="6403CEEA"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5714CB94" w14:textId="77777777" w:rsidR="004C18AD" w:rsidRPr="000C156A" w:rsidRDefault="004C18AD" w:rsidP="00042C67">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433" w:type="dxa"/>
            <w:tcBorders>
              <w:top w:val="nil"/>
              <w:left w:val="nil"/>
              <w:bottom w:val="single" w:sz="4" w:space="0" w:color="auto"/>
              <w:right w:val="single" w:sz="4" w:space="0" w:color="auto"/>
            </w:tcBorders>
            <w:noWrap/>
            <w:vAlign w:val="bottom"/>
            <w:hideMark/>
          </w:tcPr>
          <w:p w14:paraId="53D2D18B"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59BDA719"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5BC04F9C"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7BBAF23A"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4DEBA41D"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r>
      <w:tr w:rsidR="004C18AD" w:rsidRPr="000C156A" w14:paraId="26D76096"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0125D3CF" w14:textId="77777777" w:rsidR="004C18AD" w:rsidRPr="000C156A" w:rsidRDefault="004C18AD" w:rsidP="00042C67">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TLC 2014</w:t>
            </w:r>
          </w:p>
        </w:tc>
        <w:tc>
          <w:tcPr>
            <w:tcW w:w="1433" w:type="dxa"/>
            <w:tcBorders>
              <w:top w:val="nil"/>
              <w:left w:val="nil"/>
              <w:bottom w:val="single" w:sz="4" w:space="0" w:color="auto"/>
              <w:right w:val="single" w:sz="4" w:space="0" w:color="auto"/>
            </w:tcBorders>
            <w:noWrap/>
            <w:vAlign w:val="bottom"/>
            <w:hideMark/>
          </w:tcPr>
          <w:p w14:paraId="233B55C9"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3656D298"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3BD9D6A4"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2F0C2367" w14:textId="77777777" w:rsidR="004C18AD" w:rsidRPr="000C156A" w:rsidRDefault="004C18AD" w:rsidP="00042C67">
            <w:pPr>
              <w:overflowPunct/>
              <w:autoSpaceDE/>
              <w:adjustRightInd/>
              <w:spacing w:before="0"/>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7FB6E761" w14:textId="77777777" w:rsidR="004C18AD" w:rsidRPr="000C156A" w:rsidRDefault="004C18AD" w:rsidP="00042C67">
            <w:pPr>
              <w:overflowPunct/>
              <w:autoSpaceDE/>
              <w:adjustRightInd/>
              <w:spacing w:before="0"/>
              <w:jc w:val="right"/>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110 000.00</w:t>
            </w:r>
          </w:p>
        </w:tc>
      </w:tr>
    </w:tbl>
    <w:p w14:paraId="2FA12725" w14:textId="77777777" w:rsidR="004C18AD" w:rsidRPr="000C156A" w:rsidRDefault="004C18AD" w:rsidP="004C18AD">
      <w:pPr>
        <w:rPr>
          <w:sz w:val="22"/>
          <w:szCs w:val="22"/>
        </w:rPr>
      </w:pPr>
    </w:p>
    <w:tbl>
      <w:tblPr>
        <w:tblW w:w="10006" w:type="dxa"/>
        <w:tblInd w:w="137" w:type="dxa"/>
        <w:tblLook w:val="04A0" w:firstRow="1" w:lastRow="0" w:firstColumn="1" w:lastColumn="0" w:noHBand="0" w:noVBand="1"/>
      </w:tblPr>
      <w:tblGrid>
        <w:gridCol w:w="1071"/>
        <w:gridCol w:w="1433"/>
        <w:gridCol w:w="3464"/>
        <w:gridCol w:w="1368"/>
        <w:gridCol w:w="1395"/>
        <w:gridCol w:w="1275"/>
      </w:tblGrid>
      <w:tr w:rsidR="004C18AD" w:rsidRPr="000C156A" w14:paraId="2E0E90A8" w14:textId="77777777" w:rsidTr="00042C67">
        <w:trPr>
          <w:trHeight w:val="448"/>
        </w:trPr>
        <w:tc>
          <w:tcPr>
            <w:tcW w:w="1071" w:type="dxa"/>
            <w:tcBorders>
              <w:top w:val="single" w:sz="4" w:space="0" w:color="auto"/>
              <w:left w:val="single" w:sz="4" w:space="0" w:color="auto"/>
              <w:bottom w:val="single" w:sz="4" w:space="0" w:color="auto"/>
              <w:right w:val="single" w:sz="4" w:space="0" w:color="auto"/>
            </w:tcBorders>
            <w:hideMark/>
          </w:tcPr>
          <w:p w14:paraId="54678950"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活动</w:t>
            </w:r>
          </w:p>
        </w:tc>
        <w:tc>
          <w:tcPr>
            <w:tcW w:w="1433" w:type="dxa"/>
            <w:tcBorders>
              <w:top w:val="single" w:sz="4" w:space="0" w:color="auto"/>
              <w:left w:val="nil"/>
              <w:bottom w:val="single" w:sz="4" w:space="0" w:color="auto"/>
              <w:right w:val="single" w:sz="4" w:space="0" w:color="auto"/>
            </w:tcBorders>
            <w:hideMark/>
          </w:tcPr>
          <w:p w14:paraId="230B97DC"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国家</w:t>
            </w:r>
          </w:p>
        </w:tc>
        <w:tc>
          <w:tcPr>
            <w:tcW w:w="3464" w:type="dxa"/>
            <w:tcBorders>
              <w:top w:val="single" w:sz="4" w:space="0" w:color="auto"/>
              <w:left w:val="nil"/>
              <w:bottom w:val="single" w:sz="4" w:space="0" w:color="auto"/>
              <w:right w:val="single" w:sz="4" w:space="0" w:color="auto"/>
            </w:tcBorders>
            <w:hideMark/>
          </w:tcPr>
          <w:p w14:paraId="0ECD8594"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公司</w:t>
            </w:r>
          </w:p>
        </w:tc>
        <w:tc>
          <w:tcPr>
            <w:tcW w:w="1368" w:type="dxa"/>
            <w:tcBorders>
              <w:top w:val="single" w:sz="4" w:space="0" w:color="auto"/>
              <w:left w:val="nil"/>
              <w:bottom w:val="single" w:sz="4" w:space="0" w:color="auto"/>
              <w:right w:val="single" w:sz="4" w:space="0" w:color="auto"/>
            </w:tcBorders>
            <w:hideMark/>
          </w:tcPr>
          <w:p w14:paraId="7D8A2A25"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发票金额</w:t>
            </w:r>
          </w:p>
        </w:tc>
        <w:tc>
          <w:tcPr>
            <w:tcW w:w="1395" w:type="dxa"/>
            <w:tcBorders>
              <w:top w:val="single" w:sz="4" w:space="0" w:color="auto"/>
              <w:left w:val="nil"/>
              <w:bottom w:val="single" w:sz="4" w:space="0" w:color="auto"/>
              <w:right w:val="single" w:sz="4" w:space="0" w:color="auto"/>
            </w:tcBorders>
            <w:hideMark/>
          </w:tcPr>
          <w:p w14:paraId="387FD42A"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收到付款</w:t>
            </w:r>
          </w:p>
        </w:tc>
        <w:tc>
          <w:tcPr>
            <w:tcW w:w="1275" w:type="dxa"/>
            <w:tcBorders>
              <w:top w:val="single" w:sz="4" w:space="0" w:color="auto"/>
              <w:left w:val="nil"/>
              <w:bottom w:val="single" w:sz="4" w:space="0" w:color="auto"/>
              <w:right w:val="single" w:sz="4" w:space="0" w:color="auto"/>
            </w:tcBorders>
            <w:hideMark/>
          </w:tcPr>
          <w:p w14:paraId="1AFB1984"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欠款金额</w:t>
            </w:r>
          </w:p>
        </w:tc>
      </w:tr>
      <w:tr w:rsidR="004C18AD" w:rsidRPr="000C156A" w14:paraId="592F4F66"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7FD03D3E" w14:textId="77777777" w:rsidR="004C18AD" w:rsidRPr="000C156A" w:rsidRDefault="004C18AD" w:rsidP="00042C67">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1433" w:type="dxa"/>
            <w:tcBorders>
              <w:top w:val="nil"/>
              <w:left w:val="nil"/>
              <w:bottom w:val="single" w:sz="4" w:space="0" w:color="auto"/>
              <w:right w:val="single" w:sz="4" w:space="0" w:color="auto"/>
            </w:tcBorders>
            <w:noWrap/>
            <w:vAlign w:val="bottom"/>
            <w:hideMark/>
          </w:tcPr>
          <w:p w14:paraId="72CA66E9" w14:textId="77777777" w:rsidR="004C18AD" w:rsidRPr="000C156A" w:rsidRDefault="004C18AD" w:rsidP="00042C67">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59DAEE5B" w14:textId="77777777" w:rsidR="004C18AD" w:rsidRPr="000C156A" w:rsidRDefault="004C18AD" w:rsidP="00042C67">
            <w:pPr>
              <w:overflowPunct/>
              <w:autoSpaceDE/>
              <w:adjustRightInd/>
              <w:spacing w:before="0"/>
              <w:jc w:val="center"/>
              <w:rPr>
                <w:rFonts w:asciiTheme="minorHAnsi" w:hAnsiTheme="minorHAnsi" w:cs="Arial"/>
                <w:sz w:val="22"/>
                <w:szCs w:val="22"/>
                <w:lang w:val="en-US" w:eastAsia="zh-CN"/>
              </w:rPr>
            </w:pPr>
            <w:r w:rsidRPr="000C156A">
              <w:rPr>
                <w:rFonts w:asciiTheme="minorHAnsi" w:hAnsiTheme="minorHAnsi" w:cs="Arial"/>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3EF700AF" w14:textId="77777777" w:rsidR="004C18AD" w:rsidRPr="000C156A" w:rsidRDefault="004C18AD" w:rsidP="00042C67">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24E21B6F" w14:textId="77777777" w:rsidR="004C18AD" w:rsidRPr="000C156A" w:rsidRDefault="004C18AD" w:rsidP="00042C67">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11432D58" w14:textId="77777777" w:rsidR="004C18AD" w:rsidRPr="000C156A" w:rsidRDefault="004C18AD" w:rsidP="00042C67">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r>
      <w:tr w:rsidR="004C18AD" w:rsidRPr="000C156A" w14:paraId="67F8162C"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0705F25F" w14:textId="77777777" w:rsidR="004C18AD" w:rsidRPr="000C156A" w:rsidRDefault="004C18AD" w:rsidP="00042C67">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TLC 2015</w:t>
            </w:r>
          </w:p>
        </w:tc>
        <w:tc>
          <w:tcPr>
            <w:tcW w:w="1433" w:type="dxa"/>
            <w:tcBorders>
              <w:top w:val="nil"/>
              <w:left w:val="nil"/>
              <w:bottom w:val="single" w:sz="4" w:space="0" w:color="auto"/>
              <w:right w:val="single" w:sz="4" w:space="0" w:color="auto"/>
            </w:tcBorders>
            <w:noWrap/>
            <w:vAlign w:val="bottom"/>
            <w:hideMark/>
          </w:tcPr>
          <w:p w14:paraId="0A2FD2B9" w14:textId="77777777" w:rsidR="004C18AD" w:rsidRPr="000C156A" w:rsidRDefault="004C18AD" w:rsidP="00042C67">
            <w:pPr>
              <w:overflowPunct/>
              <w:autoSpaceDE/>
              <w:adjustRightInd/>
              <w:spacing w:before="0"/>
              <w:rPr>
                <w:rFonts w:asciiTheme="minorHAnsi" w:eastAsiaTheme="minorEastAsia" w:hAnsiTheme="minorHAnsi"/>
                <w:color w:val="000000"/>
                <w:sz w:val="22"/>
                <w:szCs w:val="22"/>
                <w:lang w:val="en-US" w:eastAsia="zh-CN"/>
              </w:rPr>
            </w:pPr>
            <w:r w:rsidRPr="000C156A">
              <w:rPr>
                <w:rFonts w:hint="eastAsia"/>
                <w:color w:val="000000"/>
                <w:sz w:val="22"/>
                <w:szCs w:val="22"/>
              </w:rPr>
              <w:t>斯里兰卡</w:t>
            </w:r>
          </w:p>
        </w:tc>
        <w:tc>
          <w:tcPr>
            <w:tcW w:w="3464" w:type="dxa"/>
            <w:tcBorders>
              <w:top w:val="nil"/>
              <w:left w:val="nil"/>
              <w:bottom w:val="single" w:sz="4" w:space="0" w:color="auto"/>
              <w:right w:val="single" w:sz="4" w:space="0" w:color="auto"/>
            </w:tcBorders>
            <w:noWrap/>
            <w:vAlign w:val="bottom"/>
            <w:hideMark/>
          </w:tcPr>
          <w:p w14:paraId="67B3BD20"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color w:val="000000"/>
                <w:sz w:val="22"/>
                <w:szCs w:val="22"/>
              </w:rPr>
              <w:t>Negete Private Ltd.</w:t>
            </w:r>
          </w:p>
        </w:tc>
        <w:tc>
          <w:tcPr>
            <w:tcW w:w="1368" w:type="dxa"/>
            <w:tcBorders>
              <w:top w:val="nil"/>
              <w:left w:val="nil"/>
              <w:bottom w:val="single" w:sz="4" w:space="0" w:color="auto"/>
              <w:right w:val="single" w:sz="4" w:space="0" w:color="auto"/>
            </w:tcBorders>
            <w:noWrap/>
            <w:vAlign w:val="bottom"/>
            <w:hideMark/>
          </w:tcPr>
          <w:p w14:paraId="756B5E1F" w14:textId="77777777" w:rsidR="004C18AD" w:rsidRPr="000C156A" w:rsidRDefault="004C18AD" w:rsidP="00042C67">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1 200.00</w:t>
            </w:r>
          </w:p>
        </w:tc>
        <w:tc>
          <w:tcPr>
            <w:tcW w:w="1395" w:type="dxa"/>
            <w:tcBorders>
              <w:top w:val="nil"/>
              <w:left w:val="nil"/>
              <w:bottom w:val="single" w:sz="4" w:space="0" w:color="auto"/>
              <w:right w:val="single" w:sz="4" w:space="0" w:color="auto"/>
            </w:tcBorders>
            <w:noWrap/>
            <w:vAlign w:val="bottom"/>
            <w:hideMark/>
          </w:tcPr>
          <w:p w14:paraId="3306C1E0" w14:textId="77777777" w:rsidR="004C18AD" w:rsidRPr="000C156A" w:rsidRDefault="004C18AD" w:rsidP="00042C67">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25487688" w14:textId="77777777" w:rsidR="004C18AD" w:rsidRPr="000C156A" w:rsidRDefault="004C18AD" w:rsidP="00042C67">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1 200.00</w:t>
            </w:r>
          </w:p>
        </w:tc>
      </w:tr>
      <w:tr w:rsidR="004C18AD" w:rsidRPr="000C156A" w14:paraId="7EA1B260"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33777CDD" w14:textId="77777777" w:rsidR="004C18AD" w:rsidRPr="000C156A" w:rsidRDefault="004C18AD" w:rsidP="00042C67">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TLC 2015</w:t>
            </w:r>
          </w:p>
        </w:tc>
        <w:tc>
          <w:tcPr>
            <w:tcW w:w="1433" w:type="dxa"/>
            <w:tcBorders>
              <w:top w:val="nil"/>
              <w:left w:val="nil"/>
              <w:bottom w:val="single" w:sz="4" w:space="0" w:color="auto"/>
              <w:right w:val="single" w:sz="4" w:space="0" w:color="auto"/>
            </w:tcBorders>
            <w:noWrap/>
            <w:vAlign w:val="bottom"/>
            <w:hideMark/>
          </w:tcPr>
          <w:p w14:paraId="09FDECD3" w14:textId="77777777" w:rsidR="004C18AD" w:rsidRPr="000C156A" w:rsidRDefault="004C18AD" w:rsidP="00042C67">
            <w:pPr>
              <w:overflowPunct/>
              <w:autoSpaceDE/>
              <w:adjustRightInd/>
              <w:spacing w:before="0"/>
              <w:rPr>
                <w:rFonts w:asciiTheme="minorHAnsi" w:eastAsiaTheme="minorEastAsia" w:hAnsiTheme="minorHAnsi"/>
                <w:color w:val="000000"/>
                <w:sz w:val="22"/>
                <w:szCs w:val="22"/>
                <w:lang w:val="en-US" w:eastAsia="zh-CN"/>
              </w:rPr>
            </w:pPr>
            <w:r w:rsidRPr="000C156A">
              <w:rPr>
                <w:rFonts w:hint="eastAsia"/>
                <w:color w:val="000000"/>
                <w:sz w:val="22"/>
                <w:szCs w:val="22"/>
              </w:rPr>
              <w:t>埃及</w:t>
            </w:r>
          </w:p>
        </w:tc>
        <w:tc>
          <w:tcPr>
            <w:tcW w:w="3464" w:type="dxa"/>
            <w:tcBorders>
              <w:top w:val="nil"/>
              <w:left w:val="nil"/>
              <w:bottom w:val="single" w:sz="4" w:space="0" w:color="auto"/>
              <w:right w:val="single" w:sz="4" w:space="0" w:color="auto"/>
            </w:tcBorders>
            <w:noWrap/>
            <w:vAlign w:val="bottom"/>
            <w:hideMark/>
          </w:tcPr>
          <w:p w14:paraId="6D731984"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Tawasol IT</w:t>
            </w:r>
          </w:p>
        </w:tc>
        <w:tc>
          <w:tcPr>
            <w:tcW w:w="1368" w:type="dxa"/>
            <w:tcBorders>
              <w:top w:val="nil"/>
              <w:left w:val="nil"/>
              <w:bottom w:val="single" w:sz="4" w:space="0" w:color="auto"/>
              <w:right w:val="single" w:sz="4" w:space="0" w:color="auto"/>
            </w:tcBorders>
            <w:noWrap/>
            <w:vAlign w:val="bottom"/>
            <w:hideMark/>
          </w:tcPr>
          <w:p w14:paraId="73A6C600" w14:textId="77777777" w:rsidR="004C18AD" w:rsidRPr="000C156A" w:rsidRDefault="004C18AD" w:rsidP="00042C67">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1 200.00</w:t>
            </w:r>
          </w:p>
        </w:tc>
        <w:tc>
          <w:tcPr>
            <w:tcW w:w="1395" w:type="dxa"/>
            <w:tcBorders>
              <w:top w:val="nil"/>
              <w:left w:val="nil"/>
              <w:bottom w:val="single" w:sz="4" w:space="0" w:color="auto"/>
              <w:right w:val="single" w:sz="4" w:space="0" w:color="auto"/>
            </w:tcBorders>
            <w:noWrap/>
            <w:vAlign w:val="bottom"/>
            <w:hideMark/>
          </w:tcPr>
          <w:p w14:paraId="6006E150" w14:textId="77777777" w:rsidR="004C18AD" w:rsidRPr="000C156A" w:rsidRDefault="004C18AD" w:rsidP="00042C67">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02FEA8E3" w14:textId="77777777" w:rsidR="004C18AD" w:rsidRPr="000C156A" w:rsidRDefault="004C18AD" w:rsidP="00042C67">
            <w:pPr>
              <w:overflowPunct/>
              <w:autoSpaceDE/>
              <w:adjustRightInd/>
              <w:spacing w:before="0"/>
              <w:jc w:val="right"/>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1 200.00</w:t>
            </w:r>
          </w:p>
        </w:tc>
      </w:tr>
      <w:tr w:rsidR="004C18AD" w:rsidRPr="000C156A" w14:paraId="797D445E"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1C4509A3" w14:textId="77777777" w:rsidR="004C18AD" w:rsidRPr="000C156A" w:rsidRDefault="004C18AD" w:rsidP="00042C67">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433" w:type="dxa"/>
            <w:tcBorders>
              <w:top w:val="nil"/>
              <w:left w:val="nil"/>
              <w:bottom w:val="single" w:sz="4" w:space="0" w:color="auto"/>
              <w:right w:val="single" w:sz="4" w:space="0" w:color="auto"/>
            </w:tcBorders>
            <w:noWrap/>
            <w:vAlign w:val="bottom"/>
            <w:hideMark/>
          </w:tcPr>
          <w:p w14:paraId="1F8F66E4"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5B6B06E7"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33F4B019"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4D14834D"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26FE011C"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r>
      <w:tr w:rsidR="004C18AD" w:rsidRPr="000C156A" w14:paraId="689C6AE6"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55B4C900" w14:textId="77777777" w:rsidR="004C18AD" w:rsidRPr="000C156A" w:rsidRDefault="004C18AD" w:rsidP="00042C67">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TLC 2015</w:t>
            </w:r>
          </w:p>
        </w:tc>
        <w:tc>
          <w:tcPr>
            <w:tcW w:w="1433" w:type="dxa"/>
            <w:tcBorders>
              <w:top w:val="nil"/>
              <w:left w:val="nil"/>
              <w:bottom w:val="single" w:sz="4" w:space="0" w:color="auto"/>
              <w:right w:val="single" w:sz="4" w:space="0" w:color="auto"/>
            </w:tcBorders>
            <w:noWrap/>
            <w:vAlign w:val="bottom"/>
            <w:hideMark/>
          </w:tcPr>
          <w:p w14:paraId="138FF2C6"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14614D61"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73E24599"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4A94E3BC" w14:textId="77777777" w:rsidR="004C18AD" w:rsidRPr="000C156A" w:rsidRDefault="004C18AD" w:rsidP="00042C67">
            <w:pPr>
              <w:overflowPunct/>
              <w:autoSpaceDE/>
              <w:adjustRightInd/>
              <w:spacing w:before="0"/>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4CF18587" w14:textId="77777777" w:rsidR="004C18AD" w:rsidRPr="000C156A" w:rsidRDefault="004C18AD" w:rsidP="00042C67">
            <w:pPr>
              <w:overflowPunct/>
              <w:autoSpaceDE/>
              <w:adjustRightInd/>
              <w:spacing w:before="0"/>
              <w:jc w:val="right"/>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2 400.00</w:t>
            </w:r>
          </w:p>
        </w:tc>
      </w:tr>
    </w:tbl>
    <w:p w14:paraId="53BDF81C" w14:textId="77777777" w:rsidR="004C18AD" w:rsidRPr="000C156A" w:rsidRDefault="004C18AD" w:rsidP="004C18AD">
      <w:pPr>
        <w:rPr>
          <w:sz w:val="22"/>
          <w:szCs w:val="22"/>
          <w:lang w:eastAsia="zh-CN"/>
        </w:rPr>
      </w:pPr>
    </w:p>
    <w:tbl>
      <w:tblPr>
        <w:tblW w:w="10036" w:type="dxa"/>
        <w:tblInd w:w="137" w:type="dxa"/>
        <w:tblLook w:val="04A0" w:firstRow="1" w:lastRow="0" w:firstColumn="1" w:lastColumn="0" w:noHBand="0" w:noVBand="1"/>
      </w:tblPr>
      <w:tblGrid>
        <w:gridCol w:w="1071"/>
        <w:gridCol w:w="1463"/>
        <w:gridCol w:w="3464"/>
        <w:gridCol w:w="1368"/>
        <w:gridCol w:w="1395"/>
        <w:gridCol w:w="1275"/>
      </w:tblGrid>
      <w:tr w:rsidR="004C18AD" w:rsidRPr="000C156A" w14:paraId="5ED84C6A" w14:textId="77777777" w:rsidTr="00042C67">
        <w:trPr>
          <w:trHeight w:val="448"/>
        </w:trPr>
        <w:tc>
          <w:tcPr>
            <w:tcW w:w="1071" w:type="dxa"/>
            <w:tcBorders>
              <w:top w:val="single" w:sz="4" w:space="0" w:color="auto"/>
              <w:left w:val="single" w:sz="4" w:space="0" w:color="auto"/>
              <w:bottom w:val="single" w:sz="4" w:space="0" w:color="auto"/>
              <w:right w:val="single" w:sz="4" w:space="0" w:color="auto"/>
            </w:tcBorders>
            <w:hideMark/>
          </w:tcPr>
          <w:p w14:paraId="39E41BFF"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活动</w:t>
            </w:r>
          </w:p>
        </w:tc>
        <w:tc>
          <w:tcPr>
            <w:tcW w:w="1463" w:type="dxa"/>
            <w:tcBorders>
              <w:top w:val="single" w:sz="4" w:space="0" w:color="auto"/>
              <w:left w:val="nil"/>
              <w:bottom w:val="single" w:sz="4" w:space="0" w:color="auto"/>
              <w:right w:val="single" w:sz="4" w:space="0" w:color="auto"/>
            </w:tcBorders>
            <w:hideMark/>
          </w:tcPr>
          <w:p w14:paraId="7F12C699"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国家</w:t>
            </w:r>
          </w:p>
        </w:tc>
        <w:tc>
          <w:tcPr>
            <w:tcW w:w="3464" w:type="dxa"/>
            <w:tcBorders>
              <w:top w:val="single" w:sz="4" w:space="0" w:color="auto"/>
              <w:left w:val="nil"/>
              <w:bottom w:val="single" w:sz="4" w:space="0" w:color="auto"/>
              <w:right w:val="single" w:sz="4" w:space="0" w:color="auto"/>
            </w:tcBorders>
            <w:hideMark/>
          </w:tcPr>
          <w:p w14:paraId="0E59C7EF"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公司</w:t>
            </w:r>
          </w:p>
        </w:tc>
        <w:tc>
          <w:tcPr>
            <w:tcW w:w="1368" w:type="dxa"/>
            <w:tcBorders>
              <w:top w:val="single" w:sz="4" w:space="0" w:color="auto"/>
              <w:left w:val="nil"/>
              <w:bottom w:val="single" w:sz="4" w:space="0" w:color="auto"/>
              <w:right w:val="single" w:sz="4" w:space="0" w:color="auto"/>
            </w:tcBorders>
            <w:hideMark/>
          </w:tcPr>
          <w:p w14:paraId="2557C21D"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发票金额</w:t>
            </w:r>
          </w:p>
        </w:tc>
        <w:tc>
          <w:tcPr>
            <w:tcW w:w="1395" w:type="dxa"/>
            <w:tcBorders>
              <w:top w:val="single" w:sz="4" w:space="0" w:color="auto"/>
              <w:left w:val="nil"/>
              <w:bottom w:val="single" w:sz="4" w:space="0" w:color="auto"/>
              <w:right w:val="single" w:sz="4" w:space="0" w:color="auto"/>
            </w:tcBorders>
            <w:hideMark/>
          </w:tcPr>
          <w:p w14:paraId="32BEA568"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收到付款</w:t>
            </w:r>
          </w:p>
        </w:tc>
        <w:tc>
          <w:tcPr>
            <w:tcW w:w="1275" w:type="dxa"/>
            <w:tcBorders>
              <w:top w:val="single" w:sz="4" w:space="0" w:color="auto"/>
              <w:left w:val="nil"/>
              <w:bottom w:val="single" w:sz="4" w:space="0" w:color="auto"/>
              <w:right w:val="single" w:sz="4" w:space="0" w:color="auto"/>
            </w:tcBorders>
            <w:hideMark/>
          </w:tcPr>
          <w:p w14:paraId="56DC5C93" w14:textId="77777777" w:rsidR="004C18AD" w:rsidRPr="000C156A" w:rsidRDefault="004C18AD" w:rsidP="00042C67">
            <w:pPr>
              <w:pStyle w:val="Tablehead"/>
              <w:rPr>
                <w:rFonts w:asciiTheme="minorHAnsi" w:eastAsiaTheme="minorEastAsia" w:hAnsiTheme="minorHAnsi"/>
                <w:szCs w:val="22"/>
              </w:rPr>
            </w:pPr>
            <w:r w:rsidRPr="000C156A">
              <w:rPr>
                <w:rFonts w:asciiTheme="minorHAnsi" w:eastAsiaTheme="minorEastAsia" w:hAnsiTheme="minorHAnsi" w:hint="eastAsia"/>
                <w:szCs w:val="22"/>
              </w:rPr>
              <w:t>欠款金额</w:t>
            </w:r>
          </w:p>
        </w:tc>
      </w:tr>
      <w:tr w:rsidR="004C18AD" w:rsidRPr="000C156A" w14:paraId="34D83757"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2AF8769F" w14:textId="77777777" w:rsidR="004C18AD" w:rsidRPr="000C156A" w:rsidRDefault="004C18AD" w:rsidP="00042C67">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1463" w:type="dxa"/>
            <w:tcBorders>
              <w:top w:val="nil"/>
              <w:left w:val="nil"/>
              <w:bottom w:val="single" w:sz="4" w:space="0" w:color="auto"/>
              <w:right w:val="single" w:sz="4" w:space="0" w:color="auto"/>
            </w:tcBorders>
            <w:noWrap/>
            <w:vAlign w:val="bottom"/>
            <w:hideMark/>
          </w:tcPr>
          <w:p w14:paraId="18EB6BC2" w14:textId="77777777" w:rsidR="004C18AD" w:rsidRPr="000C156A" w:rsidRDefault="004C18AD" w:rsidP="00042C67">
            <w:pPr>
              <w:overflowPunct/>
              <w:autoSpaceDE/>
              <w:adjustRightInd/>
              <w:spacing w:before="0"/>
              <w:jc w:val="center"/>
              <w:rPr>
                <w:rFonts w:asciiTheme="minorHAnsi" w:hAnsiTheme="minorHAnsi" w:cs="Arial"/>
                <w:b/>
                <w:bCs/>
                <w:sz w:val="22"/>
                <w:szCs w:val="22"/>
                <w:lang w:val="en-US" w:eastAsia="zh-CN"/>
              </w:rPr>
            </w:pPr>
            <w:r w:rsidRPr="000C156A">
              <w:rPr>
                <w:rFonts w:asciiTheme="minorHAnsi" w:hAnsiTheme="minorHAnsi" w:cs="Arial"/>
                <w:b/>
                <w:bCs/>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1A91BB95" w14:textId="77777777" w:rsidR="004C18AD" w:rsidRPr="000C156A" w:rsidRDefault="004C18AD" w:rsidP="00042C67">
            <w:pPr>
              <w:overflowPunct/>
              <w:autoSpaceDE/>
              <w:adjustRightInd/>
              <w:spacing w:before="0"/>
              <w:jc w:val="center"/>
              <w:rPr>
                <w:rFonts w:asciiTheme="minorHAnsi" w:hAnsiTheme="minorHAnsi" w:cs="Arial"/>
                <w:sz w:val="22"/>
                <w:szCs w:val="22"/>
                <w:lang w:val="en-US" w:eastAsia="zh-CN"/>
              </w:rPr>
            </w:pPr>
            <w:r w:rsidRPr="000C156A">
              <w:rPr>
                <w:rFonts w:asciiTheme="minorHAnsi" w:hAnsiTheme="minorHAnsi" w:cs="Arial"/>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63D60F41" w14:textId="77777777" w:rsidR="004C18AD" w:rsidRPr="000C156A" w:rsidRDefault="004C18AD" w:rsidP="00042C67">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26141F6F" w14:textId="77777777" w:rsidR="004C18AD" w:rsidRPr="000C156A" w:rsidRDefault="004C18AD" w:rsidP="00042C67">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6D06B199" w14:textId="77777777" w:rsidR="004C18AD" w:rsidRPr="000C156A" w:rsidRDefault="004C18AD" w:rsidP="00042C67">
            <w:pPr>
              <w:overflowPunct/>
              <w:autoSpaceDE/>
              <w:adjustRightInd/>
              <w:spacing w:before="0"/>
              <w:jc w:val="center"/>
              <w:rPr>
                <w:rFonts w:ascii="Arial" w:hAnsi="Arial" w:cs="Arial"/>
                <w:sz w:val="22"/>
                <w:szCs w:val="22"/>
                <w:lang w:val="en-US" w:eastAsia="zh-CN"/>
              </w:rPr>
            </w:pPr>
            <w:r w:rsidRPr="000C156A">
              <w:rPr>
                <w:rFonts w:ascii="Arial" w:hAnsi="Arial" w:cs="Arial"/>
                <w:sz w:val="22"/>
                <w:szCs w:val="22"/>
                <w:lang w:val="en-US" w:eastAsia="zh-CN"/>
              </w:rPr>
              <w:t> </w:t>
            </w:r>
          </w:p>
        </w:tc>
      </w:tr>
      <w:tr w:rsidR="004C18AD" w:rsidRPr="000C156A" w14:paraId="04537D17"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65CFC8B7" w14:textId="77777777" w:rsidR="004C18AD" w:rsidRPr="000C156A" w:rsidRDefault="004C18AD" w:rsidP="00042C67">
            <w:pPr>
              <w:overflowPunct/>
              <w:autoSpaceDE/>
              <w:adjustRightInd/>
              <w:spacing w:before="0"/>
              <w:jc w:val="center"/>
              <w:rPr>
                <w:rFonts w:asciiTheme="minorHAnsi" w:hAnsiTheme="minorHAnsi"/>
                <w:sz w:val="22"/>
                <w:szCs w:val="22"/>
                <w:lang w:val="en-US" w:eastAsia="zh-CN"/>
              </w:rPr>
            </w:pPr>
            <w:r w:rsidRPr="000C156A">
              <w:rPr>
                <w:rFonts w:asciiTheme="minorHAnsi" w:hAnsiTheme="minorHAnsi"/>
                <w:sz w:val="22"/>
                <w:szCs w:val="22"/>
                <w:lang w:val="en-US" w:eastAsia="zh-CN"/>
              </w:rPr>
              <w:t>TLC 2016</w:t>
            </w:r>
          </w:p>
        </w:tc>
        <w:tc>
          <w:tcPr>
            <w:tcW w:w="1463" w:type="dxa"/>
            <w:tcBorders>
              <w:top w:val="nil"/>
              <w:left w:val="nil"/>
              <w:bottom w:val="single" w:sz="4" w:space="0" w:color="auto"/>
              <w:right w:val="single" w:sz="4" w:space="0" w:color="auto"/>
            </w:tcBorders>
            <w:noWrap/>
            <w:vAlign w:val="bottom"/>
            <w:hideMark/>
          </w:tcPr>
          <w:p w14:paraId="6F53F296" w14:textId="77777777" w:rsidR="004C18AD" w:rsidRPr="000C156A" w:rsidRDefault="004C18AD" w:rsidP="00042C67">
            <w:pPr>
              <w:overflowPunct/>
              <w:autoSpaceDE/>
              <w:adjustRightInd/>
              <w:spacing w:before="0"/>
              <w:rPr>
                <w:rFonts w:asciiTheme="minorHAnsi" w:hAnsiTheme="minorHAnsi"/>
                <w:sz w:val="22"/>
                <w:szCs w:val="22"/>
                <w:lang w:val="en-US" w:eastAsia="zh-CN"/>
              </w:rPr>
            </w:pPr>
            <w:r w:rsidRPr="000C156A">
              <w:rPr>
                <w:rFonts w:asciiTheme="minorHAnsi" w:hAnsiTheme="minorHAnsi" w:hint="eastAsia"/>
                <w:sz w:val="22"/>
                <w:szCs w:val="22"/>
                <w:lang w:val="en-US" w:eastAsia="zh-CN"/>
              </w:rPr>
              <w:t>乌干达</w:t>
            </w:r>
          </w:p>
        </w:tc>
        <w:tc>
          <w:tcPr>
            <w:tcW w:w="3464" w:type="dxa"/>
            <w:tcBorders>
              <w:top w:val="nil"/>
              <w:left w:val="nil"/>
              <w:bottom w:val="single" w:sz="4" w:space="0" w:color="auto"/>
              <w:right w:val="single" w:sz="4" w:space="0" w:color="auto"/>
            </w:tcBorders>
            <w:noWrap/>
            <w:vAlign w:val="bottom"/>
            <w:hideMark/>
          </w:tcPr>
          <w:p w14:paraId="028E6A18" w14:textId="77777777" w:rsidR="004C18AD" w:rsidRPr="000C156A" w:rsidRDefault="004C18AD" w:rsidP="00042C67">
            <w:pPr>
              <w:overflowPunct/>
              <w:autoSpaceDE/>
              <w:adjustRightInd/>
              <w:spacing w:before="0"/>
              <w:rPr>
                <w:rFonts w:asciiTheme="minorHAnsi" w:hAnsiTheme="minorHAnsi"/>
                <w:sz w:val="22"/>
                <w:szCs w:val="22"/>
                <w:lang w:val="en-US" w:eastAsia="zh-CN"/>
              </w:rPr>
            </w:pPr>
            <w:r w:rsidRPr="000C156A">
              <w:rPr>
                <w:rFonts w:asciiTheme="minorHAnsi" w:hAnsiTheme="minorHAnsi"/>
                <w:sz w:val="22"/>
                <w:szCs w:val="22"/>
                <w:lang w:val="en-US" w:eastAsia="zh-CN"/>
              </w:rPr>
              <w:t>Abercom(U)</w:t>
            </w:r>
          </w:p>
        </w:tc>
        <w:tc>
          <w:tcPr>
            <w:tcW w:w="1368" w:type="dxa"/>
            <w:tcBorders>
              <w:top w:val="nil"/>
              <w:left w:val="nil"/>
              <w:bottom w:val="single" w:sz="4" w:space="0" w:color="auto"/>
              <w:right w:val="single" w:sz="4" w:space="0" w:color="auto"/>
            </w:tcBorders>
            <w:noWrap/>
            <w:vAlign w:val="bottom"/>
            <w:hideMark/>
          </w:tcPr>
          <w:p w14:paraId="2C88C91A" w14:textId="77777777" w:rsidR="004C18AD" w:rsidRPr="000C156A" w:rsidRDefault="004C18AD" w:rsidP="00042C67">
            <w:pPr>
              <w:overflowPunct/>
              <w:autoSpaceDE/>
              <w:adjustRightInd/>
              <w:spacing w:before="0"/>
              <w:jc w:val="right"/>
              <w:rPr>
                <w:sz w:val="22"/>
                <w:szCs w:val="22"/>
                <w:lang w:val="en-US" w:eastAsia="zh-CN"/>
              </w:rPr>
            </w:pPr>
            <w:r w:rsidRPr="000C156A">
              <w:rPr>
                <w:sz w:val="22"/>
                <w:szCs w:val="22"/>
                <w:lang w:val="en-US" w:eastAsia="zh-CN"/>
              </w:rPr>
              <w:t>1 200.00</w:t>
            </w:r>
          </w:p>
        </w:tc>
        <w:tc>
          <w:tcPr>
            <w:tcW w:w="1395" w:type="dxa"/>
            <w:tcBorders>
              <w:top w:val="nil"/>
              <w:left w:val="nil"/>
              <w:bottom w:val="single" w:sz="4" w:space="0" w:color="auto"/>
              <w:right w:val="single" w:sz="4" w:space="0" w:color="auto"/>
            </w:tcBorders>
            <w:noWrap/>
            <w:vAlign w:val="bottom"/>
            <w:hideMark/>
          </w:tcPr>
          <w:p w14:paraId="1697AEA3" w14:textId="77777777" w:rsidR="004C18AD" w:rsidRPr="000C156A" w:rsidRDefault="004C18AD" w:rsidP="00042C67">
            <w:pPr>
              <w:overflowPunct/>
              <w:autoSpaceDE/>
              <w:adjustRightInd/>
              <w:spacing w:before="0"/>
              <w:jc w:val="right"/>
              <w:rPr>
                <w:sz w:val="22"/>
                <w:szCs w:val="22"/>
                <w:lang w:val="en-US" w:eastAsia="zh-CN"/>
              </w:rPr>
            </w:pPr>
            <w:r w:rsidRPr="000C156A">
              <w:rPr>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54135292" w14:textId="77777777" w:rsidR="004C18AD" w:rsidRPr="000C156A" w:rsidRDefault="004C18AD" w:rsidP="00042C67">
            <w:pPr>
              <w:overflowPunct/>
              <w:autoSpaceDE/>
              <w:adjustRightInd/>
              <w:spacing w:before="0"/>
              <w:jc w:val="right"/>
              <w:rPr>
                <w:sz w:val="22"/>
                <w:szCs w:val="22"/>
                <w:lang w:val="en-US" w:eastAsia="zh-CN"/>
              </w:rPr>
            </w:pPr>
            <w:r w:rsidRPr="000C156A">
              <w:rPr>
                <w:sz w:val="22"/>
                <w:szCs w:val="22"/>
                <w:lang w:val="en-US" w:eastAsia="zh-CN"/>
              </w:rPr>
              <w:t>1 200.00</w:t>
            </w:r>
          </w:p>
        </w:tc>
      </w:tr>
      <w:tr w:rsidR="004C18AD" w:rsidRPr="000C156A" w14:paraId="75ED42DB"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11F28ADD" w14:textId="77777777" w:rsidR="004C18AD" w:rsidRPr="000C156A" w:rsidRDefault="004C18AD" w:rsidP="00042C67">
            <w:pPr>
              <w:overflowPunct/>
              <w:autoSpaceDE/>
              <w:adjustRightInd/>
              <w:spacing w:before="0"/>
              <w:jc w:val="center"/>
              <w:rPr>
                <w:rFonts w:asciiTheme="minorHAnsi" w:hAnsiTheme="minorHAnsi"/>
                <w:sz w:val="22"/>
                <w:szCs w:val="22"/>
                <w:lang w:val="en-US" w:eastAsia="zh-CN"/>
              </w:rPr>
            </w:pPr>
            <w:r w:rsidRPr="000C156A">
              <w:rPr>
                <w:rFonts w:asciiTheme="minorHAnsi" w:hAnsiTheme="minorHAnsi"/>
                <w:sz w:val="22"/>
                <w:szCs w:val="22"/>
                <w:lang w:val="en-US" w:eastAsia="zh-CN"/>
              </w:rPr>
              <w:t>TLC 2016</w:t>
            </w:r>
          </w:p>
        </w:tc>
        <w:tc>
          <w:tcPr>
            <w:tcW w:w="1463" w:type="dxa"/>
            <w:tcBorders>
              <w:top w:val="nil"/>
              <w:left w:val="nil"/>
              <w:bottom w:val="single" w:sz="4" w:space="0" w:color="auto"/>
              <w:right w:val="single" w:sz="4" w:space="0" w:color="auto"/>
            </w:tcBorders>
            <w:noWrap/>
            <w:vAlign w:val="bottom"/>
            <w:hideMark/>
          </w:tcPr>
          <w:p w14:paraId="20C5F9E8"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肯尼亚</w:t>
            </w:r>
          </w:p>
        </w:tc>
        <w:tc>
          <w:tcPr>
            <w:tcW w:w="3464" w:type="dxa"/>
            <w:tcBorders>
              <w:top w:val="nil"/>
              <w:left w:val="nil"/>
              <w:bottom w:val="single" w:sz="4" w:space="0" w:color="auto"/>
              <w:right w:val="single" w:sz="4" w:space="0" w:color="auto"/>
            </w:tcBorders>
            <w:noWrap/>
            <w:vAlign w:val="bottom"/>
            <w:hideMark/>
          </w:tcPr>
          <w:p w14:paraId="661106E8"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FarmDrive</w:t>
            </w:r>
          </w:p>
        </w:tc>
        <w:tc>
          <w:tcPr>
            <w:tcW w:w="1368" w:type="dxa"/>
            <w:tcBorders>
              <w:top w:val="nil"/>
              <w:left w:val="nil"/>
              <w:bottom w:val="single" w:sz="4" w:space="0" w:color="auto"/>
              <w:right w:val="single" w:sz="4" w:space="0" w:color="auto"/>
            </w:tcBorders>
            <w:noWrap/>
            <w:vAlign w:val="bottom"/>
            <w:hideMark/>
          </w:tcPr>
          <w:p w14:paraId="3642D304" w14:textId="77777777" w:rsidR="004C18AD" w:rsidRPr="000C156A" w:rsidRDefault="004C18AD" w:rsidP="00042C67">
            <w:pPr>
              <w:overflowPunct/>
              <w:autoSpaceDE/>
              <w:adjustRightInd/>
              <w:spacing w:before="0"/>
              <w:jc w:val="right"/>
              <w:rPr>
                <w:color w:val="000000"/>
                <w:sz w:val="22"/>
                <w:szCs w:val="22"/>
                <w:lang w:val="en-US" w:eastAsia="zh-CN"/>
              </w:rPr>
            </w:pPr>
            <w:r w:rsidRPr="000C156A">
              <w:rPr>
                <w:color w:val="000000"/>
                <w:sz w:val="22"/>
                <w:szCs w:val="22"/>
                <w:lang w:val="en-US" w:eastAsia="zh-CN"/>
              </w:rPr>
              <w:t>1 200.00</w:t>
            </w:r>
          </w:p>
        </w:tc>
        <w:tc>
          <w:tcPr>
            <w:tcW w:w="1395" w:type="dxa"/>
            <w:tcBorders>
              <w:top w:val="nil"/>
              <w:left w:val="nil"/>
              <w:bottom w:val="single" w:sz="4" w:space="0" w:color="auto"/>
              <w:right w:val="single" w:sz="4" w:space="0" w:color="auto"/>
            </w:tcBorders>
            <w:noWrap/>
            <w:vAlign w:val="bottom"/>
            <w:hideMark/>
          </w:tcPr>
          <w:p w14:paraId="3CA60709" w14:textId="77777777" w:rsidR="004C18AD" w:rsidRPr="000C156A" w:rsidRDefault="004C18AD" w:rsidP="00042C67">
            <w:pPr>
              <w:overflowPunct/>
              <w:autoSpaceDE/>
              <w:adjustRightInd/>
              <w:spacing w:before="0"/>
              <w:jc w:val="right"/>
              <w:rPr>
                <w:color w:val="000000"/>
                <w:sz w:val="22"/>
                <w:szCs w:val="22"/>
                <w:lang w:val="en-US" w:eastAsia="zh-CN"/>
              </w:rPr>
            </w:pPr>
            <w:r w:rsidRPr="000C156A">
              <w:rPr>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4868C228" w14:textId="77777777" w:rsidR="004C18AD" w:rsidRPr="000C156A" w:rsidRDefault="004C18AD" w:rsidP="00042C67">
            <w:pPr>
              <w:overflowPunct/>
              <w:autoSpaceDE/>
              <w:adjustRightInd/>
              <w:spacing w:before="0"/>
              <w:jc w:val="right"/>
              <w:rPr>
                <w:sz w:val="22"/>
                <w:szCs w:val="22"/>
                <w:lang w:val="en-US" w:eastAsia="zh-CN"/>
              </w:rPr>
            </w:pPr>
            <w:r w:rsidRPr="000C156A">
              <w:rPr>
                <w:sz w:val="22"/>
                <w:szCs w:val="22"/>
                <w:lang w:val="en-US" w:eastAsia="zh-CN"/>
              </w:rPr>
              <w:t>1 200.00</w:t>
            </w:r>
          </w:p>
        </w:tc>
      </w:tr>
      <w:tr w:rsidR="004C18AD" w:rsidRPr="000C156A" w14:paraId="400CB006"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2A2AD2F5" w14:textId="77777777" w:rsidR="004C18AD" w:rsidRPr="000C156A" w:rsidRDefault="004C18AD" w:rsidP="00042C67">
            <w:pPr>
              <w:overflowPunct/>
              <w:autoSpaceDE/>
              <w:adjustRightInd/>
              <w:spacing w:before="0"/>
              <w:jc w:val="center"/>
              <w:rPr>
                <w:rFonts w:asciiTheme="minorHAnsi" w:hAnsiTheme="minorHAnsi"/>
                <w:sz w:val="22"/>
                <w:szCs w:val="22"/>
                <w:lang w:val="en-US" w:eastAsia="zh-CN"/>
              </w:rPr>
            </w:pPr>
            <w:r w:rsidRPr="000C156A">
              <w:rPr>
                <w:rFonts w:asciiTheme="minorHAnsi" w:hAnsiTheme="minorHAnsi"/>
                <w:sz w:val="22"/>
                <w:szCs w:val="22"/>
                <w:lang w:val="en-US" w:eastAsia="zh-CN"/>
              </w:rPr>
              <w:t>TLC 2016</w:t>
            </w:r>
          </w:p>
        </w:tc>
        <w:tc>
          <w:tcPr>
            <w:tcW w:w="1463" w:type="dxa"/>
            <w:tcBorders>
              <w:top w:val="nil"/>
              <w:left w:val="nil"/>
              <w:bottom w:val="single" w:sz="4" w:space="0" w:color="auto"/>
              <w:right w:val="single" w:sz="4" w:space="0" w:color="auto"/>
            </w:tcBorders>
            <w:noWrap/>
            <w:vAlign w:val="bottom"/>
            <w:hideMark/>
          </w:tcPr>
          <w:p w14:paraId="47EBBD2C"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阿根廷</w:t>
            </w:r>
          </w:p>
        </w:tc>
        <w:tc>
          <w:tcPr>
            <w:tcW w:w="3464" w:type="dxa"/>
            <w:tcBorders>
              <w:top w:val="nil"/>
              <w:left w:val="nil"/>
              <w:bottom w:val="single" w:sz="4" w:space="0" w:color="auto"/>
              <w:right w:val="single" w:sz="4" w:space="0" w:color="auto"/>
            </w:tcBorders>
            <w:noWrap/>
            <w:vAlign w:val="bottom"/>
            <w:hideMark/>
          </w:tcPr>
          <w:p w14:paraId="39C5155B"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通信部</w:t>
            </w:r>
          </w:p>
        </w:tc>
        <w:tc>
          <w:tcPr>
            <w:tcW w:w="1368" w:type="dxa"/>
            <w:tcBorders>
              <w:top w:val="nil"/>
              <w:left w:val="nil"/>
              <w:bottom w:val="single" w:sz="4" w:space="0" w:color="auto"/>
              <w:right w:val="single" w:sz="4" w:space="0" w:color="auto"/>
            </w:tcBorders>
            <w:noWrap/>
            <w:vAlign w:val="bottom"/>
            <w:hideMark/>
          </w:tcPr>
          <w:p w14:paraId="58D10BC4" w14:textId="77777777" w:rsidR="004C18AD" w:rsidRPr="000C156A" w:rsidRDefault="004C18AD" w:rsidP="00042C67">
            <w:pPr>
              <w:overflowPunct/>
              <w:autoSpaceDE/>
              <w:adjustRightInd/>
              <w:spacing w:before="0"/>
              <w:jc w:val="right"/>
              <w:rPr>
                <w:color w:val="000000"/>
                <w:sz w:val="22"/>
                <w:szCs w:val="22"/>
                <w:lang w:val="en-US" w:eastAsia="zh-CN"/>
              </w:rPr>
            </w:pPr>
            <w:r w:rsidRPr="000C156A">
              <w:rPr>
                <w:color w:val="000000"/>
                <w:sz w:val="22"/>
                <w:szCs w:val="22"/>
                <w:lang w:val="en-US" w:eastAsia="zh-CN"/>
              </w:rPr>
              <w:t>40 000.00</w:t>
            </w:r>
          </w:p>
        </w:tc>
        <w:tc>
          <w:tcPr>
            <w:tcW w:w="1395" w:type="dxa"/>
            <w:tcBorders>
              <w:top w:val="nil"/>
              <w:left w:val="nil"/>
              <w:bottom w:val="single" w:sz="4" w:space="0" w:color="auto"/>
              <w:right w:val="single" w:sz="4" w:space="0" w:color="auto"/>
            </w:tcBorders>
            <w:noWrap/>
            <w:vAlign w:val="bottom"/>
            <w:hideMark/>
          </w:tcPr>
          <w:p w14:paraId="66BD3185" w14:textId="77777777" w:rsidR="004C18AD" w:rsidRPr="000C156A" w:rsidRDefault="004C18AD" w:rsidP="00042C67">
            <w:pPr>
              <w:overflowPunct/>
              <w:autoSpaceDE/>
              <w:adjustRightInd/>
              <w:spacing w:before="0"/>
              <w:jc w:val="right"/>
              <w:rPr>
                <w:color w:val="000000"/>
                <w:sz w:val="22"/>
                <w:szCs w:val="22"/>
                <w:lang w:val="en-US" w:eastAsia="zh-CN"/>
              </w:rPr>
            </w:pPr>
            <w:r w:rsidRPr="000C156A">
              <w:rPr>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0321BAEC" w14:textId="77777777" w:rsidR="004C18AD" w:rsidRPr="000C156A" w:rsidRDefault="004C18AD" w:rsidP="00042C67">
            <w:pPr>
              <w:overflowPunct/>
              <w:autoSpaceDE/>
              <w:adjustRightInd/>
              <w:spacing w:before="0"/>
              <w:jc w:val="right"/>
              <w:rPr>
                <w:sz w:val="22"/>
                <w:szCs w:val="22"/>
                <w:lang w:val="en-US" w:eastAsia="zh-CN"/>
              </w:rPr>
            </w:pPr>
            <w:r w:rsidRPr="000C156A">
              <w:rPr>
                <w:sz w:val="22"/>
                <w:szCs w:val="22"/>
                <w:lang w:val="en-US" w:eastAsia="zh-CN"/>
              </w:rPr>
              <w:t>40 000.00</w:t>
            </w:r>
          </w:p>
        </w:tc>
      </w:tr>
      <w:tr w:rsidR="004C18AD" w:rsidRPr="000C156A" w14:paraId="3F0A995F"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41C9AA2D" w14:textId="77777777" w:rsidR="004C18AD" w:rsidRPr="000C156A" w:rsidRDefault="004C18AD" w:rsidP="00042C67">
            <w:pPr>
              <w:overflowPunct/>
              <w:autoSpaceDE/>
              <w:adjustRightInd/>
              <w:spacing w:before="0"/>
              <w:jc w:val="center"/>
              <w:rPr>
                <w:rFonts w:asciiTheme="minorHAnsi" w:hAnsiTheme="minorHAnsi"/>
                <w:sz w:val="22"/>
                <w:szCs w:val="22"/>
                <w:lang w:val="en-US" w:eastAsia="zh-CN"/>
              </w:rPr>
            </w:pPr>
            <w:r w:rsidRPr="000C156A">
              <w:rPr>
                <w:rFonts w:asciiTheme="minorHAnsi" w:hAnsiTheme="minorHAnsi"/>
                <w:sz w:val="22"/>
                <w:szCs w:val="22"/>
                <w:lang w:val="en-US" w:eastAsia="zh-CN"/>
              </w:rPr>
              <w:t>TLC 2016</w:t>
            </w:r>
          </w:p>
        </w:tc>
        <w:tc>
          <w:tcPr>
            <w:tcW w:w="1463" w:type="dxa"/>
            <w:tcBorders>
              <w:top w:val="nil"/>
              <w:left w:val="nil"/>
              <w:bottom w:val="single" w:sz="4" w:space="0" w:color="auto"/>
              <w:right w:val="single" w:sz="4" w:space="0" w:color="auto"/>
            </w:tcBorders>
            <w:noWrap/>
            <w:vAlign w:val="bottom"/>
            <w:hideMark/>
          </w:tcPr>
          <w:p w14:paraId="70926293"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苏丹</w:t>
            </w:r>
          </w:p>
        </w:tc>
        <w:tc>
          <w:tcPr>
            <w:tcW w:w="3464" w:type="dxa"/>
            <w:tcBorders>
              <w:top w:val="nil"/>
              <w:left w:val="nil"/>
              <w:bottom w:val="single" w:sz="4" w:space="0" w:color="auto"/>
              <w:right w:val="single" w:sz="4" w:space="0" w:color="auto"/>
            </w:tcBorders>
            <w:noWrap/>
            <w:vAlign w:val="bottom"/>
            <w:hideMark/>
          </w:tcPr>
          <w:p w14:paraId="3ADCA6A0"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hint="eastAsia"/>
                <w:color w:val="000000"/>
                <w:sz w:val="22"/>
                <w:szCs w:val="22"/>
                <w:lang w:val="en-US" w:eastAsia="zh-CN"/>
              </w:rPr>
              <w:t>国家信息中心</w:t>
            </w:r>
          </w:p>
        </w:tc>
        <w:tc>
          <w:tcPr>
            <w:tcW w:w="1368" w:type="dxa"/>
            <w:tcBorders>
              <w:top w:val="nil"/>
              <w:left w:val="nil"/>
              <w:bottom w:val="single" w:sz="4" w:space="0" w:color="auto"/>
              <w:right w:val="single" w:sz="4" w:space="0" w:color="auto"/>
            </w:tcBorders>
            <w:noWrap/>
            <w:vAlign w:val="bottom"/>
            <w:hideMark/>
          </w:tcPr>
          <w:p w14:paraId="3DF12077" w14:textId="77777777" w:rsidR="004C18AD" w:rsidRPr="000C156A" w:rsidRDefault="004C18AD" w:rsidP="00042C67">
            <w:pPr>
              <w:overflowPunct/>
              <w:autoSpaceDE/>
              <w:adjustRightInd/>
              <w:spacing w:before="0"/>
              <w:jc w:val="right"/>
              <w:rPr>
                <w:color w:val="000000"/>
                <w:sz w:val="22"/>
                <w:szCs w:val="22"/>
                <w:lang w:val="en-US" w:eastAsia="zh-CN"/>
              </w:rPr>
            </w:pPr>
            <w:r w:rsidRPr="000C156A">
              <w:rPr>
                <w:color w:val="000000"/>
                <w:sz w:val="22"/>
                <w:szCs w:val="22"/>
                <w:lang w:val="en-US" w:eastAsia="zh-CN"/>
              </w:rPr>
              <w:t>50 000.00</w:t>
            </w:r>
          </w:p>
        </w:tc>
        <w:tc>
          <w:tcPr>
            <w:tcW w:w="1395" w:type="dxa"/>
            <w:tcBorders>
              <w:top w:val="nil"/>
              <w:left w:val="nil"/>
              <w:bottom w:val="single" w:sz="4" w:space="0" w:color="auto"/>
              <w:right w:val="single" w:sz="4" w:space="0" w:color="auto"/>
            </w:tcBorders>
            <w:noWrap/>
            <w:vAlign w:val="bottom"/>
            <w:hideMark/>
          </w:tcPr>
          <w:p w14:paraId="667754FD" w14:textId="77777777" w:rsidR="004C18AD" w:rsidRPr="000C156A" w:rsidRDefault="004C18AD" w:rsidP="00042C67">
            <w:pPr>
              <w:overflowPunct/>
              <w:autoSpaceDE/>
              <w:adjustRightInd/>
              <w:spacing w:before="0"/>
              <w:jc w:val="right"/>
              <w:rPr>
                <w:color w:val="000000"/>
                <w:sz w:val="22"/>
                <w:szCs w:val="22"/>
                <w:lang w:val="en-US" w:eastAsia="zh-CN"/>
              </w:rPr>
            </w:pPr>
            <w:r w:rsidRPr="000C156A">
              <w:rPr>
                <w:color w:val="000000"/>
                <w:sz w:val="22"/>
                <w:szCs w:val="22"/>
                <w:lang w:val="en-US" w:eastAsia="zh-CN"/>
              </w:rPr>
              <w:t>0.00</w:t>
            </w:r>
          </w:p>
        </w:tc>
        <w:tc>
          <w:tcPr>
            <w:tcW w:w="1275" w:type="dxa"/>
            <w:tcBorders>
              <w:top w:val="nil"/>
              <w:left w:val="nil"/>
              <w:bottom w:val="single" w:sz="4" w:space="0" w:color="auto"/>
              <w:right w:val="single" w:sz="4" w:space="0" w:color="auto"/>
            </w:tcBorders>
            <w:noWrap/>
            <w:vAlign w:val="bottom"/>
            <w:hideMark/>
          </w:tcPr>
          <w:p w14:paraId="0B044CFF" w14:textId="77777777" w:rsidR="004C18AD" w:rsidRPr="000C156A" w:rsidRDefault="004C18AD" w:rsidP="00042C67">
            <w:pPr>
              <w:overflowPunct/>
              <w:autoSpaceDE/>
              <w:adjustRightInd/>
              <w:spacing w:before="0"/>
              <w:jc w:val="right"/>
              <w:rPr>
                <w:sz w:val="22"/>
                <w:szCs w:val="22"/>
                <w:lang w:val="en-US" w:eastAsia="zh-CN"/>
              </w:rPr>
            </w:pPr>
            <w:r w:rsidRPr="000C156A">
              <w:rPr>
                <w:sz w:val="22"/>
                <w:szCs w:val="22"/>
                <w:lang w:val="en-US" w:eastAsia="zh-CN"/>
              </w:rPr>
              <w:t>50 000.00</w:t>
            </w:r>
          </w:p>
        </w:tc>
      </w:tr>
      <w:tr w:rsidR="004C18AD" w:rsidRPr="000C156A" w14:paraId="44FF741E"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14AA96F9" w14:textId="77777777" w:rsidR="004C18AD" w:rsidRPr="000C156A" w:rsidRDefault="004C18AD" w:rsidP="00042C67">
            <w:pPr>
              <w:overflowPunct/>
              <w:autoSpaceDE/>
              <w:adjustRightInd/>
              <w:spacing w:before="0"/>
              <w:jc w:val="center"/>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463" w:type="dxa"/>
            <w:tcBorders>
              <w:top w:val="nil"/>
              <w:left w:val="nil"/>
              <w:bottom w:val="single" w:sz="4" w:space="0" w:color="auto"/>
              <w:right w:val="single" w:sz="4" w:space="0" w:color="auto"/>
            </w:tcBorders>
            <w:noWrap/>
            <w:vAlign w:val="bottom"/>
            <w:hideMark/>
          </w:tcPr>
          <w:p w14:paraId="6F6E908B"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7FAC0646"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0579AD49" w14:textId="77777777" w:rsidR="004C18AD" w:rsidRPr="000C156A" w:rsidRDefault="004C18AD" w:rsidP="00042C67">
            <w:pPr>
              <w:overflowPunct/>
              <w:autoSpaceDE/>
              <w:adjustRightInd/>
              <w:spacing w:before="0"/>
              <w:rPr>
                <w:color w:val="000000"/>
                <w:sz w:val="22"/>
                <w:szCs w:val="22"/>
                <w:lang w:val="en-US" w:eastAsia="zh-CN"/>
              </w:rPr>
            </w:pPr>
            <w:r w:rsidRPr="000C156A">
              <w:rPr>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27F974C1" w14:textId="77777777" w:rsidR="004C18AD" w:rsidRPr="000C156A" w:rsidRDefault="004C18AD" w:rsidP="00042C67">
            <w:pPr>
              <w:overflowPunct/>
              <w:autoSpaceDE/>
              <w:adjustRightInd/>
              <w:spacing w:before="0"/>
              <w:rPr>
                <w:color w:val="000000"/>
                <w:sz w:val="22"/>
                <w:szCs w:val="22"/>
                <w:lang w:val="en-US" w:eastAsia="zh-CN"/>
              </w:rPr>
            </w:pPr>
            <w:r w:rsidRPr="000C156A">
              <w:rPr>
                <w:color w:val="000000"/>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2800E289" w14:textId="77777777" w:rsidR="004C18AD" w:rsidRPr="000C156A" w:rsidRDefault="004C18AD" w:rsidP="00042C67">
            <w:pPr>
              <w:overflowPunct/>
              <w:autoSpaceDE/>
              <w:adjustRightInd/>
              <w:spacing w:before="0"/>
              <w:rPr>
                <w:color w:val="000000"/>
                <w:sz w:val="22"/>
                <w:szCs w:val="22"/>
                <w:lang w:val="en-US" w:eastAsia="zh-CN"/>
              </w:rPr>
            </w:pPr>
            <w:r w:rsidRPr="000C156A">
              <w:rPr>
                <w:color w:val="000000"/>
                <w:sz w:val="22"/>
                <w:szCs w:val="22"/>
                <w:lang w:val="en-US" w:eastAsia="zh-CN"/>
              </w:rPr>
              <w:t> </w:t>
            </w:r>
          </w:p>
        </w:tc>
      </w:tr>
      <w:tr w:rsidR="004C18AD" w:rsidRPr="000C156A" w14:paraId="51EAE8E4" w14:textId="77777777" w:rsidTr="00042C67">
        <w:trPr>
          <w:trHeight w:val="263"/>
        </w:trPr>
        <w:tc>
          <w:tcPr>
            <w:tcW w:w="1071" w:type="dxa"/>
            <w:tcBorders>
              <w:top w:val="nil"/>
              <w:left w:val="single" w:sz="4" w:space="0" w:color="auto"/>
              <w:bottom w:val="single" w:sz="4" w:space="0" w:color="auto"/>
              <w:right w:val="single" w:sz="4" w:space="0" w:color="auto"/>
            </w:tcBorders>
            <w:noWrap/>
            <w:vAlign w:val="bottom"/>
            <w:hideMark/>
          </w:tcPr>
          <w:p w14:paraId="17166E47" w14:textId="77777777" w:rsidR="004C18AD" w:rsidRPr="000C156A" w:rsidRDefault="004C18AD" w:rsidP="00042C67">
            <w:pPr>
              <w:overflowPunct/>
              <w:autoSpaceDE/>
              <w:adjustRightInd/>
              <w:spacing w:before="0"/>
              <w:jc w:val="center"/>
              <w:rPr>
                <w:rFonts w:asciiTheme="minorHAnsi" w:hAnsiTheme="minorHAnsi"/>
                <w:bCs/>
                <w:color w:val="000000"/>
                <w:sz w:val="22"/>
                <w:szCs w:val="22"/>
                <w:lang w:val="en-US" w:eastAsia="zh-CN"/>
              </w:rPr>
            </w:pPr>
            <w:r w:rsidRPr="000C156A">
              <w:rPr>
                <w:rFonts w:asciiTheme="minorHAnsi" w:hAnsiTheme="minorHAnsi"/>
                <w:bCs/>
                <w:color w:val="000000"/>
                <w:sz w:val="22"/>
                <w:szCs w:val="22"/>
                <w:lang w:val="en-US" w:eastAsia="zh-CN"/>
              </w:rPr>
              <w:t>TLC 2016</w:t>
            </w:r>
          </w:p>
        </w:tc>
        <w:tc>
          <w:tcPr>
            <w:tcW w:w="1463" w:type="dxa"/>
            <w:tcBorders>
              <w:top w:val="nil"/>
              <w:left w:val="nil"/>
              <w:bottom w:val="single" w:sz="4" w:space="0" w:color="auto"/>
              <w:right w:val="single" w:sz="4" w:space="0" w:color="auto"/>
            </w:tcBorders>
            <w:noWrap/>
            <w:vAlign w:val="bottom"/>
            <w:hideMark/>
          </w:tcPr>
          <w:p w14:paraId="5291694B"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3464" w:type="dxa"/>
            <w:tcBorders>
              <w:top w:val="nil"/>
              <w:left w:val="nil"/>
              <w:bottom w:val="single" w:sz="4" w:space="0" w:color="auto"/>
              <w:right w:val="single" w:sz="4" w:space="0" w:color="auto"/>
            </w:tcBorders>
            <w:noWrap/>
            <w:vAlign w:val="bottom"/>
            <w:hideMark/>
          </w:tcPr>
          <w:p w14:paraId="2F81315F" w14:textId="77777777" w:rsidR="004C18AD" w:rsidRPr="000C156A" w:rsidRDefault="004C18AD" w:rsidP="00042C67">
            <w:pPr>
              <w:overflowPunct/>
              <w:autoSpaceDE/>
              <w:adjustRightInd/>
              <w:spacing w:before="0"/>
              <w:rPr>
                <w:rFonts w:asciiTheme="minorHAnsi" w:hAnsiTheme="minorHAnsi"/>
                <w:color w:val="000000"/>
                <w:sz w:val="22"/>
                <w:szCs w:val="22"/>
                <w:lang w:val="en-US" w:eastAsia="zh-CN"/>
              </w:rPr>
            </w:pPr>
            <w:r w:rsidRPr="000C156A">
              <w:rPr>
                <w:rFonts w:asciiTheme="minorHAnsi" w:hAnsiTheme="minorHAnsi"/>
                <w:color w:val="000000"/>
                <w:sz w:val="22"/>
                <w:szCs w:val="22"/>
                <w:lang w:val="en-US" w:eastAsia="zh-CN"/>
              </w:rPr>
              <w:t> </w:t>
            </w:r>
          </w:p>
        </w:tc>
        <w:tc>
          <w:tcPr>
            <w:tcW w:w="1368" w:type="dxa"/>
            <w:tcBorders>
              <w:top w:val="nil"/>
              <w:left w:val="nil"/>
              <w:bottom w:val="single" w:sz="4" w:space="0" w:color="auto"/>
              <w:right w:val="single" w:sz="4" w:space="0" w:color="auto"/>
            </w:tcBorders>
            <w:noWrap/>
            <w:vAlign w:val="bottom"/>
            <w:hideMark/>
          </w:tcPr>
          <w:p w14:paraId="0A4FDC29" w14:textId="77777777" w:rsidR="004C18AD" w:rsidRPr="000C156A" w:rsidRDefault="004C18AD" w:rsidP="00042C67">
            <w:pPr>
              <w:overflowPunct/>
              <w:autoSpaceDE/>
              <w:adjustRightInd/>
              <w:spacing w:before="0"/>
              <w:rPr>
                <w:color w:val="000000"/>
                <w:sz w:val="22"/>
                <w:szCs w:val="22"/>
                <w:lang w:val="en-US" w:eastAsia="zh-CN"/>
              </w:rPr>
            </w:pPr>
            <w:r w:rsidRPr="000C156A">
              <w:rPr>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hideMark/>
          </w:tcPr>
          <w:p w14:paraId="34BDD1C9" w14:textId="77777777" w:rsidR="004C18AD" w:rsidRPr="000C156A" w:rsidRDefault="004C18AD" w:rsidP="00042C67">
            <w:pPr>
              <w:overflowPunct/>
              <w:autoSpaceDE/>
              <w:adjustRightInd/>
              <w:spacing w:before="0"/>
              <w:rPr>
                <w:rFonts w:ascii="Arial" w:hAnsi="Arial" w:cs="Arial"/>
                <w:b/>
                <w:bCs/>
                <w:sz w:val="22"/>
                <w:szCs w:val="22"/>
                <w:lang w:val="en-US" w:eastAsia="zh-CN"/>
              </w:rPr>
            </w:pPr>
            <w:r w:rsidRPr="000C156A">
              <w:rPr>
                <w:rFonts w:ascii="Arial" w:hAnsi="Arial" w:cs="Arial"/>
                <w:b/>
                <w:bCs/>
                <w:sz w:val="22"/>
                <w:szCs w:val="22"/>
                <w:lang w:val="en-US" w:eastAsia="zh-CN"/>
              </w:rPr>
              <w:t> </w:t>
            </w:r>
          </w:p>
        </w:tc>
        <w:tc>
          <w:tcPr>
            <w:tcW w:w="1275" w:type="dxa"/>
            <w:tcBorders>
              <w:top w:val="nil"/>
              <w:left w:val="nil"/>
              <w:bottom w:val="single" w:sz="4" w:space="0" w:color="auto"/>
              <w:right w:val="single" w:sz="4" w:space="0" w:color="auto"/>
            </w:tcBorders>
            <w:noWrap/>
            <w:vAlign w:val="bottom"/>
            <w:hideMark/>
          </w:tcPr>
          <w:p w14:paraId="7125CB08" w14:textId="77777777" w:rsidR="004C18AD" w:rsidRPr="000C156A" w:rsidRDefault="004C18AD" w:rsidP="00042C67">
            <w:pPr>
              <w:overflowPunct/>
              <w:autoSpaceDE/>
              <w:adjustRightInd/>
              <w:spacing w:before="0"/>
              <w:jc w:val="right"/>
              <w:rPr>
                <w:rFonts w:ascii="Arial" w:hAnsi="Arial" w:cs="Arial"/>
                <w:b/>
                <w:bCs/>
                <w:sz w:val="22"/>
                <w:szCs w:val="22"/>
                <w:lang w:val="en-US" w:eastAsia="zh-CN"/>
              </w:rPr>
            </w:pPr>
            <w:r w:rsidRPr="000C156A">
              <w:rPr>
                <w:rFonts w:cs="Arial"/>
                <w:b/>
                <w:bCs/>
                <w:sz w:val="22"/>
                <w:szCs w:val="22"/>
              </w:rPr>
              <w:t>92 400.00</w:t>
            </w:r>
          </w:p>
        </w:tc>
      </w:tr>
    </w:tbl>
    <w:p w14:paraId="3BF55DC0" w14:textId="77777777" w:rsidR="004C18AD" w:rsidRDefault="004C18AD" w:rsidP="004C18AD">
      <w:pPr>
        <w:overflowPunct/>
        <w:autoSpaceDE/>
        <w:autoSpaceDN/>
        <w:adjustRightInd/>
        <w:spacing w:before="0"/>
        <w:textAlignment w:val="auto"/>
        <w:rPr>
          <w:b/>
          <w:bCs/>
          <w:lang w:eastAsia="zh-CN"/>
        </w:rPr>
      </w:pPr>
    </w:p>
    <w:tbl>
      <w:tblPr>
        <w:tblW w:w="5000" w:type="pct"/>
        <w:tblLayout w:type="fixed"/>
        <w:tblCellMar>
          <w:left w:w="0" w:type="dxa"/>
          <w:right w:w="0" w:type="dxa"/>
        </w:tblCellMar>
        <w:tblLook w:val="04A0" w:firstRow="1" w:lastRow="0" w:firstColumn="1" w:lastColumn="0" w:noHBand="0" w:noVBand="1"/>
      </w:tblPr>
      <w:tblGrid>
        <w:gridCol w:w="1555"/>
        <w:gridCol w:w="1134"/>
        <w:gridCol w:w="3405"/>
        <w:gridCol w:w="1132"/>
        <w:gridCol w:w="1134"/>
        <w:gridCol w:w="1269"/>
      </w:tblGrid>
      <w:tr w:rsidR="004C18AD" w:rsidRPr="00831465" w14:paraId="0A2E3EE8" w14:textId="77777777" w:rsidTr="00042C67">
        <w:trPr>
          <w:trHeight w:val="525"/>
        </w:trPr>
        <w:tc>
          <w:tcPr>
            <w:tcW w:w="80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F1A704E" w14:textId="77777777" w:rsidR="004C18AD" w:rsidRPr="00831465" w:rsidRDefault="004C18AD" w:rsidP="00042C67">
            <w:pPr>
              <w:overflowPunct/>
              <w:autoSpaceDE/>
              <w:autoSpaceDN/>
              <w:adjustRightInd/>
              <w:spacing w:before="0"/>
              <w:jc w:val="center"/>
              <w:textAlignment w:val="auto"/>
              <w:rPr>
                <w:b/>
                <w:bCs/>
                <w:lang w:eastAsia="zh-CN"/>
              </w:rPr>
            </w:pPr>
            <w:r w:rsidRPr="00831465">
              <w:rPr>
                <w:rFonts w:hint="eastAsia"/>
                <w:b/>
                <w:bCs/>
                <w:lang w:eastAsia="zh-CN"/>
              </w:rPr>
              <w:t>活动</w:t>
            </w:r>
          </w:p>
        </w:tc>
        <w:tc>
          <w:tcPr>
            <w:tcW w:w="5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4534D35" w14:textId="77777777" w:rsidR="004C18AD" w:rsidRPr="00831465" w:rsidRDefault="004C18AD" w:rsidP="00042C67">
            <w:pPr>
              <w:overflowPunct/>
              <w:autoSpaceDE/>
              <w:autoSpaceDN/>
              <w:adjustRightInd/>
              <w:spacing w:before="0"/>
              <w:jc w:val="center"/>
              <w:textAlignment w:val="auto"/>
              <w:rPr>
                <w:b/>
                <w:bCs/>
                <w:lang w:eastAsia="zh-CN"/>
              </w:rPr>
            </w:pPr>
            <w:r w:rsidRPr="00831465">
              <w:rPr>
                <w:rFonts w:hint="eastAsia"/>
                <w:b/>
                <w:bCs/>
                <w:lang w:eastAsia="zh-CN"/>
              </w:rPr>
              <w:t>国家</w:t>
            </w:r>
          </w:p>
        </w:tc>
        <w:tc>
          <w:tcPr>
            <w:tcW w:w="17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AC5C12C" w14:textId="77777777" w:rsidR="004C18AD" w:rsidRPr="00831465" w:rsidRDefault="004C18AD" w:rsidP="00042C67">
            <w:pPr>
              <w:overflowPunct/>
              <w:autoSpaceDE/>
              <w:autoSpaceDN/>
              <w:adjustRightInd/>
              <w:spacing w:before="0"/>
              <w:jc w:val="center"/>
              <w:textAlignment w:val="auto"/>
              <w:rPr>
                <w:b/>
                <w:bCs/>
                <w:lang w:eastAsia="zh-CN"/>
              </w:rPr>
            </w:pPr>
            <w:r w:rsidRPr="00831465">
              <w:rPr>
                <w:rFonts w:hint="eastAsia"/>
                <w:b/>
                <w:bCs/>
                <w:lang w:eastAsia="zh-CN"/>
              </w:rPr>
              <w:t>公司</w:t>
            </w:r>
          </w:p>
        </w:tc>
        <w:tc>
          <w:tcPr>
            <w:tcW w:w="5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1F908370" w14:textId="77777777" w:rsidR="004C18AD" w:rsidRPr="00831465" w:rsidRDefault="004C18AD" w:rsidP="00042C67">
            <w:pPr>
              <w:overflowPunct/>
              <w:autoSpaceDE/>
              <w:autoSpaceDN/>
              <w:adjustRightInd/>
              <w:spacing w:before="0"/>
              <w:jc w:val="center"/>
              <w:textAlignment w:val="auto"/>
              <w:rPr>
                <w:b/>
                <w:bCs/>
                <w:lang w:eastAsia="zh-CN"/>
              </w:rPr>
            </w:pPr>
            <w:r w:rsidRPr="00831465">
              <w:rPr>
                <w:rFonts w:hint="eastAsia"/>
                <w:b/>
                <w:bCs/>
                <w:lang w:eastAsia="zh-CN"/>
              </w:rPr>
              <w:t>发票金额</w:t>
            </w:r>
          </w:p>
        </w:tc>
        <w:tc>
          <w:tcPr>
            <w:tcW w:w="5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60F19FC" w14:textId="77777777" w:rsidR="004C18AD" w:rsidRPr="00831465" w:rsidRDefault="004C18AD" w:rsidP="00042C67">
            <w:pPr>
              <w:overflowPunct/>
              <w:autoSpaceDE/>
              <w:autoSpaceDN/>
              <w:adjustRightInd/>
              <w:spacing w:before="0"/>
              <w:jc w:val="center"/>
              <w:textAlignment w:val="auto"/>
              <w:rPr>
                <w:b/>
                <w:bCs/>
                <w:lang w:eastAsia="zh-CN"/>
              </w:rPr>
            </w:pPr>
            <w:r w:rsidRPr="00831465">
              <w:rPr>
                <w:rFonts w:hint="eastAsia"/>
                <w:b/>
                <w:bCs/>
                <w:lang w:eastAsia="zh-CN"/>
              </w:rPr>
              <w:t>收到付款</w:t>
            </w:r>
          </w:p>
        </w:tc>
        <w:tc>
          <w:tcPr>
            <w:tcW w:w="65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C64982A" w14:textId="77777777" w:rsidR="004C18AD" w:rsidRPr="00831465" w:rsidRDefault="004C18AD" w:rsidP="00042C67">
            <w:pPr>
              <w:overflowPunct/>
              <w:autoSpaceDE/>
              <w:autoSpaceDN/>
              <w:adjustRightInd/>
              <w:spacing w:before="0"/>
              <w:jc w:val="center"/>
              <w:textAlignment w:val="auto"/>
              <w:rPr>
                <w:b/>
                <w:bCs/>
                <w:lang w:eastAsia="zh-CN"/>
              </w:rPr>
            </w:pPr>
            <w:r w:rsidRPr="00831465">
              <w:rPr>
                <w:rFonts w:hint="eastAsia"/>
                <w:b/>
                <w:bCs/>
                <w:lang w:eastAsia="zh-CN"/>
              </w:rPr>
              <w:t>欠款金额</w:t>
            </w:r>
          </w:p>
        </w:tc>
      </w:tr>
      <w:tr w:rsidR="004C18AD" w:rsidRPr="00831465" w14:paraId="624B4F98" w14:textId="77777777" w:rsidTr="00042C67">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FEDE0" w14:textId="77777777" w:rsidR="004C18AD" w:rsidRPr="00831465" w:rsidRDefault="004C18AD" w:rsidP="00042C67">
            <w:pPr>
              <w:overflowPunct/>
              <w:autoSpaceDE/>
              <w:autoSpaceDN/>
              <w:adjustRightInd/>
              <w:spacing w:before="0"/>
              <w:textAlignment w:val="auto"/>
              <w:rPr>
                <w:b/>
                <w:bCs/>
                <w:lang w:eastAsia="zh-CN"/>
              </w:rPr>
            </w:pPr>
            <w:r w:rsidRPr="00831465">
              <w:rPr>
                <w:b/>
                <w:bCs/>
                <w:lang w:eastAsia="zh-CN"/>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56890" w14:textId="77777777" w:rsidR="004C18AD" w:rsidRPr="00831465" w:rsidRDefault="004C18AD" w:rsidP="00042C67">
            <w:pPr>
              <w:overflowPunct/>
              <w:autoSpaceDE/>
              <w:autoSpaceDN/>
              <w:adjustRightInd/>
              <w:spacing w:before="0"/>
              <w:textAlignment w:val="auto"/>
              <w:rPr>
                <w:b/>
                <w:bCs/>
                <w:lang w:eastAsia="zh-CN"/>
              </w:rPr>
            </w:pPr>
            <w:r w:rsidRPr="00831465">
              <w:rPr>
                <w:b/>
                <w:bCs/>
                <w:lang w:eastAsia="zh-CN"/>
              </w:rPr>
              <w:t> </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9535F" w14:textId="77777777" w:rsidR="004C18AD" w:rsidRPr="00831465" w:rsidRDefault="004C18AD" w:rsidP="00042C67">
            <w:pPr>
              <w:overflowPunct/>
              <w:autoSpaceDE/>
              <w:autoSpaceDN/>
              <w:adjustRightInd/>
              <w:spacing w:before="0"/>
              <w:textAlignment w:val="auto"/>
              <w:rPr>
                <w:b/>
                <w:bCs/>
                <w:lang w:eastAsia="zh-CN"/>
              </w:rPr>
            </w:pPr>
            <w:r w:rsidRPr="00831465">
              <w:rPr>
                <w:b/>
                <w:bCs/>
                <w:lang w:eastAsia="zh-CN"/>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05567" w14:textId="77777777" w:rsidR="004C18AD" w:rsidRPr="00831465" w:rsidRDefault="004C18AD" w:rsidP="00042C67">
            <w:pPr>
              <w:overflowPunct/>
              <w:autoSpaceDE/>
              <w:autoSpaceDN/>
              <w:adjustRightInd/>
              <w:spacing w:before="0"/>
              <w:textAlignment w:val="auto"/>
              <w:rPr>
                <w:b/>
                <w:bCs/>
                <w:lang w:eastAsia="zh-CN"/>
              </w:rPr>
            </w:pPr>
            <w:r w:rsidRPr="00831465">
              <w:rPr>
                <w:b/>
                <w:bCs/>
                <w:lang w:eastAsia="zh-CN"/>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A92DDA" w14:textId="77777777" w:rsidR="004C18AD" w:rsidRPr="00831465" w:rsidRDefault="004C18AD" w:rsidP="00042C67">
            <w:pPr>
              <w:overflowPunct/>
              <w:autoSpaceDE/>
              <w:autoSpaceDN/>
              <w:adjustRightInd/>
              <w:spacing w:before="0"/>
              <w:textAlignment w:val="auto"/>
              <w:rPr>
                <w:b/>
                <w:bCs/>
                <w:lang w:eastAsia="zh-CN"/>
              </w:rPr>
            </w:pPr>
            <w:r w:rsidRPr="00831465">
              <w:rPr>
                <w:b/>
                <w:bCs/>
                <w:lang w:eastAsia="zh-CN"/>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0F170" w14:textId="77777777" w:rsidR="004C18AD" w:rsidRPr="00831465" w:rsidRDefault="004C18AD" w:rsidP="00042C67">
            <w:pPr>
              <w:overflowPunct/>
              <w:autoSpaceDE/>
              <w:autoSpaceDN/>
              <w:adjustRightInd/>
              <w:spacing w:before="0"/>
              <w:textAlignment w:val="auto"/>
              <w:rPr>
                <w:b/>
                <w:bCs/>
                <w:lang w:eastAsia="zh-CN"/>
              </w:rPr>
            </w:pPr>
            <w:r w:rsidRPr="00831465">
              <w:rPr>
                <w:b/>
                <w:bCs/>
                <w:lang w:eastAsia="zh-CN"/>
              </w:rPr>
              <w:t> </w:t>
            </w:r>
          </w:p>
        </w:tc>
      </w:tr>
      <w:tr w:rsidR="004C18AD" w:rsidRPr="00831465" w14:paraId="0BDA7771" w14:textId="77777777" w:rsidTr="00042C67">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9685C"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TLC 2017</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59212"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hint="eastAsia"/>
                <w:sz w:val="22"/>
                <w:szCs w:val="22"/>
                <w:lang w:val="en-US" w:eastAsia="zh-CN"/>
              </w:rPr>
              <w:t>也门</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A1B81A"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AnaMehani</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05ECB"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1 200.00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13EB5"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F6FA2"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1 200.00</w:t>
            </w:r>
          </w:p>
        </w:tc>
      </w:tr>
      <w:tr w:rsidR="004C18AD" w:rsidRPr="00831465" w14:paraId="171F1029" w14:textId="77777777" w:rsidTr="00042C67">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4D881"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TLC 2017</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2BE61"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hint="eastAsia"/>
                <w:sz w:val="22"/>
                <w:szCs w:val="22"/>
                <w:lang w:val="en-US" w:eastAsia="zh-CN"/>
              </w:rPr>
              <w:t>喀麦隆</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9E7033"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hint="eastAsia"/>
                <w:sz w:val="22"/>
                <w:szCs w:val="22"/>
                <w:lang w:val="en-US" w:eastAsia="zh-CN"/>
              </w:rPr>
              <w:t>技术部公民协会</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4309A6"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1 200.00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61D30"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AAC42"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1 200.00</w:t>
            </w:r>
          </w:p>
        </w:tc>
      </w:tr>
      <w:tr w:rsidR="004C18AD" w:rsidRPr="00831465" w14:paraId="6CFAE95C" w14:textId="77777777" w:rsidTr="00042C67">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DBBA082"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TLC 2017</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2095AC4"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hint="eastAsia"/>
                <w:sz w:val="22"/>
                <w:szCs w:val="22"/>
                <w:lang w:val="en-US" w:eastAsia="zh-CN"/>
              </w:rPr>
              <w:t>贝宁</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BEBEC3D"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hint="eastAsia"/>
                <w:sz w:val="22"/>
                <w:szCs w:val="22"/>
                <w:lang w:val="en-US" w:eastAsia="zh-CN"/>
              </w:rPr>
              <w:t>数字经济部</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D2D49A"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50 000.00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732D5E9"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47 048.89</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452DCE"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2 951.11</w:t>
            </w:r>
          </w:p>
        </w:tc>
      </w:tr>
      <w:tr w:rsidR="004C18AD" w:rsidRPr="00831465" w14:paraId="182F5236" w14:textId="77777777" w:rsidTr="00042C67">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77118"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TLC 2017</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A9D88"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hint="eastAsia"/>
                <w:sz w:val="22"/>
                <w:szCs w:val="22"/>
                <w:lang w:val="en-US" w:eastAsia="zh-CN"/>
              </w:rPr>
              <w:t>加蓬</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A2EF7"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hint="eastAsia"/>
                <w:sz w:val="22"/>
                <w:szCs w:val="22"/>
                <w:lang w:val="en-US" w:eastAsia="zh-CN"/>
              </w:rPr>
              <w:t>数字经济部</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889B49"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138 000.00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A2C64"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5CF52"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138 000.00</w:t>
            </w:r>
          </w:p>
        </w:tc>
      </w:tr>
      <w:tr w:rsidR="004C18AD" w:rsidRPr="00831465" w14:paraId="3E711D26" w14:textId="77777777" w:rsidTr="00042C67">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7197CA"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906BD"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 </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438C7"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32C5F"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9F894"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204DA"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 </w:t>
            </w:r>
          </w:p>
        </w:tc>
      </w:tr>
      <w:tr w:rsidR="004C18AD" w:rsidRPr="00831465" w14:paraId="1A26B73D" w14:textId="77777777" w:rsidTr="00042C67">
        <w:trPr>
          <w:trHeight w:val="300"/>
        </w:trPr>
        <w:tc>
          <w:tcPr>
            <w:tcW w:w="80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821AF"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TLC 2017</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0F91C"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 </w:t>
            </w:r>
          </w:p>
        </w:tc>
        <w:tc>
          <w:tcPr>
            <w:tcW w:w="17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518C67"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40E1C"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DEE9D" w14:textId="77777777" w:rsidR="004C18AD" w:rsidRPr="00831465" w:rsidRDefault="004C18AD" w:rsidP="00042C67">
            <w:pPr>
              <w:overflowPunct/>
              <w:autoSpaceDE/>
              <w:adjustRightInd/>
              <w:spacing w:before="0"/>
              <w:jc w:val="center"/>
              <w:rPr>
                <w:rFonts w:asciiTheme="minorHAnsi" w:hAnsiTheme="minorHAnsi"/>
                <w:sz w:val="22"/>
                <w:szCs w:val="22"/>
                <w:lang w:val="en-US" w:eastAsia="zh-CN"/>
              </w:rPr>
            </w:pPr>
            <w:r w:rsidRPr="00831465">
              <w:rPr>
                <w:rFonts w:asciiTheme="minorHAnsi" w:hAnsiTheme="minorHAnsi"/>
                <w:sz w:val="22"/>
                <w:szCs w:val="22"/>
                <w:lang w:val="en-US" w:eastAsia="zh-CN"/>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7B77B" w14:textId="77777777" w:rsidR="004C18AD" w:rsidRPr="00831465" w:rsidRDefault="004C18AD" w:rsidP="00042C67">
            <w:pPr>
              <w:overflowPunct/>
              <w:autoSpaceDE/>
              <w:adjustRightInd/>
              <w:spacing w:before="0"/>
              <w:jc w:val="right"/>
              <w:rPr>
                <w:rFonts w:cs="Arial"/>
                <w:b/>
                <w:bCs/>
                <w:sz w:val="22"/>
                <w:szCs w:val="22"/>
              </w:rPr>
            </w:pPr>
            <w:r w:rsidRPr="00831465">
              <w:rPr>
                <w:rFonts w:cs="Arial"/>
                <w:b/>
                <w:bCs/>
                <w:sz w:val="22"/>
                <w:szCs w:val="22"/>
              </w:rPr>
              <w:t>143 351.11</w:t>
            </w:r>
          </w:p>
        </w:tc>
      </w:tr>
    </w:tbl>
    <w:p w14:paraId="5A50528F" w14:textId="77777777" w:rsidR="004C18AD" w:rsidRPr="000C156A" w:rsidRDefault="004C18AD" w:rsidP="004C18AD">
      <w:pPr>
        <w:overflowPunct/>
        <w:autoSpaceDE/>
        <w:autoSpaceDN/>
        <w:adjustRightInd/>
        <w:spacing w:before="0"/>
        <w:textAlignment w:val="auto"/>
        <w:rPr>
          <w:b/>
          <w:bCs/>
          <w:lang w:eastAsia="zh-CN"/>
        </w:rPr>
      </w:pPr>
      <w:r w:rsidRPr="000C156A">
        <w:rPr>
          <w:b/>
          <w:bCs/>
          <w:lang w:eastAsia="zh-CN"/>
        </w:rPr>
        <w:br w:type="page"/>
      </w:r>
    </w:p>
    <w:p w14:paraId="567C2904" w14:textId="77777777" w:rsidR="004C18AD" w:rsidRPr="000C156A" w:rsidRDefault="004C18AD" w:rsidP="004C18AD">
      <w:pPr>
        <w:pStyle w:val="Annextitle"/>
        <w:rPr>
          <w:rFonts w:asciiTheme="minorHAnsi" w:eastAsiaTheme="minorEastAsia" w:hAnsiTheme="minorHAnsi"/>
          <w:lang w:eastAsia="zh-CN"/>
        </w:rPr>
      </w:pPr>
      <w:r w:rsidRPr="000C156A">
        <w:rPr>
          <w:rFonts w:asciiTheme="minorHAnsi" w:eastAsiaTheme="minorEastAsia" w:hAnsiTheme="minorHAnsi" w:hint="eastAsia"/>
          <w:lang w:eastAsia="zh-CN"/>
        </w:rPr>
        <w:lastRenderedPageBreak/>
        <w:t>截至</w:t>
      </w:r>
      <w:r>
        <w:rPr>
          <w:rFonts w:asciiTheme="minorHAnsi" w:eastAsiaTheme="minorEastAsia" w:hAnsiTheme="minorHAnsi"/>
          <w:lang w:eastAsia="zh-CN"/>
        </w:rPr>
        <w:t>202</w:t>
      </w:r>
      <w:r>
        <w:rPr>
          <w:rFonts w:asciiTheme="minorHAnsi" w:eastAsiaTheme="minorEastAsia" w:hAnsiTheme="minorHAnsi" w:hint="eastAsia"/>
          <w:lang w:eastAsia="zh-CN"/>
        </w:rPr>
        <w:t>1</w:t>
      </w:r>
      <w:r w:rsidRPr="000C156A">
        <w:rPr>
          <w:rFonts w:asciiTheme="minorHAnsi" w:eastAsiaTheme="minorEastAsia" w:hAnsiTheme="minorHAnsi" w:hint="eastAsia"/>
          <w:lang w:eastAsia="zh-CN"/>
        </w:rPr>
        <w:t>年</w:t>
      </w:r>
      <w:r w:rsidRPr="000C156A">
        <w:rPr>
          <w:rFonts w:asciiTheme="minorHAnsi" w:eastAsiaTheme="minorEastAsia" w:hAnsiTheme="minorHAnsi"/>
          <w:lang w:eastAsia="zh-CN"/>
        </w:rPr>
        <w:t>12</w:t>
      </w:r>
      <w:r w:rsidRPr="000C156A">
        <w:rPr>
          <w:rFonts w:asciiTheme="minorHAnsi" w:eastAsiaTheme="minorEastAsia" w:hAnsiTheme="minorHAnsi" w:hint="eastAsia"/>
          <w:lang w:eastAsia="zh-CN"/>
        </w:rPr>
        <w:t>月</w:t>
      </w:r>
      <w:r w:rsidRPr="000C156A">
        <w:rPr>
          <w:rFonts w:asciiTheme="minorHAnsi" w:eastAsiaTheme="minorEastAsia" w:hAnsiTheme="minorHAnsi" w:hint="eastAsia"/>
          <w:lang w:eastAsia="zh-CN"/>
        </w:rPr>
        <w:t>31</w:t>
      </w:r>
      <w:r w:rsidRPr="000C156A">
        <w:rPr>
          <w:rFonts w:asciiTheme="minorHAnsi" w:eastAsiaTheme="minorEastAsia" w:hAnsiTheme="minorHAnsi" w:hint="eastAsia"/>
          <w:lang w:eastAsia="zh-CN"/>
        </w:rPr>
        <w:t>日已结账的国际电联电信展活动的债务方名单（</w:t>
      </w:r>
      <w:r w:rsidRPr="000C156A">
        <w:rPr>
          <w:rFonts w:asciiTheme="minorHAnsi" w:eastAsia="STKaiti" w:hAnsiTheme="minorHAnsi" w:hint="eastAsia"/>
          <w:lang w:eastAsia="zh-CN"/>
        </w:rPr>
        <w:t>完</w:t>
      </w:r>
      <w:r w:rsidRPr="000C156A">
        <w:rPr>
          <w:rFonts w:asciiTheme="minorHAnsi" w:eastAsiaTheme="minorEastAsia" w:hAnsiTheme="minorHAnsi" w:hint="eastAsia"/>
          <w:lang w:eastAsia="zh-CN"/>
        </w:rPr>
        <w:t>）</w:t>
      </w:r>
    </w:p>
    <w:p w14:paraId="743E5BF6" w14:textId="77777777" w:rsidR="004C18AD" w:rsidRPr="000C156A" w:rsidRDefault="004C18AD" w:rsidP="004C18AD">
      <w:pPr>
        <w:spacing w:before="0"/>
        <w:rPr>
          <w:sz w:val="22"/>
          <w:szCs w:val="22"/>
          <w:lang w:eastAsia="zh-CN"/>
        </w:rPr>
      </w:pPr>
    </w:p>
    <w:tbl>
      <w:tblPr>
        <w:tblW w:w="5000" w:type="pct"/>
        <w:tblLook w:val="04A0" w:firstRow="1" w:lastRow="0" w:firstColumn="1" w:lastColumn="0" w:noHBand="0" w:noVBand="1"/>
      </w:tblPr>
      <w:tblGrid>
        <w:gridCol w:w="1691"/>
        <w:gridCol w:w="1533"/>
        <w:gridCol w:w="2738"/>
        <w:gridCol w:w="1219"/>
        <w:gridCol w:w="1129"/>
        <w:gridCol w:w="1319"/>
      </w:tblGrid>
      <w:tr w:rsidR="004C18AD" w:rsidRPr="005E13E6" w14:paraId="6F32ECB2" w14:textId="77777777" w:rsidTr="00042C67">
        <w:trPr>
          <w:trHeight w:val="510"/>
        </w:trPr>
        <w:tc>
          <w:tcPr>
            <w:tcW w:w="878" w:type="pct"/>
            <w:tcBorders>
              <w:top w:val="single" w:sz="4" w:space="0" w:color="auto"/>
              <w:left w:val="single" w:sz="4" w:space="0" w:color="auto"/>
              <w:bottom w:val="single" w:sz="4" w:space="0" w:color="auto"/>
              <w:right w:val="single" w:sz="4" w:space="0" w:color="auto"/>
            </w:tcBorders>
            <w:shd w:val="clear" w:color="auto" w:fill="auto"/>
            <w:hideMark/>
          </w:tcPr>
          <w:p w14:paraId="175AE095" w14:textId="77777777" w:rsidR="004C18AD" w:rsidRPr="005E13E6" w:rsidRDefault="004C18AD" w:rsidP="00042C67">
            <w:pPr>
              <w:overflowPunct/>
              <w:autoSpaceDE/>
              <w:autoSpaceDN/>
              <w:adjustRightInd/>
              <w:spacing w:before="0"/>
              <w:jc w:val="center"/>
              <w:textAlignment w:val="auto"/>
              <w:rPr>
                <w:rFonts w:cs="Calibri"/>
                <w:b/>
                <w:bCs/>
                <w:sz w:val="22"/>
                <w:szCs w:val="22"/>
                <w:lang w:val="en-US" w:eastAsia="zh-CN"/>
              </w:rPr>
            </w:pPr>
            <w:r w:rsidRPr="005E13E6">
              <w:rPr>
                <w:rFonts w:cs="Calibri" w:hint="eastAsia"/>
                <w:b/>
                <w:bCs/>
                <w:sz w:val="22"/>
                <w:szCs w:val="22"/>
              </w:rPr>
              <w:t>活动</w:t>
            </w:r>
          </w:p>
        </w:tc>
        <w:tc>
          <w:tcPr>
            <w:tcW w:w="796" w:type="pct"/>
            <w:tcBorders>
              <w:top w:val="single" w:sz="4" w:space="0" w:color="auto"/>
              <w:left w:val="nil"/>
              <w:bottom w:val="single" w:sz="4" w:space="0" w:color="auto"/>
              <w:right w:val="single" w:sz="4" w:space="0" w:color="auto"/>
            </w:tcBorders>
            <w:shd w:val="clear" w:color="auto" w:fill="auto"/>
            <w:hideMark/>
          </w:tcPr>
          <w:p w14:paraId="1466837B" w14:textId="77777777" w:rsidR="004C18AD" w:rsidRPr="005E13E6" w:rsidRDefault="004C18AD" w:rsidP="00042C67">
            <w:pPr>
              <w:overflowPunct/>
              <w:autoSpaceDE/>
              <w:autoSpaceDN/>
              <w:adjustRightInd/>
              <w:spacing w:before="0"/>
              <w:jc w:val="center"/>
              <w:textAlignment w:val="auto"/>
              <w:rPr>
                <w:rFonts w:cs="Calibri"/>
                <w:b/>
                <w:bCs/>
                <w:sz w:val="22"/>
                <w:szCs w:val="22"/>
                <w:lang w:val="en-US" w:eastAsia="zh-CN"/>
              </w:rPr>
            </w:pPr>
            <w:r w:rsidRPr="005E13E6">
              <w:rPr>
                <w:rFonts w:cs="Calibri" w:hint="eastAsia"/>
                <w:b/>
                <w:bCs/>
                <w:sz w:val="22"/>
                <w:szCs w:val="22"/>
              </w:rPr>
              <w:t>国家</w:t>
            </w:r>
          </w:p>
        </w:tc>
        <w:tc>
          <w:tcPr>
            <w:tcW w:w="1422" w:type="pct"/>
            <w:tcBorders>
              <w:top w:val="single" w:sz="4" w:space="0" w:color="auto"/>
              <w:left w:val="nil"/>
              <w:bottom w:val="single" w:sz="4" w:space="0" w:color="auto"/>
              <w:right w:val="single" w:sz="4" w:space="0" w:color="auto"/>
            </w:tcBorders>
            <w:shd w:val="clear" w:color="auto" w:fill="auto"/>
            <w:hideMark/>
          </w:tcPr>
          <w:p w14:paraId="3BCEC6DF" w14:textId="77777777" w:rsidR="004C18AD" w:rsidRPr="005E13E6" w:rsidRDefault="004C18AD" w:rsidP="00042C67">
            <w:pPr>
              <w:overflowPunct/>
              <w:autoSpaceDE/>
              <w:autoSpaceDN/>
              <w:adjustRightInd/>
              <w:spacing w:before="0"/>
              <w:jc w:val="center"/>
              <w:textAlignment w:val="auto"/>
              <w:rPr>
                <w:rFonts w:cs="Calibri"/>
                <w:b/>
                <w:bCs/>
                <w:sz w:val="22"/>
                <w:szCs w:val="22"/>
                <w:lang w:val="en-US" w:eastAsia="zh-CN"/>
              </w:rPr>
            </w:pPr>
            <w:r w:rsidRPr="005E13E6">
              <w:rPr>
                <w:rFonts w:cs="Calibri" w:hint="eastAsia"/>
                <w:b/>
                <w:bCs/>
                <w:sz w:val="22"/>
                <w:szCs w:val="22"/>
              </w:rPr>
              <w:t>公司</w:t>
            </w:r>
          </w:p>
        </w:tc>
        <w:tc>
          <w:tcPr>
            <w:tcW w:w="633" w:type="pct"/>
            <w:tcBorders>
              <w:top w:val="single" w:sz="4" w:space="0" w:color="auto"/>
              <w:left w:val="nil"/>
              <w:bottom w:val="single" w:sz="4" w:space="0" w:color="auto"/>
              <w:right w:val="single" w:sz="4" w:space="0" w:color="auto"/>
            </w:tcBorders>
            <w:shd w:val="clear" w:color="auto" w:fill="auto"/>
            <w:hideMark/>
          </w:tcPr>
          <w:p w14:paraId="06B033E7" w14:textId="77777777" w:rsidR="004C18AD" w:rsidRPr="005E13E6" w:rsidRDefault="004C18AD" w:rsidP="00042C67">
            <w:pPr>
              <w:overflowPunct/>
              <w:autoSpaceDE/>
              <w:autoSpaceDN/>
              <w:adjustRightInd/>
              <w:spacing w:before="0"/>
              <w:jc w:val="center"/>
              <w:textAlignment w:val="auto"/>
              <w:rPr>
                <w:rFonts w:cs="Calibri"/>
                <w:b/>
                <w:bCs/>
                <w:sz w:val="22"/>
                <w:szCs w:val="22"/>
                <w:lang w:val="en-US" w:eastAsia="zh-CN"/>
              </w:rPr>
            </w:pPr>
            <w:r w:rsidRPr="005E13E6">
              <w:rPr>
                <w:rFonts w:cs="Calibri" w:hint="eastAsia"/>
                <w:b/>
                <w:bCs/>
                <w:sz w:val="22"/>
                <w:szCs w:val="22"/>
              </w:rPr>
              <w:t>发票金额</w:t>
            </w:r>
          </w:p>
        </w:tc>
        <w:tc>
          <w:tcPr>
            <w:tcW w:w="586" w:type="pct"/>
            <w:tcBorders>
              <w:top w:val="single" w:sz="4" w:space="0" w:color="auto"/>
              <w:left w:val="nil"/>
              <w:bottom w:val="single" w:sz="4" w:space="0" w:color="auto"/>
              <w:right w:val="single" w:sz="4" w:space="0" w:color="auto"/>
            </w:tcBorders>
            <w:shd w:val="clear" w:color="auto" w:fill="auto"/>
            <w:hideMark/>
          </w:tcPr>
          <w:p w14:paraId="30C3E50F" w14:textId="77777777" w:rsidR="004C18AD" w:rsidRPr="005E13E6" w:rsidRDefault="004C18AD" w:rsidP="00042C67">
            <w:pPr>
              <w:overflowPunct/>
              <w:autoSpaceDE/>
              <w:autoSpaceDN/>
              <w:adjustRightInd/>
              <w:spacing w:before="0"/>
              <w:jc w:val="center"/>
              <w:textAlignment w:val="auto"/>
              <w:rPr>
                <w:rFonts w:cs="Calibri"/>
                <w:b/>
                <w:bCs/>
                <w:sz w:val="22"/>
                <w:szCs w:val="22"/>
                <w:lang w:val="en-US" w:eastAsia="zh-CN"/>
              </w:rPr>
            </w:pPr>
            <w:r w:rsidRPr="005E13E6">
              <w:rPr>
                <w:rFonts w:cs="Calibri" w:hint="eastAsia"/>
                <w:b/>
                <w:bCs/>
                <w:sz w:val="22"/>
                <w:szCs w:val="22"/>
              </w:rPr>
              <w:t>收到付款</w:t>
            </w:r>
          </w:p>
        </w:tc>
        <w:tc>
          <w:tcPr>
            <w:tcW w:w="686" w:type="pct"/>
            <w:tcBorders>
              <w:top w:val="single" w:sz="4" w:space="0" w:color="auto"/>
              <w:left w:val="nil"/>
              <w:bottom w:val="single" w:sz="4" w:space="0" w:color="auto"/>
              <w:right w:val="single" w:sz="4" w:space="0" w:color="auto"/>
            </w:tcBorders>
            <w:shd w:val="clear" w:color="auto" w:fill="auto"/>
            <w:hideMark/>
          </w:tcPr>
          <w:p w14:paraId="66373681" w14:textId="77777777" w:rsidR="004C18AD" w:rsidRPr="005E13E6" w:rsidRDefault="004C18AD" w:rsidP="00042C67">
            <w:pPr>
              <w:overflowPunct/>
              <w:autoSpaceDE/>
              <w:autoSpaceDN/>
              <w:adjustRightInd/>
              <w:spacing w:before="0"/>
              <w:jc w:val="center"/>
              <w:textAlignment w:val="auto"/>
              <w:rPr>
                <w:rFonts w:cs="Calibri"/>
                <w:b/>
                <w:bCs/>
                <w:sz w:val="22"/>
                <w:szCs w:val="22"/>
                <w:lang w:val="en-US" w:eastAsia="zh-CN"/>
              </w:rPr>
            </w:pPr>
            <w:r w:rsidRPr="005E13E6">
              <w:rPr>
                <w:rFonts w:cs="Calibri" w:hint="eastAsia"/>
                <w:b/>
                <w:bCs/>
                <w:sz w:val="22"/>
                <w:szCs w:val="22"/>
              </w:rPr>
              <w:t>欠款金额</w:t>
            </w:r>
          </w:p>
        </w:tc>
      </w:tr>
      <w:tr w:rsidR="004C18AD" w:rsidRPr="005E13E6" w14:paraId="4FD2353E" w14:textId="77777777" w:rsidTr="00042C67">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0FAF4FD8" w14:textId="77777777" w:rsidR="004C18AD" w:rsidRPr="005E13E6" w:rsidRDefault="004C18AD" w:rsidP="00042C67">
            <w:pPr>
              <w:overflowPunct/>
              <w:autoSpaceDE/>
              <w:autoSpaceDN/>
              <w:adjustRightInd/>
              <w:spacing w:before="0"/>
              <w:jc w:val="center"/>
              <w:textAlignment w:val="auto"/>
              <w:rPr>
                <w:rFonts w:cs="Calibri"/>
                <w:b/>
                <w:bCs/>
                <w:sz w:val="22"/>
                <w:szCs w:val="22"/>
                <w:lang w:val="en-US" w:eastAsia="zh-CN"/>
              </w:rPr>
            </w:pPr>
            <w:r w:rsidRPr="005E13E6">
              <w:rPr>
                <w:rFonts w:cs="Calibri"/>
                <w:b/>
                <w:bCs/>
                <w:sz w:val="22"/>
                <w:szCs w:val="22"/>
                <w:lang w:val="en-US" w:eastAsia="zh-CN"/>
              </w:rPr>
              <w:t> </w:t>
            </w:r>
          </w:p>
        </w:tc>
        <w:tc>
          <w:tcPr>
            <w:tcW w:w="796" w:type="pct"/>
            <w:tcBorders>
              <w:top w:val="nil"/>
              <w:left w:val="nil"/>
              <w:bottom w:val="single" w:sz="4" w:space="0" w:color="auto"/>
              <w:right w:val="single" w:sz="4" w:space="0" w:color="auto"/>
            </w:tcBorders>
            <w:shd w:val="clear" w:color="auto" w:fill="auto"/>
            <w:noWrap/>
            <w:vAlign w:val="bottom"/>
            <w:hideMark/>
          </w:tcPr>
          <w:p w14:paraId="5396C997" w14:textId="77777777" w:rsidR="004C18AD" w:rsidRPr="005E13E6" w:rsidRDefault="004C18AD" w:rsidP="00042C67">
            <w:pPr>
              <w:overflowPunct/>
              <w:autoSpaceDE/>
              <w:autoSpaceDN/>
              <w:adjustRightInd/>
              <w:spacing w:before="0"/>
              <w:jc w:val="center"/>
              <w:textAlignment w:val="auto"/>
              <w:rPr>
                <w:rFonts w:cs="Calibri"/>
                <w:b/>
                <w:bCs/>
                <w:sz w:val="22"/>
                <w:szCs w:val="22"/>
                <w:lang w:val="en-US" w:eastAsia="zh-CN"/>
              </w:rPr>
            </w:pPr>
            <w:r w:rsidRPr="005E13E6">
              <w:rPr>
                <w:rFonts w:cs="Calibri"/>
                <w:b/>
                <w:bCs/>
                <w:sz w:val="22"/>
                <w:szCs w:val="22"/>
                <w:lang w:val="en-US" w:eastAsia="zh-CN"/>
              </w:rPr>
              <w:t> </w:t>
            </w:r>
          </w:p>
        </w:tc>
        <w:tc>
          <w:tcPr>
            <w:tcW w:w="1422" w:type="pct"/>
            <w:tcBorders>
              <w:top w:val="nil"/>
              <w:left w:val="nil"/>
              <w:bottom w:val="single" w:sz="4" w:space="0" w:color="auto"/>
              <w:right w:val="single" w:sz="4" w:space="0" w:color="auto"/>
            </w:tcBorders>
            <w:shd w:val="clear" w:color="auto" w:fill="auto"/>
            <w:noWrap/>
            <w:vAlign w:val="bottom"/>
            <w:hideMark/>
          </w:tcPr>
          <w:p w14:paraId="5AC08191" w14:textId="77777777" w:rsidR="004C18AD" w:rsidRPr="005E13E6" w:rsidRDefault="004C18AD" w:rsidP="00042C67">
            <w:pPr>
              <w:overflowPunct/>
              <w:autoSpaceDE/>
              <w:autoSpaceDN/>
              <w:adjustRightInd/>
              <w:spacing w:before="0"/>
              <w:jc w:val="center"/>
              <w:textAlignment w:val="auto"/>
              <w:rPr>
                <w:rFonts w:cs="Calibri"/>
                <w:sz w:val="22"/>
                <w:szCs w:val="22"/>
                <w:lang w:val="en-US" w:eastAsia="zh-CN"/>
              </w:rPr>
            </w:pPr>
            <w:r w:rsidRPr="005E13E6">
              <w:rPr>
                <w:rFonts w:cs="Calibri"/>
                <w:sz w:val="22"/>
                <w:szCs w:val="22"/>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14:paraId="26377E1B" w14:textId="77777777" w:rsidR="004C18AD" w:rsidRPr="005E13E6" w:rsidRDefault="004C18AD" w:rsidP="00042C67">
            <w:pPr>
              <w:overflowPunct/>
              <w:autoSpaceDE/>
              <w:autoSpaceDN/>
              <w:adjustRightInd/>
              <w:spacing w:before="0"/>
              <w:jc w:val="center"/>
              <w:textAlignment w:val="auto"/>
              <w:rPr>
                <w:rFonts w:cs="Calibri"/>
                <w:sz w:val="22"/>
                <w:szCs w:val="22"/>
                <w:lang w:val="en-US" w:eastAsia="zh-CN"/>
              </w:rPr>
            </w:pPr>
            <w:r w:rsidRPr="005E13E6">
              <w:rPr>
                <w:rFonts w:cs="Calibri"/>
                <w:sz w:val="22"/>
                <w:szCs w:val="22"/>
                <w:lang w:val="en-US" w:eastAsia="zh-CN"/>
              </w:rPr>
              <w:t> </w:t>
            </w:r>
          </w:p>
        </w:tc>
        <w:tc>
          <w:tcPr>
            <w:tcW w:w="586" w:type="pct"/>
            <w:tcBorders>
              <w:top w:val="nil"/>
              <w:left w:val="nil"/>
              <w:bottom w:val="single" w:sz="4" w:space="0" w:color="auto"/>
              <w:right w:val="single" w:sz="4" w:space="0" w:color="auto"/>
            </w:tcBorders>
            <w:shd w:val="clear" w:color="auto" w:fill="auto"/>
            <w:noWrap/>
            <w:vAlign w:val="bottom"/>
            <w:hideMark/>
          </w:tcPr>
          <w:p w14:paraId="39ED90E6" w14:textId="77777777" w:rsidR="004C18AD" w:rsidRPr="005E13E6" w:rsidRDefault="004C18AD" w:rsidP="00042C67">
            <w:pPr>
              <w:overflowPunct/>
              <w:autoSpaceDE/>
              <w:autoSpaceDN/>
              <w:adjustRightInd/>
              <w:spacing w:before="0"/>
              <w:jc w:val="center"/>
              <w:textAlignment w:val="auto"/>
              <w:rPr>
                <w:rFonts w:cs="Calibri"/>
                <w:sz w:val="22"/>
                <w:szCs w:val="22"/>
                <w:lang w:val="en-US" w:eastAsia="zh-CN"/>
              </w:rPr>
            </w:pPr>
            <w:r w:rsidRPr="005E13E6">
              <w:rPr>
                <w:rFonts w:cs="Calibri"/>
                <w:sz w:val="22"/>
                <w:szCs w:val="22"/>
                <w:lang w:val="en-US" w:eastAsia="zh-CN"/>
              </w:rPr>
              <w:t> </w:t>
            </w:r>
          </w:p>
        </w:tc>
        <w:tc>
          <w:tcPr>
            <w:tcW w:w="686" w:type="pct"/>
            <w:tcBorders>
              <w:top w:val="nil"/>
              <w:left w:val="nil"/>
              <w:bottom w:val="single" w:sz="4" w:space="0" w:color="auto"/>
              <w:right w:val="single" w:sz="4" w:space="0" w:color="auto"/>
            </w:tcBorders>
            <w:shd w:val="clear" w:color="auto" w:fill="auto"/>
            <w:noWrap/>
            <w:vAlign w:val="bottom"/>
            <w:hideMark/>
          </w:tcPr>
          <w:p w14:paraId="69DC9F25" w14:textId="77777777" w:rsidR="004C18AD" w:rsidRPr="005E13E6" w:rsidRDefault="004C18AD" w:rsidP="00042C67">
            <w:pPr>
              <w:overflowPunct/>
              <w:autoSpaceDE/>
              <w:autoSpaceDN/>
              <w:adjustRightInd/>
              <w:spacing w:before="0"/>
              <w:jc w:val="center"/>
              <w:textAlignment w:val="auto"/>
              <w:rPr>
                <w:rFonts w:cs="Calibri"/>
                <w:sz w:val="22"/>
                <w:szCs w:val="22"/>
                <w:lang w:val="en-US" w:eastAsia="zh-CN"/>
              </w:rPr>
            </w:pPr>
            <w:r w:rsidRPr="005E13E6">
              <w:rPr>
                <w:rFonts w:cs="Calibri"/>
                <w:sz w:val="22"/>
                <w:szCs w:val="22"/>
                <w:lang w:val="en-US" w:eastAsia="zh-CN"/>
              </w:rPr>
              <w:t> </w:t>
            </w:r>
          </w:p>
        </w:tc>
      </w:tr>
      <w:tr w:rsidR="004C18AD" w:rsidRPr="005E13E6" w14:paraId="26338F03" w14:textId="77777777" w:rsidTr="00042C67">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4E516D74" w14:textId="77777777" w:rsidR="004C18AD" w:rsidRPr="005E13E6" w:rsidRDefault="004C18AD" w:rsidP="00042C67">
            <w:pPr>
              <w:overflowPunct/>
              <w:autoSpaceDE/>
              <w:autoSpaceDN/>
              <w:adjustRightInd/>
              <w:spacing w:before="0"/>
              <w:jc w:val="center"/>
              <w:textAlignment w:val="auto"/>
              <w:rPr>
                <w:rFonts w:cs="Calibri"/>
                <w:sz w:val="22"/>
                <w:szCs w:val="22"/>
                <w:lang w:val="en-US" w:eastAsia="zh-CN"/>
              </w:rPr>
            </w:pPr>
            <w:r w:rsidRPr="005E13E6">
              <w:rPr>
                <w:rFonts w:cs="Calibri"/>
                <w:sz w:val="22"/>
                <w:szCs w:val="22"/>
                <w:lang w:val="en-US" w:eastAsia="zh-CN"/>
              </w:rPr>
              <w:t>TLC 2018</w:t>
            </w:r>
          </w:p>
        </w:tc>
        <w:tc>
          <w:tcPr>
            <w:tcW w:w="796" w:type="pct"/>
            <w:tcBorders>
              <w:top w:val="nil"/>
              <w:left w:val="nil"/>
              <w:bottom w:val="single" w:sz="4" w:space="0" w:color="auto"/>
              <w:right w:val="single" w:sz="4" w:space="0" w:color="auto"/>
            </w:tcBorders>
            <w:shd w:val="clear" w:color="auto" w:fill="auto"/>
            <w:noWrap/>
            <w:vAlign w:val="bottom"/>
            <w:hideMark/>
          </w:tcPr>
          <w:p w14:paraId="24E0E47E"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hint="eastAsia"/>
                <w:color w:val="000000"/>
                <w:sz w:val="22"/>
                <w:szCs w:val="22"/>
                <w:lang w:val="en-US" w:eastAsia="zh-CN"/>
              </w:rPr>
              <w:t>南非</w:t>
            </w:r>
          </w:p>
        </w:tc>
        <w:tc>
          <w:tcPr>
            <w:tcW w:w="1422" w:type="pct"/>
            <w:tcBorders>
              <w:top w:val="nil"/>
              <w:left w:val="nil"/>
              <w:bottom w:val="single" w:sz="4" w:space="0" w:color="auto"/>
              <w:right w:val="single" w:sz="4" w:space="0" w:color="auto"/>
            </w:tcBorders>
            <w:shd w:val="clear" w:color="auto" w:fill="auto"/>
            <w:noWrap/>
            <w:vAlign w:val="bottom"/>
            <w:hideMark/>
          </w:tcPr>
          <w:p w14:paraId="62AA7815" w14:textId="77777777" w:rsidR="004C18AD" w:rsidRPr="005E13E6" w:rsidRDefault="004C18AD" w:rsidP="00042C67">
            <w:pPr>
              <w:overflowPunct/>
              <w:autoSpaceDE/>
              <w:autoSpaceDN/>
              <w:adjustRightInd/>
              <w:spacing w:before="0"/>
              <w:textAlignment w:val="auto"/>
              <w:rPr>
                <w:rFonts w:cs="Calibri"/>
                <w:sz w:val="22"/>
                <w:szCs w:val="22"/>
                <w:lang w:val="en-US" w:eastAsia="zh-CN"/>
              </w:rPr>
            </w:pPr>
            <w:r w:rsidRPr="005E13E6">
              <w:rPr>
                <w:rFonts w:cs="Calibri"/>
                <w:sz w:val="22"/>
                <w:szCs w:val="22"/>
                <w:lang w:val="en-US" w:eastAsia="zh-CN"/>
              </w:rPr>
              <w:t>Ekasi Gaming</w:t>
            </w:r>
          </w:p>
        </w:tc>
        <w:tc>
          <w:tcPr>
            <w:tcW w:w="633" w:type="pct"/>
            <w:tcBorders>
              <w:top w:val="nil"/>
              <w:left w:val="nil"/>
              <w:bottom w:val="single" w:sz="4" w:space="0" w:color="auto"/>
              <w:right w:val="single" w:sz="4" w:space="0" w:color="auto"/>
            </w:tcBorders>
            <w:shd w:val="clear" w:color="auto" w:fill="auto"/>
            <w:noWrap/>
            <w:vAlign w:val="bottom"/>
            <w:hideMark/>
          </w:tcPr>
          <w:p w14:paraId="40CDB451" w14:textId="77777777" w:rsidR="004C18AD" w:rsidRPr="005E13E6" w:rsidRDefault="004C18AD" w:rsidP="00042C67">
            <w:pPr>
              <w:overflowPunct/>
              <w:autoSpaceDE/>
              <w:autoSpaceDN/>
              <w:adjustRightInd/>
              <w:spacing w:before="0"/>
              <w:jc w:val="right"/>
              <w:textAlignment w:val="auto"/>
              <w:rPr>
                <w:rFonts w:cs="Calibri"/>
                <w:sz w:val="22"/>
                <w:szCs w:val="22"/>
                <w:lang w:val="en-US" w:eastAsia="zh-CN"/>
              </w:rPr>
            </w:pPr>
            <w:r w:rsidRPr="005E13E6">
              <w:rPr>
                <w:rFonts w:cs="Calibri"/>
                <w:sz w:val="22"/>
                <w:szCs w:val="22"/>
                <w:lang w:val="en-US" w:eastAsia="zh-CN"/>
              </w:rPr>
              <w:t>800.00</w:t>
            </w:r>
          </w:p>
        </w:tc>
        <w:tc>
          <w:tcPr>
            <w:tcW w:w="586" w:type="pct"/>
            <w:tcBorders>
              <w:top w:val="nil"/>
              <w:left w:val="nil"/>
              <w:bottom w:val="single" w:sz="4" w:space="0" w:color="auto"/>
              <w:right w:val="single" w:sz="4" w:space="0" w:color="auto"/>
            </w:tcBorders>
            <w:shd w:val="clear" w:color="auto" w:fill="auto"/>
            <w:noWrap/>
            <w:vAlign w:val="bottom"/>
            <w:hideMark/>
          </w:tcPr>
          <w:p w14:paraId="2E8B567A" w14:textId="77777777" w:rsidR="004C18AD" w:rsidRPr="005E13E6" w:rsidRDefault="004C18AD" w:rsidP="00042C67">
            <w:pPr>
              <w:overflowPunct/>
              <w:autoSpaceDE/>
              <w:autoSpaceDN/>
              <w:adjustRightInd/>
              <w:spacing w:before="0"/>
              <w:jc w:val="right"/>
              <w:textAlignment w:val="auto"/>
              <w:rPr>
                <w:rFonts w:cs="Calibri"/>
                <w:sz w:val="22"/>
                <w:szCs w:val="22"/>
                <w:lang w:val="en-US" w:eastAsia="zh-CN"/>
              </w:rPr>
            </w:pPr>
            <w:r w:rsidRPr="005E13E6">
              <w:rPr>
                <w:rFonts w:cs="Calibri"/>
                <w:sz w:val="22"/>
                <w:szCs w:val="22"/>
                <w:lang w:val="en-US" w:eastAsia="zh-CN"/>
              </w:rPr>
              <w:t>0.00</w:t>
            </w:r>
          </w:p>
        </w:tc>
        <w:tc>
          <w:tcPr>
            <w:tcW w:w="686" w:type="pct"/>
            <w:tcBorders>
              <w:top w:val="nil"/>
              <w:left w:val="nil"/>
              <w:bottom w:val="single" w:sz="4" w:space="0" w:color="auto"/>
              <w:right w:val="single" w:sz="4" w:space="0" w:color="auto"/>
            </w:tcBorders>
            <w:shd w:val="clear" w:color="auto" w:fill="auto"/>
            <w:noWrap/>
            <w:vAlign w:val="bottom"/>
            <w:hideMark/>
          </w:tcPr>
          <w:p w14:paraId="32815200" w14:textId="77777777" w:rsidR="004C18AD" w:rsidRPr="005E13E6" w:rsidRDefault="004C18AD" w:rsidP="00042C67">
            <w:pPr>
              <w:overflowPunct/>
              <w:autoSpaceDE/>
              <w:autoSpaceDN/>
              <w:adjustRightInd/>
              <w:spacing w:before="0"/>
              <w:jc w:val="right"/>
              <w:textAlignment w:val="auto"/>
              <w:rPr>
                <w:rFonts w:cs="Calibri"/>
                <w:sz w:val="22"/>
                <w:szCs w:val="22"/>
                <w:lang w:val="en-US" w:eastAsia="zh-CN"/>
              </w:rPr>
            </w:pPr>
            <w:r w:rsidRPr="005E13E6">
              <w:rPr>
                <w:rFonts w:cs="Calibri"/>
                <w:sz w:val="22"/>
                <w:szCs w:val="22"/>
                <w:lang w:val="en-US" w:eastAsia="zh-CN"/>
              </w:rPr>
              <w:t>800.00</w:t>
            </w:r>
          </w:p>
        </w:tc>
      </w:tr>
      <w:tr w:rsidR="004C18AD" w:rsidRPr="005E13E6" w14:paraId="317F7842" w14:textId="77777777" w:rsidTr="00042C67">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230224BB" w14:textId="77777777" w:rsidR="004C18AD" w:rsidRPr="005E13E6" w:rsidRDefault="004C18AD" w:rsidP="00042C67">
            <w:pPr>
              <w:overflowPunct/>
              <w:autoSpaceDE/>
              <w:autoSpaceDN/>
              <w:adjustRightInd/>
              <w:spacing w:before="0"/>
              <w:jc w:val="center"/>
              <w:textAlignment w:val="auto"/>
              <w:rPr>
                <w:rFonts w:cs="Calibri"/>
                <w:sz w:val="22"/>
                <w:szCs w:val="22"/>
                <w:lang w:val="en-US" w:eastAsia="zh-CN"/>
              </w:rPr>
            </w:pPr>
            <w:r w:rsidRPr="005E13E6">
              <w:rPr>
                <w:rFonts w:cs="Calibri"/>
                <w:sz w:val="22"/>
                <w:szCs w:val="22"/>
                <w:lang w:val="en-US" w:eastAsia="zh-CN"/>
              </w:rPr>
              <w:t>TLC 2018</w:t>
            </w:r>
          </w:p>
        </w:tc>
        <w:tc>
          <w:tcPr>
            <w:tcW w:w="796" w:type="pct"/>
            <w:tcBorders>
              <w:top w:val="nil"/>
              <w:left w:val="nil"/>
              <w:bottom w:val="single" w:sz="4" w:space="0" w:color="auto"/>
              <w:right w:val="single" w:sz="4" w:space="0" w:color="auto"/>
            </w:tcBorders>
            <w:shd w:val="clear" w:color="auto" w:fill="auto"/>
            <w:noWrap/>
            <w:vAlign w:val="bottom"/>
            <w:hideMark/>
          </w:tcPr>
          <w:p w14:paraId="2447EE15"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hint="eastAsia"/>
                <w:color w:val="000000"/>
                <w:sz w:val="22"/>
                <w:szCs w:val="22"/>
                <w:lang w:val="en-US" w:eastAsia="zh-CN"/>
              </w:rPr>
              <w:t>喀麦隆</w:t>
            </w:r>
          </w:p>
        </w:tc>
        <w:tc>
          <w:tcPr>
            <w:tcW w:w="1422" w:type="pct"/>
            <w:tcBorders>
              <w:top w:val="nil"/>
              <w:left w:val="nil"/>
              <w:bottom w:val="single" w:sz="4" w:space="0" w:color="auto"/>
              <w:right w:val="single" w:sz="4" w:space="0" w:color="auto"/>
            </w:tcBorders>
            <w:shd w:val="clear" w:color="auto" w:fill="auto"/>
            <w:noWrap/>
            <w:vAlign w:val="bottom"/>
            <w:hideMark/>
          </w:tcPr>
          <w:p w14:paraId="76854E6D"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color w:val="000000"/>
                <w:sz w:val="22"/>
                <w:szCs w:val="22"/>
                <w:lang w:val="en-US" w:eastAsia="zh-CN"/>
              </w:rPr>
              <w:t>Iplans SA</w:t>
            </w:r>
          </w:p>
        </w:tc>
        <w:tc>
          <w:tcPr>
            <w:tcW w:w="633" w:type="pct"/>
            <w:tcBorders>
              <w:top w:val="nil"/>
              <w:left w:val="nil"/>
              <w:bottom w:val="single" w:sz="4" w:space="0" w:color="auto"/>
              <w:right w:val="single" w:sz="4" w:space="0" w:color="auto"/>
            </w:tcBorders>
            <w:shd w:val="clear" w:color="auto" w:fill="auto"/>
            <w:noWrap/>
            <w:vAlign w:val="bottom"/>
            <w:hideMark/>
          </w:tcPr>
          <w:p w14:paraId="731EB1A4" w14:textId="77777777" w:rsidR="004C18AD" w:rsidRPr="005E13E6" w:rsidRDefault="004C18AD" w:rsidP="00042C67">
            <w:pPr>
              <w:overflowPunct/>
              <w:autoSpaceDE/>
              <w:autoSpaceDN/>
              <w:adjustRightInd/>
              <w:spacing w:before="0"/>
              <w:jc w:val="right"/>
              <w:textAlignment w:val="auto"/>
              <w:rPr>
                <w:rFonts w:cs="Calibri"/>
                <w:color w:val="000000"/>
                <w:sz w:val="22"/>
                <w:szCs w:val="22"/>
                <w:lang w:val="en-US" w:eastAsia="zh-CN"/>
              </w:rPr>
            </w:pPr>
            <w:r w:rsidRPr="005E13E6">
              <w:rPr>
                <w:rFonts w:cs="Calibri"/>
                <w:color w:val="000000"/>
                <w:sz w:val="22"/>
                <w:szCs w:val="22"/>
                <w:lang w:val="en-US" w:eastAsia="zh-CN"/>
              </w:rPr>
              <w:t>1 200.00</w:t>
            </w:r>
          </w:p>
        </w:tc>
        <w:tc>
          <w:tcPr>
            <w:tcW w:w="586" w:type="pct"/>
            <w:tcBorders>
              <w:top w:val="nil"/>
              <w:left w:val="nil"/>
              <w:bottom w:val="single" w:sz="4" w:space="0" w:color="auto"/>
              <w:right w:val="single" w:sz="4" w:space="0" w:color="auto"/>
            </w:tcBorders>
            <w:shd w:val="clear" w:color="auto" w:fill="auto"/>
            <w:noWrap/>
            <w:vAlign w:val="bottom"/>
            <w:hideMark/>
          </w:tcPr>
          <w:p w14:paraId="7B91DF21" w14:textId="77777777" w:rsidR="004C18AD" w:rsidRPr="005E13E6" w:rsidRDefault="004C18AD" w:rsidP="00042C67">
            <w:pPr>
              <w:overflowPunct/>
              <w:autoSpaceDE/>
              <w:autoSpaceDN/>
              <w:adjustRightInd/>
              <w:spacing w:before="0"/>
              <w:jc w:val="right"/>
              <w:textAlignment w:val="auto"/>
              <w:rPr>
                <w:rFonts w:cs="Calibri"/>
                <w:color w:val="000000"/>
                <w:sz w:val="22"/>
                <w:szCs w:val="22"/>
                <w:lang w:val="en-US" w:eastAsia="zh-CN"/>
              </w:rPr>
            </w:pPr>
            <w:r w:rsidRPr="005E13E6">
              <w:rPr>
                <w:rFonts w:cs="Calibri"/>
                <w:color w:val="000000"/>
                <w:sz w:val="22"/>
                <w:szCs w:val="22"/>
                <w:lang w:val="en-US" w:eastAsia="zh-CN"/>
              </w:rPr>
              <w:t>0.00</w:t>
            </w:r>
          </w:p>
        </w:tc>
        <w:tc>
          <w:tcPr>
            <w:tcW w:w="686" w:type="pct"/>
            <w:tcBorders>
              <w:top w:val="nil"/>
              <w:left w:val="nil"/>
              <w:bottom w:val="single" w:sz="4" w:space="0" w:color="auto"/>
              <w:right w:val="single" w:sz="4" w:space="0" w:color="auto"/>
            </w:tcBorders>
            <w:shd w:val="clear" w:color="auto" w:fill="auto"/>
            <w:noWrap/>
            <w:vAlign w:val="bottom"/>
            <w:hideMark/>
          </w:tcPr>
          <w:p w14:paraId="2629ED40" w14:textId="77777777" w:rsidR="004C18AD" w:rsidRPr="005E13E6" w:rsidRDefault="004C18AD" w:rsidP="00042C67">
            <w:pPr>
              <w:overflowPunct/>
              <w:autoSpaceDE/>
              <w:autoSpaceDN/>
              <w:adjustRightInd/>
              <w:spacing w:before="0"/>
              <w:jc w:val="right"/>
              <w:textAlignment w:val="auto"/>
              <w:rPr>
                <w:rFonts w:cs="Calibri"/>
                <w:sz w:val="22"/>
                <w:szCs w:val="22"/>
                <w:lang w:val="en-US" w:eastAsia="zh-CN"/>
              </w:rPr>
            </w:pPr>
            <w:r w:rsidRPr="005E13E6">
              <w:rPr>
                <w:rFonts w:cs="Calibri"/>
                <w:sz w:val="22"/>
                <w:szCs w:val="22"/>
                <w:lang w:val="en-US" w:eastAsia="zh-CN"/>
              </w:rPr>
              <w:t>1 200.00</w:t>
            </w:r>
          </w:p>
        </w:tc>
      </w:tr>
      <w:tr w:rsidR="004C18AD" w:rsidRPr="005E13E6" w14:paraId="2B7504D8" w14:textId="77777777" w:rsidTr="00042C67">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023544D0" w14:textId="77777777" w:rsidR="004C18AD" w:rsidRPr="005E13E6" w:rsidRDefault="004C18AD" w:rsidP="00042C67">
            <w:pPr>
              <w:overflowPunct/>
              <w:autoSpaceDE/>
              <w:autoSpaceDN/>
              <w:adjustRightInd/>
              <w:spacing w:before="0"/>
              <w:jc w:val="center"/>
              <w:textAlignment w:val="auto"/>
              <w:rPr>
                <w:rFonts w:cs="Calibri"/>
                <w:sz w:val="22"/>
                <w:szCs w:val="22"/>
                <w:lang w:val="en-US" w:eastAsia="zh-CN"/>
              </w:rPr>
            </w:pPr>
            <w:r w:rsidRPr="005E13E6">
              <w:rPr>
                <w:rFonts w:cs="Calibri"/>
                <w:sz w:val="22"/>
                <w:szCs w:val="22"/>
                <w:lang w:val="en-US" w:eastAsia="zh-CN"/>
              </w:rPr>
              <w:t>TLC 2018</w:t>
            </w:r>
          </w:p>
        </w:tc>
        <w:tc>
          <w:tcPr>
            <w:tcW w:w="796" w:type="pct"/>
            <w:tcBorders>
              <w:top w:val="nil"/>
              <w:left w:val="nil"/>
              <w:bottom w:val="single" w:sz="4" w:space="0" w:color="auto"/>
              <w:right w:val="single" w:sz="4" w:space="0" w:color="auto"/>
            </w:tcBorders>
            <w:shd w:val="clear" w:color="auto" w:fill="auto"/>
            <w:noWrap/>
            <w:vAlign w:val="bottom"/>
            <w:hideMark/>
          </w:tcPr>
          <w:p w14:paraId="509D81F4"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hint="eastAsia"/>
                <w:color w:val="000000"/>
                <w:sz w:val="22"/>
                <w:szCs w:val="22"/>
                <w:lang w:val="en-US" w:eastAsia="zh-CN"/>
              </w:rPr>
              <w:t>英国</w:t>
            </w:r>
          </w:p>
        </w:tc>
        <w:tc>
          <w:tcPr>
            <w:tcW w:w="1422" w:type="pct"/>
            <w:tcBorders>
              <w:top w:val="nil"/>
              <w:left w:val="nil"/>
              <w:bottom w:val="single" w:sz="4" w:space="0" w:color="auto"/>
              <w:right w:val="single" w:sz="4" w:space="0" w:color="auto"/>
            </w:tcBorders>
            <w:shd w:val="clear" w:color="auto" w:fill="auto"/>
            <w:noWrap/>
            <w:vAlign w:val="bottom"/>
            <w:hideMark/>
          </w:tcPr>
          <w:p w14:paraId="458F55CB"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color w:val="000000"/>
                <w:sz w:val="22"/>
                <w:szCs w:val="22"/>
                <w:lang w:val="en-US" w:eastAsia="zh-CN"/>
              </w:rPr>
              <w:t>Quika Limited</w:t>
            </w:r>
          </w:p>
        </w:tc>
        <w:tc>
          <w:tcPr>
            <w:tcW w:w="633" w:type="pct"/>
            <w:tcBorders>
              <w:top w:val="nil"/>
              <w:left w:val="nil"/>
              <w:bottom w:val="single" w:sz="4" w:space="0" w:color="auto"/>
              <w:right w:val="single" w:sz="4" w:space="0" w:color="auto"/>
            </w:tcBorders>
            <w:shd w:val="clear" w:color="auto" w:fill="auto"/>
            <w:noWrap/>
            <w:vAlign w:val="bottom"/>
            <w:hideMark/>
          </w:tcPr>
          <w:p w14:paraId="26DB29A9" w14:textId="77777777" w:rsidR="004C18AD" w:rsidRPr="005E13E6" w:rsidRDefault="004C18AD" w:rsidP="00042C67">
            <w:pPr>
              <w:overflowPunct/>
              <w:autoSpaceDE/>
              <w:autoSpaceDN/>
              <w:adjustRightInd/>
              <w:spacing w:before="0"/>
              <w:jc w:val="right"/>
              <w:textAlignment w:val="auto"/>
              <w:rPr>
                <w:rFonts w:cs="Calibri"/>
                <w:color w:val="000000"/>
                <w:sz w:val="22"/>
                <w:szCs w:val="22"/>
                <w:lang w:val="en-US" w:eastAsia="zh-CN"/>
              </w:rPr>
            </w:pPr>
            <w:r w:rsidRPr="005E13E6">
              <w:rPr>
                <w:rFonts w:cs="Calibri"/>
                <w:color w:val="000000"/>
                <w:sz w:val="22"/>
                <w:szCs w:val="22"/>
                <w:lang w:val="en-US" w:eastAsia="zh-CN"/>
              </w:rPr>
              <w:t>31 800.00</w:t>
            </w:r>
          </w:p>
        </w:tc>
        <w:tc>
          <w:tcPr>
            <w:tcW w:w="586" w:type="pct"/>
            <w:tcBorders>
              <w:top w:val="nil"/>
              <w:left w:val="nil"/>
              <w:bottom w:val="single" w:sz="4" w:space="0" w:color="auto"/>
              <w:right w:val="single" w:sz="4" w:space="0" w:color="auto"/>
            </w:tcBorders>
            <w:shd w:val="clear" w:color="auto" w:fill="auto"/>
            <w:noWrap/>
            <w:vAlign w:val="bottom"/>
            <w:hideMark/>
          </w:tcPr>
          <w:p w14:paraId="40D9F4DD" w14:textId="77777777" w:rsidR="004C18AD" w:rsidRPr="005E13E6" w:rsidRDefault="004C18AD" w:rsidP="00042C67">
            <w:pPr>
              <w:overflowPunct/>
              <w:autoSpaceDE/>
              <w:autoSpaceDN/>
              <w:adjustRightInd/>
              <w:spacing w:before="0"/>
              <w:jc w:val="right"/>
              <w:textAlignment w:val="auto"/>
              <w:rPr>
                <w:rFonts w:cs="Calibri"/>
                <w:color w:val="000000"/>
                <w:sz w:val="22"/>
                <w:szCs w:val="22"/>
                <w:lang w:val="en-US" w:eastAsia="zh-CN"/>
              </w:rPr>
            </w:pPr>
            <w:r w:rsidRPr="005E13E6">
              <w:rPr>
                <w:rFonts w:cs="Calibri"/>
                <w:color w:val="000000"/>
                <w:sz w:val="22"/>
                <w:szCs w:val="22"/>
                <w:lang w:val="en-US" w:eastAsia="zh-CN"/>
              </w:rPr>
              <w:t>0.00</w:t>
            </w:r>
          </w:p>
        </w:tc>
        <w:tc>
          <w:tcPr>
            <w:tcW w:w="686" w:type="pct"/>
            <w:tcBorders>
              <w:top w:val="nil"/>
              <w:left w:val="nil"/>
              <w:bottom w:val="single" w:sz="4" w:space="0" w:color="auto"/>
              <w:right w:val="single" w:sz="4" w:space="0" w:color="auto"/>
            </w:tcBorders>
            <w:shd w:val="clear" w:color="auto" w:fill="auto"/>
            <w:noWrap/>
            <w:vAlign w:val="bottom"/>
            <w:hideMark/>
          </w:tcPr>
          <w:p w14:paraId="04938C2B" w14:textId="77777777" w:rsidR="004C18AD" w:rsidRPr="005E13E6" w:rsidRDefault="004C18AD" w:rsidP="00042C67">
            <w:pPr>
              <w:overflowPunct/>
              <w:autoSpaceDE/>
              <w:autoSpaceDN/>
              <w:adjustRightInd/>
              <w:spacing w:before="0"/>
              <w:jc w:val="right"/>
              <w:textAlignment w:val="auto"/>
              <w:rPr>
                <w:rFonts w:cs="Calibri"/>
                <w:sz w:val="22"/>
                <w:szCs w:val="22"/>
                <w:lang w:val="en-US" w:eastAsia="zh-CN"/>
              </w:rPr>
            </w:pPr>
            <w:r w:rsidRPr="005E13E6">
              <w:rPr>
                <w:rFonts w:cs="Calibri"/>
                <w:sz w:val="22"/>
                <w:szCs w:val="22"/>
                <w:lang w:val="en-US" w:eastAsia="zh-CN"/>
              </w:rPr>
              <w:t>31 800.00</w:t>
            </w:r>
          </w:p>
        </w:tc>
      </w:tr>
      <w:tr w:rsidR="004C18AD" w:rsidRPr="005E13E6" w14:paraId="3C6FCD14" w14:textId="77777777" w:rsidTr="00042C67">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4347A74A" w14:textId="77777777" w:rsidR="004C18AD" w:rsidRPr="005E13E6" w:rsidRDefault="004C18AD" w:rsidP="00042C67">
            <w:pPr>
              <w:overflowPunct/>
              <w:autoSpaceDE/>
              <w:autoSpaceDN/>
              <w:adjustRightInd/>
              <w:spacing w:before="0"/>
              <w:jc w:val="center"/>
              <w:textAlignment w:val="auto"/>
              <w:rPr>
                <w:rFonts w:cs="Calibri"/>
                <w:color w:val="000000"/>
                <w:sz w:val="22"/>
                <w:szCs w:val="22"/>
                <w:lang w:val="en-US" w:eastAsia="zh-CN"/>
              </w:rPr>
            </w:pPr>
            <w:r w:rsidRPr="005E13E6">
              <w:rPr>
                <w:rFonts w:cs="Calibri"/>
                <w:color w:val="000000"/>
                <w:sz w:val="22"/>
                <w:szCs w:val="22"/>
                <w:lang w:val="en-US" w:eastAsia="zh-CN"/>
              </w:rPr>
              <w:t> </w:t>
            </w:r>
          </w:p>
        </w:tc>
        <w:tc>
          <w:tcPr>
            <w:tcW w:w="796" w:type="pct"/>
            <w:tcBorders>
              <w:top w:val="nil"/>
              <w:left w:val="nil"/>
              <w:bottom w:val="single" w:sz="4" w:space="0" w:color="auto"/>
              <w:right w:val="single" w:sz="4" w:space="0" w:color="auto"/>
            </w:tcBorders>
            <w:shd w:val="clear" w:color="auto" w:fill="auto"/>
            <w:noWrap/>
            <w:vAlign w:val="bottom"/>
            <w:hideMark/>
          </w:tcPr>
          <w:p w14:paraId="2EE98D0A"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color w:val="000000"/>
                <w:sz w:val="22"/>
                <w:szCs w:val="22"/>
                <w:lang w:val="en-US" w:eastAsia="zh-CN"/>
              </w:rPr>
              <w:t> </w:t>
            </w:r>
          </w:p>
        </w:tc>
        <w:tc>
          <w:tcPr>
            <w:tcW w:w="1422" w:type="pct"/>
            <w:tcBorders>
              <w:top w:val="nil"/>
              <w:left w:val="nil"/>
              <w:bottom w:val="single" w:sz="4" w:space="0" w:color="auto"/>
              <w:right w:val="single" w:sz="4" w:space="0" w:color="auto"/>
            </w:tcBorders>
            <w:shd w:val="clear" w:color="auto" w:fill="auto"/>
            <w:noWrap/>
            <w:vAlign w:val="bottom"/>
            <w:hideMark/>
          </w:tcPr>
          <w:p w14:paraId="50D4733A"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color w:val="000000"/>
                <w:sz w:val="22"/>
                <w:szCs w:val="22"/>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14:paraId="01555390"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color w:val="000000"/>
                <w:sz w:val="22"/>
                <w:szCs w:val="22"/>
                <w:lang w:val="en-US" w:eastAsia="zh-CN"/>
              </w:rPr>
              <w:t> </w:t>
            </w:r>
          </w:p>
        </w:tc>
        <w:tc>
          <w:tcPr>
            <w:tcW w:w="586" w:type="pct"/>
            <w:tcBorders>
              <w:top w:val="nil"/>
              <w:left w:val="nil"/>
              <w:bottom w:val="single" w:sz="4" w:space="0" w:color="auto"/>
              <w:right w:val="single" w:sz="4" w:space="0" w:color="auto"/>
            </w:tcBorders>
            <w:shd w:val="clear" w:color="auto" w:fill="auto"/>
            <w:noWrap/>
            <w:vAlign w:val="bottom"/>
            <w:hideMark/>
          </w:tcPr>
          <w:p w14:paraId="41736679"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color w:val="000000"/>
                <w:sz w:val="22"/>
                <w:szCs w:val="22"/>
                <w:lang w:val="en-US" w:eastAsia="zh-CN"/>
              </w:rPr>
              <w:t> </w:t>
            </w:r>
          </w:p>
        </w:tc>
        <w:tc>
          <w:tcPr>
            <w:tcW w:w="686" w:type="pct"/>
            <w:tcBorders>
              <w:top w:val="nil"/>
              <w:left w:val="nil"/>
              <w:bottom w:val="single" w:sz="4" w:space="0" w:color="auto"/>
              <w:right w:val="single" w:sz="4" w:space="0" w:color="auto"/>
            </w:tcBorders>
            <w:shd w:val="clear" w:color="auto" w:fill="auto"/>
            <w:noWrap/>
            <w:vAlign w:val="bottom"/>
            <w:hideMark/>
          </w:tcPr>
          <w:p w14:paraId="032EFB6A"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color w:val="000000"/>
                <w:sz w:val="22"/>
                <w:szCs w:val="22"/>
                <w:lang w:val="en-US" w:eastAsia="zh-CN"/>
              </w:rPr>
              <w:t> </w:t>
            </w:r>
          </w:p>
        </w:tc>
      </w:tr>
      <w:tr w:rsidR="004C18AD" w:rsidRPr="005E13E6" w14:paraId="24244A0D" w14:textId="77777777" w:rsidTr="00042C67">
        <w:trPr>
          <w:trHeight w:val="300"/>
        </w:trPr>
        <w:tc>
          <w:tcPr>
            <w:tcW w:w="878" w:type="pct"/>
            <w:tcBorders>
              <w:top w:val="nil"/>
              <w:left w:val="single" w:sz="4" w:space="0" w:color="auto"/>
              <w:bottom w:val="single" w:sz="4" w:space="0" w:color="auto"/>
              <w:right w:val="single" w:sz="4" w:space="0" w:color="auto"/>
            </w:tcBorders>
            <w:shd w:val="clear" w:color="auto" w:fill="auto"/>
            <w:noWrap/>
            <w:vAlign w:val="bottom"/>
            <w:hideMark/>
          </w:tcPr>
          <w:p w14:paraId="281B3B41" w14:textId="77777777" w:rsidR="004C18AD" w:rsidRPr="005E13E6" w:rsidRDefault="004C18AD" w:rsidP="00042C67">
            <w:pPr>
              <w:overflowPunct/>
              <w:autoSpaceDE/>
              <w:autoSpaceDN/>
              <w:adjustRightInd/>
              <w:spacing w:before="0"/>
              <w:jc w:val="center"/>
              <w:textAlignment w:val="auto"/>
              <w:rPr>
                <w:rFonts w:cs="Calibri"/>
                <w:sz w:val="22"/>
                <w:szCs w:val="22"/>
                <w:lang w:val="en-US" w:eastAsia="zh-CN"/>
              </w:rPr>
            </w:pPr>
            <w:r w:rsidRPr="005E13E6">
              <w:rPr>
                <w:rFonts w:cs="Calibri"/>
                <w:sz w:val="22"/>
                <w:szCs w:val="22"/>
                <w:lang w:val="en-US" w:eastAsia="zh-CN"/>
              </w:rPr>
              <w:t>TLC 2018</w:t>
            </w:r>
          </w:p>
        </w:tc>
        <w:tc>
          <w:tcPr>
            <w:tcW w:w="796" w:type="pct"/>
            <w:tcBorders>
              <w:top w:val="nil"/>
              <w:left w:val="nil"/>
              <w:bottom w:val="single" w:sz="4" w:space="0" w:color="auto"/>
              <w:right w:val="single" w:sz="4" w:space="0" w:color="auto"/>
            </w:tcBorders>
            <w:shd w:val="clear" w:color="auto" w:fill="auto"/>
            <w:noWrap/>
            <w:vAlign w:val="bottom"/>
            <w:hideMark/>
          </w:tcPr>
          <w:p w14:paraId="37BD05EE"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color w:val="000000"/>
                <w:sz w:val="22"/>
                <w:szCs w:val="22"/>
                <w:lang w:val="en-US" w:eastAsia="zh-CN"/>
              </w:rPr>
              <w:t> </w:t>
            </w:r>
          </w:p>
        </w:tc>
        <w:tc>
          <w:tcPr>
            <w:tcW w:w="1422" w:type="pct"/>
            <w:tcBorders>
              <w:top w:val="nil"/>
              <w:left w:val="nil"/>
              <w:bottom w:val="single" w:sz="4" w:space="0" w:color="auto"/>
              <w:right w:val="single" w:sz="4" w:space="0" w:color="auto"/>
            </w:tcBorders>
            <w:shd w:val="clear" w:color="auto" w:fill="auto"/>
            <w:noWrap/>
            <w:vAlign w:val="bottom"/>
            <w:hideMark/>
          </w:tcPr>
          <w:p w14:paraId="699942B7"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color w:val="000000"/>
                <w:sz w:val="22"/>
                <w:szCs w:val="22"/>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14:paraId="37A15CB8" w14:textId="77777777" w:rsidR="004C18AD" w:rsidRPr="005E13E6" w:rsidRDefault="004C18AD" w:rsidP="00042C67">
            <w:pPr>
              <w:overflowPunct/>
              <w:autoSpaceDE/>
              <w:autoSpaceDN/>
              <w:adjustRightInd/>
              <w:spacing w:before="0"/>
              <w:textAlignment w:val="auto"/>
              <w:rPr>
                <w:rFonts w:cs="Calibri"/>
                <w:color w:val="000000"/>
                <w:sz w:val="22"/>
                <w:szCs w:val="22"/>
                <w:lang w:val="en-US" w:eastAsia="zh-CN"/>
              </w:rPr>
            </w:pPr>
            <w:r w:rsidRPr="005E13E6">
              <w:rPr>
                <w:rFonts w:cs="Calibri"/>
                <w:color w:val="000000"/>
                <w:sz w:val="22"/>
                <w:szCs w:val="22"/>
                <w:lang w:val="en-US" w:eastAsia="zh-CN"/>
              </w:rPr>
              <w:t> </w:t>
            </w:r>
          </w:p>
        </w:tc>
        <w:tc>
          <w:tcPr>
            <w:tcW w:w="586" w:type="pct"/>
            <w:tcBorders>
              <w:top w:val="nil"/>
              <w:left w:val="nil"/>
              <w:bottom w:val="single" w:sz="4" w:space="0" w:color="auto"/>
              <w:right w:val="single" w:sz="4" w:space="0" w:color="auto"/>
            </w:tcBorders>
            <w:shd w:val="clear" w:color="auto" w:fill="auto"/>
            <w:noWrap/>
            <w:vAlign w:val="bottom"/>
            <w:hideMark/>
          </w:tcPr>
          <w:p w14:paraId="446ECA72" w14:textId="77777777" w:rsidR="004C18AD" w:rsidRPr="005E13E6" w:rsidRDefault="004C18AD" w:rsidP="00042C67">
            <w:pPr>
              <w:overflowPunct/>
              <w:autoSpaceDE/>
              <w:autoSpaceDN/>
              <w:adjustRightInd/>
              <w:spacing w:before="0"/>
              <w:textAlignment w:val="auto"/>
              <w:rPr>
                <w:rFonts w:cs="Calibri"/>
                <w:b/>
                <w:bCs/>
                <w:sz w:val="22"/>
                <w:szCs w:val="22"/>
                <w:lang w:val="en-US" w:eastAsia="zh-CN"/>
              </w:rPr>
            </w:pPr>
            <w:r w:rsidRPr="005E13E6">
              <w:rPr>
                <w:rFonts w:cs="Calibri"/>
                <w:b/>
                <w:bCs/>
                <w:sz w:val="22"/>
                <w:szCs w:val="22"/>
                <w:lang w:val="en-US" w:eastAsia="zh-CN"/>
              </w:rPr>
              <w:t> </w:t>
            </w:r>
          </w:p>
        </w:tc>
        <w:tc>
          <w:tcPr>
            <w:tcW w:w="686" w:type="pct"/>
            <w:tcBorders>
              <w:top w:val="nil"/>
              <w:left w:val="nil"/>
              <w:bottom w:val="single" w:sz="4" w:space="0" w:color="auto"/>
              <w:right w:val="single" w:sz="4" w:space="0" w:color="auto"/>
            </w:tcBorders>
            <w:shd w:val="clear" w:color="auto" w:fill="auto"/>
            <w:noWrap/>
            <w:vAlign w:val="bottom"/>
            <w:hideMark/>
          </w:tcPr>
          <w:p w14:paraId="69595BD1" w14:textId="77777777" w:rsidR="004C18AD" w:rsidRPr="005E13E6" w:rsidRDefault="004C18AD" w:rsidP="00042C67">
            <w:pPr>
              <w:overflowPunct/>
              <w:autoSpaceDE/>
              <w:autoSpaceDN/>
              <w:adjustRightInd/>
              <w:spacing w:before="0"/>
              <w:jc w:val="right"/>
              <w:textAlignment w:val="auto"/>
              <w:rPr>
                <w:rFonts w:cs="Calibri"/>
                <w:b/>
                <w:bCs/>
                <w:sz w:val="22"/>
                <w:szCs w:val="22"/>
                <w:lang w:val="en-US" w:eastAsia="zh-CN"/>
              </w:rPr>
            </w:pPr>
            <w:r w:rsidRPr="005E13E6">
              <w:rPr>
                <w:rFonts w:cs="Calibri"/>
                <w:b/>
                <w:bCs/>
                <w:sz w:val="22"/>
                <w:szCs w:val="22"/>
                <w:lang w:val="en-US" w:eastAsia="zh-CN"/>
              </w:rPr>
              <w:t>33 800.00</w:t>
            </w:r>
          </w:p>
        </w:tc>
      </w:tr>
    </w:tbl>
    <w:p w14:paraId="1F39A87F" w14:textId="77777777" w:rsidR="004C18AD" w:rsidRPr="005E13E6" w:rsidRDefault="004C18AD" w:rsidP="004C18AD">
      <w:pPr>
        <w:overflowPunct/>
        <w:autoSpaceDE/>
        <w:autoSpaceDN/>
        <w:adjustRightInd/>
        <w:spacing w:before="0"/>
        <w:textAlignment w:val="auto"/>
        <w:rPr>
          <w:rFonts w:cs="Calibri"/>
          <w:sz w:val="22"/>
          <w:szCs w:val="22"/>
          <w:lang w:val="en-US"/>
        </w:rPr>
      </w:pPr>
    </w:p>
    <w:tbl>
      <w:tblPr>
        <w:tblStyle w:val="TableGrid"/>
        <w:tblW w:w="5000" w:type="pct"/>
        <w:tblLayout w:type="fixed"/>
        <w:tblLook w:val="04A0" w:firstRow="1" w:lastRow="0" w:firstColumn="1" w:lastColumn="0" w:noHBand="0" w:noVBand="1"/>
      </w:tblPr>
      <w:tblGrid>
        <w:gridCol w:w="1692"/>
        <w:gridCol w:w="1568"/>
        <w:gridCol w:w="2740"/>
        <w:gridCol w:w="1304"/>
        <w:gridCol w:w="1150"/>
        <w:gridCol w:w="1175"/>
      </w:tblGrid>
      <w:tr w:rsidR="004C18AD" w:rsidRPr="005E13E6" w14:paraId="431866C5" w14:textId="77777777" w:rsidTr="00042C67">
        <w:trPr>
          <w:trHeight w:val="300"/>
        </w:trPr>
        <w:tc>
          <w:tcPr>
            <w:tcW w:w="878" w:type="pct"/>
            <w:noWrap/>
            <w:hideMark/>
          </w:tcPr>
          <w:p w14:paraId="0201C677" w14:textId="77777777" w:rsidR="004C18AD" w:rsidRPr="005E13E6" w:rsidRDefault="004C18AD" w:rsidP="00042C67">
            <w:pPr>
              <w:overflowPunct/>
              <w:autoSpaceDE/>
              <w:autoSpaceDN/>
              <w:adjustRightInd/>
              <w:spacing w:before="0"/>
              <w:jc w:val="center"/>
              <w:textAlignment w:val="auto"/>
              <w:rPr>
                <w:rFonts w:eastAsia="SimSun" w:cs="Calibri"/>
                <w:b/>
                <w:bCs/>
                <w:sz w:val="22"/>
                <w:lang w:val="en-US" w:eastAsia="zh-CN"/>
              </w:rPr>
            </w:pPr>
            <w:r w:rsidRPr="005E13E6">
              <w:rPr>
                <w:rFonts w:eastAsia="SimSun" w:cs="Calibri" w:hint="eastAsia"/>
                <w:b/>
                <w:bCs/>
                <w:sz w:val="22"/>
              </w:rPr>
              <w:t>活动</w:t>
            </w:r>
          </w:p>
        </w:tc>
        <w:tc>
          <w:tcPr>
            <w:tcW w:w="814" w:type="pct"/>
            <w:noWrap/>
            <w:hideMark/>
          </w:tcPr>
          <w:p w14:paraId="19276ACC" w14:textId="77777777" w:rsidR="004C18AD" w:rsidRPr="005E13E6" w:rsidRDefault="004C18AD" w:rsidP="00042C67">
            <w:pPr>
              <w:overflowPunct/>
              <w:autoSpaceDE/>
              <w:autoSpaceDN/>
              <w:adjustRightInd/>
              <w:spacing w:before="0"/>
              <w:jc w:val="center"/>
              <w:textAlignment w:val="auto"/>
              <w:rPr>
                <w:rFonts w:eastAsia="SimSun" w:cs="Calibri"/>
                <w:b/>
                <w:bCs/>
                <w:sz w:val="22"/>
                <w:lang w:val="en-US" w:eastAsia="zh-CN"/>
              </w:rPr>
            </w:pPr>
            <w:r w:rsidRPr="005E13E6">
              <w:rPr>
                <w:rFonts w:eastAsia="SimSun" w:cs="Calibri" w:hint="eastAsia"/>
                <w:b/>
                <w:bCs/>
                <w:sz w:val="22"/>
              </w:rPr>
              <w:t>国家</w:t>
            </w:r>
          </w:p>
        </w:tc>
        <w:tc>
          <w:tcPr>
            <w:tcW w:w="1423" w:type="pct"/>
            <w:noWrap/>
            <w:hideMark/>
          </w:tcPr>
          <w:p w14:paraId="1838C3FE" w14:textId="77777777" w:rsidR="004C18AD" w:rsidRPr="005E13E6" w:rsidRDefault="004C18AD" w:rsidP="00042C67">
            <w:pPr>
              <w:overflowPunct/>
              <w:autoSpaceDE/>
              <w:autoSpaceDN/>
              <w:adjustRightInd/>
              <w:spacing w:before="0"/>
              <w:jc w:val="center"/>
              <w:textAlignment w:val="auto"/>
              <w:rPr>
                <w:rFonts w:eastAsia="SimSun" w:cs="Calibri"/>
                <w:b/>
                <w:bCs/>
                <w:sz w:val="22"/>
                <w:lang w:val="en-US" w:eastAsia="zh-CN"/>
              </w:rPr>
            </w:pPr>
            <w:r w:rsidRPr="005E13E6">
              <w:rPr>
                <w:rFonts w:eastAsia="SimSun" w:cs="Calibri" w:hint="eastAsia"/>
                <w:b/>
                <w:bCs/>
                <w:sz w:val="22"/>
              </w:rPr>
              <w:t>公司</w:t>
            </w:r>
          </w:p>
        </w:tc>
        <w:tc>
          <w:tcPr>
            <w:tcW w:w="677" w:type="pct"/>
            <w:noWrap/>
            <w:hideMark/>
          </w:tcPr>
          <w:p w14:paraId="54C3B460" w14:textId="77777777" w:rsidR="004C18AD" w:rsidRPr="005E13E6" w:rsidRDefault="004C18AD" w:rsidP="00042C67">
            <w:pPr>
              <w:overflowPunct/>
              <w:autoSpaceDE/>
              <w:autoSpaceDN/>
              <w:adjustRightInd/>
              <w:spacing w:before="0"/>
              <w:jc w:val="center"/>
              <w:textAlignment w:val="auto"/>
              <w:rPr>
                <w:rFonts w:eastAsia="SimSun" w:cs="Calibri"/>
                <w:b/>
                <w:bCs/>
                <w:sz w:val="22"/>
                <w:lang w:val="en-US" w:eastAsia="zh-CN"/>
              </w:rPr>
            </w:pPr>
            <w:r w:rsidRPr="005E13E6">
              <w:rPr>
                <w:rFonts w:eastAsia="SimSun" w:cs="Calibri" w:hint="eastAsia"/>
                <w:b/>
                <w:bCs/>
                <w:sz w:val="22"/>
              </w:rPr>
              <w:t>发票金额</w:t>
            </w:r>
          </w:p>
        </w:tc>
        <w:tc>
          <w:tcPr>
            <w:tcW w:w="597" w:type="pct"/>
            <w:noWrap/>
            <w:hideMark/>
          </w:tcPr>
          <w:p w14:paraId="72EB9D31" w14:textId="77777777" w:rsidR="004C18AD" w:rsidRPr="005E13E6" w:rsidRDefault="004C18AD" w:rsidP="00042C67">
            <w:pPr>
              <w:overflowPunct/>
              <w:autoSpaceDE/>
              <w:autoSpaceDN/>
              <w:adjustRightInd/>
              <w:spacing w:before="0"/>
              <w:jc w:val="center"/>
              <w:textAlignment w:val="auto"/>
              <w:rPr>
                <w:rFonts w:eastAsia="SimSun" w:cs="Calibri"/>
                <w:b/>
                <w:bCs/>
                <w:sz w:val="22"/>
                <w:lang w:val="en-US" w:eastAsia="zh-CN"/>
              </w:rPr>
            </w:pPr>
            <w:r w:rsidRPr="005E13E6">
              <w:rPr>
                <w:rFonts w:eastAsia="SimSun" w:cs="Calibri" w:hint="eastAsia"/>
                <w:b/>
                <w:bCs/>
                <w:sz w:val="22"/>
              </w:rPr>
              <w:t>收到付款</w:t>
            </w:r>
          </w:p>
        </w:tc>
        <w:tc>
          <w:tcPr>
            <w:tcW w:w="610" w:type="pct"/>
            <w:noWrap/>
            <w:hideMark/>
          </w:tcPr>
          <w:p w14:paraId="53FA443B" w14:textId="77777777" w:rsidR="004C18AD" w:rsidRPr="005E13E6" w:rsidRDefault="004C18AD" w:rsidP="00042C67">
            <w:pPr>
              <w:overflowPunct/>
              <w:autoSpaceDE/>
              <w:autoSpaceDN/>
              <w:adjustRightInd/>
              <w:spacing w:before="0"/>
              <w:jc w:val="center"/>
              <w:textAlignment w:val="auto"/>
              <w:rPr>
                <w:rFonts w:eastAsia="SimSun" w:cs="Calibri"/>
                <w:b/>
                <w:bCs/>
                <w:sz w:val="22"/>
                <w:lang w:val="en-US" w:eastAsia="zh-CN"/>
              </w:rPr>
            </w:pPr>
            <w:r w:rsidRPr="005E13E6">
              <w:rPr>
                <w:rFonts w:eastAsia="SimSun" w:cs="Calibri" w:hint="eastAsia"/>
                <w:b/>
                <w:bCs/>
                <w:sz w:val="22"/>
              </w:rPr>
              <w:t>欠款金额</w:t>
            </w:r>
          </w:p>
        </w:tc>
      </w:tr>
      <w:tr w:rsidR="004C18AD" w:rsidRPr="005E13E6" w14:paraId="186A989D" w14:textId="77777777" w:rsidTr="00042C67">
        <w:trPr>
          <w:trHeight w:val="300"/>
        </w:trPr>
        <w:tc>
          <w:tcPr>
            <w:tcW w:w="878" w:type="pct"/>
            <w:noWrap/>
            <w:hideMark/>
          </w:tcPr>
          <w:p w14:paraId="1A2B7D85" w14:textId="77777777" w:rsidR="004C18AD" w:rsidRPr="005E13E6" w:rsidRDefault="004C18AD" w:rsidP="00042C67">
            <w:pPr>
              <w:overflowPunct/>
              <w:autoSpaceDE/>
              <w:autoSpaceDN/>
              <w:adjustRightInd/>
              <w:spacing w:before="0"/>
              <w:textAlignment w:val="auto"/>
              <w:rPr>
                <w:rFonts w:eastAsia="SimSun" w:cs="Calibri"/>
                <w:b/>
                <w:bCs/>
                <w:sz w:val="22"/>
              </w:rPr>
            </w:pPr>
            <w:r w:rsidRPr="005E13E6">
              <w:rPr>
                <w:rFonts w:eastAsia="SimSun" w:cs="Calibri"/>
                <w:b/>
                <w:bCs/>
                <w:sz w:val="22"/>
              </w:rPr>
              <w:t> </w:t>
            </w:r>
          </w:p>
        </w:tc>
        <w:tc>
          <w:tcPr>
            <w:tcW w:w="814" w:type="pct"/>
            <w:noWrap/>
            <w:hideMark/>
          </w:tcPr>
          <w:p w14:paraId="117B04A7" w14:textId="77777777" w:rsidR="004C18AD" w:rsidRPr="005E13E6" w:rsidRDefault="004C18AD" w:rsidP="00042C67">
            <w:pPr>
              <w:overflowPunct/>
              <w:autoSpaceDE/>
              <w:autoSpaceDN/>
              <w:adjustRightInd/>
              <w:spacing w:before="0"/>
              <w:textAlignment w:val="auto"/>
              <w:rPr>
                <w:rFonts w:eastAsia="SimSun" w:cs="Calibri"/>
                <w:b/>
                <w:bCs/>
                <w:sz w:val="22"/>
              </w:rPr>
            </w:pPr>
            <w:r w:rsidRPr="005E13E6">
              <w:rPr>
                <w:rFonts w:eastAsia="SimSun" w:cs="Calibri"/>
                <w:b/>
                <w:bCs/>
                <w:sz w:val="22"/>
              </w:rPr>
              <w:t> </w:t>
            </w:r>
          </w:p>
        </w:tc>
        <w:tc>
          <w:tcPr>
            <w:tcW w:w="1423" w:type="pct"/>
            <w:noWrap/>
            <w:hideMark/>
          </w:tcPr>
          <w:p w14:paraId="376E2A06"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 </w:t>
            </w:r>
          </w:p>
        </w:tc>
        <w:tc>
          <w:tcPr>
            <w:tcW w:w="677" w:type="pct"/>
            <w:noWrap/>
            <w:hideMark/>
          </w:tcPr>
          <w:p w14:paraId="184EFA3B"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 </w:t>
            </w:r>
          </w:p>
        </w:tc>
        <w:tc>
          <w:tcPr>
            <w:tcW w:w="597" w:type="pct"/>
            <w:noWrap/>
            <w:hideMark/>
          </w:tcPr>
          <w:p w14:paraId="28E258F1"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 </w:t>
            </w:r>
          </w:p>
        </w:tc>
        <w:tc>
          <w:tcPr>
            <w:tcW w:w="610" w:type="pct"/>
            <w:noWrap/>
            <w:hideMark/>
          </w:tcPr>
          <w:p w14:paraId="0E7ACF2D"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 </w:t>
            </w:r>
          </w:p>
        </w:tc>
      </w:tr>
      <w:tr w:rsidR="004C18AD" w:rsidRPr="005E13E6" w14:paraId="2D11B540" w14:textId="77777777" w:rsidTr="00042C67">
        <w:trPr>
          <w:trHeight w:val="300"/>
        </w:trPr>
        <w:tc>
          <w:tcPr>
            <w:tcW w:w="878" w:type="pct"/>
            <w:noWrap/>
            <w:hideMark/>
          </w:tcPr>
          <w:p w14:paraId="4C6D7967" w14:textId="77777777" w:rsidR="004C18AD" w:rsidRPr="005E13E6" w:rsidRDefault="004C18AD" w:rsidP="00042C67">
            <w:pPr>
              <w:overflowPunct/>
              <w:autoSpaceDE/>
              <w:autoSpaceDN/>
              <w:adjustRightInd/>
              <w:spacing w:before="0"/>
              <w:textAlignment w:val="auto"/>
              <w:rPr>
                <w:rFonts w:eastAsia="SimSun" w:cs="Calibri"/>
                <w:sz w:val="22"/>
              </w:rPr>
            </w:pPr>
            <w:bookmarkStart w:id="1470" w:name="_Hlk40865933"/>
            <w:r w:rsidRPr="005E13E6">
              <w:rPr>
                <w:rFonts w:eastAsia="SimSun" w:cs="Calibri"/>
                <w:sz w:val="22"/>
              </w:rPr>
              <w:t>TLC 2019</w:t>
            </w:r>
          </w:p>
        </w:tc>
        <w:tc>
          <w:tcPr>
            <w:tcW w:w="814" w:type="pct"/>
            <w:noWrap/>
            <w:hideMark/>
          </w:tcPr>
          <w:p w14:paraId="1ED7515E"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刚果</w:t>
            </w:r>
          </w:p>
        </w:tc>
        <w:tc>
          <w:tcPr>
            <w:tcW w:w="1423" w:type="pct"/>
            <w:noWrap/>
            <w:hideMark/>
          </w:tcPr>
          <w:p w14:paraId="45593AAC" w14:textId="77777777" w:rsidR="004C18AD" w:rsidRPr="0076544D" w:rsidRDefault="004C18AD" w:rsidP="00042C67">
            <w:pPr>
              <w:overflowPunct/>
              <w:autoSpaceDE/>
              <w:autoSpaceDN/>
              <w:adjustRightInd/>
              <w:spacing w:before="0"/>
              <w:textAlignment w:val="auto"/>
              <w:rPr>
                <w:rFonts w:eastAsia="SimSun" w:cs="Calibri"/>
                <w:sz w:val="22"/>
                <w:lang w:eastAsia="zh-CN"/>
              </w:rPr>
            </w:pPr>
            <w:r w:rsidRPr="005E13E6">
              <w:rPr>
                <w:rFonts w:eastAsia="SimSun" w:cs="Calibri" w:hint="eastAsia"/>
                <w:sz w:val="22"/>
                <w:lang w:val="fr-FR" w:eastAsia="zh-CN"/>
              </w:rPr>
              <w:t>综合发展中心</w:t>
            </w:r>
            <w:r w:rsidRPr="0076544D">
              <w:rPr>
                <w:rFonts w:eastAsia="SimSun" w:cs="Calibri" w:hint="eastAsia"/>
                <w:sz w:val="22"/>
                <w:lang w:eastAsia="zh-CN"/>
              </w:rPr>
              <w:t>（</w:t>
            </w:r>
            <w:r w:rsidRPr="0076544D">
              <w:rPr>
                <w:rFonts w:eastAsia="SimSun" w:cs="Calibri" w:hint="eastAsia"/>
                <w:sz w:val="22"/>
                <w:lang w:eastAsia="zh-CN"/>
              </w:rPr>
              <w:t>IDC</w:t>
            </w:r>
            <w:r w:rsidRPr="0076544D">
              <w:rPr>
                <w:rFonts w:eastAsia="SimSun" w:cs="Calibri" w:hint="eastAsia"/>
                <w:sz w:val="22"/>
                <w:lang w:eastAsia="zh-CN"/>
              </w:rPr>
              <w:t>）</w:t>
            </w:r>
          </w:p>
        </w:tc>
        <w:tc>
          <w:tcPr>
            <w:tcW w:w="677" w:type="pct"/>
            <w:noWrap/>
            <w:hideMark/>
          </w:tcPr>
          <w:p w14:paraId="0B2CA2D1"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5 400.00</w:t>
            </w:r>
          </w:p>
        </w:tc>
        <w:tc>
          <w:tcPr>
            <w:tcW w:w="597" w:type="pct"/>
            <w:noWrap/>
            <w:hideMark/>
          </w:tcPr>
          <w:p w14:paraId="4A6EE698"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0.00</w:t>
            </w:r>
          </w:p>
        </w:tc>
        <w:tc>
          <w:tcPr>
            <w:tcW w:w="610" w:type="pct"/>
            <w:noWrap/>
            <w:hideMark/>
          </w:tcPr>
          <w:p w14:paraId="1B9137AD"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5 400.00</w:t>
            </w:r>
          </w:p>
        </w:tc>
      </w:tr>
      <w:tr w:rsidR="004C18AD" w:rsidRPr="005E13E6" w14:paraId="63003F9B" w14:textId="77777777" w:rsidTr="00042C67">
        <w:trPr>
          <w:trHeight w:val="300"/>
        </w:trPr>
        <w:tc>
          <w:tcPr>
            <w:tcW w:w="878" w:type="pct"/>
            <w:noWrap/>
            <w:hideMark/>
          </w:tcPr>
          <w:p w14:paraId="1B632414"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TLC 2019</w:t>
            </w:r>
          </w:p>
        </w:tc>
        <w:tc>
          <w:tcPr>
            <w:tcW w:w="814" w:type="pct"/>
            <w:noWrap/>
            <w:vAlign w:val="bottom"/>
            <w:hideMark/>
          </w:tcPr>
          <w:p w14:paraId="456BE636" w14:textId="77777777" w:rsidR="004C18AD" w:rsidRPr="005E13E6" w:rsidRDefault="004C18AD" w:rsidP="00042C67">
            <w:pPr>
              <w:overflowPunct/>
              <w:autoSpaceDE/>
              <w:autoSpaceDN/>
              <w:adjustRightInd/>
              <w:spacing w:before="0"/>
              <w:textAlignment w:val="auto"/>
              <w:rPr>
                <w:rFonts w:eastAsia="SimSun" w:cs="Calibri"/>
                <w:color w:val="000000"/>
                <w:sz w:val="22"/>
                <w:lang w:val="en-US" w:eastAsia="zh-CN"/>
              </w:rPr>
            </w:pPr>
            <w:r w:rsidRPr="005E13E6">
              <w:rPr>
                <w:rFonts w:eastAsia="SimSun" w:cs="Calibri"/>
                <w:sz w:val="22"/>
              </w:rPr>
              <w:t>南非</w:t>
            </w:r>
          </w:p>
        </w:tc>
        <w:tc>
          <w:tcPr>
            <w:tcW w:w="1423" w:type="pct"/>
            <w:noWrap/>
            <w:hideMark/>
          </w:tcPr>
          <w:p w14:paraId="576B8261"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Orizur</w:t>
            </w:r>
            <w:r w:rsidRPr="005E13E6">
              <w:rPr>
                <w:rFonts w:eastAsia="SimSun" w:cs="Calibri" w:hint="eastAsia"/>
                <w:sz w:val="22"/>
                <w:lang w:eastAsia="zh-CN"/>
              </w:rPr>
              <w:t>咨询公司</w:t>
            </w:r>
          </w:p>
        </w:tc>
        <w:tc>
          <w:tcPr>
            <w:tcW w:w="677" w:type="pct"/>
            <w:noWrap/>
            <w:hideMark/>
          </w:tcPr>
          <w:p w14:paraId="52759822"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1 000.00</w:t>
            </w:r>
          </w:p>
        </w:tc>
        <w:tc>
          <w:tcPr>
            <w:tcW w:w="597" w:type="pct"/>
            <w:noWrap/>
            <w:hideMark/>
          </w:tcPr>
          <w:p w14:paraId="045A227A"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0.00</w:t>
            </w:r>
          </w:p>
        </w:tc>
        <w:tc>
          <w:tcPr>
            <w:tcW w:w="610" w:type="pct"/>
            <w:noWrap/>
            <w:hideMark/>
          </w:tcPr>
          <w:p w14:paraId="10E958CC"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1 000.00</w:t>
            </w:r>
          </w:p>
        </w:tc>
      </w:tr>
      <w:tr w:rsidR="004C18AD" w:rsidRPr="005E13E6" w14:paraId="479DC1A2" w14:textId="77777777" w:rsidTr="00042C67">
        <w:trPr>
          <w:trHeight w:val="300"/>
        </w:trPr>
        <w:tc>
          <w:tcPr>
            <w:tcW w:w="878" w:type="pct"/>
            <w:noWrap/>
            <w:hideMark/>
          </w:tcPr>
          <w:p w14:paraId="1B9511AD"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TLC 2019</w:t>
            </w:r>
          </w:p>
        </w:tc>
        <w:tc>
          <w:tcPr>
            <w:tcW w:w="814" w:type="pct"/>
            <w:noWrap/>
            <w:hideMark/>
          </w:tcPr>
          <w:p w14:paraId="40D3D0B2"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阿联</w:t>
            </w:r>
            <w:r w:rsidRPr="005E13E6">
              <w:rPr>
                <w:rFonts w:eastAsia="SimSun" w:cs="Calibri" w:hint="eastAsia"/>
                <w:sz w:val="22"/>
              </w:rPr>
              <w:t>酋</w:t>
            </w:r>
          </w:p>
        </w:tc>
        <w:tc>
          <w:tcPr>
            <w:tcW w:w="1423" w:type="pct"/>
            <w:noWrap/>
            <w:hideMark/>
          </w:tcPr>
          <w:p w14:paraId="18FA1502"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Smart Life for IT</w:t>
            </w:r>
          </w:p>
        </w:tc>
        <w:tc>
          <w:tcPr>
            <w:tcW w:w="677" w:type="pct"/>
            <w:noWrap/>
            <w:hideMark/>
          </w:tcPr>
          <w:p w14:paraId="4D04A71F"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5 400.00</w:t>
            </w:r>
          </w:p>
        </w:tc>
        <w:tc>
          <w:tcPr>
            <w:tcW w:w="597" w:type="pct"/>
            <w:noWrap/>
            <w:hideMark/>
          </w:tcPr>
          <w:p w14:paraId="468C2F58"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0.00</w:t>
            </w:r>
          </w:p>
        </w:tc>
        <w:tc>
          <w:tcPr>
            <w:tcW w:w="610" w:type="pct"/>
            <w:noWrap/>
            <w:hideMark/>
          </w:tcPr>
          <w:p w14:paraId="0B013011"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5 400.00</w:t>
            </w:r>
          </w:p>
        </w:tc>
      </w:tr>
      <w:tr w:rsidR="004C18AD" w:rsidRPr="005E13E6" w14:paraId="54463CA6" w14:textId="77777777" w:rsidTr="00042C67">
        <w:trPr>
          <w:trHeight w:val="300"/>
        </w:trPr>
        <w:tc>
          <w:tcPr>
            <w:tcW w:w="878" w:type="pct"/>
            <w:noWrap/>
            <w:hideMark/>
          </w:tcPr>
          <w:p w14:paraId="0A1A4C4E"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TLC 2019</w:t>
            </w:r>
          </w:p>
        </w:tc>
        <w:tc>
          <w:tcPr>
            <w:tcW w:w="814" w:type="pct"/>
            <w:noWrap/>
            <w:hideMark/>
          </w:tcPr>
          <w:p w14:paraId="2DEE07C1"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加纳</w:t>
            </w:r>
          </w:p>
        </w:tc>
        <w:tc>
          <w:tcPr>
            <w:tcW w:w="1423" w:type="pct"/>
            <w:noWrap/>
            <w:hideMark/>
          </w:tcPr>
          <w:p w14:paraId="1FAC5287" w14:textId="77777777" w:rsidR="004C18AD" w:rsidRPr="005E13E6" w:rsidRDefault="004C18AD" w:rsidP="00042C67">
            <w:pPr>
              <w:overflowPunct/>
              <w:autoSpaceDE/>
              <w:autoSpaceDN/>
              <w:adjustRightInd/>
              <w:spacing w:before="0"/>
              <w:textAlignment w:val="auto"/>
              <w:rPr>
                <w:rFonts w:eastAsia="SimSun" w:cs="Calibri"/>
                <w:sz w:val="22"/>
                <w:lang w:eastAsia="zh-CN"/>
              </w:rPr>
            </w:pPr>
            <w:r w:rsidRPr="005E13E6">
              <w:rPr>
                <w:rFonts w:eastAsia="SimSun" w:cs="Calibri"/>
                <w:sz w:val="22"/>
                <w:lang w:eastAsia="zh-CN"/>
              </w:rPr>
              <w:t>Tawo</w:t>
            </w:r>
            <w:r w:rsidRPr="005E13E6">
              <w:rPr>
                <w:rFonts w:eastAsia="SimSun" w:cs="Calibri" w:hint="eastAsia"/>
                <w:sz w:val="22"/>
                <w:lang w:eastAsia="zh-CN"/>
              </w:rPr>
              <w:t>移动技术公司</w:t>
            </w:r>
          </w:p>
        </w:tc>
        <w:tc>
          <w:tcPr>
            <w:tcW w:w="677" w:type="pct"/>
            <w:noWrap/>
            <w:hideMark/>
          </w:tcPr>
          <w:p w14:paraId="30E6CF99"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1 000.00</w:t>
            </w:r>
          </w:p>
        </w:tc>
        <w:tc>
          <w:tcPr>
            <w:tcW w:w="597" w:type="pct"/>
            <w:noWrap/>
            <w:hideMark/>
          </w:tcPr>
          <w:p w14:paraId="21B6F028"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0.00</w:t>
            </w:r>
          </w:p>
        </w:tc>
        <w:tc>
          <w:tcPr>
            <w:tcW w:w="610" w:type="pct"/>
            <w:noWrap/>
            <w:hideMark/>
          </w:tcPr>
          <w:p w14:paraId="022804A1"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1 000.00</w:t>
            </w:r>
          </w:p>
        </w:tc>
      </w:tr>
      <w:tr w:rsidR="004C18AD" w:rsidRPr="005E13E6" w14:paraId="0ACC8A8F" w14:textId="77777777" w:rsidTr="00042C67">
        <w:trPr>
          <w:trHeight w:val="300"/>
        </w:trPr>
        <w:tc>
          <w:tcPr>
            <w:tcW w:w="878" w:type="pct"/>
            <w:noWrap/>
            <w:hideMark/>
          </w:tcPr>
          <w:p w14:paraId="259193EF"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TLC 2019</w:t>
            </w:r>
          </w:p>
        </w:tc>
        <w:tc>
          <w:tcPr>
            <w:tcW w:w="814" w:type="pct"/>
            <w:noWrap/>
            <w:hideMark/>
          </w:tcPr>
          <w:p w14:paraId="5CE50A52"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印度</w:t>
            </w:r>
          </w:p>
        </w:tc>
        <w:tc>
          <w:tcPr>
            <w:tcW w:w="1423" w:type="pct"/>
            <w:noWrap/>
            <w:hideMark/>
          </w:tcPr>
          <w:p w14:paraId="59C9C51A"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hint="eastAsia"/>
                <w:sz w:val="22"/>
                <w:lang w:eastAsia="zh-CN"/>
              </w:rPr>
              <w:t>印度电信耳机公司</w:t>
            </w:r>
          </w:p>
        </w:tc>
        <w:tc>
          <w:tcPr>
            <w:tcW w:w="677" w:type="pct"/>
            <w:noWrap/>
            <w:hideMark/>
          </w:tcPr>
          <w:p w14:paraId="2C9B6411"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800.00</w:t>
            </w:r>
          </w:p>
        </w:tc>
        <w:tc>
          <w:tcPr>
            <w:tcW w:w="597" w:type="pct"/>
            <w:noWrap/>
            <w:hideMark/>
          </w:tcPr>
          <w:p w14:paraId="605AB00C"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0.00</w:t>
            </w:r>
          </w:p>
        </w:tc>
        <w:tc>
          <w:tcPr>
            <w:tcW w:w="610" w:type="pct"/>
            <w:noWrap/>
            <w:hideMark/>
          </w:tcPr>
          <w:p w14:paraId="1220AE54"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800.00</w:t>
            </w:r>
          </w:p>
        </w:tc>
      </w:tr>
      <w:tr w:rsidR="004C18AD" w:rsidRPr="005E13E6" w14:paraId="60249D9A" w14:textId="77777777" w:rsidTr="00042C67">
        <w:trPr>
          <w:trHeight w:val="300"/>
        </w:trPr>
        <w:tc>
          <w:tcPr>
            <w:tcW w:w="878" w:type="pct"/>
            <w:noWrap/>
            <w:hideMark/>
          </w:tcPr>
          <w:p w14:paraId="63EC52B5"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TLC 2019</w:t>
            </w:r>
          </w:p>
        </w:tc>
        <w:tc>
          <w:tcPr>
            <w:tcW w:w="814" w:type="pct"/>
            <w:noWrap/>
            <w:hideMark/>
          </w:tcPr>
          <w:p w14:paraId="7C2DE3E2"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匈牙利</w:t>
            </w:r>
          </w:p>
        </w:tc>
        <w:tc>
          <w:tcPr>
            <w:tcW w:w="1423" w:type="pct"/>
            <w:noWrap/>
            <w:hideMark/>
          </w:tcPr>
          <w:p w14:paraId="078C5828"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hint="eastAsia"/>
                <w:sz w:val="22"/>
                <w:lang w:eastAsia="zh-CN"/>
              </w:rPr>
              <w:t>数字未来基金会</w:t>
            </w:r>
          </w:p>
        </w:tc>
        <w:tc>
          <w:tcPr>
            <w:tcW w:w="677" w:type="pct"/>
            <w:noWrap/>
            <w:hideMark/>
          </w:tcPr>
          <w:p w14:paraId="2E1E9E2B"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48 000.00</w:t>
            </w:r>
          </w:p>
        </w:tc>
        <w:tc>
          <w:tcPr>
            <w:tcW w:w="597" w:type="pct"/>
            <w:noWrap/>
            <w:hideMark/>
          </w:tcPr>
          <w:p w14:paraId="67A6B4D4"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0.00</w:t>
            </w:r>
          </w:p>
        </w:tc>
        <w:tc>
          <w:tcPr>
            <w:tcW w:w="610" w:type="pct"/>
            <w:noWrap/>
            <w:hideMark/>
          </w:tcPr>
          <w:p w14:paraId="017427B9"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48 000.00</w:t>
            </w:r>
          </w:p>
        </w:tc>
      </w:tr>
      <w:bookmarkEnd w:id="1470"/>
      <w:tr w:rsidR="004C18AD" w:rsidRPr="005E13E6" w14:paraId="5F212F50" w14:textId="77777777" w:rsidTr="00042C67">
        <w:trPr>
          <w:trHeight w:val="300"/>
        </w:trPr>
        <w:tc>
          <w:tcPr>
            <w:tcW w:w="878" w:type="pct"/>
            <w:noWrap/>
            <w:hideMark/>
          </w:tcPr>
          <w:p w14:paraId="77BEFC07"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 </w:t>
            </w:r>
          </w:p>
        </w:tc>
        <w:tc>
          <w:tcPr>
            <w:tcW w:w="814" w:type="pct"/>
            <w:noWrap/>
            <w:hideMark/>
          </w:tcPr>
          <w:p w14:paraId="74D7911A"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 </w:t>
            </w:r>
          </w:p>
        </w:tc>
        <w:tc>
          <w:tcPr>
            <w:tcW w:w="1423" w:type="pct"/>
            <w:noWrap/>
            <w:hideMark/>
          </w:tcPr>
          <w:p w14:paraId="0CE67654"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 </w:t>
            </w:r>
          </w:p>
        </w:tc>
        <w:tc>
          <w:tcPr>
            <w:tcW w:w="677" w:type="pct"/>
            <w:noWrap/>
            <w:hideMark/>
          </w:tcPr>
          <w:p w14:paraId="00562CF1"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 </w:t>
            </w:r>
          </w:p>
        </w:tc>
        <w:tc>
          <w:tcPr>
            <w:tcW w:w="597" w:type="pct"/>
            <w:noWrap/>
            <w:hideMark/>
          </w:tcPr>
          <w:p w14:paraId="0506C46A"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 </w:t>
            </w:r>
          </w:p>
        </w:tc>
        <w:tc>
          <w:tcPr>
            <w:tcW w:w="610" w:type="pct"/>
            <w:noWrap/>
            <w:hideMark/>
          </w:tcPr>
          <w:p w14:paraId="6FA9C616"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 </w:t>
            </w:r>
          </w:p>
        </w:tc>
      </w:tr>
      <w:tr w:rsidR="004C18AD" w:rsidRPr="005E13E6" w14:paraId="37262763" w14:textId="77777777" w:rsidTr="00042C67">
        <w:trPr>
          <w:trHeight w:val="300"/>
        </w:trPr>
        <w:tc>
          <w:tcPr>
            <w:tcW w:w="878" w:type="pct"/>
            <w:noWrap/>
            <w:hideMark/>
          </w:tcPr>
          <w:p w14:paraId="17210AB9"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TLC 2019</w:t>
            </w:r>
          </w:p>
        </w:tc>
        <w:tc>
          <w:tcPr>
            <w:tcW w:w="814" w:type="pct"/>
            <w:noWrap/>
            <w:hideMark/>
          </w:tcPr>
          <w:p w14:paraId="69A51BF1"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 </w:t>
            </w:r>
          </w:p>
        </w:tc>
        <w:tc>
          <w:tcPr>
            <w:tcW w:w="1423" w:type="pct"/>
            <w:noWrap/>
            <w:hideMark/>
          </w:tcPr>
          <w:p w14:paraId="7E2DEA5A" w14:textId="77777777" w:rsidR="004C18AD" w:rsidRPr="005E13E6" w:rsidRDefault="004C18AD" w:rsidP="00042C67">
            <w:pPr>
              <w:overflowPunct/>
              <w:autoSpaceDE/>
              <w:autoSpaceDN/>
              <w:adjustRightInd/>
              <w:spacing w:before="0"/>
              <w:textAlignment w:val="auto"/>
              <w:rPr>
                <w:rFonts w:eastAsia="SimSun" w:cs="Calibri"/>
                <w:sz w:val="22"/>
              </w:rPr>
            </w:pPr>
            <w:r w:rsidRPr="005E13E6">
              <w:rPr>
                <w:rFonts w:eastAsia="SimSun" w:cs="Calibri"/>
                <w:sz w:val="22"/>
              </w:rPr>
              <w:t> </w:t>
            </w:r>
          </w:p>
        </w:tc>
        <w:tc>
          <w:tcPr>
            <w:tcW w:w="677" w:type="pct"/>
            <w:noWrap/>
            <w:hideMark/>
          </w:tcPr>
          <w:p w14:paraId="42847DEC" w14:textId="77777777" w:rsidR="004C18AD" w:rsidRPr="005E13E6" w:rsidRDefault="004C18AD" w:rsidP="00042C67">
            <w:pPr>
              <w:overflowPunct/>
              <w:autoSpaceDE/>
              <w:autoSpaceDN/>
              <w:adjustRightInd/>
              <w:spacing w:before="0"/>
              <w:jc w:val="right"/>
              <w:textAlignment w:val="auto"/>
              <w:rPr>
                <w:rFonts w:eastAsia="SimSun" w:cs="Calibri"/>
                <w:sz w:val="22"/>
              </w:rPr>
            </w:pPr>
            <w:r w:rsidRPr="005E13E6">
              <w:rPr>
                <w:rFonts w:eastAsia="SimSun" w:cs="Calibri"/>
                <w:sz w:val="22"/>
              </w:rPr>
              <w:t> </w:t>
            </w:r>
          </w:p>
        </w:tc>
        <w:tc>
          <w:tcPr>
            <w:tcW w:w="597" w:type="pct"/>
            <w:noWrap/>
            <w:hideMark/>
          </w:tcPr>
          <w:p w14:paraId="6FDFB10E" w14:textId="77777777" w:rsidR="004C18AD" w:rsidRPr="005E13E6" w:rsidRDefault="004C18AD" w:rsidP="00042C67">
            <w:pPr>
              <w:overflowPunct/>
              <w:autoSpaceDE/>
              <w:autoSpaceDN/>
              <w:adjustRightInd/>
              <w:spacing w:before="0"/>
              <w:jc w:val="right"/>
              <w:textAlignment w:val="auto"/>
              <w:rPr>
                <w:rFonts w:eastAsia="SimSun" w:cs="Calibri"/>
                <w:b/>
                <w:bCs/>
                <w:sz w:val="22"/>
              </w:rPr>
            </w:pPr>
            <w:r w:rsidRPr="005E13E6">
              <w:rPr>
                <w:rFonts w:eastAsia="SimSun" w:cs="Calibri"/>
                <w:b/>
                <w:bCs/>
                <w:sz w:val="22"/>
              </w:rPr>
              <w:t> </w:t>
            </w:r>
          </w:p>
        </w:tc>
        <w:tc>
          <w:tcPr>
            <w:tcW w:w="610" w:type="pct"/>
            <w:noWrap/>
            <w:hideMark/>
          </w:tcPr>
          <w:p w14:paraId="73985C9F" w14:textId="77777777" w:rsidR="004C18AD" w:rsidRPr="005E13E6" w:rsidRDefault="004C18AD" w:rsidP="00042C67">
            <w:pPr>
              <w:overflowPunct/>
              <w:autoSpaceDE/>
              <w:autoSpaceDN/>
              <w:adjustRightInd/>
              <w:spacing w:before="0"/>
              <w:jc w:val="right"/>
              <w:textAlignment w:val="auto"/>
              <w:rPr>
                <w:rFonts w:eastAsia="SimSun" w:cs="Calibri"/>
                <w:b/>
                <w:bCs/>
                <w:sz w:val="22"/>
              </w:rPr>
            </w:pPr>
            <w:r w:rsidRPr="005E13E6">
              <w:rPr>
                <w:rFonts w:eastAsia="SimSun" w:cs="Calibri"/>
                <w:b/>
                <w:bCs/>
                <w:sz w:val="22"/>
              </w:rPr>
              <w:t>61 600.00</w:t>
            </w:r>
          </w:p>
        </w:tc>
      </w:tr>
    </w:tbl>
    <w:p w14:paraId="4DC1E2E5" w14:textId="77777777" w:rsidR="004C18AD" w:rsidRPr="005E13E6" w:rsidRDefault="004C18AD" w:rsidP="004C18AD">
      <w:pPr>
        <w:overflowPunct/>
        <w:autoSpaceDE/>
        <w:autoSpaceDN/>
        <w:adjustRightInd/>
        <w:spacing w:before="0"/>
        <w:textAlignment w:val="auto"/>
        <w:rPr>
          <w:rFonts w:cs="Calibri"/>
          <w:sz w:val="22"/>
          <w:szCs w:val="18"/>
          <w:lang w:val="en-US"/>
        </w:rPr>
      </w:pPr>
    </w:p>
    <w:tbl>
      <w:tblPr>
        <w:tblW w:w="9673" w:type="dxa"/>
        <w:tblInd w:w="-5" w:type="dxa"/>
        <w:tblLook w:val="04A0" w:firstRow="1" w:lastRow="0" w:firstColumn="1" w:lastColumn="0" w:noHBand="0" w:noVBand="1"/>
      </w:tblPr>
      <w:tblGrid>
        <w:gridCol w:w="1694"/>
        <w:gridCol w:w="666"/>
        <w:gridCol w:w="916"/>
        <w:gridCol w:w="804"/>
        <w:gridCol w:w="1953"/>
        <w:gridCol w:w="1338"/>
        <w:gridCol w:w="1112"/>
        <w:gridCol w:w="1190"/>
      </w:tblGrid>
      <w:tr w:rsidR="004C18AD" w:rsidRPr="005E13E6" w14:paraId="1CFF65BE" w14:textId="77777777" w:rsidTr="00B64234">
        <w:trPr>
          <w:trHeight w:val="300"/>
        </w:trPr>
        <w:tc>
          <w:tcPr>
            <w:tcW w:w="1694" w:type="dxa"/>
            <w:tcBorders>
              <w:top w:val="single" w:sz="4" w:space="0" w:color="auto"/>
              <w:left w:val="single" w:sz="4" w:space="0" w:color="auto"/>
              <w:bottom w:val="single" w:sz="4" w:space="0" w:color="auto"/>
              <w:right w:val="single" w:sz="4" w:space="0" w:color="auto"/>
            </w:tcBorders>
            <w:shd w:val="clear" w:color="auto" w:fill="auto"/>
            <w:noWrap/>
            <w:hideMark/>
          </w:tcPr>
          <w:p w14:paraId="222A548B" w14:textId="77777777" w:rsidR="004C18AD" w:rsidRPr="005E13E6" w:rsidRDefault="004C18AD" w:rsidP="00042C67">
            <w:pPr>
              <w:overflowPunct/>
              <w:autoSpaceDE/>
              <w:autoSpaceDN/>
              <w:adjustRightInd/>
              <w:spacing w:before="0"/>
              <w:jc w:val="center"/>
              <w:textAlignment w:val="auto"/>
              <w:rPr>
                <w:rFonts w:cs="Calibri"/>
                <w:b/>
                <w:bCs/>
                <w:sz w:val="20"/>
                <w:lang w:eastAsia="en-GB"/>
              </w:rPr>
            </w:pPr>
            <w:r w:rsidRPr="005E13E6">
              <w:rPr>
                <w:rFonts w:cs="Calibri" w:hint="eastAsia"/>
                <w:b/>
                <w:bCs/>
                <w:sz w:val="22"/>
              </w:rPr>
              <w:t>活动</w:t>
            </w:r>
          </w:p>
        </w:tc>
        <w:tc>
          <w:tcPr>
            <w:tcW w:w="1582" w:type="dxa"/>
            <w:gridSpan w:val="2"/>
            <w:tcBorders>
              <w:top w:val="single" w:sz="4" w:space="0" w:color="auto"/>
              <w:left w:val="nil"/>
              <w:bottom w:val="single" w:sz="4" w:space="0" w:color="auto"/>
              <w:right w:val="single" w:sz="4" w:space="0" w:color="auto"/>
            </w:tcBorders>
            <w:shd w:val="clear" w:color="auto" w:fill="auto"/>
            <w:noWrap/>
            <w:hideMark/>
          </w:tcPr>
          <w:p w14:paraId="4CFA1ACF" w14:textId="77777777" w:rsidR="004C18AD" w:rsidRPr="005E13E6" w:rsidRDefault="004C18AD" w:rsidP="00042C67">
            <w:pPr>
              <w:jc w:val="center"/>
              <w:rPr>
                <w:rFonts w:cs="Calibri"/>
                <w:b/>
                <w:bCs/>
                <w:sz w:val="20"/>
              </w:rPr>
            </w:pPr>
            <w:r w:rsidRPr="005E13E6">
              <w:rPr>
                <w:rFonts w:cs="Calibri" w:hint="eastAsia"/>
                <w:b/>
                <w:bCs/>
                <w:sz w:val="22"/>
              </w:rPr>
              <w:t>国家</w:t>
            </w:r>
          </w:p>
        </w:tc>
        <w:tc>
          <w:tcPr>
            <w:tcW w:w="2757" w:type="dxa"/>
            <w:gridSpan w:val="2"/>
            <w:tcBorders>
              <w:top w:val="single" w:sz="4" w:space="0" w:color="auto"/>
              <w:left w:val="nil"/>
              <w:bottom w:val="single" w:sz="4" w:space="0" w:color="auto"/>
              <w:right w:val="single" w:sz="4" w:space="0" w:color="auto"/>
            </w:tcBorders>
            <w:shd w:val="clear" w:color="auto" w:fill="auto"/>
            <w:noWrap/>
            <w:hideMark/>
          </w:tcPr>
          <w:p w14:paraId="31E34786" w14:textId="77777777" w:rsidR="004C18AD" w:rsidRPr="005E13E6" w:rsidRDefault="004C18AD" w:rsidP="00042C67">
            <w:pPr>
              <w:jc w:val="center"/>
              <w:rPr>
                <w:rFonts w:cs="Calibri"/>
                <w:b/>
                <w:bCs/>
                <w:sz w:val="20"/>
              </w:rPr>
            </w:pPr>
            <w:r w:rsidRPr="005E13E6">
              <w:rPr>
                <w:rFonts w:cs="Calibri" w:hint="eastAsia"/>
                <w:b/>
                <w:bCs/>
                <w:sz w:val="22"/>
              </w:rPr>
              <w:t>公司</w:t>
            </w:r>
          </w:p>
        </w:tc>
        <w:tc>
          <w:tcPr>
            <w:tcW w:w="1338" w:type="dxa"/>
            <w:tcBorders>
              <w:top w:val="single" w:sz="4" w:space="0" w:color="auto"/>
              <w:left w:val="nil"/>
              <w:bottom w:val="single" w:sz="4" w:space="0" w:color="auto"/>
              <w:right w:val="single" w:sz="4" w:space="0" w:color="auto"/>
            </w:tcBorders>
            <w:shd w:val="clear" w:color="auto" w:fill="auto"/>
            <w:noWrap/>
            <w:hideMark/>
          </w:tcPr>
          <w:p w14:paraId="773BAEBA" w14:textId="77777777" w:rsidR="004C18AD" w:rsidRPr="005E13E6" w:rsidRDefault="004C18AD" w:rsidP="00042C67">
            <w:pPr>
              <w:jc w:val="center"/>
              <w:rPr>
                <w:rFonts w:cs="Calibri"/>
                <w:b/>
                <w:bCs/>
                <w:sz w:val="20"/>
              </w:rPr>
            </w:pPr>
            <w:r w:rsidRPr="005E13E6">
              <w:rPr>
                <w:rFonts w:cs="Calibri" w:hint="eastAsia"/>
                <w:b/>
                <w:bCs/>
                <w:sz w:val="22"/>
              </w:rPr>
              <w:t>发票金额</w:t>
            </w:r>
          </w:p>
        </w:tc>
        <w:tc>
          <w:tcPr>
            <w:tcW w:w="1112" w:type="dxa"/>
            <w:tcBorders>
              <w:top w:val="single" w:sz="4" w:space="0" w:color="auto"/>
              <w:left w:val="nil"/>
              <w:bottom w:val="single" w:sz="4" w:space="0" w:color="auto"/>
              <w:right w:val="single" w:sz="4" w:space="0" w:color="auto"/>
            </w:tcBorders>
            <w:shd w:val="clear" w:color="auto" w:fill="auto"/>
            <w:noWrap/>
            <w:hideMark/>
          </w:tcPr>
          <w:p w14:paraId="47AB079C" w14:textId="77777777" w:rsidR="004C18AD" w:rsidRPr="005E13E6" w:rsidRDefault="004C18AD" w:rsidP="00042C67">
            <w:pPr>
              <w:jc w:val="center"/>
              <w:rPr>
                <w:rFonts w:cs="Calibri"/>
                <w:b/>
                <w:bCs/>
                <w:sz w:val="20"/>
              </w:rPr>
            </w:pPr>
            <w:r w:rsidRPr="005E13E6">
              <w:rPr>
                <w:rFonts w:cs="Calibri" w:hint="eastAsia"/>
                <w:b/>
                <w:bCs/>
                <w:sz w:val="22"/>
              </w:rPr>
              <w:t>收到付款</w:t>
            </w:r>
          </w:p>
        </w:tc>
        <w:tc>
          <w:tcPr>
            <w:tcW w:w="1190" w:type="dxa"/>
            <w:tcBorders>
              <w:top w:val="single" w:sz="4" w:space="0" w:color="auto"/>
              <w:left w:val="nil"/>
              <w:bottom w:val="single" w:sz="4" w:space="0" w:color="auto"/>
              <w:right w:val="single" w:sz="4" w:space="0" w:color="auto"/>
            </w:tcBorders>
            <w:shd w:val="clear" w:color="auto" w:fill="auto"/>
            <w:noWrap/>
            <w:hideMark/>
          </w:tcPr>
          <w:p w14:paraId="074FD733" w14:textId="77777777" w:rsidR="004C18AD" w:rsidRPr="005E13E6" w:rsidRDefault="004C18AD" w:rsidP="00042C67">
            <w:pPr>
              <w:jc w:val="center"/>
              <w:rPr>
                <w:rFonts w:cs="Calibri"/>
                <w:b/>
                <w:bCs/>
                <w:sz w:val="20"/>
              </w:rPr>
            </w:pPr>
            <w:r w:rsidRPr="005E13E6">
              <w:rPr>
                <w:rFonts w:cs="Calibri" w:hint="eastAsia"/>
                <w:b/>
                <w:bCs/>
                <w:sz w:val="22"/>
              </w:rPr>
              <w:t>欠款金额</w:t>
            </w:r>
          </w:p>
        </w:tc>
      </w:tr>
      <w:tr w:rsidR="004C18AD" w:rsidRPr="005E13E6" w14:paraId="530E3BF8" w14:textId="77777777" w:rsidTr="00B64234">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0CEEF5EE" w14:textId="77777777" w:rsidR="004C18AD" w:rsidRPr="005E13E6" w:rsidRDefault="004C18AD" w:rsidP="00042C67">
            <w:pPr>
              <w:jc w:val="center"/>
              <w:rPr>
                <w:rFonts w:cs="Calibri"/>
                <w:b/>
                <w:bCs/>
                <w:sz w:val="20"/>
              </w:rPr>
            </w:pPr>
            <w:r w:rsidRPr="005E13E6">
              <w:rPr>
                <w:rFonts w:cs="Calibri"/>
                <w:b/>
                <w:bCs/>
                <w:sz w:val="20"/>
              </w:rPr>
              <w:t> </w:t>
            </w:r>
          </w:p>
        </w:tc>
        <w:tc>
          <w:tcPr>
            <w:tcW w:w="1582" w:type="dxa"/>
            <w:gridSpan w:val="2"/>
            <w:tcBorders>
              <w:top w:val="nil"/>
              <w:left w:val="nil"/>
              <w:bottom w:val="single" w:sz="4" w:space="0" w:color="auto"/>
              <w:right w:val="single" w:sz="4" w:space="0" w:color="auto"/>
            </w:tcBorders>
            <w:shd w:val="clear" w:color="auto" w:fill="auto"/>
            <w:noWrap/>
            <w:vAlign w:val="bottom"/>
            <w:hideMark/>
          </w:tcPr>
          <w:p w14:paraId="465D5F03" w14:textId="77777777" w:rsidR="004C18AD" w:rsidRPr="005E13E6" w:rsidRDefault="004C18AD" w:rsidP="00042C67">
            <w:pPr>
              <w:jc w:val="center"/>
              <w:rPr>
                <w:rFonts w:cs="Calibri"/>
                <w:b/>
                <w:bCs/>
                <w:sz w:val="20"/>
              </w:rPr>
            </w:pPr>
            <w:r w:rsidRPr="005E13E6">
              <w:rPr>
                <w:rFonts w:cs="Calibri"/>
                <w:b/>
                <w:bCs/>
                <w:sz w:val="20"/>
              </w:rPr>
              <w:t> </w:t>
            </w:r>
          </w:p>
        </w:tc>
        <w:tc>
          <w:tcPr>
            <w:tcW w:w="2757" w:type="dxa"/>
            <w:gridSpan w:val="2"/>
            <w:tcBorders>
              <w:top w:val="nil"/>
              <w:left w:val="nil"/>
              <w:bottom w:val="single" w:sz="4" w:space="0" w:color="auto"/>
              <w:right w:val="single" w:sz="4" w:space="0" w:color="auto"/>
            </w:tcBorders>
            <w:shd w:val="clear" w:color="auto" w:fill="auto"/>
            <w:noWrap/>
            <w:vAlign w:val="bottom"/>
            <w:hideMark/>
          </w:tcPr>
          <w:p w14:paraId="0712CEBC" w14:textId="77777777" w:rsidR="004C18AD" w:rsidRPr="005E13E6" w:rsidRDefault="004C18AD" w:rsidP="00042C67">
            <w:pPr>
              <w:jc w:val="center"/>
              <w:rPr>
                <w:rFonts w:cs="Calibri"/>
                <w:sz w:val="20"/>
              </w:rPr>
            </w:pPr>
            <w:r w:rsidRPr="005E13E6">
              <w:rPr>
                <w:rFonts w:cs="Calibri"/>
                <w:sz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791B133" w14:textId="77777777" w:rsidR="004C18AD" w:rsidRPr="005E13E6" w:rsidRDefault="004C18AD" w:rsidP="00042C67">
            <w:pPr>
              <w:jc w:val="center"/>
              <w:rPr>
                <w:rFonts w:cs="Calibri"/>
                <w:sz w:val="20"/>
              </w:rPr>
            </w:pPr>
            <w:r w:rsidRPr="005E13E6">
              <w:rPr>
                <w:rFonts w:cs="Calibri"/>
                <w:sz w:val="20"/>
              </w:rPr>
              <w:t> </w:t>
            </w:r>
          </w:p>
        </w:tc>
        <w:tc>
          <w:tcPr>
            <w:tcW w:w="1112" w:type="dxa"/>
            <w:tcBorders>
              <w:top w:val="nil"/>
              <w:left w:val="nil"/>
              <w:bottom w:val="single" w:sz="4" w:space="0" w:color="auto"/>
              <w:right w:val="single" w:sz="4" w:space="0" w:color="auto"/>
            </w:tcBorders>
            <w:shd w:val="clear" w:color="auto" w:fill="auto"/>
            <w:noWrap/>
            <w:vAlign w:val="bottom"/>
            <w:hideMark/>
          </w:tcPr>
          <w:p w14:paraId="2B47E67E" w14:textId="77777777" w:rsidR="004C18AD" w:rsidRPr="005E13E6" w:rsidRDefault="004C18AD" w:rsidP="00042C67">
            <w:pPr>
              <w:jc w:val="center"/>
              <w:rPr>
                <w:rFonts w:cs="Calibri"/>
                <w:sz w:val="20"/>
              </w:rPr>
            </w:pPr>
            <w:r w:rsidRPr="005E13E6">
              <w:rPr>
                <w:rFonts w:cs="Calibri"/>
                <w:sz w:val="20"/>
              </w:rPr>
              <w:t> </w:t>
            </w:r>
          </w:p>
        </w:tc>
        <w:tc>
          <w:tcPr>
            <w:tcW w:w="1190" w:type="dxa"/>
            <w:tcBorders>
              <w:top w:val="nil"/>
              <w:left w:val="nil"/>
              <w:bottom w:val="single" w:sz="4" w:space="0" w:color="auto"/>
              <w:right w:val="single" w:sz="4" w:space="0" w:color="auto"/>
            </w:tcBorders>
            <w:shd w:val="clear" w:color="auto" w:fill="auto"/>
            <w:noWrap/>
            <w:vAlign w:val="bottom"/>
            <w:hideMark/>
          </w:tcPr>
          <w:p w14:paraId="00623815" w14:textId="77777777" w:rsidR="004C18AD" w:rsidRPr="005E13E6" w:rsidRDefault="004C18AD" w:rsidP="00042C67">
            <w:pPr>
              <w:jc w:val="center"/>
              <w:rPr>
                <w:rFonts w:cs="Calibri"/>
                <w:sz w:val="20"/>
              </w:rPr>
            </w:pPr>
            <w:r w:rsidRPr="005E13E6">
              <w:rPr>
                <w:rFonts w:cs="Calibri"/>
                <w:sz w:val="20"/>
              </w:rPr>
              <w:t> </w:t>
            </w:r>
          </w:p>
        </w:tc>
      </w:tr>
      <w:tr w:rsidR="004C18AD" w:rsidRPr="005E13E6" w14:paraId="3C54A982" w14:textId="77777777" w:rsidTr="00B64234">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641F77BA" w14:textId="77777777" w:rsidR="004C18AD" w:rsidRPr="005E13E6" w:rsidRDefault="004C18AD" w:rsidP="00042C67">
            <w:pPr>
              <w:jc w:val="center"/>
              <w:rPr>
                <w:rFonts w:cs="Calibri"/>
                <w:sz w:val="22"/>
                <w:szCs w:val="22"/>
              </w:rPr>
            </w:pPr>
            <w:r w:rsidRPr="005E13E6">
              <w:rPr>
                <w:rFonts w:cs="Calibri"/>
                <w:sz w:val="22"/>
                <w:szCs w:val="22"/>
              </w:rPr>
              <w:t>TLC 2021</w:t>
            </w:r>
          </w:p>
        </w:tc>
        <w:tc>
          <w:tcPr>
            <w:tcW w:w="1582" w:type="dxa"/>
            <w:gridSpan w:val="2"/>
            <w:tcBorders>
              <w:top w:val="nil"/>
              <w:left w:val="nil"/>
              <w:bottom w:val="single" w:sz="4" w:space="0" w:color="auto"/>
              <w:right w:val="single" w:sz="4" w:space="0" w:color="auto"/>
            </w:tcBorders>
            <w:shd w:val="clear" w:color="auto" w:fill="auto"/>
            <w:noWrap/>
            <w:vAlign w:val="bottom"/>
            <w:hideMark/>
          </w:tcPr>
          <w:p w14:paraId="2641129B" w14:textId="77777777" w:rsidR="004C18AD" w:rsidRPr="005E13E6" w:rsidRDefault="004C18AD" w:rsidP="00042C67">
            <w:pPr>
              <w:rPr>
                <w:rFonts w:cs="Calibri"/>
                <w:color w:val="000000"/>
                <w:sz w:val="22"/>
                <w:szCs w:val="22"/>
              </w:rPr>
            </w:pPr>
            <w:r w:rsidRPr="005E13E6">
              <w:rPr>
                <w:rFonts w:cs="Calibri"/>
                <w:color w:val="000000"/>
                <w:sz w:val="20"/>
              </w:rPr>
              <w:t>南</w:t>
            </w:r>
            <w:r w:rsidRPr="005E13E6">
              <w:rPr>
                <w:rFonts w:cs="Calibri" w:hint="eastAsia"/>
                <w:color w:val="000000"/>
                <w:sz w:val="20"/>
              </w:rPr>
              <w:t>非</w:t>
            </w:r>
          </w:p>
        </w:tc>
        <w:tc>
          <w:tcPr>
            <w:tcW w:w="2757" w:type="dxa"/>
            <w:gridSpan w:val="2"/>
            <w:tcBorders>
              <w:top w:val="nil"/>
              <w:left w:val="nil"/>
              <w:bottom w:val="single" w:sz="4" w:space="0" w:color="auto"/>
              <w:right w:val="single" w:sz="4" w:space="0" w:color="auto"/>
            </w:tcBorders>
            <w:shd w:val="clear" w:color="auto" w:fill="auto"/>
            <w:noWrap/>
            <w:vAlign w:val="bottom"/>
            <w:hideMark/>
          </w:tcPr>
          <w:p w14:paraId="29739DB3" w14:textId="77777777" w:rsidR="004C18AD" w:rsidRPr="005E13E6" w:rsidRDefault="004C18AD" w:rsidP="00042C67">
            <w:pPr>
              <w:rPr>
                <w:rFonts w:cs="Calibri"/>
                <w:sz w:val="22"/>
                <w:szCs w:val="22"/>
              </w:rPr>
            </w:pPr>
            <w:r w:rsidRPr="005E13E6">
              <w:rPr>
                <w:rFonts w:cs="Calibri"/>
                <w:sz w:val="22"/>
                <w:szCs w:val="22"/>
              </w:rPr>
              <w:t>Gew Technologies</w:t>
            </w:r>
          </w:p>
        </w:tc>
        <w:tc>
          <w:tcPr>
            <w:tcW w:w="1338" w:type="dxa"/>
            <w:tcBorders>
              <w:top w:val="nil"/>
              <w:left w:val="nil"/>
              <w:bottom w:val="single" w:sz="4" w:space="0" w:color="auto"/>
              <w:right w:val="single" w:sz="4" w:space="0" w:color="auto"/>
            </w:tcBorders>
            <w:shd w:val="clear" w:color="auto" w:fill="auto"/>
            <w:noWrap/>
            <w:vAlign w:val="bottom"/>
            <w:hideMark/>
          </w:tcPr>
          <w:p w14:paraId="5375AA40" w14:textId="77777777" w:rsidR="004C18AD" w:rsidRPr="005E13E6" w:rsidRDefault="004C18AD" w:rsidP="00042C67">
            <w:pPr>
              <w:jc w:val="right"/>
              <w:rPr>
                <w:rFonts w:cs="Calibri"/>
                <w:sz w:val="22"/>
                <w:szCs w:val="22"/>
              </w:rPr>
            </w:pPr>
            <w:r w:rsidRPr="005E13E6">
              <w:rPr>
                <w:rFonts w:cs="Calibri"/>
                <w:sz w:val="22"/>
                <w:szCs w:val="22"/>
              </w:rPr>
              <w:t>12 000.00</w:t>
            </w:r>
          </w:p>
        </w:tc>
        <w:tc>
          <w:tcPr>
            <w:tcW w:w="1112" w:type="dxa"/>
            <w:tcBorders>
              <w:top w:val="nil"/>
              <w:left w:val="nil"/>
              <w:bottom w:val="single" w:sz="4" w:space="0" w:color="auto"/>
              <w:right w:val="single" w:sz="4" w:space="0" w:color="auto"/>
            </w:tcBorders>
            <w:shd w:val="clear" w:color="auto" w:fill="auto"/>
            <w:noWrap/>
            <w:vAlign w:val="bottom"/>
            <w:hideMark/>
          </w:tcPr>
          <w:p w14:paraId="64114B5D" w14:textId="77777777" w:rsidR="004C18AD" w:rsidRPr="005E13E6" w:rsidRDefault="004C18AD" w:rsidP="00042C67">
            <w:pPr>
              <w:jc w:val="right"/>
              <w:rPr>
                <w:rFonts w:cs="Calibri"/>
                <w:sz w:val="22"/>
                <w:szCs w:val="22"/>
              </w:rPr>
            </w:pPr>
            <w:r w:rsidRPr="005E13E6">
              <w:rPr>
                <w:rFonts w:cs="Calibri"/>
                <w:sz w:val="22"/>
                <w:szCs w:val="22"/>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06852121" w14:textId="77777777" w:rsidR="004C18AD" w:rsidRPr="005E13E6" w:rsidRDefault="004C18AD" w:rsidP="00042C67">
            <w:pPr>
              <w:jc w:val="right"/>
              <w:rPr>
                <w:rFonts w:cs="Calibri"/>
                <w:sz w:val="22"/>
                <w:szCs w:val="22"/>
              </w:rPr>
            </w:pPr>
            <w:r w:rsidRPr="005E13E6">
              <w:rPr>
                <w:rFonts w:cs="Calibri"/>
                <w:sz w:val="22"/>
                <w:szCs w:val="22"/>
              </w:rPr>
              <w:t>12 000.00</w:t>
            </w:r>
          </w:p>
        </w:tc>
      </w:tr>
      <w:tr w:rsidR="004C18AD" w:rsidRPr="005E13E6" w14:paraId="4545B8F0" w14:textId="77777777" w:rsidTr="00B64234">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16F7B4C0" w14:textId="77777777" w:rsidR="004C18AD" w:rsidRPr="005E13E6" w:rsidRDefault="004C18AD" w:rsidP="00042C67">
            <w:pPr>
              <w:jc w:val="center"/>
              <w:rPr>
                <w:rFonts w:cs="Calibri"/>
                <w:sz w:val="22"/>
                <w:szCs w:val="22"/>
              </w:rPr>
            </w:pPr>
            <w:r w:rsidRPr="005E13E6">
              <w:rPr>
                <w:rFonts w:cs="Calibri"/>
                <w:sz w:val="22"/>
                <w:szCs w:val="22"/>
              </w:rPr>
              <w:t>TLC 2021</w:t>
            </w:r>
          </w:p>
        </w:tc>
        <w:tc>
          <w:tcPr>
            <w:tcW w:w="1582" w:type="dxa"/>
            <w:gridSpan w:val="2"/>
            <w:tcBorders>
              <w:top w:val="nil"/>
              <w:left w:val="nil"/>
              <w:bottom w:val="single" w:sz="4" w:space="0" w:color="auto"/>
              <w:right w:val="single" w:sz="4" w:space="0" w:color="auto"/>
            </w:tcBorders>
            <w:shd w:val="clear" w:color="auto" w:fill="auto"/>
            <w:noWrap/>
            <w:vAlign w:val="bottom"/>
            <w:hideMark/>
          </w:tcPr>
          <w:p w14:paraId="37DDD908" w14:textId="77777777" w:rsidR="004C18AD" w:rsidRPr="005E13E6" w:rsidRDefault="004C18AD" w:rsidP="00042C67">
            <w:pPr>
              <w:rPr>
                <w:rFonts w:cs="Calibri"/>
                <w:color w:val="000000"/>
                <w:sz w:val="22"/>
                <w:szCs w:val="22"/>
              </w:rPr>
            </w:pPr>
            <w:r w:rsidRPr="005E13E6">
              <w:rPr>
                <w:rFonts w:cs="Calibri" w:hint="eastAsia"/>
                <w:color w:val="000000"/>
                <w:sz w:val="22"/>
                <w:szCs w:val="22"/>
                <w:lang w:eastAsia="zh-CN"/>
              </w:rPr>
              <w:t>美国</w:t>
            </w:r>
          </w:p>
        </w:tc>
        <w:tc>
          <w:tcPr>
            <w:tcW w:w="2757" w:type="dxa"/>
            <w:gridSpan w:val="2"/>
            <w:tcBorders>
              <w:top w:val="nil"/>
              <w:left w:val="nil"/>
              <w:bottom w:val="single" w:sz="4" w:space="0" w:color="auto"/>
              <w:right w:val="single" w:sz="4" w:space="0" w:color="auto"/>
            </w:tcBorders>
            <w:shd w:val="clear" w:color="auto" w:fill="auto"/>
            <w:noWrap/>
            <w:vAlign w:val="bottom"/>
            <w:hideMark/>
          </w:tcPr>
          <w:p w14:paraId="54DBD2FC" w14:textId="77777777" w:rsidR="004C18AD" w:rsidRPr="005E13E6" w:rsidRDefault="004C18AD" w:rsidP="00042C67">
            <w:pPr>
              <w:rPr>
                <w:rFonts w:cs="Calibri"/>
                <w:color w:val="000000"/>
                <w:sz w:val="22"/>
                <w:szCs w:val="22"/>
              </w:rPr>
            </w:pPr>
            <w:r w:rsidRPr="005E13E6">
              <w:rPr>
                <w:rFonts w:cs="Calibri" w:hint="eastAsia"/>
                <w:color w:val="000000"/>
                <w:sz w:val="22"/>
                <w:szCs w:val="22"/>
                <w:lang w:eastAsia="zh-CN"/>
              </w:rPr>
              <w:t>高通公司</w:t>
            </w:r>
          </w:p>
        </w:tc>
        <w:tc>
          <w:tcPr>
            <w:tcW w:w="1338" w:type="dxa"/>
            <w:tcBorders>
              <w:top w:val="nil"/>
              <w:left w:val="nil"/>
              <w:bottom w:val="single" w:sz="4" w:space="0" w:color="auto"/>
              <w:right w:val="single" w:sz="4" w:space="0" w:color="auto"/>
            </w:tcBorders>
            <w:shd w:val="clear" w:color="auto" w:fill="auto"/>
            <w:noWrap/>
            <w:vAlign w:val="bottom"/>
            <w:hideMark/>
          </w:tcPr>
          <w:p w14:paraId="1039E78A" w14:textId="77777777" w:rsidR="004C18AD" w:rsidRPr="005E13E6" w:rsidRDefault="004C18AD" w:rsidP="00042C67">
            <w:pPr>
              <w:jc w:val="right"/>
              <w:rPr>
                <w:rFonts w:cs="Calibri"/>
                <w:color w:val="000000"/>
                <w:sz w:val="22"/>
                <w:szCs w:val="22"/>
              </w:rPr>
            </w:pPr>
            <w:r w:rsidRPr="005E13E6">
              <w:rPr>
                <w:rFonts w:cs="Calibri"/>
                <w:color w:val="000000"/>
                <w:sz w:val="22"/>
                <w:szCs w:val="22"/>
              </w:rPr>
              <w:t>25 000.00</w:t>
            </w:r>
          </w:p>
        </w:tc>
        <w:tc>
          <w:tcPr>
            <w:tcW w:w="1112" w:type="dxa"/>
            <w:tcBorders>
              <w:top w:val="nil"/>
              <w:left w:val="nil"/>
              <w:bottom w:val="single" w:sz="4" w:space="0" w:color="auto"/>
              <w:right w:val="single" w:sz="4" w:space="0" w:color="auto"/>
            </w:tcBorders>
            <w:shd w:val="clear" w:color="auto" w:fill="auto"/>
            <w:noWrap/>
            <w:vAlign w:val="bottom"/>
            <w:hideMark/>
          </w:tcPr>
          <w:p w14:paraId="18745261" w14:textId="77777777" w:rsidR="004C18AD" w:rsidRPr="005E13E6" w:rsidRDefault="004C18AD" w:rsidP="00042C67">
            <w:pPr>
              <w:jc w:val="right"/>
              <w:rPr>
                <w:rFonts w:cs="Calibri"/>
                <w:color w:val="000000"/>
                <w:sz w:val="22"/>
                <w:szCs w:val="22"/>
              </w:rPr>
            </w:pPr>
            <w:r w:rsidRPr="005E13E6">
              <w:rPr>
                <w:rFonts w:cs="Calibri"/>
                <w:color w:val="000000"/>
                <w:sz w:val="22"/>
                <w:szCs w:val="22"/>
              </w:rPr>
              <w:t>0.00</w:t>
            </w:r>
          </w:p>
        </w:tc>
        <w:tc>
          <w:tcPr>
            <w:tcW w:w="1190" w:type="dxa"/>
            <w:tcBorders>
              <w:top w:val="nil"/>
              <w:left w:val="nil"/>
              <w:bottom w:val="single" w:sz="4" w:space="0" w:color="auto"/>
              <w:right w:val="single" w:sz="4" w:space="0" w:color="auto"/>
            </w:tcBorders>
            <w:shd w:val="clear" w:color="auto" w:fill="auto"/>
            <w:noWrap/>
            <w:vAlign w:val="bottom"/>
            <w:hideMark/>
          </w:tcPr>
          <w:p w14:paraId="41892463" w14:textId="77777777" w:rsidR="004C18AD" w:rsidRPr="005E13E6" w:rsidRDefault="004C18AD" w:rsidP="00042C67">
            <w:pPr>
              <w:jc w:val="right"/>
              <w:rPr>
                <w:rFonts w:cs="Calibri"/>
                <w:sz w:val="22"/>
                <w:szCs w:val="22"/>
              </w:rPr>
            </w:pPr>
            <w:r w:rsidRPr="005E13E6">
              <w:rPr>
                <w:rFonts w:cs="Calibri"/>
                <w:sz w:val="22"/>
                <w:szCs w:val="22"/>
              </w:rPr>
              <w:t>25 000.00</w:t>
            </w:r>
          </w:p>
        </w:tc>
      </w:tr>
      <w:tr w:rsidR="004C18AD" w:rsidRPr="005E13E6" w14:paraId="7134DD74" w14:textId="77777777" w:rsidTr="00B64234">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1ED4BA43" w14:textId="77777777" w:rsidR="004C18AD" w:rsidRPr="005E13E6" w:rsidRDefault="004C18AD" w:rsidP="00042C67">
            <w:pPr>
              <w:jc w:val="center"/>
              <w:rPr>
                <w:rFonts w:cs="Calibri"/>
                <w:color w:val="000000"/>
                <w:sz w:val="22"/>
                <w:szCs w:val="22"/>
              </w:rPr>
            </w:pPr>
            <w:r w:rsidRPr="005E13E6">
              <w:rPr>
                <w:rFonts w:cs="Calibri"/>
                <w:color w:val="000000"/>
                <w:sz w:val="22"/>
                <w:szCs w:val="22"/>
              </w:rPr>
              <w:t> </w:t>
            </w:r>
          </w:p>
        </w:tc>
        <w:tc>
          <w:tcPr>
            <w:tcW w:w="1582" w:type="dxa"/>
            <w:gridSpan w:val="2"/>
            <w:tcBorders>
              <w:top w:val="nil"/>
              <w:left w:val="nil"/>
              <w:bottom w:val="single" w:sz="4" w:space="0" w:color="auto"/>
              <w:right w:val="single" w:sz="4" w:space="0" w:color="auto"/>
            </w:tcBorders>
            <w:shd w:val="clear" w:color="auto" w:fill="auto"/>
            <w:noWrap/>
            <w:vAlign w:val="bottom"/>
            <w:hideMark/>
          </w:tcPr>
          <w:p w14:paraId="61FA6578" w14:textId="77777777" w:rsidR="004C18AD" w:rsidRPr="005E13E6" w:rsidRDefault="004C18AD" w:rsidP="00042C67">
            <w:pPr>
              <w:rPr>
                <w:rFonts w:cs="Calibri"/>
                <w:color w:val="000000"/>
                <w:sz w:val="22"/>
                <w:szCs w:val="22"/>
              </w:rPr>
            </w:pPr>
            <w:r w:rsidRPr="005E13E6">
              <w:rPr>
                <w:rFonts w:cs="Calibri"/>
                <w:color w:val="000000"/>
                <w:sz w:val="22"/>
                <w:szCs w:val="22"/>
              </w:rPr>
              <w:t> </w:t>
            </w:r>
          </w:p>
        </w:tc>
        <w:tc>
          <w:tcPr>
            <w:tcW w:w="2757" w:type="dxa"/>
            <w:gridSpan w:val="2"/>
            <w:tcBorders>
              <w:top w:val="nil"/>
              <w:left w:val="nil"/>
              <w:bottom w:val="single" w:sz="4" w:space="0" w:color="auto"/>
              <w:right w:val="single" w:sz="4" w:space="0" w:color="auto"/>
            </w:tcBorders>
            <w:shd w:val="clear" w:color="auto" w:fill="auto"/>
            <w:noWrap/>
            <w:vAlign w:val="bottom"/>
            <w:hideMark/>
          </w:tcPr>
          <w:p w14:paraId="5E139139" w14:textId="77777777" w:rsidR="004C18AD" w:rsidRPr="005E13E6" w:rsidRDefault="004C18AD" w:rsidP="00042C67">
            <w:pPr>
              <w:rPr>
                <w:rFonts w:cs="Calibri"/>
                <w:color w:val="000000"/>
                <w:sz w:val="22"/>
                <w:szCs w:val="22"/>
              </w:rPr>
            </w:pPr>
            <w:r w:rsidRPr="005E13E6">
              <w:rPr>
                <w:rFonts w:cs="Calibri"/>
                <w:color w:val="000000"/>
                <w:sz w:val="22"/>
                <w:szCs w:val="22"/>
              </w:rPr>
              <w:t> </w:t>
            </w:r>
          </w:p>
        </w:tc>
        <w:tc>
          <w:tcPr>
            <w:tcW w:w="1338" w:type="dxa"/>
            <w:tcBorders>
              <w:top w:val="nil"/>
              <w:left w:val="nil"/>
              <w:bottom w:val="single" w:sz="4" w:space="0" w:color="auto"/>
              <w:right w:val="single" w:sz="4" w:space="0" w:color="auto"/>
            </w:tcBorders>
            <w:shd w:val="clear" w:color="auto" w:fill="auto"/>
            <w:noWrap/>
            <w:vAlign w:val="bottom"/>
            <w:hideMark/>
          </w:tcPr>
          <w:p w14:paraId="2FB70F60" w14:textId="77777777" w:rsidR="004C18AD" w:rsidRPr="005E13E6" w:rsidRDefault="004C18AD" w:rsidP="00042C67">
            <w:pPr>
              <w:rPr>
                <w:rFonts w:cs="Calibri"/>
                <w:color w:val="000000"/>
                <w:sz w:val="22"/>
                <w:szCs w:val="22"/>
              </w:rPr>
            </w:pPr>
            <w:r w:rsidRPr="005E13E6">
              <w:rPr>
                <w:rFonts w:cs="Calibri"/>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1CD59D49" w14:textId="77777777" w:rsidR="004C18AD" w:rsidRPr="005E13E6" w:rsidRDefault="004C18AD" w:rsidP="00042C67">
            <w:pPr>
              <w:rPr>
                <w:rFonts w:cs="Calibri"/>
                <w:color w:val="000000"/>
                <w:sz w:val="22"/>
                <w:szCs w:val="22"/>
              </w:rPr>
            </w:pPr>
            <w:r w:rsidRPr="005E13E6">
              <w:rPr>
                <w:rFonts w:cs="Calibri"/>
                <w:color w:val="000000"/>
                <w:sz w:val="22"/>
                <w:szCs w:val="22"/>
              </w:rPr>
              <w:t> </w:t>
            </w:r>
          </w:p>
        </w:tc>
        <w:tc>
          <w:tcPr>
            <w:tcW w:w="1190" w:type="dxa"/>
            <w:tcBorders>
              <w:top w:val="nil"/>
              <w:left w:val="nil"/>
              <w:bottom w:val="single" w:sz="4" w:space="0" w:color="auto"/>
              <w:right w:val="single" w:sz="4" w:space="0" w:color="auto"/>
            </w:tcBorders>
            <w:shd w:val="clear" w:color="auto" w:fill="auto"/>
            <w:noWrap/>
            <w:vAlign w:val="bottom"/>
            <w:hideMark/>
          </w:tcPr>
          <w:p w14:paraId="49FFB0F7" w14:textId="77777777" w:rsidR="004C18AD" w:rsidRPr="005E13E6" w:rsidRDefault="004C18AD" w:rsidP="00042C67">
            <w:pPr>
              <w:rPr>
                <w:rFonts w:cs="Calibri"/>
                <w:color w:val="000000"/>
                <w:sz w:val="22"/>
                <w:szCs w:val="22"/>
              </w:rPr>
            </w:pPr>
            <w:r w:rsidRPr="005E13E6">
              <w:rPr>
                <w:rFonts w:cs="Calibri"/>
                <w:color w:val="000000"/>
                <w:sz w:val="22"/>
                <w:szCs w:val="22"/>
              </w:rPr>
              <w:t> </w:t>
            </w:r>
          </w:p>
        </w:tc>
      </w:tr>
      <w:tr w:rsidR="004C18AD" w:rsidRPr="005E13E6" w14:paraId="537CD1E4" w14:textId="77777777" w:rsidTr="00B64234">
        <w:trPr>
          <w:trHeight w:val="300"/>
        </w:trPr>
        <w:tc>
          <w:tcPr>
            <w:tcW w:w="1694" w:type="dxa"/>
            <w:tcBorders>
              <w:top w:val="nil"/>
              <w:left w:val="single" w:sz="4" w:space="0" w:color="auto"/>
              <w:bottom w:val="single" w:sz="4" w:space="0" w:color="auto"/>
              <w:right w:val="single" w:sz="4" w:space="0" w:color="auto"/>
            </w:tcBorders>
            <w:shd w:val="clear" w:color="auto" w:fill="auto"/>
            <w:noWrap/>
            <w:vAlign w:val="bottom"/>
            <w:hideMark/>
          </w:tcPr>
          <w:p w14:paraId="1420904C" w14:textId="77777777" w:rsidR="004C18AD" w:rsidRPr="005E13E6" w:rsidRDefault="004C18AD" w:rsidP="00042C67">
            <w:pPr>
              <w:jc w:val="center"/>
              <w:rPr>
                <w:rFonts w:cs="Calibri"/>
                <w:sz w:val="22"/>
                <w:szCs w:val="22"/>
              </w:rPr>
            </w:pPr>
            <w:r w:rsidRPr="005E13E6">
              <w:rPr>
                <w:rFonts w:cs="Calibri"/>
                <w:sz w:val="22"/>
                <w:szCs w:val="22"/>
              </w:rPr>
              <w:t>TLC 2021</w:t>
            </w:r>
          </w:p>
        </w:tc>
        <w:tc>
          <w:tcPr>
            <w:tcW w:w="1582" w:type="dxa"/>
            <w:gridSpan w:val="2"/>
            <w:tcBorders>
              <w:top w:val="nil"/>
              <w:left w:val="nil"/>
              <w:bottom w:val="single" w:sz="4" w:space="0" w:color="auto"/>
              <w:right w:val="single" w:sz="4" w:space="0" w:color="auto"/>
            </w:tcBorders>
            <w:shd w:val="clear" w:color="auto" w:fill="auto"/>
            <w:noWrap/>
            <w:vAlign w:val="bottom"/>
            <w:hideMark/>
          </w:tcPr>
          <w:p w14:paraId="404C6F7A" w14:textId="77777777" w:rsidR="004C18AD" w:rsidRPr="005E13E6" w:rsidRDefault="004C18AD" w:rsidP="00042C67">
            <w:pPr>
              <w:rPr>
                <w:rFonts w:cs="Calibri"/>
                <w:color w:val="000000"/>
                <w:sz w:val="22"/>
                <w:szCs w:val="22"/>
              </w:rPr>
            </w:pPr>
            <w:r w:rsidRPr="005E13E6">
              <w:rPr>
                <w:rFonts w:cs="Calibri"/>
                <w:color w:val="000000"/>
                <w:sz w:val="22"/>
                <w:szCs w:val="22"/>
              </w:rPr>
              <w:t> </w:t>
            </w:r>
          </w:p>
        </w:tc>
        <w:tc>
          <w:tcPr>
            <w:tcW w:w="2757" w:type="dxa"/>
            <w:gridSpan w:val="2"/>
            <w:tcBorders>
              <w:top w:val="nil"/>
              <w:left w:val="nil"/>
              <w:bottom w:val="single" w:sz="4" w:space="0" w:color="auto"/>
              <w:right w:val="single" w:sz="4" w:space="0" w:color="auto"/>
            </w:tcBorders>
            <w:shd w:val="clear" w:color="auto" w:fill="auto"/>
            <w:noWrap/>
            <w:vAlign w:val="bottom"/>
            <w:hideMark/>
          </w:tcPr>
          <w:p w14:paraId="4F5D7A2E" w14:textId="77777777" w:rsidR="004C18AD" w:rsidRPr="005E13E6" w:rsidRDefault="004C18AD" w:rsidP="00042C67">
            <w:pPr>
              <w:rPr>
                <w:rFonts w:cs="Calibri"/>
                <w:color w:val="000000"/>
                <w:sz w:val="22"/>
                <w:szCs w:val="22"/>
              </w:rPr>
            </w:pPr>
            <w:r w:rsidRPr="005E13E6">
              <w:rPr>
                <w:rFonts w:cs="Calibri"/>
                <w:color w:val="000000"/>
                <w:sz w:val="22"/>
                <w:szCs w:val="22"/>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250EE7" w14:textId="77777777" w:rsidR="004C18AD" w:rsidRPr="005E13E6" w:rsidRDefault="004C18AD" w:rsidP="00042C67">
            <w:pPr>
              <w:rPr>
                <w:rFonts w:cs="Calibri"/>
                <w:color w:val="000000"/>
                <w:sz w:val="22"/>
                <w:szCs w:val="22"/>
              </w:rPr>
            </w:pPr>
            <w:r w:rsidRPr="005E13E6">
              <w:rPr>
                <w:rFonts w:cs="Calibri"/>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38B985BE" w14:textId="77777777" w:rsidR="004C18AD" w:rsidRPr="005E13E6" w:rsidRDefault="004C18AD" w:rsidP="00042C67">
            <w:pPr>
              <w:rPr>
                <w:rFonts w:cs="Calibri"/>
                <w:b/>
                <w:bCs/>
                <w:sz w:val="20"/>
              </w:rPr>
            </w:pPr>
            <w:r w:rsidRPr="005E13E6">
              <w:rPr>
                <w:rFonts w:cs="Calibri"/>
                <w:b/>
                <w:bCs/>
                <w:sz w:val="20"/>
              </w:rPr>
              <w:t> </w:t>
            </w:r>
          </w:p>
        </w:tc>
        <w:tc>
          <w:tcPr>
            <w:tcW w:w="1190" w:type="dxa"/>
            <w:tcBorders>
              <w:top w:val="nil"/>
              <w:left w:val="nil"/>
              <w:bottom w:val="single" w:sz="4" w:space="0" w:color="auto"/>
              <w:right w:val="single" w:sz="4" w:space="0" w:color="auto"/>
            </w:tcBorders>
            <w:shd w:val="clear" w:color="auto" w:fill="auto"/>
            <w:noWrap/>
            <w:vAlign w:val="bottom"/>
            <w:hideMark/>
          </w:tcPr>
          <w:p w14:paraId="404C8AFD" w14:textId="77777777" w:rsidR="004C18AD" w:rsidRPr="005E13E6" w:rsidRDefault="004C18AD" w:rsidP="00042C67">
            <w:pPr>
              <w:jc w:val="right"/>
              <w:rPr>
                <w:rFonts w:cs="Calibri"/>
                <w:b/>
                <w:bCs/>
                <w:sz w:val="20"/>
              </w:rPr>
            </w:pPr>
            <w:r w:rsidRPr="005E13E6">
              <w:rPr>
                <w:rFonts w:cs="Calibri"/>
                <w:b/>
                <w:bCs/>
                <w:sz w:val="20"/>
              </w:rPr>
              <w:t>37 000.00</w:t>
            </w:r>
          </w:p>
        </w:tc>
      </w:tr>
      <w:tr w:rsidR="004C18AD" w:rsidRPr="005E13E6" w14:paraId="7E5CB29D" w14:textId="77777777" w:rsidTr="00B64234">
        <w:trPr>
          <w:gridAfter w:val="4"/>
          <w:wAfter w:w="5593" w:type="dxa"/>
          <w:trHeight w:val="300"/>
        </w:trPr>
        <w:tc>
          <w:tcPr>
            <w:tcW w:w="2360" w:type="dxa"/>
            <w:gridSpan w:val="2"/>
            <w:tcBorders>
              <w:top w:val="nil"/>
              <w:left w:val="nil"/>
              <w:bottom w:val="nil"/>
              <w:right w:val="nil"/>
            </w:tcBorders>
            <w:shd w:val="clear" w:color="auto" w:fill="auto"/>
            <w:noWrap/>
            <w:vAlign w:val="bottom"/>
            <w:hideMark/>
          </w:tcPr>
          <w:p w14:paraId="768D0AB1" w14:textId="77777777" w:rsidR="004C18AD" w:rsidRPr="005E13E6" w:rsidRDefault="004C18AD" w:rsidP="00042C67">
            <w:pPr>
              <w:overflowPunct/>
              <w:autoSpaceDE/>
              <w:autoSpaceDN/>
              <w:adjustRightInd/>
              <w:spacing w:before="0"/>
              <w:textAlignment w:val="auto"/>
              <w:rPr>
                <w:rFonts w:cs="Calibri"/>
                <w:color w:val="000000"/>
                <w:sz w:val="22"/>
                <w:szCs w:val="22"/>
                <w:lang w:eastAsia="en-GB"/>
              </w:rPr>
            </w:pPr>
            <w:r w:rsidRPr="005E13E6">
              <w:rPr>
                <w:rFonts w:cs="Calibri" w:hint="eastAsia"/>
                <w:color w:val="000000"/>
                <w:sz w:val="22"/>
                <w:szCs w:val="22"/>
              </w:rPr>
              <w:t>全球债务方</w:t>
            </w:r>
          </w:p>
        </w:tc>
        <w:tc>
          <w:tcPr>
            <w:tcW w:w="1720" w:type="dxa"/>
            <w:gridSpan w:val="2"/>
            <w:tcBorders>
              <w:top w:val="nil"/>
              <w:left w:val="nil"/>
              <w:bottom w:val="nil"/>
              <w:right w:val="nil"/>
            </w:tcBorders>
            <w:shd w:val="clear" w:color="auto" w:fill="auto"/>
            <w:noWrap/>
            <w:vAlign w:val="bottom"/>
            <w:hideMark/>
          </w:tcPr>
          <w:p w14:paraId="1BE0139A" w14:textId="77777777" w:rsidR="004C18AD" w:rsidRPr="005E13E6" w:rsidRDefault="004C18AD" w:rsidP="00042C67">
            <w:pPr>
              <w:jc w:val="right"/>
              <w:rPr>
                <w:rFonts w:cs="Calibri"/>
                <w:b/>
                <w:bCs/>
                <w:sz w:val="20"/>
              </w:rPr>
            </w:pPr>
            <w:r w:rsidRPr="005E13E6">
              <w:rPr>
                <w:rFonts w:cs="Calibri"/>
                <w:b/>
                <w:bCs/>
                <w:sz w:val="20"/>
              </w:rPr>
              <w:t>598 525.91</w:t>
            </w:r>
          </w:p>
        </w:tc>
      </w:tr>
      <w:tr w:rsidR="004C18AD" w:rsidRPr="005E13E6" w14:paraId="41FC4ECE" w14:textId="77777777" w:rsidTr="00B64234">
        <w:trPr>
          <w:gridAfter w:val="4"/>
          <w:wAfter w:w="5593" w:type="dxa"/>
          <w:trHeight w:val="300"/>
        </w:trPr>
        <w:tc>
          <w:tcPr>
            <w:tcW w:w="2360" w:type="dxa"/>
            <w:gridSpan w:val="2"/>
            <w:tcBorders>
              <w:top w:val="nil"/>
              <w:left w:val="nil"/>
              <w:bottom w:val="nil"/>
              <w:right w:val="nil"/>
            </w:tcBorders>
            <w:shd w:val="clear" w:color="auto" w:fill="auto"/>
            <w:noWrap/>
            <w:vAlign w:val="bottom"/>
            <w:hideMark/>
          </w:tcPr>
          <w:p w14:paraId="453D2FAA" w14:textId="77777777" w:rsidR="004C18AD" w:rsidRPr="005E13E6" w:rsidRDefault="004C18AD" w:rsidP="0076544D">
            <w:pPr>
              <w:tabs>
                <w:tab w:val="left" w:pos="567"/>
                <w:tab w:val="left" w:pos="1134"/>
                <w:tab w:val="left" w:pos="1701"/>
                <w:tab w:val="left" w:pos="2268"/>
                <w:tab w:val="left" w:pos="2835"/>
              </w:tabs>
              <w:rPr>
                <w:rFonts w:cs="Calibri"/>
                <w:color w:val="000000"/>
                <w:sz w:val="22"/>
                <w:szCs w:val="22"/>
              </w:rPr>
            </w:pPr>
            <w:r w:rsidRPr="005E13E6">
              <w:rPr>
                <w:rFonts w:cs="Calibri" w:hint="eastAsia"/>
                <w:color w:val="000000"/>
                <w:sz w:val="22"/>
                <w:szCs w:val="22"/>
              </w:rPr>
              <w:t>非洲债务方</w:t>
            </w:r>
          </w:p>
        </w:tc>
        <w:tc>
          <w:tcPr>
            <w:tcW w:w="1720" w:type="dxa"/>
            <w:gridSpan w:val="2"/>
            <w:tcBorders>
              <w:top w:val="nil"/>
              <w:left w:val="nil"/>
              <w:bottom w:val="nil"/>
              <w:right w:val="nil"/>
            </w:tcBorders>
            <w:shd w:val="clear" w:color="auto" w:fill="auto"/>
            <w:noWrap/>
            <w:vAlign w:val="bottom"/>
            <w:hideMark/>
          </w:tcPr>
          <w:p w14:paraId="575A65B2" w14:textId="77777777" w:rsidR="004C18AD" w:rsidRPr="005E13E6" w:rsidRDefault="004C18AD" w:rsidP="0076544D">
            <w:pPr>
              <w:tabs>
                <w:tab w:val="left" w:pos="567"/>
                <w:tab w:val="left" w:pos="1134"/>
                <w:tab w:val="left" w:pos="1701"/>
                <w:tab w:val="left" w:pos="2268"/>
                <w:tab w:val="left" w:pos="2835"/>
              </w:tabs>
              <w:jc w:val="right"/>
              <w:rPr>
                <w:rFonts w:cs="Calibri"/>
                <w:b/>
                <w:bCs/>
                <w:sz w:val="20"/>
              </w:rPr>
            </w:pPr>
            <w:r w:rsidRPr="005E13E6">
              <w:rPr>
                <w:rFonts w:cs="Calibri"/>
                <w:b/>
                <w:bCs/>
                <w:sz w:val="20"/>
              </w:rPr>
              <w:t>40 480.00</w:t>
            </w:r>
          </w:p>
        </w:tc>
      </w:tr>
      <w:tr w:rsidR="004C18AD" w:rsidRPr="005E13E6" w14:paraId="787F882D" w14:textId="77777777" w:rsidTr="00B64234">
        <w:trPr>
          <w:gridAfter w:val="4"/>
          <w:wAfter w:w="5593" w:type="dxa"/>
          <w:trHeight w:val="300"/>
        </w:trPr>
        <w:tc>
          <w:tcPr>
            <w:tcW w:w="2360" w:type="dxa"/>
            <w:gridSpan w:val="2"/>
            <w:tcBorders>
              <w:top w:val="nil"/>
              <w:left w:val="nil"/>
              <w:bottom w:val="nil"/>
              <w:right w:val="nil"/>
            </w:tcBorders>
            <w:shd w:val="clear" w:color="auto" w:fill="auto"/>
            <w:noWrap/>
            <w:vAlign w:val="bottom"/>
            <w:hideMark/>
          </w:tcPr>
          <w:p w14:paraId="07681952" w14:textId="77777777" w:rsidR="004C18AD" w:rsidRPr="0076544D" w:rsidRDefault="004C18AD" w:rsidP="0076544D">
            <w:pPr>
              <w:tabs>
                <w:tab w:val="left" w:pos="567"/>
                <w:tab w:val="left" w:pos="1134"/>
                <w:tab w:val="left" w:pos="1701"/>
                <w:tab w:val="left" w:pos="2268"/>
                <w:tab w:val="left" w:pos="2835"/>
              </w:tabs>
              <w:rPr>
                <w:rFonts w:cs="Calibri"/>
                <w:color w:val="000000"/>
                <w:sz w:val="22"/>
              </w:rPr>
            </w:pPr>
            <w:r w:rsidRPr="005E13E6">
              <w:rPr>
                <w:rFonts w:cs="Calibri" w:hint="eastAsia"/>
                <w:bCs/>
                <w:color w:val="000000"/>
                <w:sz w:val="22"/>
                <w:szCs w:val="22"/>
              </w:rPr>
              <w:t>债务方合计</w:t>
            </w:r>
          </w:p>
        </w:tc>
        <w:tc>
          <w:tcPr>
            <w:tcW w:w="1720" w:type="dxa"/>
            <w:gridSpan w:val="2"/>
            <w:tcBorders>
              <w:top w:val="nil"/>
              <w:left w:val="nil"/>
              <w:bottom w:val="nil"/>
              <w:right w:val="nil"/>
            </w:tcBorders>
            <w:shd w:val="clear" w:color="auto" w:fill="auto"/>
            <w:noWrap/>
            <w:vAlign w:val="bottom"/>
            <w:hideMark/>
          </w:tcPr>
          <w:p w14:paraId="3FA00228" w14:textId="77777777" w:rsidR="004C18AD" w:rsidRPr="0076544D" w:rsidRDefault="004C18AD" w:rsidP="0076544D">
            <w:pPr>
              <w:tabs>
                <w:tab w:val="left" w:pos="567"/>
                <w:tab w:val="left" w:pos="1134"/>
                <w:tab w:val="left" w:pos="1701"/>
                <w:tab w:val="left" w:pos="2268"/>
                <w:tab w:val="left" w:pos="2835"/>
              </w:tabs>
              <w:jc w:val="right"/>
              <w:rPr>
                <w:rFonts w:cs="Calibri"/>
                <w:b/>
                <w:sz w:val="20"/>
              </w:rPr>
            </w:pPr>
            <w:r w:rsidRPr="005E13E6">
              <w:rPr>
                <w:rFonts w:cs="Calibri"/>
                <w:b/>
                <w:bCs/>
                <w:sz w:val="20"/>
              </w:rPr>
              <w:t>639 005.91</w:t>
            </w:r>
          </w:p>
        </w:tc>
      </w:tr>
    </w:tbl>
    <w:p w14:paraId="4F9829C5" w14:textId="77777777" w:rsidR="004C18AD" w:rsidRPr="005E13E6" w:rsidRDefault="004C18AD" w:rsidP="004C18AD">
      <w:pPr>
        <w:tabs>
          <w:tab w:val="left" w:pos="720"/>
        </w:tabs>
        <w:overflowPunct/>
        <w:autoSpaceDE/>
        <w:adjustRightInd/>
        <w:spacing w:before="0"/>
        <w:rPr>
          <w:rFonts w:cs="Calibri"/>
        </w:rPr>
      </w:pPr>
      <w:r w:rsidRPr="005E13E6">
        <w:rPr>
          <w:rFonts w:cs="Calibri"/>
        </w:rPr>
        <w:br w:type="page"/>
      </w:r>
    </w:p>
    <w:p w14:paraId="1B875B7C" w14:textId="77777777" w:rsidR="004C18AD" w:rsidRPr="005E13E6" w:rsidRDefault="004C18AD" w:rsidP="004C18AD">
      <w:pPr>
        <w:pStyle w:val="AnnexNo"/>
        <w:outlineLvl w:val="0"/>
        <w:rPr>
          <w:rFonts w:cs="Calibri"/>
          <w:lang w:eastAsia="zh-CN"/>
        </w:rPr>
      </w:pPr>
      <w:bookmarkStart w:id="1471" w:name="_Toc357006014"/>
      <w:bookmarkStart w:id="1472" w:name="_Toc305776656"/>
      <w:bookmarkStart w:id="1473" w:name="_Toc482894807"/>
      <w:bookmarkStart w:id="1474" w:name="_Toc482894280"/>
      <w:bookmarkStart w:id="1475" w:name="_Toc41905920"/>
      <w:bookmarkStart w:id="1476" w:name="_Toc41908095"/>
      <w:bookmarkStart w:id="1477" w:name="_Toc73519312"/>
      <w:bookmarkStart w:id="1478" w:name="_Toc73636348"/>
      <w:bookmarkStart w:id="1479" w:name="_Toc110330305"/>
      <w:r w:rsidRPr="005E13E6">
        <w:rPr>
          <w:rFonts w:cs="Calibri" w:hint="eastAsia"/>
          <w:lang w:eastAsia="zh-CN"/>
        </w:rPr>
        <w:lastRenderedPageBreak/>
        <w:t>附件</w:t>
      </w:r>
      <w:bookmarkEnd w:id="1471"/>
      <w:bookmarkEnd w:id="1472"/>
      <w:bookmarkEnd w:id="1473"/>
      <w:bookmarkEnd w:id="1474"/>
      <w:r w:rsidRPr="005E13E6">
        <w:rPr>
          <w:rFonts w:cs="Calibri" w:hint="eastAsia"/>
          <w:lang w:eastAsia="zh-CN"/>
        </w:rPr>
        <w:t>E</w:t>
      </w:r>
      <w:bookmarkEnd w:id="1475"/>
      <w:bookmarkEnd w:id="1476"/>
      <w:bookmarkEnd w:id="1477"/>
      <w:bookmarkEnd w:id="1478"/>
      <w:bookmarkEnd w:id="1479"/>
    </w:p>
    <w:p w14:paraId="32CD739F" w14:textId="77777777" w:rsidR="004C18AD" w:rsidRPr="005E13E6" w:rsidRDefault="004C18AD" w:rsidP="004C18AD">
      <w:pPr>
        <w:pStyle w:val="Annextitle"/>
        <w:rPr>
          <w:rFonts w:ascii="Calibri" w:hAnsi="Calibri" w:cs="Calibri"/>
          <w:lang w:eastAsia="zh-CN"/>
        </w:rPr>
      </w:pPr>
      <w:r w:rsidRPr="005E13E6">
        <w:rPr>
          <w:rFonts w:ascii="Calibri" w:hAnsi="Calibri" w:cs="Calibri" w:hint="eastAsia"/>
          <w:lang w:val="fr-CH" w:eastAsia="zh-CN"/>
        </w:rPr>
        <w:t>截至</w:t>
      </w:r>
      <w:r w:rsidRPr="005E13E6">
        <w:rPr>
          <w:rFonts w:ascii="Calibri" w:hAnsi="Calibri" w:cs="Calibri"/>
          <w:lang w:eastAsia="zh-CN"/>
        </w:rPr>
        <w:t>20</w:t>
      </w:r>
      <w:r w:rsidRPr="005E13E6">
        <w:rPr>
          <w:rFonts w:ascii="Calibri" w:hAnsi="Calibri" w:cs="Calibri" w:hint="eastAsia"/>
          <w:lang w:eastAsia="zh-CN"/>
        </w:rPr>
        <w:t>21</w:t>
      </w:r>
      <w:r w:rsidRPr="005E13E6">
        <w:rPr>
          <w:rFonts w:ascii="Calibri" w:hAnsi="Calibri" w:cs="Calibri" w:hint="eastAsia"/>
          <w:lang w:val="fr-CH" w:eastAsia="zh-CN"/>
        </w:rPr>
        <w:t>年</w:t>
      </w:r>
      <w:r w:rsidRPr="005E13E6">
        <w:rPr>
          <w:rFonts w:ascii="Calibri" w:hAnsi="Calibri" w:cs="Calibri"/>
          <w:lang w:eastAsia="zh-CN"/>
        </w:rPr>
        <w:t>12</w:t>
      </w:r>
      <w:r w:rsidRPr="005E13E6">
        <w:rPr>
          <w:rFonts w:ascii="Calibri" w:hAnsi="Calibri" w:cs="Calibri" w:hint="eastAsia"/>
          <w:lang w:val="fr-CH" w:eastAsia="zh-CN"/>
        </w:rPr>
        <w:t>月</w:t>
      </w:r>
      <w:r w:rsidRPr="005E13E6">
        <w:rPr>
          <w:rFonts w:ascii="Calibri" w:hAnsi="Calibri" w:cs="Calibri"/>
          <w:lang w:eastAsia="zh-CN"/>
        </w:rPr>
        <w:t>31</w:t>
      </w:r>
      <w:r w:rsidRPr="005E13E6">
        <w:rPr>
          <w:rFonts w:ascii="Calibri" w:hAnsi="Calibri" w:cs="Calibri" w:hint="eastAsia"/>
          <w:lang w:val="fr-CH" w:eastAsia="zh-CN"/>
        </w:rPr>
        <w:t>日未付款的赞助方名单</w:t>
      </w:r>
    </w:p>
    <w:tbl>
      <w:tblPr>
        <w:tblW w:w="8200" w:type="dxa"/>
        <w:tblLook w:val="04A0" w:firstRow="1" w:lastRow="0" w:firstColumn="1" w:lastColumn="0" w:noHBand="0" w:noVBand="1"/>
      </w:tblPr>
      <w:tblGrid>
        <w:gridCol w:w="2260"/>
        <w:gridCol w:w="2600"/>
        <w:gridCol w:w="1920"/>
        <w:gridCol w:w="1420"/>
      </w:tblGrid>
      <w:tr w:rsidR="004C18AD" w:rsidRPr="005E13E6" w14:paraId="429C65FA" w14:textId="77777777" w:rsidTr="00042C67">
        <w:trPr>
          <w:trHeight w:val="300"/>
        </w:trPr>
        <w:tc>
          <w:tcPr>
            <w:tcW w:w="2260" w:type="dxa"/>
            <w:tcBorders>
              <w:top w:val="single" w:sz="4" w:space="0" w:color="000000"/>
              <w:left w:val="single" w:sz="4" w:space="0" w:color="000000"/>
              <w:bottom w:val="nil"/>
              <w:right w:val="single" w:sz="4" w:space="0" w:color="000000"/>
            </w:tcBorders>
            <w:shd w:val="clear" w:color="auto" w:fill="auto"/>
            <w:noWrap/>
            <w:vAlign w:val="bottom"/>
            <w:hideMark/>
          </w:tcPr>
          <w:p w14:paraId="0ED970DC" w14:textId="77777777" w:rsidR="004C18AD" w:rsidRPr="005E13E6" w:rsidRDefault="004C18AD" w:rsidP="00042C67">
            <w:pPr>
              <w:overflowPunct/>
              <w:autoSpaceDE/>
              <w:autoSpaceDN/>
              <w:adjustRightInd/>
              <w:spacing w:before="0"/>
              <w:jc w:val="center"/>
              <w:textAlignment w:val="auto"/>
              <w:rPr>
                <w:rFonts w:cs="Calibri"/>
                <w:color w:val="000000"/>
                <w:sz w:val="22"/>
                <w:szCs w:val="22"/>
                <w:lang w:eastAsia="zh-CN"/>
              </w:rPr>
            </w:pPr>
            <w:bookmarkStart w:id="1480" w:name="_MON_1402743587"/>
            <w:bookmarkStart w:id="1481" w:name="_MON_1402743680"/>
            <w:bookmarkStart w:id="1482" w:name="_MON_1488987921"/>
            <w:bookmarkEnd w:id="1480"/>
            <w:bookmarkEnd w:id="1481"/>
            <w:bookmarkEnd w:id="1482"/>
            <w:r w:rsidRPr="005E13E6">
              <w:rPr>
                <w:rFonts w:cs="Calibri"/>
                <w:color w:val="000000"/>
                <w:sz w:val="22"/>
                <w:szCs w:val="22"/>
                <w:lang w:eastAsia="zh-CN"/>
              </w:rPr>
              <w:t> </w:t>
            </w:r>
          </w:p>
        </w:tc>
        <w:tc>
          <w:tcPr>
            <w:tcW w:w="2600" w:type="dxa"/>
            <w:tcBorders>
              <w:top w:val="single" w:sz="4" w:space="0" w:color="000000"/>
              <w:left w:val="nil"/>
              <w:bottom w:val="nil"/>
              <w:right w:val="single" w:sz="4" w:space="0" w:color="000000"/>
            </w:tcBorders>
            <w:shd w:val="clear" w:color="auto" w:fill="auto"/>
            <w:noWrap/>
            <w:vAlign w:val="bottom"/>
            <w:hideMark/>
          </w:tcPr>
          <w:p w14:paraId="46CB5015" w14:textId="77777777" w:rsidR="004C18AD" w:rsidRPr="005E13E6" w:rsidRDefault="004C18AD" w:rsidP="00042C67">
            <w:pPr>
              <w:overflowPunct/>
              <w:autoSpaceDE/>
              <w:autoSpaceDN/>
              <w:adjustRightInd/>
              <w:spacing w:before="0"/>
              <w:jc w:val="center"/>
              <w:textAlignment w:val="auto"/>
              <w:rPr>
                <w:rFonts w:cs="Calibri"/>
                <w:color w:val="000000"/>
                <w:sz w:val="22"/>
                <w:szCs w:val="22"/>
                <w:lang w:eastAsia="zh-CN"/>
              </w:rPr>
            </w:pPr>
            <w:r w:rsidRPr="005E13E6">
              <w:rPr>
                <w:rFonts w:cs="Calibri"/>
                <w:color w:val="000000"/>
                <w:sz w:val="22"/>
                <w:szCs w:val="22"/>
                <w:lang w:eastAsia="zh-CN"/>
              </w:rPr>
              <w:t> </w:t>
            </w:r>
          </w:p>
        </w:tc>
        <w:tc>
          <w:tcPr>
            <w:tcW w:w="1920" w:type="dxa"/>
            <w:tcBorders>
              <w:top w:val="single" w:sz="4" w:space="0" w:color="000000"/>
              <w:left w:val="nil"/>
              <w:bottom w:val="nil"/>
              <w:right w:val="single" w:sz="4" w:space="0" w:color="000000"/>
            </w:tcBorders>
            <w:shd w:val="clear" w:color="auto" w:fill="auto"/>
            <w:noWrap/>
            <w:vAlign w:val="bottom"/>
            <w:hideMark/>
          </w:tcPr>
          <w:p w14:paraId="00CC1D42" w14:textId="77777777" w:rsidR="004C18AD" w:rsidRPr="005E13E6" w:rsidRDefault="004C18AD" w:rsidP="00042C67">
            <w:pPr>
              <w:overflowPunct/>
              <w:autoSpaceDE/>
              <w:autoSpaceDN/>
              <w:adjustRightInd/>
              <w:spacing w:before="0"/>
              <w:jc w:val="center"/>
              <w:textAlignment w:val="auto"/>
              <w:rPr>
                <w:rFonts w:cs="Calibri"/>
                <w:color w:val="000000"/>
                <w:sz w:val="22"/>
                <w:szCs w:val="22"/>
                <w:lang w:eastAsia="zh-CN"/>
              </w:rPr>
            </w:pPr>
            <w:r w:rsidRPr="005E13E6">
              <w:rPr>
                <w:rFonts w:cs="Calibri"/>
                <w:color w:val="000000"/>
                <w:sz w:val="22"/>
                <w:szCs w:val="22"/>
                <w:lang w:eastAsia="zh-CN"/>
              </w:rPr>
              <w:t> </w:t>
            </w:r>
          </w:p>
        </w:tc>
        <w:tc>
          <w:tcPr>
            <w:tcW w:w="1420" w:type="dxa"/>
            <w:tcBorders>
              <w:top w:val="single" w:sz="4" w:space="0" w:color="000000"/>
              <w:left w:val="nil"/>
              <w:bottom w:val="nil"/>
              <w:right w:val="single" w:sz="4" w:space="0" w:color="000000"/>
            </w:tcBorders>
            <w:shd w:val="clear" w:color="auto" w:fill="auto"/>
            <w:noWrap/>
            <w:vAlign w:val="bottom"/>
            <w:hideMark/>
          </w:tcPr>
          <w:p w14:paraId="318B2879" w14:textId="77777777" w:rsidR="004C18AD" w:rsidRPr="005E13E6" w:rsidRDefault="004C18AD" w:rsidP="00042C67">
            <w:pPr>
              <w:overflowPunct/>
              <w:autoSpaceDE/>
              <w:autoSpaceDN/>
              <w:adjustRightInd/>
              <w:spacing w:before="0"/>
              <w:jc w:val="center"/>
              <w:textAlignment w:val="auto"/>
              <w:rPr>
                <w:rFonts w:cs="Calibri"/>
                <w:color w:val="000000"/>
                <w:sz w:val="22"/>
                <w:szCs w:val="22"/>
                <w:lang w:eastAsia="zh-CN"/>
              </w:rPr>
            </w:pPr>
          </w:p>
        </w:tc>
      </w:tr>
      <w:tr w:rsidR="004C18AD" w:rsidRPr="005E13E6" w14:paraId="0282BF25" w14:textId="77777777" w:rsidTr="00042C67">
        <w:trPr>
          <w:trHeight w:val="300"/>
        </w:trPr>
        <w:tc>
          <w:tcPr>
            <w:tcW w:w="2260" w:type="dxa"/>
            <w:tcBorders>
              <w:top w:val="nil"/>
              <w:left w:val="single" w:sz="4" w:space="0" w:color="000000"/>
              <w:bottom w:val="nil"/>
              <w:right w:val="single" w:sz="4" w:space="0" w:color="000000"/>
            </w:tcBorders>
            <w:shd w:val="clear" w:color="auto" w:fill="auto"/>
            <w:noWrap/>
            <w:vAlign w:val="center"/>
            <w:hideMark/>
          </w:tcPr>
          <w:p w14:paraId="0500F9C2" w14:textId="77777777" w:rsidR="004C18AD" w:rsidRPr="005E13E6" w:rsidRDefault="004C18AD" w:rsidP="00042C67">
            <w:pPr>
              <w:overflowPunct/>
              <w:autoSpaceDE/>
              <w:autoSpaceDN/>
              <w:adjustRightInd/>
              <w:spacing w:before="0"/>
              <w:jc w:val="center"/>
              <w:textAlignment w:val="auto"/>
              <w:rPr>
                <w:rFonts w:cs="Calibri"/>
                <w:b/>
                <w:bCs/>
                <w:color w:val="000000"/>
                <w:sz w:val="22"/>
                <w:szCs w:val="22"/>
                <w:lang w:eastAsia="en-GB"/>
              </w:rPr>
            </w:pPr>
            <w:r w:rsidRPr="005E13E6">
              <w:rPr>
                <w:rFonts w:cs="Calibri" w:hint="eastAsia"/>
                <w:b/>
                <w:bCs/>
                <w:sz w:val="22"/>
                <w:szCs w:val="22"/>
                <w:lang w:eastAsia="zh-CN"/>
              </w:rPr>
              <w:t>国家</w:t>
            </w:r>
          </w:p>
        </w:tc>
        <w:tc>
          <w:tcPr>
            <w:tcW w:w="2600" w:type="dxa"/>
            <w:tcBorders>
              <w:top w:val="nil"/>
              <w:left w:val="nil"/>
              <w:bottom w:val="nil"/>
              <w:right w:val="single" w:sz="4" w:space="0" w:color="000000"/>
            </w:tcBorders>
            <w:shd w:val="clear" w:color="auto" w:fill="auto"/>
            <w:noWrap/>
            <w:vAlign w:val="center"/>
            <w:hideMark/>
          </w:tcPr>
          <w:p w14:paraId="117A3FAD" w14:textId="77777777" w:rsidR="004C18AD" w:rsidRPr="005E13E6" w:rsidRDefault="004C18AD" w:rsidP="00042C67">
            <w:pPr>
              <w:overflowPunct/>
              <w:autoSpaceDE/>
              <w:autoSpaceDN/>
              <w:adjustRightInd/>
              <w:spacing w:before="0"/>
              <w:jc w:val="center"/>
              <w:textAlignment w:val="auto"/>
              <w:rPr>
                <w:rFonts w:cs="Calibri"/>
                <w:b/>
                <w:bCs/>
                <w:color w:val="000000"/>
                <w:sz w:val="22"/>
                <w:szCs w:val="22"/>
                <w:lang w:eastAsia="en-GB"/>
              </w:rPr>
            </w:pPr>
            <w:r w:rsidRPr="005E13E6">
              <w:rPr>
                <w:rFonts w:cs="Calibri" w:hint="eastAsia"/>
                <w:b/>
                <w:bCs/>
                <w:sz w:val="22"/>
                <w:szCs w:val="22"/>
                <w:lang w:eastAsia="zh-CN"/>
              </w:rPr>
              <w:t>公司</w:t>
            </w:r>
          </w:p>
        </w:tc>
        <w:tc>
          <w:tcPr>
            <w:tcW w:w="1920" w:type="dxa"/>
            <w:tcBorders>
              <w:top w:val="nil"/>
              <w:left w:val="nil"/>
              <w:bottom w:val="nil"/>
              <w:right w:val="single" w:sz="4" w:space="0" w:color="000000"/>
            </w:tcBorders>
            <w:shd w:val="clear" w:color="auto" w:fill="auto"/>
            <w:noWrap/>
            <w:vAlign w:val="center"/>
            <w:hideMark/>
          </w:tcPr>
          <w:p w14:paraId="19E98C2B" w14:textId="77777777" w:rsidR="004C18AD" w:rsidRPr="005E13E6" w:rsidRDefault="004C18AD" w:rsidP="00042C67">
            <w:pPr>
              <w:overflowPunct/>
              <w:autoSpaceDE/>
              <w:autoSpaceDN/>
              <w:adjustRightInd/>
              <w:spacing w:before="0"/>
              <w:jc w:val="center"/>
              <w:textAlignment w:val="auto"/>
              <w:rPr>
                <w:rFonts w:cs="Calibri"/>
                <w:b/>
                <w:bCs/>
                <w:color w:val="000000"/>
                <w:sz w:val="22"/>
                <w:szCs w:val="22"/>
                <w:lang w:eastAsia="en-GB"/>
              </w:rPr>
            </w:pPr>
            <w:r w:rsidRPr="005E13E6">
              <w:rPr>
                <w:rFonts w:cs="Calibri" w:hint="eastAsia"/>
                <w:b/>
                <w:bCs/>
                <w:sz w:val="22"/>
                <w:szCs w:val="22"/>
                <w:lang w:eastAsia="zh-CN"/>
              </w:rPr>
              <w:t>发票金额</w:t>
            </w:r>
          </w:p>
        </w:tc>
        <w:tc>
          <w:tcPr>
            <w:tcW w:w="1420" w:type="dxa"/>
            <w:tcBorders>
              <w:top w:val="nil"/>
              <w:left w:val="nil"/>
              <w:bottom w:val="nil"/>
              <w:right w:val="single" w:sz="4" w:space="0" w:color="000000"/>
            </w:tcBorders>
            <w:shd w:val="clear" w:color="auto" w:fill="auto"/>
            <w:noWrap/>
            <w:vAlign w:val="center"/>
            <w:hideMark/>
          </w:tcPr>
          <w:p w14:paraId="2FB30991" w14:textId="77777777" w:rsidR="004C18AD" w:rsidRPr="005E13E6" w:rsidRDefault="004C18AD" w:rsidP="00042C67">
            <w:pPr>
              <w:overflowPunct/>
              <w:autoSpaceDE/>
              <w:autoSpaceDN/>
              <w:adjustRightInd/>
              <w:spacing w:before="0"/>
              <w:jc w:val="center"/>
              <w:textAlignment w:val="auto"/>
              <w:rPr>
                <w:rFonts w:cs="Calibri"/>
                <w:b/>
                <w:bCs/>
                <w:color w:val="000000"/>
                <w:sz w:val="22"/>
                <w:szCs w:val="22"/>
                <w:lang w:eastAsia="en-GB"/>
              </w:rPr>
            </w:pPr>
            <w:r w:rsidRPr="005E13E6">
              <w:rPr>
                <w:rFonts w:cs="Calibri" w:hint="eastAsia"/>
                <w:b/>
                <w:bCs/>
                <w:sz w:val="22"/>
                <w:szCs w:val="22"/>
                <w:lang w:eastAsia="zh-CN"/>
              </w:rPr>
              <w:t>货币</w:t>
            </w:r>
          </w:p>
        </w:tc>
      </w:tr>
      <w:tr w:rsidR="004C18AD" w:rsidRPr="005E13E6" w14:paraId="55C94193" w14:textId="77777777" w:rsidTr="00042C67">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6CEB9C25" w14:textId="77777777" w:rsidR="004C18AD" w:rsidRPr="005E13E6" w:rsidRDefault="004C18AD" w:rsidP="00042C67">
            <w:pPr>
              <w:overflowPunct/>
              <w:autoSpaceDE/>
              <w:autoSpaceDN/>
              <w:adjustRightInd/>
              <w:spacing w:before="0"/>
              <w:jc w:val="center"/>
              <w:textAlignment w:val="auto"/>
              <w:rPr>
                <w:rFonts w:cs="Calibri"/>
                <w:b/>
                <w:bCs/>
                <w:color w:val="000000"/>
                <w:sz w:val="22"/>
                <w:szCs w:val="22"/>
                <w:lang w:eastAsia="en-GB"/>
              </w:rPr>
            </w:pPr>
            <w:r w:rsidRPr="005E13E6">
              <w:rPr>
                <w:rFonts w:cs="Calibri"/>
                <w:b/>
                <w:bCs/>
                <w:color w:val="000000"/>
                <w:sz w:val="22"/>
                <w:szCs w:val="22"/>
                <w:lang w:eastAsia="en-GB"/>
              </w:rPr>
              <w:t> </w:t>
            </w:r>
          </w:p>
        </w:tc>
        <w:tc>
          <w:tcPr>
            <w:tcW w:w="2600" w:type="dxa"/>
            <w:tcBorders>
              <w:top w:val="nil"/>
              <w:left w:val="nil"/>
              <w:bottom w:val="single" w:sz="4" w:space="0" w:color="000000"/>
              <w:right w:val="single" w:sz="4" w:space="0" w:color="000000"/>
            </w:tcBorders>
            <w:shd w:val="clear" w:color="auto" w:fill="auto"/>
            <w:noWrap/>
            <w:vAlign w:val="bottom"/>
            <w:hideMark/>
          </w:tcPr>
          <w:p w14:paraId="25D23001" w14:textId="77777777" w:rsidR="004C18AD" w:rsidRPr="005E13E6" w:rsidRDefault="004C18AD" w:rsidP="00042C67">
            <w:pPr>
              <w:overflowPunct/>
              <w:autoSpaceDE/>
              <w:autoSpaceDN/>
              <w:adjustRightInd/>
              <w:spacing w:before="0"/>
              <w:jc w:val="center"/>
              <w:textAlignment w:val="auto"/>
              <w:rPr>
                <w:rFonts w:cs="Calibri"/>
                <w:color w:val="000000"/>
                <w:sz w:val="22"/>
                <w:szCs w:val="22"/>
                <w:lang w:eastAsia="en-GB"/>
              </w:rPr>
            </w:pPr>
            <w:r w:rsidRPr="005E13E6">
              <w:rPr>
                <w:rFonts w:cs="Calibri"/>
                <w:color w:val="000000"/>
                <w:sz w:val="22"/>
                <w:szCs w:val="22"/>
                <w:lang w:eastAsia="en-GB"/>
              </w:rPr>
              <w:t> </w:t>
            </w:r>
          </w:p>
        </w:tc>
        <w:tc>
          <w:tcPr>
            <w:tcW w:w="1920" w:type="dxa"/>
            <w:tcBorders>
              <w:top w:val="nil"/>
              <w:left w:val="nil"/>
              <w:bottom w:val="single" w:sz="4" w:space="0" w:color="000000"/>
              <w:right w:val="single" w:sz="4" w:space="0" w:color="000000"/>
            </w:tcBorders>
            <w:shd w:val="clear" w:color="auto" w:fill="auto"/>
            <w:noWrap/>
            <w:vAlign w:val="bottom"/>
            <w:hideMark/>
          </w:tcPr>
          <w:p w14:paraId="0B886AD0" w14:textId="77777777" w:rsidR="004C18AD" w:rsidRPr="005E13E6" w:rsidRDefault="004C18AD" w:rsidP="00042C67">
            <w:pPr>
              <w:overflowPunct/>
              <w:autoSpaceDE/>
              <w:autoSpaceDN/>
              <w:adjustRightInd/>
              <w:spacing w:before="0"/>
              <w:jc w:val="center"/>
              <w:textAlignment w:val="auto"/>
              <w:rPr>
                <w:rFonts w:cs="Calibri"/>
                <w:b/>
                <w:bCs/>
                <w:color w:val="000000"/>
                <w:sz w:val="22"/>
                <w:szCs w:val="22"/>
                <w:lang w:eastAsia="en-GB"/>
              </w:rPr>
            </w:pPr>
            <w:r w:rsidRPr="005E13E6">
              <w:rPr>
                <w:rFonts w:cs="Calibri"/>
                <w:b/>
                <w:bCs/>
                <w:color w:val="000000"/>
                <w:sz w:val="22"/>
                <w:szCs w:val="22"/>
                <w:lang w:eastAsia="en-GB"/>
              </w:rPr>
              <w:t> </w:t>
            </w:r>
          </w:p>
        </w:tc>
        <w:tc>
          <w:tcPr>
            <w:tcW w:w="1420" w:type="dxa"/>
            <w:tcBorders>
              <w:top w:val="nil"/>
              <w:left w:val="nil"/>
              <w:bottom w:val="single" w:sz="4" w:space="0" w:color="000000"/>
              <w:right w:val="single" w:sz="4" w:space="0" w:color="000000"/>
            </w:tcBorders>
            <w:shd w:val="clear" w:color="auto" w:fill="auto"/>
            <w:noWrap/>
            <w:vAlign w:val="bottom"/>
            <w:hideMark/>
          </w:tcPr>
          <w:p w14:paraId="0B7655E1" w14:textId="77777777" w:rsidR="004C18AD" w:rsidRPr="005E13E6" w:rsidRDefault="004C18AD" w:rsidP="00042C67">
            <w:pPr>
              <w:overflowPunct/>
              <w:autoSpaceDE/>
              <w:autoSpaceDN/>
              <w:adjustRightInd/>
              <w:spacing w:before="0"/>
              <w:jc w:val="center"/>
              <w:textAlignment w:val="auto"/>
              <w:rPr>
                <w:rFonts w:cs="Calibri"/>
                <w:b/>
                <w:bCs/>
                <w:color w:val="000000"/>
                <w:sz w:val="22"/>
                <w:szCs w:val="22"/>
                <w:lang w:eastAsia="en-GB"/>
              </w:rPr>
            </w:pPr>
          </w:p>
        </w:tc>
      </w:tr>
      <w:tr w:rsidR="004C18AD" w:rsidRPr="005E13E6" w14:paraId="3858CB35" w14:textId="77777777" w:rsidTr="00042C67">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hideMark/>
          </w:tcPr>
          <w:p w14:paraId="24E57E05" w14:textId="77777777" w:rsidR="004C18AD" w:rsidRPr="005E13E6" w:rsidRDefault="004C18AD" w:rsidP="00042C67">
            <w:pPr>
              <w:overflowPunct/>
              <w:autoSpaceDE/>
              <w:autoSpaceDN/>
              <w:adjustRightInd/>
              <w:spacing w:before="0"/>
              <w:textAlignment w:val="auto"/>
              <w:rPr>
                <w:rFonts w:cs="Calibri"/>
                <w:b/>
                <w:bCs/>
                <w:color w:val="000000"/>
                <w:sz w:val="22"/>
                <w:szCs w:val="22"/>
                <w:lang w:eastAsia="en-GB"/>
              </w:rPr>
            </w:pPr>
            <w:r w:rsidRPr="005E13E6">
              <w:rPr>
                <w:rFonts w:cs="Calibri" w:hint="eastAsia"/>
                <w:color w:val="000000"/>
                <w:sz w:val="20"/>
                <w:lang w:eastAsia="zh-CN"/>
              </w:rPr>
              <w:t>南非</w:t>
            </w:r>
          </w:p>
        </w:tc>
        <w:tc>
          <w:tcPr>
            <w:tcW w:w="2600" w:type="dxa"/>
            <w:tcBorders>
              <w:top w:val="nil"/>
              <w:left w:val="nil"/>
              <w:bottom w:val="single" w:sz="4" w:space="0" w:color="000000"/>
              <w:right w:val="single" w:sz="4" w:space="0" w:color="000000"/>
            </w:tcBorders>
            <w:shd w:val="clear" w:color="auto" w:fill="auto"/>
            <w:noWrap/>
            <w:vAlign w:val="bottom"/>
            <w:hideMark/>
          </w:tcPr>
          <w:p w14:paraId="13204296" w14:textId="77777777" w:rsidR="004C18AD" w:rsidRPr="005E13E6" w:rsidRDefault="004C18AD" w:rsidP="00042C67">
            <w:pPr>
              <w:overflowPunct/>
              <w:autoSpaceDE/>
              <w:autoSpaceDN/>
              <w:adjustRightInd/>
              <w:spacing w:before="0"/>
              <w:jc w:val="center"/>
              <w:textAlignment w:val="auto"/>
              <w:rPr>
                <w:rFonts w:cs="Calibri"/>
                <w:color w:val="000000"/>
                <w:sz w:val="22"/>
                <w:szCs w:val="22"/>
                <w:lang w:eastAsia="en-GB"/>
              </w:rPr>
            </w:pPr>
            <w:r w:rsidRPr="005E13E6">
              <w:rPr>
                <w:rFonts w:cs="Calibri"/>
                <w:color w:val="000000"/>
                <w:sz w:val="20"/>
                <w:lang w:eastAsia="en-GB"/>
              </w:rPr>
              <w:t>Discovery</w:t>
            </w:r>
          </w:p>
        </w:tc>
        <w:tc>
          <w:tcPr>
            <w:tcW w:w="1920" w:type="dxa"/>
            <w:tcBorders>
              <w:top w:val="nil"/>
              <w:left w:val="nil"/>
              <w:bottom w:val="single" w:sz="4" w:space="0" w:color="000000"/>
              <w:right w:val="single" w:sz="4" w:space="0" w:color="000000"/>
            </w:tcBorders>
            <w:shd w:val="clear" w:color="auto" w:fill="auto"/>
            <w:noWrap/>
            <w:vAlign w:val="bottom"/>
            <w:hideMark/>
          </w:tcPr>
          <w:p w14:paraId="57A733E1" w14:textId="77777777" w:rsidR="004C18AD" w:rsidRPr="005E13E6" w:rsidRDefault="004C18AD" w:rsidP="00042C67">
            <w:pPr>
              <w:overflowPunct/>
              <w:autoSpaceDE/>
              <w:autoSpaceDN/>
              <w:adjustRightInd/>
              <w:spacing w:before="0"/>
              <w:jc w:val="center"/>
              <w:textAlignment w:val="auto"/>
              <w:rPr>
                <w:rFonts w:cs="Calibri"/>
                <w:b/>
                <w:bCs/>
                <w:color w:val="000000"/>
                <w:sz w:val="22"/>
                <w:szCs w:val="22"/>
                <w:lang w:eastAsia="en-GB"/>
              </w:rPr>
            </w:pPr>
            <w:r w:rsidRPr="005E13E6">
              <w:rPr>
                <w:rFonts w:cs="Calibri"/>
                <w:color w:val="000000"/>
                <w:sz w:val="20"/>
                <w:lang w:eastAsia="en-GB"/>
              </w:rPr>
              <w:t>USD 150 000.--</w:t>
            </w:r>
          </w:p>
        </w:tc>
        <w:tc>
          <w:tcPr>
            <w:tcW w:w="1420" w:type="dxa"/>
            <w:tcBorders>
              <w:top w:val="nil"/>
              <w:left w:val="nil"/>
              <w:bottom w:val="single" w:sz="4" w:space="0" w:color="000000"/>
              <w:right w:val="single" w:sz="4" w:space="0" w:color="000000"/>
            </w:tcBorders>
            <w:shd w:val="clear" w:color="auto" w:fill="auto"/>
            <w:noWrap/>
            <w:vAlign w:val="bottom"/>
            <w:hideMark/>
          </w:tcPr>
          <w:p w14:paraId="447E3234" w14:textId="77777777" w:rsidR="004C18AD" w:rsidRPr="005E13E6" w:rsidRDefault="004C18AD" w:rsidP="00042C67">
            <w:pPr>
              <w:overflowPunct/>
              <w:autoSpaceDE/>
              <w:autoSpaceDN/>
              <w:adjustRightInd/>
              <w:spacing w:before="0"/>
              <w:jc w:val="center"/>
              <w:textAlignment w:val="auto"/>
              <w:rPr>
                <w:rFonts w:cs="Calibri"/>
                <w:b/>
                <w:bCs/>
                <w:color w:val="000000"/>
                <w:sz w:val="22"/>
                <w:szCs w:val="22"/>
                <w:lang w:eastAsia="en-GB"/>
              </w:rPr>
            </w:pPr>
            <w:r w:rsidRPr="005E13E6">
              <w:rPr>
                <w:rFonts w:cs="Calibri" w:hint="eastAsia"/>
                <w:color w:val="000000"/>
                <w:sz w:val="20"/>
                <w:lang w:eastAsia="zh-CN"/>
              </w:rPr>
              <w:t>美元</w:t>
            </w:r>
          </w:p>
        </w:tc>
      </w:tr>
      <w:tr w:rsidR="004C18AD" w:rsidRPr="005E13E6" w14:paraId="72B86385" w14:textId="77777777" w:rsidTr="00042C67">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tcPr>
          <w:p w14:paraId="417893AF" w14:textId="77777777" w:rsidR="004C18AD" w:rsidRPr="005E13E6" w:rsidRDefault="004C18AD" w:rsidP="00042C67">
            <w:pPr>
              <w:overflowPunct/>
              <w:autoSpaceDE/>
              <w:autoSpaceDN/>
              <w:adjustRightInd/>
              <w:spacing w:before="0"/>
              <w:textAlignment w:val="auto"/>
              <w:rPr>
                <w:rFonts w:cs="Calibri"/>
                <w:color w:val="000000"/>
                <w:sz w:val="20"/>
                <w:lang w:eastAsia="en-GB"/>
              </w:rPr>
            </w:pPr>
            <w:r w:rsidRPr="005E13E6">
              <w:rPr>
                <w:rFonts w:cs="Calibri" w:hint="eastAsia"/>
                <w:color w:val="000000"/>
                <w:sz w:val="20"/>
                <w:lang w:eastAsia="zh-CN"/>
              </w:rPr>
              <w:t>沙特阿拉伯</w:t>
            </w:r>
          </w:p>
        </w:tc>
        <w:tc>
          <w:tcPr>
            <w:tcW w:w="2600" w:type="dxa"/>
            <w:tcBorders>
              <w:top w:val="nil"/>
              <w:left w:val="nil"/>
              <w:bottom w:val="single" w:sz="4" w:space="0" w:color="000000"/>
              <w:right w:val="single" w:sz="4" w:space="0" w:color="000000"/>
            </w:tcBorders>
            <w:shd w:val="clear" w:color="auto" w:fill="auto"/>
            <w:noWrap/>
            <w:vAlign w:val="bottom"/>
          </w:tcPr>
          <w:p w14:paraId="49C67BD6"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KACST / BADIR</w:t>
            </w:r>
          </w:p>
        </w:tc>
        <w:tc>
          <w:tcPr>
            <w:tcW w:w="1920" w:type="dxa"/>
            <w:tcBorders>
              <w:top w:val="nil"/>
              <w:left w:val="nil"/>
              <w:bottom w:val="single" w:sz="4" w:space="0" w:color="000000"/>
              <w:right w:val="single" w:sz="4" w:space="0" w:color="000000"/>
            </w:tcBorders>
            <w:shd w:val="clear" w:color="auto" w:fill="auto"/>
            <w:noWrap/>
            <w:vAlign w:val="bottom"/>
          </w:tcPr>
          <w:p w14:paraId="5E89A3B9"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USD 353 350.--</w:t>
            </w:r>
          </w:p>
        </w:tc>
        <w:tc>
          <w:tcPr>
            <w:tcW w:w="1420" w:type="dxa"/>
            <w:tcBorders>
              <w:top w:val="nil"/>
              <w:left w:val="nil"/>
              <w:bottom w:val="single" w:sz="4" w:space="0" w:color="000000"/>
              <w:right w:val="single" w:sz="4" w:space="0" w:color="000000"/>
            </w:tcBorders>
            <w:shd w:val="clear" w:color="auto" w:fill="auto"/>
            <w:noWrap/>
            <w:vAlign w:val="bottom"/>
          </w:tcPr>
          <w:p w14:paraId="615AC805"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hint="eastAsia"/>
                <w:color w:val="000000"/>
                <w:sz w:val="20"/>
                <w:lang w:eastAsia="en-GB"/>
              </w:rPr>
              <w:t>美元</w:t>
            </w:r>
          </w:p>
        </w:tc>
      </w:tr>
      <w:tr w:rsidR="004C18AD" w:rsidRPr="005E13E6" w14:paraId="057EDFA8" w14:textId="77777777" w:rsidTr="00042C67">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tcPr>
          <w:p w14:paraId="26CEE140" w14:textId="77777777" w:rsidR="004C18AD" w:rsidRPr="005E13E6" w:rsidRDefault="004C18AD" w:rsidP="00042C67">
            <w:pPr>
              <w:overflowPunct/>
              <w:autoSpaceDE/>
              <w:autoSpaceDN/>
              <w:adjustRightInd/>
              <w:spacing w:before="0"/>
              <w:textAlignment w:val="auto"/>
              <w:rPr>
                <w:rFonts w:cs="Calibri"/>
                <w:color w:val="000000"/>
                <w:sz w:val="20"/>
                <w:lang w:eastAsia="en-GB"/>
              </w:rPr>
            </w:pPr>
            <w:r w:rsidRPr="005E13E6">
              <w:rPr>
                <w:rFonts w:cs="Calibri" w:hint="eastAsia"/>
                <w:color w:val="000000"/>
                <w:sz w:val="20"/>
                <w:lang w:eastAsia="zh-CN"/>
              </w:rPr>
              <w:t>塞拉利昂</w:t>
            </w:r>
          </w:p>
        </w:tc>
        <w:tc>
          <w:tcPr>
            <w:tcW w:w="2600" w:type="dxa"/>
            <w:tcBorders>
              <w:top w:val="nil"/>
              <w:left w:val="nil"/>
              <w:bottom w:val="single" w:sz="4" w:space="0" w:color="000000"/>
              <w:right w:val="single" w:sz="4" w:space="0" w:color="000000"/>
            </w:tcBorders>
            <w:shd w:val="clear" w:color="auto" w:fill="auto"/>
            <w:noWrap/>
            <w:vAlign w:val="bottom"/>
          </w:tcPr>
          <w:p w14:paraId="69A41882"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NATCOM</w:t>
            </w:r>
          </w:p>
        </w:tc>
        <w:tc>
          <w:tcPr>
            <w:tcW w:w="1920" w:type="dxa"/>
            <w:tcBorders>
              <w:top w:val="nil"/>
              <w:left w:val="nil"/>
              <w:bottom w:val="single" w:sz="4" w:space="0" w:color="000000"/>
              <w:right w:val="single" w:sz="4" w:space="0" w:color="000000"/>
            </w:tcBorders>
            <w:shd w:val="clear" w:color="auto" w:fill="auto"/>
            <w:noWrap/>
            <w:vAlign w:val="bottom"/>
          </w:tcPr>
          <w:p w14:paraId="574D1F46"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USD 80 000.--</w:t>
            </w:r>
          </w:p>
        </w:tc>
        <w:tc>
          <w:tcPr>
            <w:tcW w:w="1420" w:type="dxa"/>
            <w:tcBorders>
              <w:top w:val="nil"/>
              <w:left w:val="nil"/>
              <w:bottom w:val="single" w:sz="4" w:space="0" w:color="000000"/>
              <w:right w:val="single" w:sz="4" w:space="0" w:color="000000"/>
            </w:tcBorders>
            <w:shd w:val="clear" w:color="auto" w:fill="auto"/>
            <w:noWrap/>
            <w:vAlign w:val="bottom"/>
          </w:tcPr>
          <w:p w14:paraId="44B5976C"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hint="eastAsia"/>
                <w:color w:val="000000"/>
                <w:sz w:val="20"/>
                <w:lang w:eastAsia="zh-CN"/>
              </w:rPr>
              <w:t>欧元</w:t>
            </w:r>
          </w:p>
        </w:tc>
      </w:tr>
      <w:tr w:rsidR="004C18AD" w:rsidRPr="005E13E6" w14:paraId="283B56C5" w14:textId="77777777" w:rsidTr="00042C67">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tcPr>
          <w:p w14:paraId="6F56E634" w14:textId="77777777" w:rsidR="004C18AD" w:rsidRPr="005E13E6" w:rsidRDefault="004C18AD" w:rsidP="00042C67">
            <w:pPr>
              <w:overflowPunct/>
              <w:autoSpaceDE/>
              <w:autoSpaceDN/>
              <w:adjustRightInd/>
              <w:spacing w:before="0"/>
              <w:textAlignment w:val="auto"/>
              <w:rPr>
                <w:rFonts w:cs="Calibri"/>
                <w:color w:val="000000"/>
                <w:sz w:val="20"/>
                <w:lang w:eastAsia="en-GB"/>
              </w:rPr>
            </w:pPr>
            <w:r w:rsidRPr="005E13E6">
              <w:rPr>
                <w:rFonts w:cs="Calibri" w:hint="eastAsia"/>
                <w:color w:val="000000"/>
                <w:sz w:val="20"/>
                <w:lang w:eastAsia="zh-CN"/>
              </w:rPr>
              <w:t>巴巴多斯</w:t>
            </w:r>
          </w:p>
        </w:tc>
        <w:tc>
          <w:tcPr>
            <w:tcW w:w="2600" w:type="dxa"/>
            <w:tcBorders>
              <w:top w:val="nil"/>
              <w:left w:val="nil"/>
              <w:bottom w:val="single" w:sz="4" w:space="0" w:color="000000"/>
              <w:right w:val="single" w:sz="4" w:space="0" w:color="000000"/>
            </w:tcBorders>
            <w:shd w:val="clear" w:color="auto" w:fill="auto"/>
            <w:noWrap/>
            <w:vAlign w:val="bottom"/>
          </w:tcPr>
          <w:p w14:paraId="73CA3F3D"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MISST</w:t>
            </w:r>
          </w:p>
        </w:tc>
        <w:tc>
          <w:tcPr>
            <w:tcW w:w="1920" w:type="dxa"/>
            <w:tcBorders>
              <w:top w:val="nil"/>
              <w:left w:val="nil"/>
              <w:bottom w:val="single" w:sz="4" w:space="0" w:color="000000"/>
              <w:right w:val="single" w:sz="4" w:space="0" w:color="000000"/>
            </w:tcBorders>
            <w:shd w:val="clear" w:color="auto" w:fill="auto"/>
            <w:noWrap/>
            <w:vAlign w:val="bottom"/>
          </w:tcPr>
          <w:p w14:paraId="30E90C29"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USD 32 734.--</w:t>
            </w:r>
          </w:p>
        </w:tc>
        <w:tc>
          <w:tcPr>
            <w:tcW w:w="1420" w:type="dxa"/>
            <w:tcBorders>
              <w:top w:val="nil"/>
              <w:left w:val="nil"/>
              <w:bottom w:val="single" w:sz="4" w:space="0" w:color="000000"/>
              <w:right w:val="single" w:sz="4" w:space="0" w:color="000000"/>
            </w:tcBorders>
            <w:shd w:val="clear" w:color="auto" w:fill="auto"/>
            <w:noWrap/>
            <w:vAlign w:val="bottom"/>
          </w:tcPr>
          <w:p w14:paraId="77844441"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hint="eastAsia"/>
                <w:color w:val="000000"/>
                <w:sz w:val="20"/>
                <w:lang w:eastAsia="en-GB"/>
              </w:rPr>
              <w:t>美元</w:t>
            </w:r>
          </w:p>
        </w:tc>
      </w:tr>
      <w:tr w:rsidR="004C18AD" w:rsidRPr="005E13E6" w14:paraId="26152502" w14:textId="77777777" w:rsidTr="00042C67">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tcPr>
          <w:p w14:paraId="077C7F70" w14:textId="77777777" w:rsidR="004C18AD" w:rsidRPr="005E13E6" w:rsidRDefault="004C18AD" w:rsidP="00042C67">
            <w:pPr>
              <w:overflowPunct/>
              <w:autoSpaceDE/>
              <w:autoSpaceDN/>
              <w:adjustRightInd/>
              <w:spacing w:before="0"/>
              <w:textAlignment w:val="auto"/>
              <w:rPr>
                <w:rFonts w:cs="Calibri"/>
                <w:color w:val="000000"/>
                <w:sz w:val="20"/>
                <w:lang w:eastAsia="en-GB"/>
              </w:rPr>
            </w:pPr>
            <w:r w:rsidRPr="005E13E6">
              <w:rPr>
                <w:rFonts w:cs="Calibri" w:hint="eastAsia"/>
                <w:color w:val="000000"/>
                <w:sz w:val="20"/>
                <w:lang w:eastAsia="zh-CN"/>
              </w:rPr>
              <w:t>委内瑞拉</w:t>
            </w:r>
          </w:p>
        </w:tc>
        <w:tc>
          <w:tcPr>
            <w:tcW w:w="2600" w:type="dxa"/>
            <w:tcBorders>
              <w:top w:val="nil"/>
              <w:left w:val="nil"/>
              <w:bottom w:val="single" w:sz="4" w:space="0" w:color="000000"/>
              <w:right w:val="single" w:sz="4" w:space="0" w:color="000000"/>
            </w:tcBorders>
            <w:shd w:val="clear" w:color="auto" w:fill="auto"/>
            <w:noWrap/>
            <w:vAlign w:val="bottom"/>
          </w:tcPr>
          <w:p w14:paraId="4E31A42F"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CAF</w:t>
            </w:r>
          </w:p>
        </w:tc>
        <w:tc>
          <w:tcPr>
            <w:tcW w:w="1920" w:type="dxa"/>
            <w:tcBorders>
              <w:top w:val="nil"/>
              <w:left w:val="nil"/>
              <w:bottom w:val="single" w:sz="4" w:space="0" w:color="000000"/>
              <w:right w:val="single" w:sz="4" w:space="0" w:color="000000"/>
            </w:tcBorders>
            <w:shd w:val="clear" w:color="auto" w:fill="auto"/>
            <w:noWrap/>
            <w:vAlign w:val="bottom"/>
          </w:tcPr>
          <w:p w14:paraId="61747743"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USD 37 500.--</w:t>
            </w:r>
          </w:p>
        </w:tc>
        <w:tc>
          <w:tcPr>
            <w:tcW w:w="1420" w:type="dxa"/>
            <w:tcBorders>
              <w:top w:val="nil"/>
              <w:left w:val="nil"/>
              <w:bottom w:val="single" w:sz="4" w:space="0" w:color="000000"/>
              <w:right w:val="single" w:sz="4" w:space="0" w:color="000000"/>
            </w:tcBorders>
            <w:shd w:val="clear" w:color="auto" w:fill="auto"/>
            <w:noWrap/>
            <w:vAlign w:val="bottom"/>
          </w:tcPr>
          <w:p w14:paraId="4C103D86"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hint="eastAsia"/>
                <w:color w:val="000000"/>
                <w:sz w:val="20"/>
                <w:lang w:eastAsia="en-GB"/>
              </w:rPr>
              <w:t>美元</w:t>
            </w:r>
          </w:p>
        </w:tc>
      </w:tr>
      <w:tr w:rsidR="004C18AD" w:rsidRPr="005E13E6" w14:paraId="4575725E" w14:textId="77777777" w:rsidTr="00042C67">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tcPr>
          <w:p w14:paraId="143983B6" w14:textId="77777777" w:rsidR="004C18AD" w:rsidRPr="005E13E6" w:rsidRDefault="004C18AD" w:rsidP="00042C67">
            <w:pPr>
              <w:overflowPunct/>
              <w:autoSpaceDE/>
              <w:autoSpaceDN/>
              <w:adjustRightInd/>
              <w:spacing w:before="0"/>
              <w:textAlignment w:val="auto"/>
              <w:rPr>
                <w:rFonts w:cs="Calibri"/>
                <w:color w:val="000000"/>
                <w:sz w:val="20"/>
                <w:lang w:eastAsia="en-GB"/>
              </w:rPr>
            </w:pPr>
            <w:r w:rsidRPr="005E13E6">
              <w:rPr>
                <w:rFonts w:cs="Calibri" w:hint="eastAsia"/>
                <w:color w:val="000000"/>
                <w:sz w:val="20"/>
                <w:lang w:eastAsia="zh-CN"/>
              </w:rPr>
              <w:t>英国</w:t>
            </w:r>
          </w:p>
        </w:tc>
        <w:tc>
          <w:tcPr>
            <w:tcW w:w="2600" w:type="dxa"/>
            <w:tcBorders>
              <w:top w:val="nil"/>
              <w:left w:val="nil"/>
              <w:bottom w:val="single" w:sz="4" w:space="0" w:color="000000"/>
              <w:right w:val="single" w:sz="4" w:space="0" w:color="000000"/>
            </w:tcBorders>
            <w:shd w:val="clear" w:color="auto" w:fill="auto"/>
            <w:noWrap/>
            <w:vAlign w:val="bottom"/>
          </w:tcPr>
          <w:p w14:paraId="7D7EA99E"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Fourtold</w:t>
            </w:r>
          </w:p>
        </w:tc>
        <w:tc>
          <w:tcPr>
            <w:tcW w:w="1920" w:type="dxa"/>
            <w:tcBorders>
              <w:top w:val="nil"/>
              <w:left w:val="nil"/>
              <w:bottom w:val="single" w:sz="4" w:space="0" w:color="000000"/>
              <w:right w:val="single" w:sz="4" w:space="0" w:color="000000"/>
            </w:tcBorders>
            <w:shd w:val="clear" w:color="auto" w:fill="auto"/>
            <w:noWrap/>
            <w:vAlign w:val="bottom"/>
          </w:tcPr>
          <w:p w14:paraId="7F3DFDB1"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USD 45 000.--</w:t>
            </w:r>
          </w:p>
        </w:tc>
        <w:tc>
          <w:tcPr>
            <w:tcW w:w="1420" w:type="dxa"/>
            <w:tcBorders>
              <w:top w:val="nil"/>
              <w:left w:val="nil"/>
              <w:bottom w:val="single" w:sz="4" w:space="0" w:color="000000"/>
              <w:right w:val="single" w:sz="4" w:space="0" w:color="000000"/>
            </w:tcBorders>
            <w:shd w:val="clear" w:color="auto" w:fill="auto"/>
            <w:noWrap/>
            <w:vAlign w:val="bottom"/>
          </w:tcPr>
          <w:p w14:paraId="083A73B4"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hint="eastAsia"/>
                <w:color w:val="000000"/>
                <w:sz w:val="20"/>
                <w:lang w:eastAsia="zh-CN"/>
              </w:rPr>
              <w:t>瑞郎</w:t>
            </w:r>
          </w:p>
        </w:tc>
      </w:tr>
      <w:tr w:rsidR="004C18AD" w:rsidRPr="005E13E6" w14:paraId="63160766" w14:textId="77777777" w:rsidTr="00042C67">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tcPr>
          <w:p w14:paraId="45B15FE8" w14:textId="77777777" w:rsidR="004C18AD" w:rsidRPr="005E13E6" w:rsidRDefault="004C18AD" w:rsidP="00042C67">
            <w:pPr>
              <w:overflowPunct/>
              <w:autoSpaceDE/>
              <w:autoSpaceDN/>
              <w:adjustRightInd/>
              <w:spacing w:before="0"/>
              <w:textAlignment w:val="auto"/>
              <w:rPr>
                <w:rFonts w:cs="Calibri"/>
                <w:color w:val="000000"/>
                <w:sz w:val="20"/>
                <w:lang w:eastAsia="en-GB"/>
              </w:rPr>
            </w:pPr>
            <w:r w:rsidRPr="005E13E6">
              <w:rPr>
                <w:rFonts w:cs="Calibri" w:hint="eastAsia"/>
                <w:color w:val="000000"/>
                <w:sz w:val="20"/>
                <w:lang w:eastAsia="zh-CN"/>
              </w:rPr>
              <w:t>美国</w:t>
            </w:r>
          </w:p>
        </w:tc>
        <w:tc>
          <w:tcPr>
            <w:tcW w:w="2600" w:type="dxa"/>
            <w:tcBorders>
              <w:top w:val="nil"/>
              <w:left w:val="nil"/>
              <w:bottom w:val="single" w:sz="4" w:space="0" w:color="000000"/>
              <w:right w:val="single" w:sz="4" w:space="0" w:color="000000"/>
            </w:tcBorders>
            <w:shd w:val="clear" w:color="auto" w:fill="auto"/>
            <w:noWrap/>
            <w:vAlign w:val="bottom"/>
          </w:tcPr>
          <w:p w14:paraId="40B9265E"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Ernst &amp;Young</w:t>
            </w:r>
          </w:p>
        </w:tc>
        <w:tc>
          <w:tcPr>
            <w:tcW w:w="1920" w:type="dxa"/>
            <w:tcBorders>
              <w:top w:val="nil"/>
              <w:left w:val="nil"/>
              <w:bottom w:val="single" w:sz="4" w:space="0" w:color="000000"/>
              <w:right w:val="single" w:sz="4" w:space="0" w:color="000000"/>
            </w:tcBorders>
            <w:shd w:val="clear" w:color="auto" w:fill="auto"/>
            <w:noWrap/>
            <w:vAlign w:val="bottom"/>
          </w:tcPr>
          <w:p w14:paraId="1A01AAE2"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CHF 5 000.--</w:t>
            </w:r>
          </w:p>
        </w:tc>
        <w:tc>
          <w:tcPr>
            <w:tcW w:w="1420" w:type="dxa"/>
            <w:tcBorders>
              <w:top w:val="nil"/>
              <w:left w:val="nil"/>
              <w:bottom w:val="single" w:sz="4" w:space="0" w:color="000000"/>
              <w:right w:val="single" w:sz="4" w:space="0" w:color="000000"/>
            </w:tcBorders>
            <w:shd w:val="clear" w:color="auto" w:fill="auto"/>
            <w:noWrap/>
            <w:vAlign w:val="bottom"/>
          </w:tcPr>
          <w:p w14:paraId="4D05658F"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hint="eastAsia"/>
                <w:color w:val="000000"/>
                <w:sz w:val="20"/>
                <w:lang w:eastAsia="zh-CN"/>
              </w:rPr>
              <w:t>瑞郎</w:t>
            </w:r>
          </w:p>
        </w:tc>
      </w:tr>
      <w:tr w:rsidR="004C18AD" w:rsidRPr="005E13E6" w14:paraId="449B76B7" w14:textId="77777777" w:rsidTr="00042C67">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tcPr>
          <w:p w14:paraId="5F26B5D6" w14:textId="77777777" w:rsidR="004C18AD" w:rsidRPr="005E13E6" w:rsidRDefault="004C18AD" w:rsidP="00042C67">
            <w:pPr>
              <w:overflowPunct/>
              <w:autoSpaceDE/>
              <w:autoSpaceDN/>
              <w:adjustRightInd/>
              <w:spacing w:before="0"/>
              <w:textAlignment w:val="auto"/>
              <w:rPr>
                <w:rFonts w:cs="Calibri"/>
                <w:color w:val="000000"/>
                <w:sz w:val="20"/>
                <w:lang w:eastAsia="en-GB"/>
              </w:rPr>
            </w:pPr>
            <w:r w:rsidRPr="005E13E6">
              <w:rPr>
                <w:rFonts w:cs="Calibri" w:hint="eastAsia"/>
                <w:color w:val="000000"/>
                <w:sz w:val="20"/>
                <w:lang w:eastAsia="zh-CN"/>
              </w:rPr>
              <w:t>美国</w:t>
            </w:r>
          </w:p>
        </w:tc>
        <w:tc>
          <w:tcPr>
            <w:tcW w:w="2600" w:type="dxa"/>
            <w:tcBorders>
              <w:top w:val="nil"/>
              <w:left w:val="nil"/>
              <w:bottom w:val="single" w:sz="4" w:space="0" w:color="000000"/>
              <w:right w:val="single" w:sz="4" w:space="0" w:color="000000"/>
            </w:tcBorders>
            <w:shd w:val="clear" w:color="auto" w:fill="auto"/>
            <w:noWrap/>
            <w:vAlign w:val="bottom"/>
          </w:tcPr>
          <w:p w14:paraId="6B1AAE27"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IBM Corporation</w:t>
            </w:r>
          </w:p>
        </w:tc>
        <w:tc>
          <w:tcPr>
            <w:tcW w:w="1920" w:type="dxa"/>
            <w:tcBorders>
              <w:top w:val="nil"/>
              <w:left w:val="nil"/>
              <w:bottom w:val="single" w:sz="4" w:space="0" w:color="000000"/>
              <w:right w:val="single" w:sz="4" w:space="0" w:color="000000"/>
            </w:tcBorders>
            <w:shd w:val="clear" w:color="auto" w:fill="auto"/>
            <w:noWrap/>
            <w:vAlign w:val="bottom"/>
          </w:tcPr>
          <w:p w14:paraId="7997FF15"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CHF 150 000.--</w:t>
            </w:r>
          </w:p>
        </w:tc>
        <w:tc>
          <w:tcPr>
            <w:tcW w:w="1420" w:type="dxa"/>
            <w:tcBorders>
              <w:top w:val="nil"/>
              <w:left w:val="nil"/>
              <w:bottom w:val="single" w:sz="4" w:space="0" w:color="000000"/>
              <w:right w:val="single" w:sz="4" w:space="0" w:color="000000"/>
            </w:tcBorders>
            <w:shd w:val="clear" w:color="auto" w:fill="auto"/>
            <w:noWrap/>
            <w:vAlign w:val="bottom"/>
          </w:tcPr>
          <w:p w14:paraId="5721BEA4"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hint="eastAsia"/>
                <w:color w:val="000000"/>
                <w:sz w:val="20"/>
                <w:lang w:eastAsia="zh-CN"/>
              </w:rPr>
              <w:t>瑞郎</w:t>
            </w:r>
          </w:p>
        </w:tc>
      </w:tr>
      <w:tr w:rsidR="004C18AD" w:rsidRPr="005E13E6" w14:paraId="1955E2F3" w14:textId="77777777" w:rsidTr="00042C67">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tcPr>
          <w:p w14:paraId="1B261BDB" w14:textId="77777777" w:rsidR="004C18AD" w:rsidRPr="005E13E6" w:rsidRDefault="004C18AD" w:rsidP="00042C67">
            <w:pPr>
              <w:overflowPunct/>
              <w:autoSpaceDE/>
              <w:autoSpaceDN/>
              <w:adjustRightInd/>
              <w:spacing w:before="0"/>
              <w:textAlignment w:val="auto"/>
              <w:rPr>
                <w:rFonts w:cs="Calibri"/>
                <w:color w:val="000000"/>
                <w:sz w:val="20"/>
                <w:lang w:eastAsia="en-GB"/>
              </w:rPr>
            </w:pPr>
            <w:r w:rsidRPr="005E13E6">
              <w:rPr>
                <w:rFonts w:cs="Calibri" w:hint="eastAsia"/>
                <w:color w:val="000000"/>
                <w:sz w:val="20"/>
                <w:lang w:eastAsia="zh-CN"/>
              </w:rPr>
              <w:t>奥地利</w:t>
            </w:r>
          </w:p>
        </w:tc>
        <w:tc>
          <w:tcPr>
            <w:tcW w:w="2600" w:type="dxa"/>
            <w:tcBorders>
              <w:top w:val="nil"/>
              <w:left w:val="nil"/>
              <w:bottom w:val="single" w:sz="4" w:space="0" w:color="000000"/>
              <w:right w:val="single" w:sz="4" w:space="0" w:color="000000"/>
            </w:tcBorders>
            <w:shd w:val="clear" w:color="auto" w:fill="auto"/>
            <w:noWrap/>
            <w:vAlign w:val="bottom"/>
          </w:tcPr>
          <w:p w14:paraId="20075E14"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UNIDO</w:t>
            </w:r>
          </w:p>
        </w:tc>
        <w:tc>
          <w:tcPr>
            <w:tcW w:w="1920" w:type="dxa"/>
            <w:tcBorders>
              <w:top w:val="nil"/>
              <w:left w:val="nil"/>
              <w:bottom w:val="single" w:sz="4" w:space="0" w:color="000000"/>
              <w:right w:val="single" w:sz="4" w:space="0" w:color="000000"/>
            </w:tcBorders>
            <w:shd w:val="clear" w:color="auto" w:fill="auto"/>
            <w:noWrap/>
            <w:vAlign w:val="bottom"/>
          </w:tcPr>
          <w:p w14:paraId="55B0DD9C"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USD 36 000.--</w:t>
            </w:r>
          </w:p>
        </w:tc>
        <w:tc>
          <w:tcPr>
            <w:tcW w:w="1420" w:type="dxa"/>
            <w:tcBorders>
              <w:top w:val="nil"/>
              <w:left w:val="nil"/>
              <w:bottom w:val="single" w:sz="4" w:space="0" w:color="000000"/>
              <w:right w:val="single" w:sz="4" w:space="0" w:color="000000"/>
            </w:tcBorders>
            <w:shd w:val="clear" w:color="auto" w:fill="auto"/>
            <w:noWrap/>
            <w:vAlign w:val="bottom"/>
          </w:tcPr>
          <w:p w14:paraId="7D329A49"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hint="eastAsia"/>
                <w:color w:val="000000"/>
                <w:sz w:val="20"/>
                <w:lang w:eastAsia="en-GB"/>
              </w:rPr>
              <w:t>美元</w:t>
            </w:r>
          </w:p>
        </w:tc>
      </w:tr>
      <w:tr w:rsidR="004C18AD" w:rsidRPr="005E13E6" w14:paraId="5D912DBB" w14:textId="77777777" w:rsidTr="00042C67">
        <w:trPr>
          <w:trHeight w:val="300"/>
        </w:trPr>
        <w:tc>
          <w:tcPr>
            <w:tcW w:w="2260" w:type="dxa"/>
            <w:tcBorders>
              <w:top w:val="nil"/>
              <w:left w:val="single" w:sz="4" w:space="0" w:color="000000"/>
              <w:bottom w:val="single" w:sz="4" w:space="0" w:color="000000"/>
              <w:right w:val="single" w:sz="4" w:space="0" w:color="000000"/>
            </w:tcBorders>
            <w:shd w:val="clear" w:color="auto" w:fill="auto"/>
            <w:noWrap/>
            <w:vAlign w:val="bottom"/>
          </w:tcPr>
          <w:p w14:paraId="0EF044A5" w14:textId="77777777" w:rsidR="004C18AD" w:rsidRPr="005E13E6" w:rsidRDefault="004C18AD" w:rsidP="00042C67">
            <w:pPr>
              <w:overflowPunct/>
              <w:autoSpaceDE/>
              <w:autoSpaceDN/>
              <w:adjustRightInd/>
              <w:spacing w:before="0"/>
              <w:textAlignment w:val="auto"/>
              <w:rPr>
                <w:rFonts w:cs="Calibri"/>
                <w:color w:val="000000"/>
                <w:sz w:val="20"/>
                <w:lang w:eastAsia="en-GB"/>
              </w:rPr>
            </w:pPr>
            <w:r w:rsidRPr="005E13E6">
              <w:rPr>
                <w:rFonts w:cs="Calibri" w:hint="eastAsia"/>
                <w:color w:val="000000"/>
                <w:sz w:val="20"/>
                <w:lang w:eastAsia="zh-CN"/>
              </w:rPr>
              <w:t>澳大利亚</w:t>
            </w:r>
          </w:p>
        </w:tc>
        <w:tc>
          <w:tcPr>
            <w:tcW w:w="2600" w:type="dxa"/>
            <w:tcBorders>
              <w:top w:val="nil"/>
              <w:left w:val="nil"/>
              <w:bottom w:val="single" w:sz="4" w:space="0" w:color="000000"/>
              <w:right w:val="single" w:sz="4" w:space="0" w:color="000000"/>
            </w:tcBorders>
            <w:shd w:val="clear" w:color="auto" w:fill="auto"/>
            <w:noWrap/>
            <w:vAlign w:val="bottom"/>
          </w:tcPr>
          <w:p w14:paraId="3286228B"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Monash University</w:t>
            </w:r>
          </w:p>
        </w:tc>
        <w:tc>
          <w:tcPr>
            <w:tcW w:w="1920" w:type="dxa"/>
            <w:tcBorders>
              <w:top w:val="nil"/>
              <w:left w:val="nil"/>
              <w:bottom w:val="single" w:sz="4" w:space="0" w:color="000000"/>
              <w:right w:val="single" w:sz="4" w:space="0" w:color="000000"/>
            </w:tcBorders>
            <w:shd w:val="clear" w:color="auto" w:fill="auto"/>
            <w:noWrap/>
            <w:vAlign w:val="bottom"/>
          </w:tcPr>
          <w:p w14:paraId="5EE7F59A"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color w:val="000000"/>
                <w:sz w:val="20"/>
                <w:lang w:eastAsia="en-GB"/>
              </w:rPr>
              <w:t>CHF 50 000.--</w:t>
            </w:r>
          </w:p>
        </w:tc>
        <w:tc>
          <w:tcPr>
            <w:tcW w:w="1420" w:type="dxa"/>
            <w:tcBorders>
              <w:top w:val="nil"/>
              <w:left w:val="nil"/>
              <w:bottom w:val="single" w:sz="4" w:space="0" w:color="000000"/>
              <w:right w:val="single" w:sz="4" w:space="0" w:color="000000"/>
            </w:tcBorders>
            <w:shd w:val="clear" w:color="auto" w:fill="auto"/>
            <w:noWrap/>
            <w:vAlign w:val="bottom"/>
          </w:tcPr>
          <w:p w14:paraId="03C5FD40" w14:textId="77777777" w:rsidR="004C18AD" w:rsidRPr="005E13E6" w:rsidRDefault="004C18AD" w:rsidP="00042C67">
            <w:pPr>
              <w:overflowPunct/>
              <w:autoSpaceDE/>
              <w:autoSpaceDN/>
              <w:adjustRightInd/>
              <w:spacing w:before="0"/>
              <w:jc w:val="center"/>
              <w:textAlignment w:val="auto"/>
              <w:rPr>
                <w:rFonts w:cs="Calibri"/>
                <w:color w:val="000000"/>
                <w:sz w:val="20"/>
                <w:lang w:eastAsia="en-GB"/>
              </w:rPr>
            </w:pPr>
            <w:r w:rsidRPr="005E13E6">
              <w:rPr>
                <w:rFonts w:cs="Calibri" w:hint="eastAsia"/>
                <w:color w:val="000000"/>
                <w:sz w:val="20"/>
                <w:lang w:eastAsia="en-GB"/>
              </w:rPr>
              <w:t>美元</w:t>
            </w:r>
          </w:p>
        </w:tc>
      </w:tr>
    </w:tbl>
    <w:p w14:paraId="25944297" w14:textId="77777777" w:rsidR="004C18AD" w:rsidRPr="000C156A" w:rsidRDefault="004C18AD" w:rsidP="004C18AD">
      <w:pPr>
        <w:overflowPunct/>
        <w:autoSpaceDE/>
        <w:autoSpaceDN/>
        <w:adjustRightInd/>
        <w:spacing w:before="360"/>
        <w:jc w:val="center"/>
        <w:textAlignment w:val="auto"/>
        <w:rPr>
          <w:rFonts w:ascii="Times New Roman" w:hAnsi="Times New Roman"/>
          <w:szCs w:val="24"/>
          <w:lang w:eastAsia="zh-CN"/>
        </w:rPr>
      </w:pPr>
      <w:r w:rsidRPr="000C156A">
        <w:rPr>
          <w:rFonts w:ascii="Times New Roman" w:hAnsi="Times New Roman"/>
          <w:szCs w:val="24"/>
          <w:lang w:eastAsia="zh-CN"/>
        </w:rPr>
        <w:t>______________</w:t>
      </w:r>
    </w:p>
    <w:p w14:paraId="43CB64A9" w14:textId="77777777" w:rsidR="004C18AD" w:rsidRPr="000C156A" w:rsidRDefault="004C18AD" w:rsidP="004C18AD">
      <w:pPr>
        <w:overflowPunct/>
        <w:autoSpaceDE/>
        <w:autoSpaceDN/>
        <w:adjustRightInd/>
        <w:spacing w:before="0"/>
        <w:textAlignment w:val="auto"/>
        <w:rPr>
          <w:lang w:val="en-US" w:eastAsia="zh-CN"/>
        </w:rPr>
      </w:pPr>
    </w:p>
    <w:p w14:paraId="53CCB343" w14:textId="77777777" w:rsidR="00B56A7B" w:rsidRPr="000C156A" w:rsidRDefault="00B56A7B" w:rsidP="00B56A7B">
      <w:pPr>
        <w:pStyle w:val="AnnexNo"/>
        <w:spacing w:before="0"/>
        <w:outlineLvl w:val="0"/>
        <w:rPr>
          <w:lang w:val="en-US" w:eastAsia="zh-CN"/>
        </w:rPr>
      </w:pPr>
    </w:p>
    <w:p w14:paraId="24E7AA77" w14:textId="79B80D0E" w:rsidR="0085433F" w:rsidRPr="00BD3339" w:rsidRDefault="0085433F" w:rsidP="0085433F">
      <w:pPr>
        <w:overflowPunct/>
        <w:autoSpaceDE/>
        <w:autoSpaceDN/>
        <w:adjustRightInd/>
        <w:spacing w:before="0"/>
        <w:textAlignment w:val="auto"/>
        <w:rPr>
          <w:lang w:eastAsia="zh-CN"/>
        </w:rPr>
      </w:pPr>
    </w:p>
    <w:sectPr w:rsidR="0085433F" w:rsidRPr="00BD3339" w:rsidSect="00483BE4">
      <w:headerReference w:type="default" r:id="rId74"/>
      <w:footerReference w:type="default" r:id="rId75"/>
      <w:footerReference w:type="first" r:id="rId7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8A03" w14:textId="77777777" w:rsidR="00F42DBE" w:rsidRDefault="00F42DBE">
      <w:r>
        <w:separator/>
      </w:r>
    </w:p>
  </w:endnote>
  <w:endnote w:type="continuationSeparator" w:id="0">
    <w:p w14:paraId="51E3EF60" w14:textId="77777777" w:rsidR="00F42DBE" w:rsidRDefault="00F4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ahoma"/>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36" w:name="_Hlk72490679"/>
  <w:bookmarkStart w:id="1137" w:name="_Hlk72490680"/>
  <w:bookmarkStart w:id="1138" w:name="_Hlk72490720"/>
  <w:bookmarkStart w:id="1139" w:name="_Hlk72490721"/>
  <w:p w14:paraId="2C84AC46" w14:textId="16151101" w:rsidR="00B56A7B" w:rsidRPr="00047B2D" w:rsidRDefault="00B56A7B" w:rsidP="003A64C9">
    <w:pPr>
      <w:pStyle w:val="Footer"/>
    </w:pPr>
    <w:r w:rsidRPr="00047B2D">
      <w:fldChar w:fldCharType="begin"/>
    </w:r>
    <w:r w:rsidRPr="00047B2D">
      <w:instrText xml:space="preserve"> FILENAME \p  \* MERGEFORMAT </w:instrText>
    </w:r>
    <w:r w:rsidRPr="00047B2D">
      <w:fldChar w:fldCharType="separate"/>
    </w:r>
    <w:r w:rsidR="006D3040">
      <w:t>P:\CHI\SG\CONSEIL\C22\000\043C.docx</w:t>
    </w:r>
    <w:r w:rsidRPr="00047B2D">
      <w:fldChar w:fldCharType="end"/>
    </w:r>
    <w:r w:rsidRPr="00047B2D">
      <w:t xml:space="preserve"> (</w:t>
    </w:r>
    <w:r>
      <w:t>500640</w:t>
    </w:r>
    <w:r w:rsidRPr="00047B2D">
      <w:t>)</w:t>
    </w:r>
    <w:bookmarkEnd w:id="1136"/>
    <w:bookmarkEnd w:id="1137"/>
    <w:bookmarkEnd w:id="1138"/>
    <w:bookmarkEnd w:id="113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A112" w14:textId="77777777" w:rsidR="00B56A7B" w:rsidRPr="00CF028B" w:rsidRDefault="00B56A7B" w:rsidP="003A64C9">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2549" w14:textId="77777777" w:rsidR="00B56A7B" w:rsidRPr="004815CE" w:rsidRDefault="00A97A32" w:rsidP="004815CE">
    <w:pPr>
      <w:pStyle w:val="Footer"/>
    </w:pPr>
    <w:r>
      <w:fldChar w:fldCharType="begin"/>
    </w:r>
    <w:r>
      <w:instrText xml:space="preserve"> FILENAME \p  \* MERGEFORMAT </w:instrText>
    </w:r>
    <w:r>
      <w:fldChar w:fldCharType="separate"/>
    </w:r>
    <w:r w:rsidR="00B56A7B">
      <w:t>P:\TRAD\C\SG\CONSEIL\C22\000\043C-montage.docx</w:t>
    </w:r>
    <w:r>
      <w:fldChar w:fldCharType="end"/>
    </w:r>
    <w:r w:rsidR="00B56A7B" w:rsidRPr="00047B2D">
      <w:t xml:space="preserve"> (</w:t>
    </w:r>
    <w:r w:rsidR="00B56A7B">
      <w:t>500640</w:t>
    </w:r>
    <w:r w:rsidR="00B56A7B" w:rsidRPr="00047B2D">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2646" w14:textId="44F650B0" w:rsidR="00B56A7B" w:rsidRPr="004815CE" w:rsidRDefault="00A97A32" w:rsidP="004815CE">
    <w:pPr>
      <w:pStyle w:val="Footer"/>
    </w:pPr>
    <w:r>
      <w:fldChar w:fldCharType="begin"/>
    </w:r>
    <w:r>
      <w:instrText xml:space="preserve"> FILENAME \p  \* MERGEFORMAT </w:instrText>
    </w:r>
    <w:r>
      <w:fldChar w:fldCharType="separate"/>
    </w:r>
    <w:r w:rsidR="002E25E5">
      <w:t>P:\CHI\SG\CONSEIL\C22\000\043C.docx</w:t>
    </w:r>
    <w:r>
      <w:fldChar w:fldCharType="end"/>
    </w:r>
    <w:r w:rsidR="00B56A7B" w:rsidRPr="00047B2D">
      <w:t xml:space="preserve"> (</w:t>
    </w:r>
    <w:r w:rsidR="00B56A7B">
      <w:t>500640</w:t>
    </w:r>
    <w:r w:rsidR="00B56A7B" w:rsidRPr="00047B2D">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B413" w14:textId="2787CC14" w:rsidR="00B56A7B" w:rsidRPr="004815CE" w:rsidRDefault="00A97A32" w:rsidP="004815CE">
    <w:pPr>
      <w:pStyle w:val="Footer"/>
    </w:pPr>
    <w:r>
      <w:fldChar w:fldCharType="begin"/>
    </w:r>
    <w:r>
      <w:instrText xml:space="preserve"> FILENAME \p  \* MERGEFORMAT </w:instrText>
    </w:r>
    <w:r>
      <w:fldChar w:fldCharType="separate"/>
    </w:r>
    <w:r w:rsidR="0077431E">
      <w:t>P:\CHI\SG\CONSEIL\C22\000\043C.docx</w:t>
    </w:r>
    <w:r>
      <w:fldChar w:fldCharType="end"/>
    </w:r>
    <w:r w:rsidR="00B56A7B" w:rsidRPr="00047B2D">
      <w:t xml:space="preserve"> (</w:t>
    </w:r>
    <w:r w:rsidR="00B56A7B">
      <w:t>500640</w:t>
    </w:r>
    <w:r w:rsidR="00B56A7B" w:rsidRPr="00047B2D">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828A" w14:textId="4C4F0C0E" w:rsidR="004C18AD" w:rsidRPr="004815CE" w:rsidRDefault="00A97A32" w:rsidP="004815CE">
    <w:pPr>
      <w:pStyle w:val="Footer"/>
    </w:pPr>
    <w:r>
      <w:fldChar w:fldCharType="begin"/>
    </w:r>
    <w:r>
      <w:instrText xml:space="preserve"> FILENAME \p  \* MERGEFORMAT </w:instrText>
    </w:r>
    <w:r>
      <w:fldChar w:fldCharType="separate"/>
    </w:r>
    <w:r w:rsidR="00454FB1">
      <w:t>P:\CHI\SG\CONSEIL\C22\000\043C.docx</w:t>
    </w:r>
    <w:r>
      <w:fldChar w:fldCharType="end"/>
    </w:r>
    <w:r w:rsidR="004C18AD" w:rsidRPr="00047B2D">
      <w:t xml:space="preserve"> (</w:t>
    </w:r>
    <w:r w:rsidR="004C18AD">
      <w:t>500640</w:t>
    </w:r>
    <w:r w:rsidR="004C18AD" w:rsidRPr="00047B2D">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6374" w14:textId="51AFD78B" w:rsidR="004C18AD" w:rsidRPr="004815CE" w:rsidRDefault="00A97A32" w:rsidP="004815CE">
    <w:pPr>
      <w:pStyle w:val="Footer"/>
    </w:pPr>
    <w:r>
      <w:fldChar w:fldCharType="begin"/>
    </w:r>
    <w:r>
      <w:instrText xml:space="preserve"> FILENAME \p  \* MERGEFORMAT </w:instrText>
    </w:r>
    <w:r>
      <w:fldChar w:fldCharType="separate"/>
    </w:r>
    <w:r w:rsidR="005E13E6">
      <w:t>P:\CHI\SG\CONSEIL\C22\000\043C.docx</w:t>
    </w:r>
    <w:r>
      <w:fldChar w:fldCharType="end"/>
    </w:r>
    <w:r w:rsidR="004C18AD" w:rsidRPr="00047B2D">
      <w:t xml:space="preserve"> (</w:t>
    </w:r>
    <w:r w:rsidR="004C18AD">
      <w:t>500640</w:t>
    </w:r>
    <w:r w:rsidR="004C18AD" w:rsidRPr="00047B2D">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D5DC" w14:textId="07E12E02" w:rsidR="007A5389" w:rsidRPr="00BD3339" w:rsidRDefault="00A97A32">
    <w:pPr>
      <w:pStyle w:val="Footer"/>
      <w:rPr>
        <w:lang w:val="fr-CH"/>
      </w:rPr>
    </w:pPr>
    <w:r>
      <w:fldChar w:fldCharType="begin"/>
    </w:r>
    <w:r>
      <w:instrText xml:space="preserve"> FILENAME \p  \* MERGEFORMAT </w:instrText>
    </w:r>
    <w:r>
      <w:fldChar w:fldCharType="separate"/>
    </w:r>
    <w:r w:rsidR="005E13E6">
      <w:t>P:\CHI\SG\CONSEIL\C22\000\043C.docx</w:t>
    </w:r>
    <w:r>
      <w:fldChar w:fldCharType="end"/>
    </w:r>
    <w:r w:rsidR="007A5389" w:rsidRPr="00BD3339">
      <w:rPr>
        <w:lang w:val="fr-CH"/>
      </w:rPr>
      <w:t xml:space="preserve"> (</w:t>
    </w:r>
    <w:r w:rsidR="00BD3339">
      <w:rPr>
        <w:lang w:val="fr-CH"/>
      </w:rPr>
      <w:t>500640</w:t>
    </w:r>
    <w:r w:rsidR="007A5389" w:rsidRPr="00BD3339">
      <w:rPr>
        <w:lang w:val="fr-CH"/>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431D" w14:textId="138CDCF9" w:rsidR="007A5389" w:rsidRPr="0077431E" w:rsidRDefault="00A97A32" w:rsidP="003A64C9">
    <w:pPr>
      <w:pStyle w:val="Footer"/>
    </w:pPr>
    <w:r>
      <w:fldChar w:fldCharType="begin"/>
    </w:r>
    <w:r>
      <w:instrText xml:space="preserve"> FILENAME \p  \* MERGEFORMAT </w:instrText>
    </w:r>
    <w:r>
      <w:fldChar w:fldCharType="separate"/>
    </w:r>
    <w:r w:rsidR="0077431E">
      <w:t>P:\CHI\SG\CONSEIL\C22\000\043C.docx</w:t>
    </w:r>
    <w:r>
      <w:fldChar w:fldCharType="end"/>
    </w:r>
    <w:r w:rsidR="007A5389" w:rsidRPr="0077431E">
      <w:t xml:space="preserve"> (483238)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FE9C" w14:textId="77777777" w:rsidR="00F42DBE" w:rsidRDefault="00F42DBE">
      <w:r>
        <w:t>____________________</w:t>
      </w:r>
    </w:p>
  </w:footnote>
  <w:footnote w:type="continuationSeparator" w:id="0">
    <w:p w14:paraId="7CD74442" w14:textId="77777777" w:rsidR="00F42DBE" w:rsidRDefault="00F42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E88E" w14:textId="77777777" w:rsidR="00B56A7B" w:rsidRDefault="00B56A7B" w:rsidP="003A64C9">
    <w:pPr>
      <w:pStyle w:val="Header"/>
    </w:pPr>
    <w:r>
      <w:fldChar w:fldCharType="begin"/>
    </w:r>
    <w:r>
      <w:instrText>PAGE</w:instrText>
    </w:r>
    <w:r>
      <w:fldChar w:fldCharType="separate"/>
    </w:r>
    <w:r>
      <w:rPr>
        <w:noProof/>
      </w:rPr>
      <w:t>52</w:t>
    </w:r>
    <w:r>
      <w:rPr>
        <w:noProof/>
      </w:rPr>
      <w:fldChar w:fldCharType="end"/>
    </w:r>
  </w:p>
  <w:p w14:paraId="50B779E9" w14:textId="77777777" w:rsidR="00B56A7B" w:rsidRDefault="00B56A7B" w:rsidP="003A64C9">
    <w:pPr>
      <w:pStyle w:val="Header"/>
      <w:rPr>
        <w:lang w:eastAsia="zh-CN"/>
      </w:rPr>
    </w:pPr>
    <w:r>
      <w:t>C22/</w:t>
    </w:r>
    <w:r>
      <w:rPr>
        <w:lang w:eastAsia="zh-CN"/>
      </w:rPr>
      <w:t>43</w:t>
    </w:r>
    <w: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48C7" w14:textId="77777777" w:rsidR="00B56A7B" w:rsidRDefault="00B56A7B" w:rsidP="003A64C9">
    <w:pPr>
      <w:pStyle w:val="Header"/>
    </w:pPr>
    <w:r>
      <w:fldChar w:fldCharType="begin"/>
    </w:r>
    <w:r>
      <w:instrText>PAGE</w:instrText>
    </w:r>
    <w:r>
      <w:fldChar w:fldCharType="separate"/>
    </w:r>
    <w:r>
      <w:rPr>
        <w:noProof/>
      </w:rPr>
      <w:t>70</w:t>
    </w:r>
    <w:r>
      <w:rPr>
        <w:noProof/>
      </w:rPr>
      <w:fldChar w:fldCharType="end"/>
    </w:r>
  </w:p>
  <w:p w14:paraId="3A91D196" w14:textId="77777777" w:rsidR="00B56A7B" w:rsidRDefault="00B56A7B" w:rsidP="003A64C9">
    <w:pPr>
      <w:pStyle w:val="Header"/>
    </w:pPr>
    <w:r>
      <w:t>C22/</w:t>
    </w:r>
    <w:r>
      <w:rPr>
        <w:lang w:eastAsia="zh-CN"/>
      </w:rPr>
      <w:t>43</w:t>
    </w:r>
    <w: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91EA" w14:textId="77777777" w:rsidR="00B56A7B" w:rsidRDefault="00B56A7B" w:rsidP="003A64C9">
    <w:pPr>
      <w:pStyle w:val="Header"/>
    </w:pPr>
    <w:r>
      <w:fldChar w:fldCharType="begin"/>
    </w:r>
    <w:r>
      <w:instrText>PAGE</w:instrText>
    </w:r>
    <w:r>
      <w:fldChar w:fldCharType="separate"/>
    </w:r>
    <w:r>
      <w:rPr>
        <w:noProof/>
      </w:rPr>
      <w:t>85</w:t>
    </w:r>
    <w:r>
      <w:rPr>
        <w:noProof/>
      </w:rPr>
      <w:fldChar w:fldCharType="end"/>
    </w:r>
  </w:p>
  <w:p w14:paraId="61AD6DA9" w14:textId="77777777" w:rsidR="00B56A7B" w:rsidRDefault="00B56A7B">
    <w:pPr>
      <w:pStyle w:val="Header"/>
    </w:pPr>
    <w:r>
      <w:t>C22/</w:t>
    </w:r>
    <w:r>
      <w:rPr>
        <w:lang w:eastAsia="zh-CN"/>
      </w:rPr>
      <w:t>43</w:t>
    </w:r>
    <w: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3A62" w14:textId="77777777" w:rsidR="00B56A7B" w:rsidRDefault="00B56A7B" w:rsidP="003A64C9">
    <w:pPr>
      <w:pStyle w:val="Header"/>
    </w:pPr>
    <w:r>
      <w:fldChar w:fldCharType="begin"/>
    </w:r>
    <w:r>
      <w:instrText>PAGE</w:instrText>
    </w:r>
    <w:r>
      <w:fldChar w:fldCharType="separate"/>
    </w:r>
    <w:r>
      <w:rPr>
        <w:noProof/>
      </w:rPr>
      <w:t>86</w:t>
    </w:r>
    <w:r>
      <w:rPr>
        <w:noProof/>
      </w:rPr>
      <w:fldChar w:fldCharType="end"/>
    </w:r>
  </w:p>
  <w:p w14:paraId="54C9AFAC" w14:textId="77777777" w:rsidR="00B56A7B" w:rsidRDefault="00B56A7B" w:rsidP="003A64C9">
    <w:pPr>
      <w:pStyle w:val="Header"/>
    </w:pPr>
    <w:r>
      <w:t>C2</w:t>
    </w:r>
    <w:r>
      <w:rPr>
        <w:lang w:eastAsia="zh-CN"/>
      </w:rPr>
      <w:t>2</w:t>
    </w:r>
    <w:r>
      <w:t>/</w:t>
    </w:r>
    <w:r>
      <w:rPr>
        <w:lang w:eastAsia="zh-CN"/>
      </w:rPr>
      <w:t>43</w:t>
    </w:r>
    <w:r>
      <w:rPr>
        <w:rFonts w:hint="eastAsia"/>
        <w:lang w:eastAsia="zh-CN"/>
      </w:rPr>
      <w:t>-</w:t>
    </w:r>
    <w:r>
      <w:t>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31B4" w14:textId="77777777" w:rsidR="004C18AD" w:rsidRDefault="004C18AD" w:rsidP="003A64C9">
    <w:pPr>
      <w:pStyle w:val="Header"/>
    </w:pPr>
    <w:r>
      <w:fldChar w:fldCharType="begin"/>
    </w:r>
    <w:r>
      <w:instrText>PAGE</w:instrText>
    </w:r>
    <w:r>
      <w:fldChar w:fldCharType="separate"/>
    </w:r>
    <w:r>
      <w:rPr>
        <w:noProof/>
      </w:rPr>
      <w:t>87</w:t>
    </w:r>
    <w:r>
      <w:rPr>
        <w:noProof/>
      </w:rPr>
      <w:fldChar w:fldCharType="end"/>
    </w:r>
  </w:p>
  <w:p w14:paraId="31EFBCC7" w14:textId="77777777" w:rsidR="004C18AD" w:rsidRPr="006E6A26" w:rsidRDefault="004C18AD" w:rsidP="003A64C9">
    <w:pPr>
      <w:pStyle w:val="Header"/>
    </w:pPr>
    <w:r>
      <w:t>C2</w:t>
    </w:r>
    <w:r>
      <w:rPr>
        <w:lang w:eastAsia="zh-CN"/>
      </w:rPr>
      <w:t>2</w:t>
    </w:r>
    <w:r>
      <w:t>/</w:t>
    </w:r>
    <w:r>
      <w:rPr>
        <w:lang w:eastAsia="zh-CN"/>
      </w:rPr>
      <w:t>43</w:t>
    </w:r>
    <w:r>
      <w:rPr>
        <w:rFonts w:hint="eastAsia"/>
        <w:lang w:eastAsia="zh-CN"/>
      </w:rPr>
      <w:t>-</w:t>
    </w:r>
    <w:r>
      <w:t>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46F2" w14:textId="504E47B7" w:rsidR="007A5389" w:rsidRPr="00671310" w:rsidRDefault="007A5389" w:rsidP="003A64C9">
    <w:pPr>
      <w:pStyle w:val="Header"/>
    </w:pPr>
    <w:r w:rsidRPr="00671310">
      <w:fldChar w:fldCharType="begin"/>
    </w:r>
    <w:r w:rsidRPr="00671310">
      <w:instrText>PAGE</w:instrText>
    </w:r>
    <w:r w:rsidRPr="00671310">
      <w:fldChar w:fldCharType="separate"/>
    </w:r>
    <w:r w:rsidR="00A577E1">
      <w:rPr>
        <w:noProof/>
      </w:rPr>
      <w:t>126</w:t>
    </w:r>
    <w:r w:rsidRPr="00671310">
      <w:fldChar w:fldCharType="end"/>
    </w:r>
  </w:p>
  <w:p w14:paraId="54C98C20" w14:textId="0B76363F" w:rsidR="007A5389" w:rsidRPr="00671310" w:rsidRDefault="007A5389">
    <w:pPr>
      <w:pStyle w:val="Header"/>
    </w:pPr>
    <w:r w:rsidRPr="00671310">
      <w:t>C2</w:t>
    </w:r>
    <w:r>
      <w:t>2</w:t>
    </w:r>
    <w:r w:rsidRPr="00671310">
      <w:t>/</w:t>
    </w:r>
    <w:r>
      <w:t>43</w:t>
    </w:r>
    <w:r w:rsidRPr="0067131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54C3"/>
    <w:multiLevelType w:val="multilevel"/>
    <w:tmpl w:val="48BE3954"/>
    <w:lvl w:ilvl="0">
      <w:start w:val="1"/>
      <w:numFmt w:val="decimal"/>
      <w:lvlText w:val="Note %1."/>
      <w:lvlJc w:val="left"/>
      <w:pPr>
        <w:ind w:left="1134" w:hanging="113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18324E"/>
    <w:multiLevelType w:val="hybridMultilevel"/>
    <w:tmpl w:val="E71CD634"/>
    <w:lvl w:ilvl="0" w:tplc="04090001">
      <w:start w:val="1"/>
      <w:numFmt w:val="bullet"/>
      <w:lvlText w:val=""/>
      <w:lvlJc w:val="left"/>
      <w:pPr>
        <w:ind w:left="360" w:hanging="360"/>
      </w:pPr>
      <w:rPr>
        <w:rFonts w:ascii="Symbol" w:hAnsi="Symbol" w:hint="default"/>
      </w:rPr>
    </w:lvl>
    <w:lvl w:ilvl="1" w:tplc="86CCCC90">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221B4D"/>
    <w:multiLevelType w:val="hybridMultilevel"/>
    <w:tmpl w:val="FFD2A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C50783"/>
    <w:multiLevelType w:val="hybridMultilevel"/>
    <w:tmpl w:val="5052B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1F0874"/>
    <w:multiLevelType w:val="hybridMultilevel"/>
    <w:tmpl w:val="1A5E0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7"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4E6247"/>
    <w:multiLevelType w:val="multilevel"/>
    <w:tmpl w:val="23F6E536"/>
    <w:styleLink w:val="Style3"/>
    <w:lvl w:ilvl="0">
      <w:start w:val="1"/>
      <w:numFmt w:val="decimal"/>
      <w:lvlText w:val="Note %1."/>
      <w:lvlJc w:val="left"/>
      <w:pPr>
        <w:ind w:left="1418" w:hanging="141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C321C"/>
    <w:multiLevelType w:val="hybridMultilevel"/>
    <w:tmpl w:val="A3129310"/>
    <w:lvl w:ilvl="0" w:tplc="70423864">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5A94BE9"/>
    <w:multiLevelType w:val="hybridMultilevel"/>
    <w:tmpl w:val="5342697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4" w15:restartNumberingAfterBreak="0">
    <w:nsid w:val="5DD5008D"/>
    <w:multiLevelType w:val="hybridMultilevel"/>
    <w:tmpl w:val="847E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A0457E"/>
    <w:multiLevelType w:val="hybridMultilevel"/>
    <w:tmpl w:val="F12E1872"/>
    <w:lvl w:ilvl="0" w:tplc="E38E575C">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23412C"/>
    <w:multiLevelType w:val="multilevel"/>
    <w:tmpl w:val="59B25D6E"/>
    <w:styleLink w:val="Style2"/>
    <w:lvl w:ilvl="0">
      <w:start w:val="1"/>
      <w:numFmt w:val="decimal"/>
      <w:lvlText w:val="Note %1."/>
      <w:lvlJc w:val="left"/>
      <w:pPr>
        <w:ind w:left="1701" w:hanging="170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FC6C25"/>
    <w:multiLevelType w:val="hybridMultilevel"/>
    <w:tmpl w:val="3782ECA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2" w15:restartNumberingAfterBreak="0">
    <w:nsid w:val="7CAC2785"/>
    <w:multiLevelType w:val="hybridMultilevel"/>
    <w:tmpl w:val="0E089256"/>
    <w:lvl w:ilvl="0" w:tplc="7F265C3E">
      <w:start w:val="1"/>
      <w:numFmt w:val="decimal"/>
      <w:lvlText w:val="%1"/>
      <w:lvlJc w:val="left"/>
      <w:pPr>
        <w:ind w:left="1138" w:hanging="570"/>
      </w:pPr>
      <w:rPr>
        <w:rFonts w:asciiTheme="minorHAnsi" w:hAnsiTheme="minorHAnsi" w:cs="Calibri" w:hint="default"/>
        <w:b w:val="0"/>
        <w:bCs w:val="0"/>
        <w:strike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E61AF"/>
    <w:multiLevelType w:val="hybridMultilevel"/>
    <w:tmpl w:val="5F5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D654DE"/>
    <w:multiLevelType w:val="hybridMultilevel"/>
    <w:tmpl w:val="3864DAF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5" w15:restartNumberingAfterBreak="0">
    <w:nsid w:val="7F886983"/>
    <w:multiLevelType w:val="hybridMultilevel"/>
    <w:tmpl w:val="EB8E3C0A"/>
    <w:lvl w:ilvl="0" w:tplc="D604E92C">
      <w:start w:val="2"/>
      <w:numFmt w:val="lowerLetter"/>
      <w:lvlText w:val="%1)"/>
      <w:lvlJc w:val="left"/>
      <w:pPr>
        <w:ind w:left="1289" w:hanging="360"/>
      </w:pPr>
      <w:rPr>
        <w:rFonts w:hint="default"/>
        <w:color w:val="auto"/>
      </w:rPr>
    </w:lvl>
    <w:lvl w:ilvl="1" w:tplc="08090019" w:tentative="1">
      <w:start w:val="1"/>
      <w:numFmt w:val="lowerLetter"/>
      <w:lvlText w:val="%2."/>
      <w:lvlJc w:val="left"/>
      <w:pPr>
        <w:ind w:left="2009" w:hanging="360"/>
      </w:pPr>
    </w:lvl>
    <w:lvl w:ilvl="2" w:tplc="0809001B" w:tentative="1">
      <w:start w:val="1"/>
      <w:numFmt w:val="lowerRoman"/>
      <w:lvlText w:val="%3."/>
      <w:lvlJc w:val="right"/>
      <w:pPr>
        <w:ind w:left="2729" w:hanging="180"/>
      </w:pPr>
    </w:lvl>
    <w:lvl w:ilvl="3" w:tplc="0809000F" w:tentative="1">
      <w:start w:val="1"/>
      <w:numFmt w:val="decimal"/>
      <w:lvlText w:val="%4."/>
      <w:lvlJc w:val="left"/>
      <w:pPr>
        <w:ind w:left="3449" w:hanging="360"/>
      </w:pPr>
    </w:lvl>
    <w:lvl w:ilvl="4" w:tplc="08090019" w:tentative="1">
      <w:start w:val="1"/>
      <w:numFmt w:val="lowerLetter"/>
      <w:lvlText w:val="%5."/>
      <w:lvlJc w:val="left"/>
      <w:pPr>
        <w:ind w:left="4169" w:hanging="360"/>
      </w:pPr>
    </w:lvl>
    <w:lvl w:ilvl="5" w:tplc="0809001B" w:tentative="1">
      <w:start w:val="1"/>
      <w:numFmt w:val="lowerRoman"/>
      <w:lvlText w:val="%6."/>
      <w:lvlJc w:val="right"/>
      <w:pPr>
        <w:ind w:left="4889" w:hanging="180"/>
      </w:pPr>
    </w:lvl>
    <w:lvl w:ilvl="6" w:tplc="0809000F" w:tentative="1">
      <w:start w:val="1"/>
      <w:numFmt w:val="decimal"/>
      <w:lvlText w:val="%7."/>
      <w:lvlJc w:val="left"/>
      <w:pPr>
        <w:ind w:left="5609" w:hanging="360"/>
      </w:pPr>
    </w:lvl>
    <w:lvl w:ilvl="7" w:tplc="08090019" w:tentative="1">
      <w:start w:val="1"/>
      <w:numFmt w:val="lowerLetter"/>
      <w:lvlText w:val="%8."/>
      <w:lvlJc w:val="left"/>
      <w:pPr>
        <w:ind w:left="6329" w:hanging="360"/>
      </w:pPr>
    </w:lvl>
    <w:lvl w:ilvl="8" w:tplc="0809001B" w:tentative="1">
      <w:start w:val="1"/>
      <w:numFmt w:val="lowerRoman"/>
      <w:lvlText w:val="%9."/>
      <w:lvlJc w:val="right"/>
      <w:pPr>
        <w:ind w:left="7049" w:hanging="180"/>
      </w:pPr>
    </w:lvl>
  </w:abstractNum>
  <w:num w:numId="1" w16cid:durableId="662709713">
    <w:abstractNumId w:val="9"/>
  </w:num>
  <w:num w:numId="2" w16cid:durableId="265772733">
    <w:abstractNumId w:val="19"/>
  </w:num>
  <w:num w:numId="3" w16cid:durableId="730469998">
    <w:abstractNumId w:val="22"/>
  </w:num>
  <w:num w:numId="4" w16cid:durableId="1567255512">
    <w:abstractNumId w:val="27"/>
  </w:num>
  <w:num w:numId="5" w16cid:durableId="336003225">
    <w:abstractNumId w:val="30"/>
  </w:num>
  <w:num w:numId="6" w16cid:durableId="916786212">
    <w:abstractNumId w:val="28"/>
  </w:num>
  <w:num w:numId="7" w16cid:durableId="274026907">
    <w:abstractNumId w:val="17"/>
  </w:num>
  <w:num w:numId="8" w16cid:durableId="1757625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3257442">
    <w:abstractNumId w:val="26"/>
  </w:num>
  <w:num w:numId="10" w16cid:durableId="735124554">
    <w:abstractNumId w:val="8"/>
    <w:lvlOverride w:ilvl="0">
      <w:startOverride w:val="1"/>
    </w:lvlOverride>
  </w:num>
  <w:num w:numId="11" w16cid:durableId="1403140268">
    <w:abstractNumId w:val="7"/>
  </w:num>
  <w:num w:numId="12" w16cid:durableId="1799714128">
    <w:abstractNumId w:val="6"/>
  </w:num>
  <w:num w:numId="13" w16cid:durableId="1934514587">
    <w:abstractNumId w:val="5"/>
  </w:num>
  <w:num w:numId="14" w16cid:durableId="1598518540">
    <w:abstractNumId w:val="3"/>
    <w:lvlOverride w:ilvl="0">
      <w:startOverride w:val="1"/>
    </w:lvlOverride>
  </w:num>
  <w:num w:numId="15" w16cid:durableId="224730197">
    <w:abstractNumId w:val="2"/>
    <w:lvlOverride w:ilvl="0">
      <w:startOverride w:val="1"/>
    </w:lvlOverride>
  </w:num>
  <w:num w:numId="16" w16cid:durableId="1973250208">
    <w:abstractNumId w:val="1"/>
    <w:lvlOverride w:ilvl="0">
      <w:startOverride w:val="1"/>
    </w:lvlOverride>
  </w:num>
  <w:num w:numId="17" w16cid:durableId="282922985">
    <w:abstractNumId w:val="0"/>
    <w:lvlOverride w:ilvl="0">
      <w:startOverride w:val="1"/>
    </w:lvlOverride>
  </w:num>
  <w:num w:numId="18" w16cid:durableId="1803306199">
    <w:abstractNumId w:val="18"/>
  </w:num>
  <w:num w:numId="19" w16cid:durableId="1467428248">
    <w:abstractNumId w:val="29"/>
  </w:num>
  <w:num w:numId="20" w16cid:durableId="513348413">
    <w:abstractNumId w:val="4"/>
  </w:num>
  <w:num w:numId="21" w16cid:durableId="154731110">
    <w:abstractNumId w:val="10"/>
  </w:num>
  <w:num w:numId="22" w16cid:durableId="388070406">
    <w:abstractNumId w:val="14"/>
  </w:num>
  <w:num w:numId="23" w16cid:durableId="1709909964">
    <w:abstractNumId w:val="13"/>
  </w:num>
  <w:num w:numId="24" w16cid:durableId="624701967">
    <w:abstractNumId w:val="15"/>
  </w:num>
  <w:num w:numId="25" w16cid:durableId="65808362">
    <w:abstractNumId w:val="24"/>
  </w:num>
  <w:num w:numId="26" w16cid:durableId="869882519">
    <w:abstractNumId w:val="33"/>
  </w:num>
  <w:num w:numId="27" w16cid:durableId="1559245871">
    <w:abstractNumId w:val="11"/>
  </w:num>
  <w:num w:numId="28" w16cid:durableId="1580365077">
    <w:abstractNumId w:val="31"/>
  </w:num>
  <w:num w:numId="29" w16cid:durableId="1728333938">
    <w:abstractNumId w:val="34"/>
  </w:num>
  <w:num w:numId="30" w16cid:durableId="1535535448">
    <w:abstractNumId w:val="23"/>
  </w:num>
  <w:num w:numId="31" w16cid:durableId="267469271">
    <w:abstractNumId w:val="25"/>
  </w:num>
  <w:num w:numId="32" w16cid:durableId="1118523038">
    <w:abstractNumId w:val="16"/>
  </w:num>
  <w:num w:numId="33" w16cid:durableId="1975333407">
    <w:abstractNumId w:val="20"/>
  </w:num>
  <w:num w:numId="34" w16cid:durableId="2014524069">
    <w:abstractNumId w:val="12"/>
  </w:num>
  <w:num w:numId="35" w16cid:durableId="1805124780">
    <w:abstractNumId w:val="35"/>
  </w:num>
  <w:num w:numId="36" w16cid:durableId="535506510">
    <w:abstractNumId w:val="32"/>
  </w:num>
  <w:num w:numId="37" w16cid:durableId="4427247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hideSpellingErrors/>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BF"/>
    <w:rsid w:val="00001537"/>
    <w:rsid w:val="00001B77"/>
    <w:rsid w:val="00003B03"/>
    <w:rsid w:val="0000406F"/>
    <w:rsid w:val="0000517A"/>
    <w:rsid w:val="00006ED7"/>
    <w:rsid w:val="00010A76"/>
    <w:rsid w:val="00012E88"/>
    <w:rsid w:val="00014912"/>
    <w:rsid w:val="00022201"/>
    <w:rsid w:val="00023512"/>
    <w:rsid w:val="000268C6"/>
    <w:rsid w:val="000310B5"/>
    <w:rsid w:val="00031E72"/>
    <w:rsid w:val="0003615E"/>
    <w:rsid w:val="000404D2"/>
    <w:rsid w:val="00040C41"/>
    <w:rsid w:val="00041B25"/>
    <w:rsid w:val="000424EA"/>
    <w:rsid w:val="00043B8D"/>
    <w:rsid w:val="000470F9"/>
    <w:rsid w:val="00047D4E"/>
    <w:rsid w:val="00063093"/>
    <w:rsid w:val="00063C5B"/>
    <w:rsid w:val="000677EE"/>
    <w:rsid w:val="00071165"/>
    <w:rsid w:val="000733E7"/>
    <w:rsid w:val="00075828"/>
    <w:rsid w:val="00075E19"/>
    <w:rsid w:val="00081CB2"/>
    <w:rsid w:val="000853C0"/>
    <w:rsid w:val="0008688C"/>
    <w:rsid w:val="00087D21"/>
    <w:rsid w:val="0009409E"/>
    <w:rsid w:val="000A1C21"/>
    <w:rsid w:val="000A5C34"/>
    <w:rsid w:val="000B231C"/>
    <w:rsid w:val="000B2887"/>
    <w:rsid w:val="000B577B"/>
    <w:rsid w:val="000B6118"/>
    <w:rsid w:val="000C0BC5"/>
    <w:rsid w:val="000D0DB2"/>
    <w:rsid w:val="000D15EA"/>
    <w:rsid w:val="000D37DF"/>
    <w:rsid w:val="000D3B60"/>
    <w:rsid w:val="000E3C61"/>
    <w:rsid w:val="000E4B67"/>
    <w:rsid w:val="000E7613"/>
    <w:rsid w:val="000F1CC2"/>
    <w:rsid w:val="000F4F15"/>
    <w:rsid w:val="000F4F28"/>
    <w:rsid w:val="0010029A"/>
    <w:rsid w:val="00100D84"/>
    <w:rsid w:val="00111876"/>
    <w:rsid w:val="00121104"/>
    <w:rsid w:val="001215AF"/>
    <w:rsid w:val="00124C9D"/>
    <w:rsid w:val="00127CF4"/>
    <w:rsid w:val="0013638C"/>
    <w:rsid w:val="00142E6C"/>
    <w:rsid w:val="001430C4"/>
    <w:rsid w:val="001446D1"/>
    <w:rsid w:val="00155AE3"/>
    <w:rsid w:val="00157773"/>
    <w:rsid w:val="00157C2E"/>
    <w:rsid w:val="001611E7"/>
    <w:rsid w:val="001646E7"/>
    <w:rsid w:val="00170638"/>
    <w:rsid w:val="00172A28"/>
    <w:rsid w:val="001800F7"/>
    <w:rsid w:val="0018251A"/>
    <w:rsid w:val="00184AD5"/>
    <w:rsid w:val="00187A35"/>
    <w:rsid w:val="00190272"/>
    <w:rsid w:val="00193244"/>
    <w:rsid w:val="00195C6C"/>
    <w:rsid w:val="00195FED"/>
    <w:rsid w:val="00196A65"/>
    <w:rsid w:val="00197E57"/>
    <w:rsid w:val="001A3FCC"/>
    <w:rsid w:val="001A4BD6"/>
    <w:rsid w:val="001A70E3"/>
    <w:rsid w:val="001A78AD"/>
    <w:rsid w:val="001B1C3E"/>
    <w:rsid w:val="001B33D1"/>
    <w:rsid w:val="001B7DB3"/>
    <w:rsid w:val="001C1B5A"/>
    <w:rsid w:val="001C384F"/>
    <w:rsid w:val="001D039C"/>
    <w:rsid w:val="001D31CA"/>
    <w:rsid w:val="001D5A18"/>
    <w:rsid w:val="001D5DE9"/>
    <w:rsid w:val="001E2786"/>
    <w:rsid w:val="001E66D8"/>
    <w:rsid w:val="001F286C"/>
    <w:rsid w:val="001F43E0"/>
    <w:rsid w:val="00205825"/>
    <w:rsid w:val="0021168D"/>
    <w:rsid w:val="00213E39"/>
    <w:rsid w:val="002163EA"/>
    <w:rsid w:val="00222494"/>
    <w:rsid w:val="00240A0A"/>
    <w:rsid w:val="002410E2"/>
    <w:rsid w:val="002433EF"/>
    <w:rsid w:val="002459AC"/>
    <w:rsid w:val="00262942"/>
    <w:rsid w:val="00280EB8"/>
    <w:rsid w:val="002816C8"/>
    <w:rsid w:val="002873A1"/>
    <w:rsid w:val="002A0694"/>
    <w:rsid w:val="002A5B06"/>
    <w:rsid w:val="002A5D41"/>
    <w:rsid w:val="002A6670"/>
    <w:rsid w:val="002A6F43"/>
    <w:rsid w:val="002B29DC"/>
    <w:rsid w:val="002B5AE2"/>
    <w:rsid w:val="002C09AF"/>
    <w:rsid w:val="002C1EFF"/>
    <w:rsid w:val="002D10C4"/>
    <w:rsid w:val="002D2AFC"/>
    <w:rsid w:val="002E009D"/>
    <w:rsid w:val="002E09BF"/>
    <w:rsid w:val="002E25E5"/>
    <w:rsid w:val="002E4377"/>
    <w:rsid w:val="002F143F"/>
    <w:rsid w:val="002F446D"/>
    <w:rsid w:val="002F53B7"/>
    <w:rsid w:val="002F6AC0"/>
    <w:rsid w:val="002F74CE"/>
    <w:rsid w:val="003023FB"/>
    <w:rsid w:val="00303502"/>
    <w:rsid w:val="003072E0"/>
    <w:rsid w:val="00310845"/>
    <w:rsid w:val="00311212"/>
    <w:rsid w:val="00312237"/>
    <w:rsid w:val="0032089E"/>
    <w:rsid w:val="00325C25"/>
    <w:rsid w:val="003274C6"/>
    <w:rsid w:val="003300DE"/>
    <w:rsid w:val="00340182"/>
    <w:rsid w:val="003413E6"/>
    <w:rsid w:val="0034509B"/>
    <w:rsid w:val="0035365F"/>
    <w:rsid w:val="00355CA3"/>
    <w:rsid w:val="00357E27"/>
    <w:rsid w:val="00360440"/>
    <w:rsid w:val="00367116"/>
    <w:rsid w:val="003674AB"/>
    <w:rsid w:val="00372C8F"/>
    <w:rsid w:val="00377FE3"/>
    <w:rsid w:val="00380ECE"/>
    <w:rsid w:val="00381A25"/>
    <w:rsid w:val="00382DF0"/>
    <w:rsid w:val="003847AF"/>
    <w:rsid w:val="00393DDF"/>
    <w:rsid w:val="00396B77"/>
    <w:rsid w:val="00397F55"/>
    <w:rsid w:val="003A03C8"/>
    <w:rsid w:val="003A08D1"/>
    <w:rsid w:val="003A6419"/>
    <w:rsid w:val="003A64C9"/>
    <w:rsid w:val="003A7F9D"/>
    <w:rsid w:val="003B4454"/>
    <w:rsid w:val="003C2E37"/>
    <w:rsid w:val="003C38A8"/>
    <w:rsid w:val="003D0E24"/>
    <w:rsid w:val="003D3A3C"/>
    <w:rsid w:val="003D710B"/>
    <w:rsid w:val="003E4FCE"/>
    <w:rsid w:val="003F1415"/>
    <w:rsid w:val="003F4A8C"/>
    <w:rsid w:val="0040144C"/>
    <w:rsid w:val="004029A4"/>
    <w:rsid w:val="00403EB7"/>
    <w:rsid w:val="00405312"/>
    <w:rsid w:val="00407829"/>
    <w:rsid w:val="00412265"/>
    <w:rsid w:val="004128E7"/>
    <w:rsid w:val="00412A41"/>
    <w:rsid w:val="0041519D"/>
    <w:rsid w:val="00416F1A"/>
    <w:rsid w:val="00423E9E"/>
    <w:rsid w:val="0043065A"/>
    <w:rsid w:val="00430BF0"/>
    <w:rsid w:val="00437D1C"/>
    <w:rsid w:val="0044017D"/>
    <w:rsid w:val="00452651"/>
    <w:rsid w:val="0045424D"/>
    <w:rsid w:val="00454FB1"/>
    <w:rsid w:val="00462277"/>
    <w:rsid w:val="004634A7"/>
    <w:rsid w:val="004661A5"/>
    <w:rsid w:val="004672E6"/>
    <w:rsid w:val="00473856"/>
    <w:rsid w:val="00474ED1"/>
    <w:rsid w:val="004815CE"/>
    <w:rsid w:val="00483BE4"/>
    <w:rsid w:val="00484AD5"/>
    <w:rsid w:val="00493002"/>
    <w:rsid w:val="00493085"/>
    <w:rsid w:val="004A12C1"/>
    <w:rsid w:val="004A14FF"/>
    <w:rsid w:val="004A36EC"/>
    <w:rsid w:val="004A4F4B"/>
    <w:rsid w:val="004A5F49"/>
    <w:rsid w:val="004A7C8D"/>
    <w:rsid w:val="004B5A9F"/>
    <w:rsid w:val="004B6B94"/>
    <w:rsid w:val="004C11F9"/>
    <w:rsid w:val="004C18AD"/>
    <w:rsid w:val="004D163F"/>
    <w:rsid w:val="004E317A"/>
    <w:rsid w:val="004E4BFF"/>
    <w:rsid w:val="004E7032"/>
    <w:rsid w:val="004F0345"/>
    <w:rsid w:val="004F2598"/>
    <w:rsid w:val="004F693F"/>
    <w:rsid w:val="00500299"/>
    <w:rsid w:val="00503A2E"/>
    <w:rsid w:val="00503AC4"/>
    <w:rsid w:val="00510964"/>
    <w:rsid w:val="005138B0"/>
    <w:rsid w:val="0051410A"/>
    <w:rsid w:val="005172B0"/>
    <w:rsid w:val="005178BF"/>
    <w:rsid w:val="00521F39"/>
    <w:rsid w:val="00523027"/>
    <w:rsid w:val="005403F7"/>
    <w:rsid w:val="00540632"/>
    <w:rsid w:val="00541CF4"/>
    <w:rsid w:val="005431B0"/>
    <w:rsid w:val="005451E8"/>
    <w:rsid w:val="005507F2"/>
    <w:rsid w:val="0055321D"/>
    <w:rsid w:val="005550A6"/>
    <w:rsid w:val="005550E7"/>
    <w:rsid w:val="00561BC0"/>
    <w:rsid w:val="00571FFA"/>
    <w:rsid w:val="005759CC"/>
    <w:rsid w:val="005768DA"/>
    <w:rsid w:val="005772C7"/>
    <w:rsid w:val="005836E1"/>
    <w:rsid w:val="0058798E"/>
    <w:rsid w:val="005879C2"/>
    <w:rsid w:val="005A72E1"/>
    <w:rsid w:val="005B3F0A"/>
    <w:rsid w:val="005B756F"/>
    <w:rsid w:val="005C5645"/>
    <w:rsid w:val="005C60DC"/>
    <w:rsid w:val="005C6632"/>
    <w:rsid w:val="005D01A1"/>
    <w:rsid w:val="005D1C9E"/>
    <w:rsid w:val="005D2724"/>
    <w:rsid w:val="005D514E"/>
    <w:rsid w:val="005D71C7"/>
    <w:rsid w:val="005D730F"/>
    <w:rsid w:val="005E13E6"/>
    <w:rsid w:val="005E1583"/>
    <w:rsid w:val="005E39D6"/>
    <w:rsid w:val="005E4DB8"/>
    <w:rsid w:val="00602200"/>
    <w:rsid w:val="006035C0"/>
    <w:rsid w:val="0060746B"/>
    <w:rsid w:val="00607649"/>
    <w:rsid w:val="0061279C"/>
    <w:rsid w:val="00613A2D"/>
    <w:rsid w:val="00613EA8"/>
    <w:rsid w:val="00614303"/>
    <w:rsid w:val="00623C76"/>
    <w:rsid w:val="0063526C"/>
    <w:rsid w:val="00636EFB"/>
    <w:rsid w:val="00640F67"/>
    <w:rsid w:val="00642395"/>
    <w:rsid w:val="00647AEC"/>
    <w:rsid w:val="00647BDB"/>
    <w:rsid w:val="00647BE3"/>
    <w:rsid w:val="006504E4"/>
    <w:rsid w:val="00650722"/>
    <w:rsid w:val="00654257"/>
    <w:rsid w:val="0065435A"/>
    <w:rsid w:val="006631BA"/>
    <w:rsid w:val="00670A38"/>
    <w:rsid w:val="00673136"/>
    <w:rsid w:val="006743FA"/>
    <w:rsid w:val="00680659"/>
    <w:rsid w:val="00691CF7"/>
    <w:rsid w:val="00693480"/>
    <w:rsid w:val="00694CFD"/>
    <w:rsid w:val="006A2DD3"/>
    <w:rsid w:val="006A5AF8"/>
    <w:rsid w:val="006B45D4"/>
    <w:rsid w:val="006B56CE"/>
    <w:rsid w:val="006C1E99"/>
    <w:rsid w:val="006C34A8"/>
    <w:rsid w:val="006C36CD"/>
    <w:rsid w:val="006C5DC7"/>
    <w:rsid w:val="006C7DAD"/>
    <w:rsid w:val="006D11CA"/>
    <w:rsid w:val="006D3040"/>
    <w:rsid w:val="006D49F5"/>
    <w:rsid w:val="006D6785"/>
    <w:rsid w:val="006F5274"/>
    <w:rsid w:val="006F66EB"/>
    <w:rsid w:val="00700D1F"/>
    <w:rsid w:val="0070233A"/>
    <w:rsid w:val="007126C0"/>
    <w:rsid w:val="007138E0"/>
    <w:rsid w:val="00720351"/>
    <w:rsid w:val="007205CB"/>
    <w:rsid w:val="00723587"/>
    <w:rsid w:val="00725829"/>
    <w:rsid w:val="00726073"/>
    <w:rsid w:val="007261F5"/>
    <w:rsid w:val="007316F2"/>
    <w:rsid w:val="007342A7"/>
    <w:rsid w:val="00734FE8"/>
    <w:rsid w:val="007360CE"/>
    <w:rsid w:val="007530B5"/>
    <w:rsid w:val="00755845"/>
    <w:rsid w:val="00760428"/>
    <w:rsid w:val="007605EB"/>
    <w:rsid w:val="00763F24"/>
    <w:rsid w:val="0076544D"/>
    <w:rsid w:val="00772315"/>
    <w:rsid w:val="0077431E"/>
    <w:rsid w:val="00775157"/>
    <w:rsid w:val="007813AE"/>
    <w:rsid w:val="007837E0"/>
    <w:rsid w:val="0079269D"/>
    <w:rsid w:val="007950B4"/>
    <w:rsid w:val="007A3282"/>
    <w:rsid w:val="007A37DB"/>
    <w:rsid w:val="007A5389"/>
    <w:rsid w:val="007A63CA"/>
    <w:rsid w:val="007C26E9"/>
    <w:rsid w:val="007C6A47"/>
    <w:rsid w:val="007D18E7"/>
    <w:rsid w:val="007D6252"/>
    <w:rsid w:val="007E189D"/>
    <w:rsid w:val="007E7FCF"/>
    <w:rsid w:val="00802043"/>
    <w:rsid w:val="00806451"/>
    <w:rsid w:val="00811259"/>
    <w:rsid w:val="008113DA"/>
    <w:rsid w:val="00813AA2"/>
    <w:rsid w:val="0081502F"/>
    <w:rsid w:val="008173A3"/>
    <w:rsid w:val="00821479"/>
    <w:rsid w:val="00822A1F"/>
    <w:rsid w:val="00834310"/>
    <w:rsid w:val="00837255"/>
    <w:rsid w:val="00841254"/>
    <w:rsid w:val="008418F5"/>
    <w:rsid w:val="00842682"/>
    <w:rsid w:val="00845BB8"/>
    <w:rsid w:val="00846E94"/>
    <w:rsid w:val="0085433F"/>
    <w:rsid w:val="008555D7"/>
    <w:rsid w:val="0086059C"/>
    <w:rsid w:val="00860F00"/>
    <w:rsid w:val="00864589"/>
    <w:rsid w:val="008679EA"/>
    <w:rsid w:val="00867B74"/>
    <w:rsid w:val="00871C40"/>
    <w:rsid w:val="00890898"/>
    <w:rsid w:val="00890AFB"/>
    <w:rsid w:val="00890FC4"/>
    <w:rsid w:val="00893105"/>
    <w:rsid w:val="0089329A"/>
    <w:rsid w:val="00894DA4"/>
    <w:rsid w:val="00895905"/>
    <w:rsid w:val="00897E0B"/>
    <w:rsid w:val="008A2B13"/>
    <w:rsid w:val="008A4037"/>
    <w:rsid w:val="008B0655"/>
    <w:rsid w:val="008B142A"/>
    <w:rsid w:val="008B72C8"/>
    <w:rsid w:val="008C0AE4"/>
    <w:rsid w:val="008C77BD"/>
    <w:rsid w:val="008C785A"/>
    <w:rsid w:val="008D1EB4"/>
    <w:rsid w:val="008D24BF"/>
    <w:rsid w:val="008E0B0D"/>
    <w:rsid w:val="008E32F0"/>
    <w:rsid w:val="008E58AC"/>
    <w:rsid w:val="00903359"/>
    <w:rsid w:val="00911867"/>
    <w:rsid w:val="0091299F"/>
    <w:rsid w:val="009164A9"/>
    <w:rsid w:val="009258CB"/>
    <w:rsid w:val="0093362E"/>
    <w:rsid w:val="0093470A"/>
    <w:rsid w:val="00934D73"/>
    <w:rsid w:val="00941029"/>
    <w:rsid w:val="00941759"/>
    <w:rsid w:val="00944563"/>
    <w:rsid w:val="00950CAE"/>
    <w:rsid w:val="00953160"/>
    <w:rsid w:val="009625D8"/>
    <w:rsid w:val="00965F9F"/>
    <w:rsid w:val="00966FB4"/>
    <w:rsid w:val="0098459B"/>
    <w:rsid w:val="009845AB"/>
    <w:rsid w:val="00997185"/>
    <w:rsid w:val="009A7108"/>
    <w:rsid w:val="009B0523"/>
    <w:rsid w:val="009B5555"/>
    <w:rsid w:val="009B7D9E"/>
    <w:rsid w:val="009C2458"/>
    <w:rsid w:val="009C3339"/>
    <w:rsid w:val="009C4412"/>
    <w:rsid w:val="009C4A7B"/>
    <w:rsid w:val="009C6123"/>
    <w:rsid w:val="009C72D4"/>
    <w:rsid w:val="009D150E"/>
    <w:rsid w:val="009D1C1D"/>
    <w:rsid w:val="009D3976"/>
    <w:rsid w:val="009E142C"/>
    <w:rsid w:val="009F0637"/>
    <w:rsid w:val="009F0927"/>
    <w:rsid w:val="009F0999"/>
    <w:rsid w:val="009F1E3E"/>
    <w:rsid w:val="009F29BC"/>
    <w:rsid w:val="009F7F29"/>
    <w:rsid w:val="00A07241"/>
    <w:rsid w:val="00A1213C"/>
    <w:rsid w:val="00A1515A"/>
    <w:rsid w:val="00A22C81"/>
    <w:rsid w:val="00A272FF"/>
    <w:rsid w:val="00A300CB"/>
    <w:rsid w:val="00A343F8"/>
    <w:rsid w:val="00A37284"/>
    <w:rsid w:val="00A50F12"/>
    <w:rsid w:val="00A5354B"/>
    <w:rsid w:val="00A56FD2"/>
    <w:rsid w:val="00A577E1"/>
    <w:rsid w:val="00A677DE"/>
    <w:rsid w:val="00A71B57"/>
    <w:rsid w:val="00A71E99"/>
    <w:rsid w:val="00A74867"/>
    <w:rsid w:val="00A81114"/>
    <w:rsid w:val="00A87555"/>
    <w:rsid w:val="00A9031A"/>
    <w:rsid w:val="00A9046D"/>
    <w:rsid w:val="00A963D1"/>
    <w:rsid w:val="00A97A32"/>
    <w:rsid w:val="00AA0A51"/>
    <w:rsid w:val="00AA17D0"/>
    <w:rsid w:val="00AA61BA"/>
    <w:rsid w:val="00AA61CD"/>
    <w:rsid w:val="00AB1394"/>
    <w:rsid w:val="00AB272C"/>
    <w:rsid w:val="00AB42C1"/>
    <w:rsid w:val="00AB48FF"/>
    <w:rsid w:val="00AC15CC"/>
    <w:rsid w:val="00AC516F"/>
    <w:rsid w:val="00AE195F"/>
    <w:rsid w:val="00AE2926"/>
    <w:rsid w:val="00AF34BA"/>
    <w:rsid w:val="00B00A7A"/>
    <w:rsid w:val="00B0184B"/>
    <w:rsid w:val="00B028D9"/>
    <w:rsid w:val="00B034A3"/>
    <w:rsid w:val="00B035CD"/>
    <w:rsid w:val="00B0769D"/>
    <w:rsid w:val="00B1230C"/>
    <w:rsid w:val="00B12501"/>
    <w:rsid w:val="00B217F8"/>
    <w:rsid w:val="00B238EB"/>
    <w:rsid w:val="00B332EA"/>
    <w:rsid w:val="00B35EC0"/>
    <w:rsid w:val="00B375E4"/>
    <w:rsid w:val="00B40A53"/>
    <w:rsid w:val="00B45365"/>
    <w:rsid w:val="00B46A65"/>
    <w:rsid w:val="00B53975"/>
    <w:rsid w:val="00B56A7B"/>
    <w:rsid w:val="00B60184"/>
    <w:rsid w:val="00B61EBD"/>
    <w:rsid w:val="00B627CD"/>
    <w:rsid w:val="00B62D20"/>
    <w:rsid w:val="00B64234"/>
    <w:rsid w:val="00B6527A"/>
    <w:rsid w:val="00B660CA"/>
    <w:rsid w:val="00B8147C"/>
    <w:rsid w:val="00B81E75"/>
    <w:rsid w:val="00B82478"/>
    <w:rsid w:val="00B937A0"/>
    <w:rsid w:val="00B95C23"/>
    <w:rsid w:val="00BB5333"/>
    <w:rsid w:val="00BB7D83"/>
    <w:rsid w:val="00BB7F19"/>
    <w:rsid w:val="00BC072C"/>
    <w:rsid w:val="00BC4BD5"/>
    <w:rsid w:val="00BD1A5A"/>
    <w:rsid w:val="00BD3339"/>
    <w:rsid w:val="00BD7A9B"/>
    <w:rsid w:val="00BD7BE1"/>
    <w:rsid w:val="00BF385B"/>
    <w:rsid w:val="00BF3E02"/>
    <w:rsid w:val="00BF416B"/>
    <w:rsid w:val="00C03FF8"/>
    <w:rsid w:val="00C07F0A"/>
    <w:rsid w:val="00C1600E"/>
    <w:rsid w:val="00C34902"/>
    <w:rsid w:val="00C35543"/>
    <w:rsid w:val="00C41C94"/>
    <w:rsid w:val="00C50DA9"/>
    <w:rsid w:val="00C55E62"/>
    <w:rsid w:val="00C57AE3"/>
    <w:rsid w:val="00C61719"/>
    <w:rsid w:val="00C618C5"/>
    <w:rsid w:val="00C64E4E"/>
    <w:rsid w:val="00C6516F"/>
    <w:rsid w:val="00C66E64"/>
    <w:rsid w:val="00C761A0"/>
    <w:rsid w:val="00C80BB7"/>
    <w:rsid w:val="00C85F7E"/>
    <w:rsid w:val="00C90D53"/>
    <w:rsid w:val="00C9110D"/>
    <w:rsid w:val="00C92E8B"/>
    <w:rsid w:val="00CA0B2E"/>
    <w:rsid w:val="00CA5446"/>
    <w:rsid w:val="00CB4182"/>
    <w:rsid w:val="00CB5087"/>
    <w:rsid w:val="00CD47F0"/>
    <w:rsid w:val="00CD4B5D"/>
    <w:rsid w:val="00CD5566"/>
    <w:rsid w:val="00CD64D7"/>
    <w:rsid w:val="00CD6586"/>
    <w:rsid w:val="00CE044E"/>
    <w:rsid w:val="00CE0561"/>
    <w:rsid w:val="00CE3089"/>
    <w:rsid w:val="00CE46A8"/>
    <w:rsid w:val="00CE4ABD"/>
    <w:rsid w:val="00CE4F2C"/>
    <w:rsid w:val="00CE6A68"/>
    <w:rsid w:val="00CE6F22"/>
    <w:rsid w:val="00CF41F6"/>
    <w:rsid w:val="00CF7D3E"/>
    <w:rsid w:val="00D020C0"/>
    <w:rsid w:val="00D02B4E"/>
    <w:rsid w:val="00D04F8A"/>
    <w:rsid w:val="00D07469"/>
    <w:rsid w:val="00D159D7"/>
    <w:rsid w:val="00D20BE0"/>
    <w:rsid w:val="00D21F11"/>
    <w:rsid w:val="00D23BBB"/>
    <w:rsid w:val="00D243FD"/>
    <w:rsid w:val="00D34F4D"/>
    <w:rsid w:val="00D36817"/>
    <w:rsid w:val="00D43C0A"/>
    <w:rsid w:val="00D44AC1"/>
    <w:rsid w:val="00D453EE"/>
    <w:rsid w:val="00D5666C"/>
    <w:rsid w:val="00D56CE9"/>
    <w:rsid w:val="00D666BC"/>
    <w:rsid w:val="00D72D0A"/>
    <w:rsid w:val="00D83542"/>
    <w:rsid w:val="00D84AB4"/>
    <w:rsid w:val="00D84EEF"/>
    <w:rsid w:val="00D85C35"/>
    <w:rsid w:val="00D8651D"/>
    <w:rsid w:val="00D87E16"/>
    <w:rsid w:val="00D9259B"/>
    <w:rsid w:val="00D92F45"/>
    <w:rsid w:val="00D945C0"/>
    <w:rsid w:val="00D94637"/>
    <w:rsid w:val="00D9725C"/>
    <w:rsid w:val="00DA32A7"/>
    <w:rsid w:val="00DA7006"/>
    <w:rsid w:val="00DB5EA2"/>
    <w:rsid w:val="00DC2816"/>
    <w:rsid w:val="00DC6427"/>
    <w:rsid w:val="00DD2B3B"/>
    <w:rsid w:val="00DD3632"/>
    <w:rsid w:val="00DD66A1"/>
    <w:rsid w:val="00DE196D"/>
    <w:rsid w:val="00DE55DC"/>
    <w:rsid w:val="00DF626F"/>
    <w:rsid w:val="00DF6B49"/>
    <w:rsid w:val="00E04BEC"/>
    <w:rsid w:val="00E067C5"/>
    <w:rsid w:val="00E265BF"/>
    <w:rsid w:val="00E310B6"/>
    <w:rsid w:val="00E32B40"/>
    <w:rsid w:val="00E378D8"/>
    <w:rsid w:val="00E43A12"/>
    <w:rsid w:val="00E4503F"/>
    <w:rsid w:val="00E456D6"/>
    <w:rsid w:val="00E53245"/>
    <w:rsid w:val="00E53AF2"/>
    <w:rsid w:val="00E544CF"/>
    <w:rsid w:val="00E558E8"/>
    <w:rsid w:val="00E563D0"/>
    <w:rsid w:val="00E63EE5"/>
    <w:rsid w:val="00E67C67"/>
    <w:rsid w:val="00E7030C"/>
    <w:rsid w:val="00E7101E"/>
    <w:rsid w:val="00E77241"/>
    <w:rsid w:val="00E77476"/>
    <w:rsid w:val="00E81E05"/>
    <w:rsid w:val="00E8228B"/>
    <w:rsid w:val="00E82FE7"/>
    <w:rsid w:val="00E90987"/>
    <w:rsid w:val="00E928EB"/>
    <w:rsid w:val="00E97449"/>
    <w:rsid w:val="00EA2A62"/>
    <w:rsid w:val="00EB49A5"/>
    <w:rsid w:val="00EC26EC"/>
    <w:rsid w:val="00EC42E8"/>
    <w:rsid w:val="00EC7B29"/>
    <w:rsid w:val="00ED0B7A"/>
    <w:rsid w:val="00EE5706"/>
    <w:rsid w:val="00EF373D"/>
    <w:rsid w:val="00EF73BC"/>
    <w:rsid w:val="00F004FE"/>
    <w:rsid w:val="00F05D97"/>
    <w:rsid w:val="00F11595"/>
    <w:rsid w:val="00F13BC9"/>
    <w:rsid w:val="00F25272"/>
    <w:rsid w:val="00F252AF"/>
    <w:rsid w:val="00F32CDF"/>
    <w:rsid w:val="00F32E35"/>
    <w:rsid w:val="00F357B2"/>
    <w:rsid w:val="00F36556"/>
    <w:rsid w:val="00F42DBE"/>
    <w:rsid w:val="00F46F89"/>
    <w:rsid w:val="00F473A4"/>
    <w:rsid w:val="00F55D58"/>
    <w:rsid w:val="00F57C42"/>
    <w:rsid w:val="00F63A7D"/>
    <w:rsid w:val="00F64030"/>
    <w:rsid w:val="00F66BBA"/>
    <w:rsid w:val="00F66E52"/>
    <w:rsid w:val="00F705DF"/>
    <w:rsid w:val="00F70622"/>
    <w:rsid w:val="00F73C0C"/>
    <w:rsid w:val="00F8370D"/>
    <w:rsid w:val="00F8480C"/>
    <w:rsid w:val="00F85624"/>
    <w:rsid w:val="00F85696"/>
    <w:rsid w:val="00F87C05"/>
    <w:rsid w:val="00F91430"/>
    <w:rsid w:val="00F92382"/>
    <w:rsid w:val="00F93191"/>
    <w:rsid w:val="00F93A17"/>
    <w:rsid w:val="00F94FFA"/>
    <w:rsid w:val="00FA2AF6"/>
    <w:rsid w:val="00FB073D"/>
    <w:rsid w:val="00FB771F"/>
    <w:rsid w:val="00FC5386"/>
    <w:rsid w:val="00FC6B75"/>
    <w:rsid w:val="00FD47BA"/>
    <w:rsid w:val="00FD78FF"/>
    <w:rsid w:val="00FE01D1"/>
    <w:rsid w:val="00FE606E"/>
    <w:rsid w:val="00FE6097"/>
    <w:rsid w:val="00FF4AC8"/>
    <w:rsid w:val="00FF60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0B62E5F"/>
  <w15:docId w15:val="{5801A289-3D33-48A9-BF0F-0742B73E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uiPriority w:val="2"/>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uiPriority w:val="39"/>
    <w:rsid w:val="006C36CD"/>
  </w:style>
  <w:style w:type="paragraph" w:styleId="TOC2">
    <w:name w:val="toc 2"/>
    <w:basedOn w:val="TOC1"/>
    <w:uiPriority w:val="39"/>
    <w:qFormat/>
    <w:rsid w:val="006C36CD"/>
    <w:pPr>
      <w:spacing w:before="160"/>
    </w:pPr>
  </w:style>
  <w:style w:type="paragraph" w:styleId="TOC1">
    <w:name w:val="toc 1"/>
    <w:basedOn w:val="Normal"/>
    <w:uiPriority w:val="39"/>
    <w:qFormat/>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超?级链,하이퍼링크2,하이퍼링크21,CEO_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uiPriority w:val="99"/>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aliases w:val="List Paragraph1,Recommendation,List Paragraph11,Bullet List,FooterText,numbered,Paragraphe de liste1,Bulletr List Paragraph,Bullet 1,Numbered Para 1,Dot pt,No Spacing1,List Paragraph Char Char Char,Indicator Text,Bullet Points,titre"/>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enumlev1Char">
    <w:name w:val="enumlev1 Char"/>
    <w:basedOn w:val="DefaultParagraphFont"/>
    <w:link w:val="enumlev1"/>
    <w:locked/>
    <w:rsid w:val="0085433F"/>
    <w:rPr>
      <w:rFonts w:ascii="Calibri" w:hAnsi="Calibri"/>
      <w:sz w:val="24"/>
      <w:lang w:val="en-GB" w:eastAsia="en-US"/>
    </w:rPr>
  </w:style>
  <w:style w:type="character" w:customStyle="1" w:styleId="TabletextChar">
    <w:name w:val="Table_text Char"/>
    <w:link w:val="Tabletext"/>
    <w:locked/>
    <w:rsid w:val="0085433F"/>
    <w:rPr>
      <w:rFonts w:ascii="Calibri" w:hAnsi="Calibri"/>
      <w:sz w:val="22"/>
      <w:lang w:val="en-GB" w:eastAsia="en-US"/>
    </w:rPr>
  </w:style>
  <w:style w:type="paragraph" w:customStyle="1" w:styleId="firstfooter0">
    <w:name w:val="firstfooter"/>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85433F"/>
    <w:pPr>
      <w:keepNext/>
      <w:overflowPunct/>
      <w:autoSpaceDE/>
      <w:autoSpaceDN/>
      <w:adjustRightInd/>
      <w:spacing w:before="560" w:after="120"/>
      <w:jc w:val="center"/>
      <w:textAlignment w:val="auto"/>
    </w:pPr>
    <w:rPr>
      <w:rFonts w:ascii="Times New Roman" w:hAnsi="Times New Roman"/>
      <w:caps/>
    </w:rPr>
  </w:style>
  <w:style w:type="character" w:customStyle="1" w:styleId="Heading3Char">
    <w:name w:val="Heading 3 Char"/>
    <w:link w:val="Heading3"/>
    <w:uiPriority w:val="2"/>
    <w:rsid w:val="0085433F"/>
    <w:rPr>
      <w:rFonts w:ascii="Calibri" w:hAnsi="Calibri"/>
      <w:b/>
      <w:i/>
      <w:sz w:val="24"/>
      <w:lang w:val="en-GB" w:eastAsia="en-US"/>
    </w:rPr>
  </w:style>
  <w:style w:type="character" w:customStyle="1" w:styleId="Heading4Char">
    <w:name w:val="Heading 4 Char"/>
    <w:link w:val="Heading4"/>
    <w:rsid w:val="0085433F"/>
    <w:rPr>
      <w:rFonts w:ascii="Calibri" w:hAnsi="Calibri"/>
      <w:i/>
      <w:sz w:val="24"/>
      <w:lang w:val="en-GB" w:eastAsia="en-US"/>
    </w:rPr>
  </w:style>
  <w:style w:type="character" w:customStyle="1" w:styleId="Heading5Char">
    <w:name w:val="Heading 5 Char"/>
    <w:link w:val="Heading5"/>
    <w:rsid w:val="0085433F"/>
    <w:rPr>
      <w:rFonts w:ascii="Calibri" w:hAnsi="Calibri"/>
      <w:i/>
      <w:sz w:val="24"/>
      <w:lang w:val="en-GB" w:eastAsia="en-US"/>
    </w:rPr>
  </w:style>
  <w:style w:type="character" w:customStyle="1" w:styleId="Heading6Char">
    <w:name w:val="Heading 6 Char"/>
    <w:link w:val="Heading6"/>
    <w:rsid w:val="0085433F"/>
    <w:rPr>
      <w:rFonts w:ascii="Calibri" w:hAnsi="Calibri"/>
      <w:i/>
      <w:sz w:val="24"/>
      <w:lang w:val="en-GB" w:eastAsia="en-US"/>
    </w:rPr>
  </w:style>
  <w:style w:type="character" w:customStyle="1" w:styleId="Heading7Char">
    <w:name w:val="Heading 7 Char"/>
    <w:link w:val="Heading7"/>
    <w:rsid w:val="0085433F"/>
    <w:rPr>
      <w:rFonts w:ascii="Calibri" w:hAnsi="Calibri"/>
      <w:i/>
      <w:sz w:val="24"/>
      <w:lang w:val="en-GB" w:eastAsia="en-US"/>
    </w:rPr>
  </w:style>
  <w:style w:type="character" w:customStyle="1" w:styleId="Heading8Char">
    <w:name w:val="Heading 8 Char"/>
    <w:link w:val="Heading8"/>
    <w:rsid w:val="0085433F"/>
    <w:rPr>
      <w:rFonts w:ascii="Calibri" w:hAnsi="Calibri"/>
      <w:i/>
      <w:sz w:val="24"/>
      <w:lang w:val="en-GB" w:eastAsia="en-US"/>
    </w:rPr>
  </w:style>
  <w:style w:type="character" w:customStyle="1" w:styleId="Heading9Char">
    <w:name w:val="Heading 9 Char"/>
    <w:link w:val="Heading9"/>
    <w:rsid w:val="0085433F"/>
    <w:rPr>
      <w:rFonts w:ascii="Calibri" w:hAnsi="Calibri"/>
      <w:i/>
      <w:sz w:val="24"/>
      <w:lang w:val="en-GB" w:eastAsia="en-US"/>
    </w:rPr>
  </w:style>
  <w:style w:type="character" w:customStyle="1" w:styleId="HeaderChar">
    <w:name w:val="Header Char"/>
    <w:link w:val="Header"/>
    <w:uiPriority w:val="99"/>
    <w:rsid w:val="0085433F"/>
    <w:rPr>
      <w:rFonts w:ascii="Calibri" w:hAnsi="Calibri"/>
      <w:sz w:val="18"/>
      <w:lang w:val="fr-FR" w:eastAsia="en-US"/>
    </w:rPr>
  </w:style>
  <w:style w:type="paragraph" w:styleId="NormalWeb">
    <w:name w:val="Normal (Web)"/>
    <w:basedOn w:val="Normal"/>
    <w:uiPriority w:val="99"/>
    <w:unhideWhenUsed/>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TableText0">
    <w:name w:val="Table_Text"/>
    <w:basedOn w:val="Normal"/>
    <w:rsid w:val="008543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sz w:val="22"/>
      <w:lang w:val="fr-FR"/>
    </w:rPr>
  </w:style>
  <w:style w:type="paragraph" w:customStyle="1" w:styleId="TableHead0">
    <w:name w:val="Table_Head"/>
    <w:basedOn w:val="TableText0"/>
    <w:rsid w:val="0085433F"/>
    <w:pPr>
      <w:keepNext/>
      <w:spacing w:before="480" w:after="0"/>
      <w:jc w:val="center"/>
    </w:pPr>
    <w:rPr>
      <w:b/>
    </w:rPr>
  </w:style>
  <w:style w:type="paragraph" w:styleId="BalloonText">
    <w:name w:val="Balloon Text"/>
    <w:basedOn w:val="Normal"/>
    <w:link w:val="BalloonTextChar"/>
    <w:uiPriority w:val="99"/>
    <w:unhideWhenUsed/>
    <w:rsid w:val="0085433F"/>
    <w:pPr>
      <w:widowControl w:val="0"/>
      <w:tabs>
        <w:tab w:val="clear" w:pos="794"/>
        <w:tab w:val="clear" w:pos="1191"/>
        <w:tab w:val="clear" w:pos="1588"/>
        <w:tab w:val="clear" w:pos="1985"/>
      </w:tabs>
      <w:kinsoku w:val="0"/>
      <w:overflowPunct/>
      <w:autoSpaceDE/>
      <w:autoSpaceDN/>
      <w:adjustRightInd/>
      <w:spacing w:before="0"/>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85433F"/>
    <w:rPr>
      <w:rFonts w:ascii="Tahoma" w:hAnsi="Tahoma" w:cs="Tahoma"/>
      <w:sz w:val="16"/>
      <w:szCs w:val="16"/>
    </w:rPr>
  </w:style>
  <w:style w:type="paragraph" w:styleId="BodyTextIndent">
    <w:name w:val="Body Text Indent"/>
    <w:basedOn w:val="Normal"/>
    <w:link w:val="BodyTextIndentChar"/>
    <w:rsid w:val="0085433F"/>
    <w:pPr>
      <w:tabs>
        <w:tab w:val="clear" w:pos="794"/>
        <w:tab w:val="clear" w:pos="1191"/>
        <w:tab w:val="clear" w:pos="1588"/>
        <w:tab w:val="clear" w:pos="1985"/>
        <w:tab w:val="left" w:pos="0"/>
        <w:tab w:val="left" w:pos="851"/>
        <w:tab w:val="left" w:pos="1134"/>
      </w:tabs>
      <w:spacing w:before="80" w:line="0" w:lineRule="atLeast"/>
      <w:ind w:left="1134" w:hanging="283"/>
    </w:pPr>
    <w:rPr>
      <w:rFonts w:ascii="Times New Roman" w:hAnsi="Times New Roman"/>
      <w:lang w:val="fr-FR"/>
    </w:rPr>
  </w:style>
  <w:style w:type="character" w:customStyle="1" w:styleId="BodyTextIndentChar">
    <w:name w:val="Body Text Indent Char"/>
    <w:basedOn w:val="DefaultParagraphFont"/>
    <w:link w:val="BodyTextIndent"/>
    <w:rsid w:val="0085433F"/>
    <w:rPr>
      <w:rFonts w:ascii="Times New Roman" w:hAnsi="Times New Roman"/>
      <w:sz w:val="24"/>
      <w:lang w:val="fr-FR" w:eastAsia="en-US"/>
    </w:rPr>
  </w:style>
  <w:style w:type="paragraph" w:styleId="BodyText3">
    <w:name w:val="Body Text 3"/>
    <w:basedOn w:val="Normal"/>
    <w:link w:val="BodyText3Char"/>
    <w:uiPriority w:val="99"/>
    <w:unhideWhenUsed/>
    <w:rsid w:val="0085433F"/>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sz w:val="16"/>
      <w:szCs w:val="16"/>
      <w:lang w:val="en-US" w:eastAsia="zh-CN"/>
    </w:rPr>
  </w:style>
  <w:style w:type="character" w:customStyle="1" w:styleId="BodyText3Char">
    <w:name w:val="Body Text 3 Char"/>
    <w:basedOn w:val="DefaultParagraphFont"/>
    <w:link w:val="BodyText3"/>
    <w:uiPriority w:val="99"/>
    <w:rsid w:val="0085433F"/>
    <w:rPr>
      <w:rFonts w:ascii="Times New Roman" w:hAnsi="Times New Roman"/>
      <w:sz w:val="16"/>
      <w:szCs w:val="16"/>
    </w:rPr>
  </w:style>
  <w:style w:type="character" w:styleId="Strong">
    <w:name w:val="Strong"/>
    <w:uiPriority w:val="22"/>
    <w:qFormat/>
    <w:rsid w:val="0085433F"/>
    <w:rPr>
      <w:b/>
      <w:bCs/>
    </w:rPr>
  </w:style>
  <w:style w:type="character" w:styleId="CommentReference">
    <w:name w:val="annotation reference"/>
    <w:uiPriority w:val="99"/>
    <w:unhideWhenUsed/>
    <w:rsid w:val="0085433F"/>
    <w:rPr>
      <w:sz w:val="16"/>
      <w:szCs w:val="16"/>
    </w:rPr>
  </w:style>
  <w:style w:type="paragraph" w:styleId="CommentText">
    <w:name w:val="annotation text"/>
    <w:basedOn w:val="Normal"/>
    <w:link w:val="CommentTextChar"/>
    <w:uiPriority w:val="99"/>
    <w:unhideWhenUsed/>
    <w:rsid w:val="0085433F"/>
    <w:pPr>
      <w:tabs>
        <w:tab w:val="clear" w:pos="794"/>
        <w:tab w:val="clear" w:pos="1191"/>
        <w:tab w:val="clear" w:pos="1588"/>
        <w:tab w:val="clear" w:pos="1985"/>
      </w:tabs>
      <w:overflowPunct/>
      <w:autoSpaceDE/>
      <w:autoSpaceDN/>
      <w:adjustRightInd/>
      <w:spacing w:before="0"/>
      <w:textAlignment w:val="auto"/>
    </w:pPr>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85433F"/>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85433F"/>
    <w:rPr>
      <w:bCs/>
    </w:rPr>
  </w:style>
  <w:style w:type="character" w:customStyle="1" w:styleId="CommentSubjectChar">
    <w:name w:val="Comment Subject Char"/>
    <w:basedOn w:val="CommentTextChar"/>
    <w:link w:val="CommentSubject"/>
    <w:uiPriority w:val="99"/>
    <w:rsid w:val="0085433F"/>
    <w:rPr>
      <w:rFonts w:ascii="Times New Roman" w:hAnsi="Times New Roman" w:cs="Arial"/>
      <w:b/>
      <w:bCs/>
      <w:lang w:val="fr-FR" w:eastAsia="fr-FR"/>
    </w:rPr>
  </w:style>
  <w:style w:type="paragraph" w:styleId="Revision">
    <w:name w:val="Revision"/>
    <w:hidden/>
    <w:uiPriority w:val="99"/>
    <w:semiHidden/>
    <w:rsid w:val="0085433F"/>
    <w:rPr>
      <w:rFonts w:ascii="Times New Roman" w:hAnsi="Times New Roman"/>
      <w:sz w:val="24"/>
      <w:szCs w:val="24"/>
    </w:rPr>
  </w:style>
  <w:style w:type="paragraph" w:styleId="Caption">
    <w:name w:val="caption"/>
    <w:basedOn w:val="Normal"/>
    <w:next w:val="Normal"/>
    <w:uiPriority w:val="35"/>
    <w:unhideWhenUsed/>
    <w:qFormat/>
    <w:rsid w:val="0085433F"/>
    <w:pPr>
      <w:widowControl w:val="0"/>
      <w:tabs>
        <w:tab w:val="clear" w:pos="794"/>
        <w:tab w:val="clear" w:pos="1191"/>
        <w:tab w:val="clear" w:pos="1588"/>
        <w:tab w:val="clear" w:pos="198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styleId="NoSpacing">
    <w:name w:val="No Spacing"/>
    <w:uiPriority w:val="1"/>
    <w:qFormat/>
    <w:rsid w:val="0085433F"/>
    <w:pPr>
      <w:spacing w:before="120" w:after="120" w:line="288" w:lineRule="auto"/>
    </w:pPr>
    <w:rPr>
      <w:rFonts w:ascii="Arial" w:eastAsiaTheme="minorEastAsia" w:hAnsi="Arial" w:cs="Arial"/>
      <w:szCs w:val="24"/>
      <w:lang w:val="fr-FR" w:eastAsia="fr-FR"/>
    </w:rPr>
  </w:style>
  <w:style w:type="paragraph" w:customStyle="1" w:styleId="headingb0">
    <w:name w:val="heading_b"/>
    <w:basedOn w:val="Heading3"/>
    <w:next w:val="Normal"/>
    <w:link w:val="headingbChar"/>
    <w:uiPriority w:val="99"/>
    <w:rsid w:val="0085433F"/>
    <w:pPr>
      <w:tabs>
        <w:tab w:val="clear" w:pos="1191"/>
        <w:tab w:val="clear" w:pos="1588"/>
        <w:tab w:val="clear" w:pos="1985"/>
        <w:tab w:val="left" w:pos="2127"/>
        <w:tab w:val="left" w:pos="2410"/>
        <w:tab w:val="left" w:pos="2921"/>
        <w:tab w:val="left" w:pos="3261"/>
      </w:tabs>
      <w:spacing w:before="160"/>
      <w:outlineLvl w:val="9"/>
    </w:pPr>
    <w:rPr>
      <w:rFonts w:ascii="Times New Roman" w:hAnsi="Times New Roman"/>
      <w:i w:val="0"/>
      <w:lang w:val="fr-FR"/>
    </w:rPr>
  </w:style>
  <w:style w:type="paragraph" w:customStyle="1" w:styleId="font5">
    <w:name w:val="font5"/>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65">
    <w:name w:val="xl65"/>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xl66">
    <w:name w:val="xl66"/>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67">
    <w:name w:val="xl67"/>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68">
    <w:name w:val="xl68"/>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sz w:val="22"/>
      <w:szCs w:val="22"/>
      <w:lang w:val="en-US" w:eastAsia="zh-CN"/>
    </w:rPr>
  </w:style>
  <w:style w:type="paragraph" w:customStyle="1" w:styleId="xl69">
    <w:name w:val="xl69"/>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0">
    <w:name w:val="xl70"/>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1">
    <w:name w:val="xl71"/>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cs="Calibri"/>
      <w:sz w:val="22"/>
      <w:szCs w:val="22"/>
      <w:lang w:val="en-US" w:eastAsia="zh-CN"/>
    </w:rPr>
  </w:style>
  <w:style w:type="paragraph" w:customStyle="1" w:styleId="xl72">
    <w:name w:val="xl72"/>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3">
    <w:name w:val="xl73"/>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sz w:val="22"/>
      <w:szCs w:val="22"/>
      <w:lang w:val="en-US" w:eastAsia="zh-CN"/>
    </w:rPr>
  </w:style>
  <w:style w:type="paragraph" w:customStyle="1" w:styleId="xl74">
    <w:name w:val="xl74"/>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b/>
      <w:bCs/>
      <w:sz w:val="22"/>
      <w:szCs w:val="22"/>
      <w:lang w:val="en-US" w:eastAsia="zh-CN"/>
    </w:rPr>
  </w:style>
  <w:style w:type="paragraph" w:customStyle="1" w:styleId="xl75">
    <w:name w:val="xl75"/>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b/>
      <w:bCs/>
      <w:sz w:val="22"/>
      <w:szCs w:val="22"/>
      <w:lang w:val="en-US" w:eastAsia="zh-CN"/>
    </w:rPr>
  </w:style>
  <w:style w:type="paragraph" w:customStyle="1" w:styleId="xl76">
    <w:name w:val="xl76"/>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77">
    <w:name w:val="xl77"/>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78">
    <w:name w:val="xl78"/>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79">
    <w:name w:val="xl79"/>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0">
    <w:name w:val="xl80"/>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1">
    <w:name w:val="xl81"/>
    <w:basedOn w:val="Normal"/>
    <w:rsid w:val="0085433F"/>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2">
    <w:name w:val="xl82"/>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cs="Calibri"/>
      <w:color w:val="000000"/>
      <w:sz w:val="22"/>
      <w:szCs w:val="22"/>
      <w:lang w:val="en-US" w:eastAsia="zh-CN"/>
    </w:rPr>
  </w:style>
  <w:style w:type="paragraph" w:customStyle="1" w:styleId="xl83">
    <w:name w:val="xl83"/>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4">
    <w:name w:val="xl84"/>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5">
    <w:name w:val="xl85"/>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b/>
      <w:bCs/>
      <w:color w:val="000000"/>
      <w:sz w:val="22"/>
      <w:szCs w:val="22"/>
      <w:lang w:val="en-US" w:eastAsia="zh-CN"/>
    </w:rPr>
  </w:style>
  <w:style w:type="paragraph" w:customStyle="1" w:styleId="xl86">
    <w:name w:val="xl86"/>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b/>
      <w:bCs/>
      <w:color w:val="000000"/>
      <w:sz w:val="22"/>
      <w:szCs w:val="22"/>
      <w:lang w:val="en-US" w:eastAsia="zh-CN"/>
    </w:rPr>
  </w:style>
  <w:style w:type="paragraph" w:customStyle="1" w:styleId="xl87">
    <w:name w:val="xl87"/>
    <w:basedOn w:val="Normal"/>
    <w:rsid w:val="0085433F"/>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88">
    <w:name w:val="xl88"/>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89">
    <w:name w:val="xl89"/>
    <w:basedOn w:val="Normal"/>
    <w:rsid w:val="0085433F"/>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0">
    <w:name w:val="xl90"/>
    <w:basedOn w:val="Normal"/>
    <w:rsid w:val="0085433F"/>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cs="Calibri"/>
      <w:color w:val="000000"/>
      <w:sz w:val="22"/>
      <w:szCs w:val="22"/>
      <w:lang w:val="en-US" w:eastAsia="zh-CN"/>
    </w:rPr>
  </w:style>
  <w:style w:type="paragraph" w:customStyle="1" w:styleId="xl91">
    <w:name w:val="xl91"/>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2">
    <w:name w:val="xl92"/>
    <w:basedOn w:val="Normal"/>
    <w:rsid w:val="0085433F"/>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2"/>
      <w:szCs w:val="22"/>
      <w:lang w:val="en-US" w:eastAsia="zh-CN"/>
    </w:rPr>
  </w:style>
  <w:style w:type="paragraph" w:customStyle="1" w:styleId="xl93">
    <w:name w:val="xl93"/>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cs="Calibri"/>
      <w:color w:val="000000"/>
      <w:sz w:val="20"/>
      <w:lang w:val="en-US" w:eastAsia="zh-CN"/>
    </w:rPr>
  </w:style>
  <w:style w:type="paragraph" w:styleId="Title">
    <w:name w:val="Title"/>
    <w:basedOn w:val="Normal"/>
    <w:link w:val="TitleChar"/>
    <w:qFormat/>
    <w:rsid w:val="0085433F"/>
    <w:pPr>
      <w:tabs>
        <w:tab w:val="clear" w:pos="794"/>
        <w:tab w:val="clear" w:pos="1191"/>
        <w:tab w:val="clear" w:pos="1588"/>
        <w:tab w:val="clear" w:pos="1985"/>
      </w:tabs>
      <w:overflowPunct/>
      <w:autoSpaceDE/>
      <w:autoSpaceDN/>
      <w:adjustRightInd/>
      <w:spacing w:before="0"/>
      <w:jc w:val="center"/>
      <w:textAlignment w:val="auto"/>
    </w:pPr>
    <w:rPr>
      <w:rFonts w:ascii="Arial" w:hAnsi="Arial"/>
      <w:b/>
      <w:bCs/>
      <w:sz w:val="22"/>
      <w:szCs w:val="24"/>
      <w:lang w:eastAsia="zh-CN"/>
    </w:rPr>
  </w:style>
  <w:style w:type="character" w:customStyle="1" w:styleId="TitleChar">
    <w:name w:val="Title Char"/>
    <w:basedOn w:val="DefaultParagraphFont"/>
    <w:link w:val="Title"/>
    <w:rsid w:val="0085433F"/>
    <w:rPr>
      <w:rFonts w:ascii="Arial" w:hAnsi="Arial"/>
      <w:b/>
      <w:bCs/>
      <w:sz w:val="22"/>
      <w:szCs w:val="24"/>
      <w:lang w:val="en-GB"/>
    </w:rPr>
  </w:style>
  <w:style w:type="paragraph" w:styleId="BlockText">
    <w:name w:val="Block Text"/>
    <w:basedOn w:val="Normal"/>
    <w:rsid w:val="0085433F"/>
    <w:pPr>
      <w:tabs>
        <w:tab w:val="clear" w:pos="794"/>
        <w:tab w:val="clear" w:pos="1191"/>
        <w:tab w:val="clear" w:pos="1588"/>
        <w:tab w:val="clear" w:pos="1985"/>
      </w:tabs>
      <w:overflowPunct/>
      <w:autoSpaceDE/>
      <w:autoSpaceDN/>
      <w:adjustRightInd/>
      <w:spacing w:before="0"/>
      <w:ind w:left="567" w:right="566"/>
      <w:textAlignment w:val="auto"/>
    </w:pPr>
    <w:rPr>
      <w:rFonts w:ascii="Univers" w:hAnsi="Univers"/>
      <w:sz w:val="21"/>
      <w:szCs w:val="21"/>
    </w:rPr>
  </w:style>
  <w:style w:type="character" w:styleId="Emphasis">
    <w:name w:val="Emphasis"/>
    <w:basedOn w:val="DefaultParagraphFont"/>
    <w:uiPriority w:val="20"/>
    <w:qFormat/>
    <w:rsid w:val="0085433F"/>
    <w:rPr>
      <w:i/>
      <w:iCs/>
    </w:rPr>
  </w:style>
  <w:style w:type="paragraph" w:customStyle="1" w:styleId="Default">
    <w:name w:val="Default"/>
    <w:rsid w:val="0085433F"/>
    <w:pPr>
      <w:autoSpaceDE w:val="0"/>
      <w:autoSpaceDN w:val="0"/>
      <w:adjustRightInd w:val="0"/>
    </w:pPr>
    <w:rPr>
      <w:rFonts w:ascii="Calibri" w:eastAsiaTheme="minorEastAsia" w:hAnsi="Calibri" w:cs="Calibri"/>
      <w:color w:val="000000"/>
      <w:sz w:val="24"/>
      <w:szCs w:val="24"/>
    </w:rPr>
  </w:style>
  <w:style w:type="character" w:customStyle="1" w:styleId="intro">
    <w:name w:val="intro"/>
    <w:basedOn w:val="DefaultParagraphFont"/>
    <w:rsid w:val="0085433F"/>
  </w:style>
  <w:style w:type="character" w:customStyle="1" w:styleId="ms-rtefontsize-2">
    <w:name w:val="ms-rtefontsize-2"/>
    <w:basedOn w:val="DefaultParagraphFont"/>
    <w:rsid w:val="0085433F"/>
  </w:style>
  <w:style w:type="paragraph" w:styleId="Date">
    <w:name w:val="Date"/>
    <w:basedOn w:val="Normal"/>
    <w:next w:val="Normal"/>
    <w:link w:val="DateChar"/>
    <w:rsid w:val="0085433F"/>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DateChar">
    <w:name w:val="Date Char"/>
    <w:basedOn w:val="DefaultParagraphFont"/>
    <w:link w:val="Date"/>
    <w:rsid w:val="0085433F"/>
    <w:rPr>
      <w:rFonts w:ascii="Calibri" w:hAnsi="Calibri"/>
      <w:sz w:val="24"/>
      <w:lang w:val="en-GB" w:eastAsia="en-US"/>
    </w:rPr>
  </w:style>
  <w:style w:type="paragraph" w:customStyle="1" w:styleId="elencopuntato1">
    <w:name w:val="elenco puntato 1"/>
    <w:basedOn w:val="ListParagraph"/>
    <w:qFormat/>
    <w:rsid w:val="0085433F"/>
    <w:pPr>
      <w:numPr>
        <w:numId w:val="9"/>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85433F"/>
    <w:pPr>
      <w:numPr>
        <w:numId w:val="8"/>
      </w:numPr>
      <w:tabs>
        <w:tab w:val="num" w:pos="360"/>
      </w:tabs>
      <w:ind w:left="284" w:hanging="284"/>
    </w:pPr>
  </w:style>
  <w:style w:type="paragraph" w:customStyle="1" w:styleId="Pa8">
    <w:name w:val="Pa8"/>
    <w:basedOn w:val="Default"/>
    <w:next w:val="Default"/>
    <w:uiPriority w:val="99"/>
    <w:rsid w:val="0085433F"/>
    <w:pPr>
      <w:spacing w:line="191" w:lineRule="atLeast"/>
    </w:pPr>
    <w:rPr>
      <w:rFonts w:ascii="Avenir Next LT Pro" w:hAnsi="Avenir Next LT Pro" w:cs="Times New Roman"/>
      <w:color w:val="auto"/>
    </w:rPr>
  </w:style>
  <w:style w:type="paragraph" w:styleId="BodyText">
    <w:name w:val="Body Text"/>
    <w:basedOn w:val="Normal"/>
    <w:link w:val="BodyTextChar"/>
    <w:unhideWhenUsed/>
    <w:rsid w:val="0085433F"/>
    <w:pPr>
      <w:tabs>
        <w:tab w:val="clear" w:pos="794"/>
        <w:tab w:val="clear" w:pos="1191"/>
        <w:tab w:val="clear" w:pos="1588"/>
        <w:tab w:val="clear" w:pos="1985"/>
        <w:tab w:val="left" w:pos="567"/>
        <w:tab w:val="left" w:pos="1134"/>
        <w:tab w:val="left" w:pos="1701"/>
        <w:tab w:val="left" w:pos="2268"/>
        <w:tab w:val="left" w:pos="2835"/>
      </w:tabs>
      <w:spacing w:after="120"/>
    </w:pPr>
  </w:style>
  <w:style w:type="character" w:customStyle="1" w:styleId="BodyTextChar">
    <w:name w:val="Body Text Char"/>
    <w:basedOn w:val="DefaultParagraphFont"/>
    <w:link w:val="BodyText"/>
    <w:rsid w:val="0085433F"/>
    <w:rPr>
      <w:rFonts w:ascii="Calibri" w:hAnsi="Calibri"/>
      <w:sz w:val="24"/>
      <w:lang w:val="en-GB" w:eastAsia="en-US"/>
    </w:rPr>
  </w:style>
  <w:style w:type="character" w:customStyle="1" w:styleId="Style1Char">
    <w:name w:val="Style1 Char"/>
    <w:basedOn w:val="DefaultParagraphFont"/>
    <w:link w:val="Style1"/>
    <w:locked/>
    <w:rsid w:val="0085433F"/>
    <w:rPr>
      <w:rFonts w:eastAsia="DengXian"/>
      <w:b/>
      <w:iCs/>
      <w:color w:val="548DD4" w:themeColor="text2" w:themeTint="99"/>
      <w:sz w:val="24"/>
      <w:szCs w:val="24"/>
      <w:lang w:eastAsia="en-US"/>
    </w:rPr>
  </w:style>
  <w:style w:type="paragraph" w:customStyle="1" w:styleId="Style1">
    <w:name w:val="Style1"/>
    <w:basedOn w:val="Normal"/>
    <w:link w:val="Style1Char"/>
    <w:qFormat/>
    <w:rsid w:val="0085433F"/>
    <w:pPr>
      <w:keepNext/>
      <w:tabs>
        <w:tab w:val="clear" w:pos="794"/>
        <w:tab w:val="clear" w:pos="1191"/>
        <w:tab w:val="clear" w:pos="1588"/>
        <w:tab w:val="clear" w:pos="198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Cs w:val="24"/>
      <w:lang w:val="en-US"/>
    </w:rPr>
  </w:style>
  <w:style w:type="character" w:customStyle="1" w:styleId="ListParagraphChar">
    <w:name w:val="List Paragraph Char"/>
    <w:aliases w:val="List Paragraph1 Char,Recommendation Char,List Paragraph11 Char,Bullet List Char,FooterText Char,numbered Char,Paragraphe de liste1 Char,Bulletr List Paragraph Char,Bullet 1 Char,Numbered Para 1 Char,Dot pt Char,No Spacing1 Char"/>
    <w:basedOn w:val="DefaultParagraphFont"/>
    <w:link w:val="ListParagraph"/>
    <w:uiPriority w:val="34"/>
    <w:qFormat/>
    <w:rsid w:val="0085433F"/>
    <w:rPr>
      <w:rFonts w:ascii="Calibri" w:eastAsia="Times New Roman" w:hAnsi="Calibri"/>
      <w:sz w:val="24"/>
      <w:lang w:val="en-GB" w:eastAsia="en-US"/>
    </w:rPr>
  </w:style>
  <w:style w:type="character" w:customStyle="1" w:styleId="ms-rtethemefontface-1">
    <w:name w:val="ms-rtethemefontface-1"/>
    <w:basedOn w:val="DefaultParagraphFont"/>
    <w:rsid w:val="0085433F"/>
  </w:style>
  <w:style w:type="paragraph" w:customStyle="1" w:styleId="paragraph">
    <w:name w:val="paragraph"/>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normaltextrun">
    <w:name w:val="normaltextrun"/>
    <w:basedOn w:val="DefaultParagraphFont"/>
    <w:rsid w:val="0085433F"/>
  </w:style>
  <w:style w:type="character" w:customStyle="1" w:styleId="eop">
    <w:name w:val="eop"/>
    <w:basedOn w:val="DefaultParagraphFont"/>
    <w:rsid w:val="0085433F"/>
  </w:style>
  <w:style w:type="character" w:customStyle="1" w:styleId="ms-rteforecolor-2">
    <w:name w:val="ms-rteforecolor-2"/>
    <w:basedOn w:val="DefaultParagraphFont"/>
    <w:rsid w:val="0085433F"/>
  </w:style>
  <w:style w:type="table" w:customStyle="1" w:styleId="TableGrid1">
    <w:name w:val="Table Grid1"/>
    <w:basedOn w:val="TableNormal"/>
    <w:next w:val="TableGrid"/>
    <w:uiPriority w:val="39"/>
    <w:rsid w:val="0085433F"/>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10pt">
    <w:name w:val="Normal + After 10 pt"/>
    <w:basedOn w:val="Normal"/>
    <w:rsid w:val="0085433F"/>
    <w:pPr>
      <w:tabs>
        <w:tab w:val="clear" w:pos="794"/>
        <w:tab w:val="clear" w:pos="1191"/>
        <w:tab w:val="clear" w:pos="1588"/>
        <w:tab w:val="clear" w:pos="1985"/>
      </w:tabs>
      <w:overflowPunct/>
      <w:autoSpaceDE/>
      <w:autoSpaceDN/>
      <w:adjustRightInd/>
      <w:spacing w:before="0" w:after="200"/>
      <w:textAlignment w:val="auto"/>
    </w:pPr>
    <w:rPr>
      <w:rFonts w:ascii="Arial" w:hAnsi="Arial"/>
      <w:sz w:val="20"/>
      <w:szCs w:val="24"/>
      <w:lang w:eastAsia="fr-FR"/>
    </w:rPr>
  </w:style>
  <w:style w:type="table" w:styleId="GridTable4-Accent6">
    <w:name w:val="Grid Table 4 Accent 6"/>
    <w:basedOn w:val="TableNormal"/>
    <w:uiPriority w:val="49"/>
    <w:rsid w:val="0085433F"/>
    <w:rPr>
      <w:rFonts w:ascii="Times New Roman" w:eastAsiaTheme="minorEastAsia" w:hAnsi="Times New Roman"/>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Grid2">
    <w:name w:val="Table Grid2"/>
    <w:basedOn w:val="TableNormal"/>
    <w:next w:val="TableGrid"/>
    <w:uiPriority w:val="39"/>
    <w:rsid w:val="0085433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433F"/>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85433F"/>
    <w:rPr>
      <w:rFonts w:ascii="Times New Roman" w:eastAsiaTheme="minorEastAsia"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4">
    <w:name w:val="Table Grid4"/>
    <w:basedOn w:val="TableNormal"/>
    <w:next w:val="TableGrid"/>
    <w:uiPriority w:val="39"/>
    <w:rsid w:val="0085433F"/>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
    <w:uiPriority w:val="49"/>
    <w:rsid w:val="0085433F"/>
    <w:rPr>
      <w:rFonts w:ascii="Times New Roman" w:eastAsiaTheme="minorEastAsia"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5">
    <w:name w:val="Table Grid5"/>
    <w:basedOn w:val="TableNormal"/>
    <w:next w:val="TableGrid"/>
    <w:uiPriority w:val="39"/>
    <w:rsid w:val="0085433F"/>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
    <w:uiPriority w:val="49"/>
    <w:rsid w:val="0085433F"/>
    <w:rPr>
      <w:rFonts w:ascii="Times New Roman" w:eastAsiaTheme="minorEastAsia"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UnresolvedMention1">
    <w:name w:val="Unresolved Mention1"/>
    <w:basedOn w:val="DefaultParagraphFont"/>
    <w:uiPriority w:val="99"/>
    <w:semiHidden/>
    <w:unhideWhenUsed/>
    <w:rsid w:val="0085433F"/>
    <w:rPr>
      <w:color w:val="605E5C"/>
      <w:shd w:val="clear" w:color="auto" w:fill="E1DFDD"/>
    </w:rPr>
  </w:style>
  <w:style w:type="paragraph" w:customStyle="1" w:styleId="xmsonormal">
    <w:name w:val="x_msonormal"/>
    <w:basedOn w:val="Normal"/>
    <w:rsid w:val="0085433F"/>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paragraph" w:customStyle="1" w:styleId="msonormal0">
    <w:name w:val="msonormal"/>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table" w:styleId="GridTable1Light-Accent1">
    <w:name w:val="Grid Table 1 Light Accent 1"/>
    <w:basedOn w:val="TableNormal"/>
    <w:uiPriority w:val="46"/>
    <w:rsid w:val="0085433F"/>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1">
    <w:name w:val="Heading 1 Char1"/>
    <w:aliases w:val="h1 Char1,título 1 Char1,1 Char1,l1 Char1"/>
    <w:basedOn w:val="DefaultParagraphFont"/>
    <w:rsid w:val="0085433F"/>
    <w:rPr>
      <w:rFonts w:asciiTheme="majorHAnsi" w:eastAsiaTheme="majorEastAsia" w:hAnsiTheme="majorHAnsi" w:cstheme="majorBidi"/>
      <w:color w:val="365F91" w:themeColor="accent1" w:themeShade="BF"/>
      <w:sz w:val="32"/>
      <w:szCs w:val="32"/>
      <w:lang w:val="en-GB" w:eastAsia="en-US"/>
    </w:rPr>
  </w:style>
  <w:style w:type="character" w:customStyle="1" w:styleId="RestitleChar">
    <w:name w:val="Res_title Char"/>
    <w:basedOn w:val="DefaultParagraphFont"/>
    <w:link w:val="Restitle"/>
    <w:locked/>
    <w:rsid w:val="0085433F"/>
    <w:rPr>
      <w:rFonts w:ascii="Calibri" w:hAnsi="Calibri"/>
      <w:b/>
      <w:sz w:val="28"/>
      <w:lang w:val="en-GB" w:eastAsia="en-US"/>
    </w:rPr>
  </w:style>
  <w:style w:type="paragraph" w:styleId="TOCHeading">
    <w:name w:val="TOC Heading"/>
    <w:basedOn w:val="Heading1"/>
    <w:next w:val="Normal"/>
    <w:uiPriority w:val="39"/>
    <w:unhideWhenUsed/>
    <w:qFormat/>
    <w:rsid w:val="0085433F"/>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ranssent">
    <w:name w:val="transsent"/>
    <w:basedOn w:val="DefaultParagraphFont"/>
    <w:rsid w:val="0085433F"/>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basedOn w:val="DefaultParagraphFont"/>
    <w:semiHidden/>
    <w:rsid w:val="0085433F"/>
    <w:rPr>
      <w:rFonts w:ascii="Calibri" w:hAnsi="Calibri"/>
      <w:lang w:val="en-GB" w:eastAsia="en-US"/>
    </w:rPr>
  </w:style>
  <w:style w:type="paragraph" w:styleId="EndnoteText">
    <w:name w:val="endnote text"/>
    <w:basedOn w:val="Normal"/>
    <w:link w:val="EndnoteTextChar"/>
    <w:uiPriority w:val="99"/>
    <w:semiHidden/>
    <w:unhideWhenUsed/>
    <w:rsid w:val="0085433F"/>
    <w:pPr>
      <w:jc w:val="both"/>
      <w:textAlignment w:val="auto"/>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85433F"/>
    <w:rPr>
      <w:rFonts w:ascii="Times New Roman" w:eastAsiaTheme="minorEastAsia" w:hAnsi="Times New Roman"/>
      <w:lang w:val="en-GB" w:eastAsia="en-US"/>
    </w:rPr>
  </w:style>
  <w:style w:type="paragraph" w:styleId="ListBullet">
    <w:name w:val="List Bullet"/>
    <w:basedOn w:val="Normal"/>
    <w:autoRedefine/>
    <w:uiPriority w:val="99"/>
    <w:semiHidden/>
    <w:unhideWhenUsed/>
    <w:rsid w:val="0085433F"/>
    <w:pPr>
      <w:widowControl w:val="0"/>
      <w:tabs>
        <w:tab w:val="clear" w:pos="794"/>
        <w:tab w:val="clear" w:pos="1191"/>
        <w:tab w:val="clear" w:pos="1588"/>
        <w:tab w:val="clear" w:pos="1985"/>
        <w:tab w:val="num" w:pos="360"/>
      </w:tabs>
      <w:overflowPunct/>
      <w:autoSpaceDE/>
      <w:autoSpaceDN/>
      <w:adjustRightInd/>
      <w:snapToGrid w:val="0"/>
      <w:spacing w:before="100" w:after="100"/>
      <w:ind w:left="360" w:hanging="360"/>
      <w:textAlignment w:val="auto"/>
    </w:pPr>
    <w:rPr>
      <w:rFonts w:ascii="Times New Roman" w:eastAsia="Times New Roman" w:hAnsi="Times New Roman"/>
      <w:lang w:val="en-US"/>
    </w:rPr>
  </w:style>
  <w:style w:type="paragraph" w:styleId="ListNumber">
    <w:name w:val="List Number"/>
    <w:basedOn w:val="Normal"/>
    <w:uiPriority w:val="99"/>
    <w:unhideWhenUsed/>
    <w:rsid w:val="0085433F"/>
    <w:pPr>
      <w:widowControl w:val="0"/>
      <w:numPr>
        <w:numId w:val="10"/>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2">
    <w:name w:val="List Bullet 2"/>
    <w:basedOn w:val="Normal"/>
    <w:autoRedefine/>
    <w:uiPriority w:val="99"/>
    <w:semiHidden/>
    <w:unhideWhenUsed/>
    <w:rsid w:val="0085433F"/>
    <w:pPr>
      <w:widowControl w:val="0"/>
      <w:numPr>
        <w:numId w:val="11"/>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3">
    <w:name w:val="List Bullet 3"/>
    <w:basedOn w:val="Normal"/>
    <w:autoRedefine/>
    <w:uiPriority w:val="99"/>
    <w:semiHidden/>
    <w:unhideWhenUsed/>
    <w:rsid w:val="0085433F"/>
    <w:pPr>
      <w:widowControl w:val="0"/>
      <w:numPr>
        <w:numId w:val="12"/>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4">
    <w:name w:val="List Bullet 4"/>
    <w:basedOn w:val="Normal"/>
    <w:autoRedefine/>
    <w:uiPriority w:val="99"/>
    <w:semiHidden/>
    <w:unhideWhenUsed/>
    <w:rsid w:val="0085433F"/>
    <w:pPr>
      <w:widowControl w:val="0"/>
      <w:numPr>
        <w:numId w:val="13"/>
      </w:numPr>
      <w:tabs>
        <w:tab w:val="clear" w:pos="794"/>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5">
    <w:name w:val="List Bullet 5"/>
    <w:basedOn w:val="Normal"/>
    <w:autoRedefine/>
    <w:uiPriority w:val="99"/>
    <w:semiHidden/>
    <w:unhideWhenUsed/>
    <w:rsid w:val="0085433F"/>
    <w:pPr>
      <w:widowControl w:val="0"/>
      <w:tabs>
        <w:tab w:val="clear" w:pos="794"/>
        <w:tab w:val="clear" w:pos="1191"/>
        <w:tab w:val="clear" w:pos="1588"/>
        <w:tab w:val="clear" w:pos="1985"/>
        <w:tab w:val="num" w:pos="1492"/>
      </w:tabs>
      <w:overflowPunct/>
      <w:autoSpaceDE/>
      <w:autoSpaceDN/>
      <w:adjustRightInd/>
      <w:snapToGrid w:val="0"/>
      <w:spacing w:before="100" w:after="100"/>
      <w:ind w:left="1492" w:hanging="360"/>
      <w:textAlignment w:val="auto"/>
    </w:pPr>
    <w:rPr>
      <w:rFonts w:ascii="Times New Roman" w:eastAsia="Times New Roman" w:hAnsi="Times New Roman"/>
      <w:lang w:val="en-US"/>
    </w:rPr>
  </w:style>
  <w:style w:type="paragraph" w:styleId="ListNumber2">
    <w:name w:val="List Number 2"/>
    <w:basedOn w:val="Normal"/>
    <w:uiPriority w:val="99"/>
    <w:semiHidden/>
    <w:unhideWhenUsed/>
    <w:rsid w:val="0085433F"/>
    <w:pPr>
      <w:widowControl w:val="0"/>
      <w:numPr>
        <w:numId w:val="14"/>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3">
    <w:name w:val="List Number 3"/>
    <w:basedOn w:val="Normal"/>
    <w:uiPriority w:val="99"/>
    <w:semiHidden/>
    <w:unhideWhenUsed/>
    <w:rsid w:val="0085433F"/>
    <w:pPr>
      <w:widowControl w:val="0"/>
      <w:numPr>
        <w:numId w:val="15"/>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4">
    <w:name w:val="List Number 4"/>
    <w:basedOn w:val="Normal"/>
    <w:uiPriority w:val="99"/>
    <w:semiHidden/>
    <w:unhideWhenUsed/>
    <w:rsid w:val="0085433F"/>
    <w:pPr>
      <w:widowControl w:val="0"/>
      <w:numPr>
        <w:numId w:val="16"/>
      </w:numPr>
      <w:tabs>
        <w:tab w:val="clear" w:pos="794"/>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5">
    <w:name w:val="List Number 5"/>
    <w:basedOn w:val="Normal"/>
    <w:uiPriority w:val="99"/>
    <w:semiHidden/>
    <w:unhideWhenUsed/>
    <w:rsid w:val="0085433F"/>
    <w:pPr>
      <w:widowControl w:val="0"/>
      <w:numPr>
        <w:numId w:val="17"/>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BodyText2">
    <w:name w:val="Body Text 2"/>
    <w:basedOn w:val="Normal"/>
    <w:link w:val="BodyText2Char"/>
    <w:uiPriority w:val="99"/>
    <w:semiHidden/>
    <w:unhideWhenUsed/>
    <w:rsid w:val="0085433F"/>
    <w:pPr>
      <w:jc w:val="both"/>
      <w:textAlignment w:val="auto"/>
    </w:pPr>
    <w:rPr>
      <w:rFonts w:ascii="Times New Roman" w:eastAsia="Times New Roman" w:hAnsi="Times New Roman"/>
      <w:sz w:val="22"/>
    </w:rPr>
  </w:style>
  <w:style w:type="character" w:customStyle="1" w:styleId="BodyText2Char">
    <w:name w:val="Body Text 2 Char"/>
    <w:basedOn w:val="DefaultParagraphFont"/>
    <w:link w:val="BodyText2"/>
    <w:uiPriority w:val="99"/>
    <w:semiHidden/>
    <w:rsid w:val="0085433F"/>
    <w:rPr>
      <w:rFonts w:ascii="Times New Roman" w:eastAsia="Times New Roman" w:hAnsi="Times New Roman"/>
      <w:sz w:val="22"/>
      <w:lang w:val="en-GB" w:eastAsia="en-US"/>
    </w:rPr>
  </w:style>
  <w:style w:type="paragraph" w:styleId="BodyTextIndent2">
    <w:name w:val="Body Text Indent 2"/>
    <w:basedOn w:val="Normal"/>
    <w:link w:val="BodyTextIndent2Char"/>
    <w:uiPriority w:val="99"/>
    <w:semiHidden/>
    <w:unhideWhenUsed/>
    <w:rsid w:val="0085433F"/>
    <w:pPr>
      <w:widowControl w:val="0"/>
      <w:tabs>
        <w:tab w:val="clear" w:pos="794"/>
        <w:tab w:val="clear" w:pos="1191"/>
        <w:tab w:val="clear" w:pos="1588"/>
        <w:tab w:val="clear" w:pos="198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semiHidden/>
    <w:rsid w:val="0085433F"/>
    <w:rPr>
      <w:rFonts w:ascii="Times New Roman" w:eastAsiaTheme="minorEastAsia" w:hAnsi="Times New Roman"/>
      <w:sz w:val="24"/>
      <w:szCs w:val="24"/>
    </w:rPr>
  </w:style>
  <w:style w:type="paragraph" w:styleId="DocumentMap">
    <w:name w:val="Document Map"/>
    <w:basedOn w:val="Normal"/>
    <w:link w:val="DocumentMapChar"/>
    <w:uiPriority w:val="99"/>
    <w:semiHidden/>
    <w:unhideWhenUsed/>
    <w:rsid w:val="0085433F"/>
    <w:pPr>
      <w:shd w:val="clear" w:color="auto" w:fill="000080"/>
      <w:textAlignment w:val="auto"/>
    </w:pPr>
    <w:rPr>
      <w:rFonts w:ascii="Tahoma" w:eastAsia="Times New Roman" w:hAnsi="Tahoma" w:cs="Tahoma"/>
    </w:rPr>
  </w:style>
  <w:style w:type="character" w:customStyle="1" w:styleId="DocumentMapChar">
    <w:name w:val="Document Map Char"/>
    <w:basedOn w:val="DefaultParagraphFont"/>
    <w:link w:val="DocumentMap"/>
    <w:uiPriority w:val="99"/>
    <w:semiHidden/>
    <w:rsid w:val="0085433F"/>
    <w:rPr>
      <w:rFonts w:ascii="Tahoma" w:eastAsia="Times New Roman" w:hAnsi="Tahoma" w:cs="Tahoma"/>
      <w:sz w:val="24"/>
      <w:shd w:val="clear" w:color="auto" w:fill="000080"/>
      <w:lang w:val="en-GB" w:eastAsia="en-US"/>
    </w:rPr>
  </w:style>
  <w:style w:type="paragraph" w:styleId="Quote">
    <w:name w:val="Quote"/>
    <w:basedOn w:val="Normal"/>
    <w:next w:val="Normal"/>
    <w:link w:val="QuoteChar"/>
    <w:uiPriority w:val="29"/>
    <w:qFormat/>
    <w:rsid w:val="0085433F"/>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textAlignment w:val="auto"/>
    </w:pPr>
    <w:rPr>
      <w:rFonts w:eastAsiaTheme="minorEastAsia"/>
      <w:i/>
      <w:iCs/>
      <w:color w:val="404040" w:themeColor="text1" w:themeTint="BF"/>
    </w:rPr>
  </w:style>
  <w:style w:type="character" w:customStyle="1" w:styleId="QuoteChar">
    <w:name w:val="Quote Char"/>
    <w:basedOn w:val="DefaultParagraphFont"/>
    <w:link w:val="Quote"/>
    <w:uiPriority w:val="29"/>
    <w:rsid w:val="0085433F"/>
    <w:rPr>
      <w:rFonts w:ascii="Calibri" w:eastAsiaTheme="minorEastAsia" w:hAnsi="Calibri"/>
      <w:i/>
      <w:iCs/>
      <w:color w:val="404040" w:themeColor="text1" w:themeTint="BF"/>
      <w:sz w:val="24"/>
      <w:lang w:val="en-GB" w:eastAsia="en-US"/>
    </w:rPr>
  </w:style>
  <w:style w:type="character" w:customStyle="1" w:styleId="ResNoChar">
    <w:name w:val="Res_No Char"/>
    <w:basedOn w:val="DefaultParagraphFont"/>
    <w:link w:val="ResNo"/>
    <w:locked/>
    <w:rsid w:val="0085433F"/>
    <w:rPr>
      <w:rFonts w:ascii="Calibri" w:hAnsi="Calibri"/>
      <w:caps/>
      <w:sz w:val="28"/>
      <w:lang w:val="en-GB" w:eastAsia="en-US"/>
    </w:rPr>
  </w:style>
  <w:style w:type="character" w:customStyle="1" w:styleId="headingbChar">
    <w:name w:val="heading_b Char"/>
    <w:basedOn w:val="DefaultParagraphFont"/>
    <w:link w:val="headingb0"/>
    <w:uiPriority w:val="99"/>
    <w:locked/>
    <w:rsid w:val="0085433F"/>
    <w:rPr>
      <w:rFonts w:ascii="Times New Roman" w:hAnsi="Times New Roman"/>
      <w:b/>
      <w:sz w:val="24"/>
      <w:lang w:val="fr-FR" w:eastAsia="en-US"/>
    </w:rPr>
  </w:style>
  <w:style w:type="paragraph" w:customStyle="1" w:styleId="nlist">
    <w:name w:val="nlist"/>
    <w:basedOn w:val="Normal"/>
    <w:uiPriority w:val="99"/>
    <w:rsid w:val="0085433F"/>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uiPriority w:val="99"/>
    <w:rsid w:val="0085433F"/>
    <w:pPr>
      <w:tabs>
        <w:tab w:val="clear" w:pos="794"/>
        <w:tab w:val="clear" w:pos="1191"/>
        <w:tab w:val="clear" w:pos="1588"/>
        <w:tab w:val="clear" w:pos="1985"/>
      </w:tabs>
      <w:spacing w:before="240"/>
      <w:ind w:left="1247"/>
      <w:jc w:val="both"/>
      <w:textAlignment w:val="auto"/>
    </w:pPr>
    <w:rPr>
      <w:rFonts w:ascii="Arial" w:eastAsia="Times New Roman" w:hAnsi="Arial"/>
      <w:sz w:val="22"/>
      <w:lang w:val="fr-FR" w:eastAsia="fr-FR"/>
    </w:rPr>
  </w:style>
  <w:style w:type="paragraph" w:customStyle="1" w:styleId="TableTitle0">
    <w:name w:val="Table_Title"/>
    <w:basedOn w:val="Normal"/>
    <w:next w:val="TableText0"/>
    <w:uiPriority w:val="99"/>
    <w:rsid w:val="0085433F"/>
    <w:pPr>
      <w:keepNext/>
      <w:keepLines/>
      <w:spacing w:before="0" w:after="120"/>
      <w:jc w:val="center"/>
      <w:textAlignment w:val="auto"/>
    </w:pPr>
    <w:rPr>
      <w:b/>
      <w:lang w:val="fr-FR"/>
    </w:rPr>
  </w:style>
  <w:style w:type="paragraph" w:customStyle="1" w:styleId="xl63">
    <w:name w:val="xl63"/>
    <w:basedOn w:val="Normal"/>
    <w:uiPriority w:val="99"/>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4">
    <w:name w:val="xl64"/>
    <w:basedOn w:val="Normal"/>
    <w:uiPriority w:val="99"/>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plist">
    <w:name w:val="plist"/>
    <w:basedOn w:val="Normal"/>
    <w:uiPriority w:val="99"/>
    <w:rsid w:val="0085433F"/>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eastAsia="zh-CN"/>
    </w:rPr>
  </w:style>
  <w:style w:type="paragraph" w:customStyle="1" w:styleId="Style7">
    <w:name w:val="Style7"/>
    <w:basedOn w:val="Normal"/>
    <w:uiPriority w:val="99"/>
    <w:rsid w:val="0085433F"/>
    <w:pPr>
      <w:widowControl w:val="0"/>
      <w:tabs>
        <w:tab w:val="clear" w:pos="794"/>
        <w:tab w:val="clear" w:pos="1191"/>
        <w:tab w:val="clear" w:pos="1588"/>
        <w:tab w:val="clear" w:pos="198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paragraph" w:customStyle="1" w:styleId="call0">
    <w:name w:val="call"/>
    <w:basedOn w:val="Normal"/>
    <w:next w:val="Normal"/>
    <w:rsid w:val="0085433F"/>
    <w:pPr>
      <w:keepNext/>
      <w:keepLines/>
      <w:spacing w:before="160" w:line="0" w:lineRule="atLeast"/>
      <w:ind w:left="794"/>
      <w:textAlignment w:val="auto"/>
    </w:pPr>
    <w:rPr>
      <w:rFonts w:ascii="Times New Roman" w:eastAsia="STKaiti" w:hAnsi="Times New Roman"/>
      <w:lang w:val="fr-FR"/>
    </w:rPr>
  </w:style>
  <w:style w:type="paragraph" w:customStyle="1" w:styleId="xl94">
    <w:name w:val="xl94"/>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85433F"/>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85433F"/>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85433F"/>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3">
    <w:name w:val="xl103"/>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FF0000"/>
      <w:sz w:val="16"/>
      <w:szCs w:val="16"/>
      <w:lang w:val="en-US" w:eastAsia="zh-CN"/>
    </w:rPr>
  </w:style>
  <w:style w:type="paragraph" w:customStyle="1" w:styleId="xl104">
    <w:name w:val="xl104"/>
    <w:basedOn w:val="Normal"/>
    <w:rsid w:val="0085433F"/>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5">
    <w:name w:val="xl105"/>
    <w:basedOn w:val="Normal"/>
    <w:rsid w:val="0085433F"/>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6">
    <w:name w:val="xl106"/>
    <w:basedOn w:val="Normal"/>
    <w:rsid w:val="0085433F"/>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Committee">
    <w:name w:val="Committee"/>
    <w:basedOn w:val="Normal"/>
    <w:uiPriority w:val="99"/>
    <w:qFormat/>
    <w:rsid w:val="0085433F"/>
    <w:pPr>
      <w:textAlignment w:val="auto"/>
    </w:pPr>
    <w:rPr>
      <w:rFonts w:asciiTheme="minorHAnsi" w:eastAsia="Times New Roman" w:hAnsiTheme="minorHAnsi" w:cs="Times New Roman Bold"/>
      <w:b/>
      <w:caps/>
    </w:rPr>
  </w:style>
  <w:style w:type="paragraph" w:customStyle="1" w:styleId="CEOcontributionStart">
    <w:name w:val="CEO_contributionStart"/>
    <w:basedOn w:val="Normal"/>
    <w:uiPriority w:val="99"/>
    <w:rsid w:val="008543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uiPriority w:val="99"/>
    <w:rsid w:val="008543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uiPriority w:val="99"/>
    <w:rsid w:val="008543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customStyle="1" w:styleId="Normalaftertitle0">
    <w:name w:val="Normal_after_title"/>
    <w:basedOn w:val="Normal"/>
    <w:next w:val="Normal"/>
    <w:uiPriority w:val="99"/>
    <w:rsid w:val="0085433F"/>
    <w:pPr>
      <w:spacing w:before="360"/>
      <w:textAlignment w:val="auto"/>
    </w:pPr>
    <w:rPr>
      <w:rFonts w:ascii="Times New Roman" w:eastAsia="Times New Roman" w:hAnsi="Times New Roman"/>
    </w:rPr>
  </w:style>
  <w:style w:type="character" w:customStyle="1" w:styleId="TabletitleBRChar">
    <w:name w:val="Table_title_BR Char"/>
    <w:link w:val="TabletitleBR"/>
    <w:locked/>
    <w:rsid w:val="0085433F"/>
    <w:rPr>
      <w:rFonts w:ascii="Times New Roman" w:eastAsia="Times New Roman" w:hAnsi="Times New Roman"/>
      <w:b/>
      <w:sz w:val="24"/>
      <w:lang w:val="en-GB" w:eastAsia="en-US"/>
    </w:rPr>
  </w:style>
  <w:style w:type="paragraph" w:customStyle="1" w:styleId="TabletitleBR">
    <w:name w:val="Table_title_BR"/>
    <w:basedOn w:val="Normal"/>
    <w:next w:val="Tablehead"/>
    <w:link w:val="TabletitleBRChar"/>
    <w:rsid w:val="0085433F"/>
    <w:pPr>
      <w:keepNext/>
      <w:keepLines/>
      <w:spacing w:before="0" w:after="120"/>
      <w:jc w:val="center"/>
      <w:textAlignment w:val="auto"/>
    </w:pPr>
    <w:rPr>
      <w:rFonts w:ascii="Times New Roman" w:eastAsia="Times New Roman" w:hAnsi="Times New Roman"/>
      <w:b/>
    </w:rPr>
  </w:style>
  <w:style w:type="character" w:customStyle="1" w:styleId="AnnexNotitleChar">
    <w:name w:val="Annex_No &amp; title Char"/>
    <w:link w:val="AnnexNotitle"/>
    <w:locked/>
    <w:rsid w:val="0085433F"/>
    <w:rPr>
      <w:rFonts w:ascii="Times New Roman" w:eastAsia="Times New Roman" w:hAnsi="Times New Roman"/>
      <w:b/>
      <w:sz w:val="28"/>
      <w:lang w:val="en-GB" w:eastAsia="en-US"/>
    </w:rPr>
  </w:style>
  <w:style w:type="paragraph" w:customStyle="1" w:styleId="AnnexNotitle">
    <w:name w:val="Annex_No &amp; title"/>
    <w:basedOn w:val="Normal"/>
    <w:next w:val="Normalaftertitle0"/>
    <w:link w:val="AnnexNotitleChar"/>
    <w:rsid w:val="0085433F"/>
    <w:pPr>
      <w:keepNext/>
      <w:keepLines/>
      <w:spacing w:before="480"/>
      <w:jc w:val="center"/>
      <w:textAlignment w:val="auto"/>
    </w:pPr>
    <w:rPr>
      <w:rFonts w:ascii="Times New Roman" w:eastAsia="Times New Roman" w:hAnsi="Times New Roman"/>
      <w:b/>
      <w:sz w:val="28"/>
    </w:rPr>
  </w:style>
  <w:style w:type="character" w:customStyle="1" w:styleId="TableNoBRChar">
    <w:name w:val="Table_No_BR Char"/>
    <w:link w:val="TableNoBR"/>
    <w:locked/>
    <w:rsid w:val="0085433F"/>
    <w:rPr>
      <w:rFonts w:ascii="Times New Roman" w:eastAsia="Times New Roman" w:hAnsi="Times New Roman"/>
      <w:caps/>
      <w:sz w:val="24"/>
      <w:lang w:val="en-GB" w:eastAsia="en-US"/>
    </w:rPr>
  </w:style>
  <w:style w:type="paragraph" w:customStyle="1" w:styleId="TableNoBR">
    <w:name w:val="Table_No_BR"/>
    <w:basedOn w:val="Normal"/>
    <w:next w:val="TabletitleBR"/>
    <w:link w:val="TableNoBRChar"/>
    <w:rsid w:val="0085433F"/>
    <w:pPr>
      <w:keepNext/>
      <w:spacing w:before="560" w:after="120"/>
      <w:jc w:val="center"/>
      <w:textAlignment w:val="auto"/>
    </w:pPr>
    <w:rPr>
      <w:rFonts w:ascii="Times New Roman" w:eastAsia="Times New Roman" w:hAnsi="Times New Roman"/>
      <w:caps/>
    </w:rPr>
  </w:style>
  <w:style w:type="paragraph" w:customStyle="1" w:styleId="FigureNotitle">
    <w:name w:val="Figure_No &amp; title"/>
    <w:basedOn w:val="Normal"/>
    <w:next w:val="Normalaftertitle0"/>
    <w:uiPriority w:val="99"/>
    <w:rsid w:val="0085433F"/>
    <w:pPr>
      <w:keepLines/>
      <w:spacing w:before="240" w:after="120"/>
      <w:jc w:val="center"/>
      <w:textAlignment w:val="auto"/>
    </w:pPr>
    <w:rPr>
      <w:rFonts w:ascii="Times New Roman" w:eastAsia="Times New Roman" w:hAnsi="Times New Roman"/>
      <w:b/>
    </w:rPr>
  </w:style>
  <w:style w:type="paragraph" w:customStyle="1" w:styleId="AppendixNotitle">
    <w:name w:val="Appendix_No &amp; title"/>
    <w:basedOn w:val="AnnexNotitle"/>
    <w:next w:val="Normalaftertitle0"/>
    <w:uiPriority w:val="99"/>
    <w:rsid w:val="0085433F"/>
  </w:style>
  <w:style w:type="paragraph" w:customStyle="1" w:styleId="FooterQP">
    <w:name w:val="Footer_QP"/>
    <w:basedOn w:val="Normal"/>
    <w:uiPriority w:val="99"/>
    <w:rsid w:val="0085433F"/>
    <w:pPr>
      <w:tabs>
        <w:tab w:val="clear" w:pos="794"/>
        <w:tab w:val="clear" w:pos="1191"/>
        <w:tab w:val="clear" w:pos="1588"/>
        <w:tab w:val="clear" w:pos="1985"/>
        <w:tab w:val="left" w:pos="907"/>
        <w:tab w:val="right" w:pos="8789"/>
        <w:tab w:val="right" w:pos="9639"/>
      </w:tabs>
      <w:spacing w:before="0"/>
      <w:textAlignment w:val="auto"/>
    </w:pPr>
    <w:rPr>
      <w:rFonts w:ascii="Times New Roman" w:eastAsia="Times New Roman" w:hAnsi="Times New Roman"/>
      <w:b/>
      <w:sz w:val="22"/>
    </w:rPr>
  </w:style>
  <w:style w:type="paragraph" w:customStyle="1" w:styleId="ASN1">
    <w:name w:val="ASN.1"/>
    <w:basedOn w:val="Normal"/>
    <w:uiPriority w:val="99"/>
    <w:rsid w:val="0085433F"/>
    <w:pPr>
      <w:tabs>
        <w:tab w:val="left" w:pos="567"/>
        <w:tab w:val="left" w:pos="1134"/>
        <w:tab w:val="left" w:pos="1701"/>
        <w:tab w:val="left" w:pos="2268"/>
        <w:tab w:val="left" w:pos="2835"/>
        <w:tab w:val="left" w:pos="3402"/>
        <w:tab w:val="left" w:pos="3969"/>
        <w:tab w:val="left" w:pos="4536"/>
        <w:tab w:val="left" w:pos="5103"/>
        <w:tab w:val="left" w:pos="5670"/>
      </w:tabs>
      <w:spacing w:before="0"/>
      <w:textAlignment w:val="auto"/>
    </w:pPr>
    <w:rPr>
      <w:rFonts w:ascii="Courier New" w:eastAsia="Times New Roman" w:hAnsi="Courier New"/>
      <w:b/>
      <w:noProof/>
      <w:sz w:val="20"/>
    </w:rPr>
  </w:style>
  <w:style w:type="paragraph" w:customStyle="1" w:styleId="Formal">
    <w:name w:val="Formal"/>
    <w:basedOn w:val="ASN1"/>
    <w:uiPriority w:val="99"/>
    <w:rsid w:val="0085433F"/>
    <w:rPr>
      <w:b w:val="0"/>
    </w:rPr>
  </w:style>
  <w:style w:type="paragraph" w:customStyle="1" w:styleId="RecNoBR">
    <w:name w:val="Rec_No_BR"/>
    <w:basedOn w:val="Normal"/>
    <w:next w:val="Rectitle"/>
    <w:uiPriority w:val="99"/>
    <w:rsid w:val="0085433F"/>
    <w:pPr>
      <w:keepNext/>
      <w:keepLines/>
      <w:spacing w:before="480"/>
      <w:jc w:val="center"/>
      <w:textAlignment w:val="auto"/>
    </w:pPr>
    <w:rPr>
      <w:rFonts w:ascii="Times New Roman" w:eastAsia="Times New Roman" w:hAnsi="Times New Roman"/>
      <w:caps/>
      <w:sz w:val="28"/>
    </w:rPr>
  </w:style>
  <w:style w:type="paragraph" w:customStyle="1" w:styleId="QuestionNoBR">
    <w:name w:val="Question_No_BR"/>
    <w:basedOn w:val="RecNoBR"/>
    <w:next w:val="Questiontitle"/>
    <w:uiPriority w:val="99"/>
    <w:rsid w:val="0085433F"/>
  </w:style>
  <w:style w:type="paragraph" w:customStyle="1" w:styleId="RepNoBR">
    <w:name w:val="Rep_No_BR"/>
    <w:basedOn w:val="RecNoBR"/>
    <w:next w:val="Reptitle"/>
    <w:uiPriority w:val="99"/>
    <w:rsid w:val="0085433F"/>
  </w:style>
  <w:style w:type="paragraph" w:customStyle="1" w:styleId="ResNoBR">
    <w:name w:val="Res_No_BR"/>
    <w:basedOn w:val="RecNoBR"/>
    <w:next w:val="Restitle"/>
    <w:uiPriority w:val="99"/>
    <w:rsid w:val="0085433F"/>
  </w:style>
  <w:style w:type="paragraph" w:customStyle="1" w:styleId="Section1">
    <w:name w:val="Section_1"/>
    <w:basedOn w:val="Normal"/>
    <w:next w:val="Normal"/>
    <w:uiPriority w:val="99"/>
    <w:rsid w:val="0085433F"/>
    <w:pPr>
      <w:tabs>
        <w:tab w:val="clear" w:pos="794"/>
        <w:tab w:val="clear" w:pos="1191"/>
        <w:tab w:val="clear" w:pos="1588"/>
        <w:tab w:val="clear" w:pos="1985"/>
      </w:tabs>
      <w:spacing w:before="624"/>
      <w:jc w:val="center"/>
      <w:textAlignment w:val="auto"/>
    </w:pPr>
    <w:rPr>
      <w:rFonts w:ascii="Times New Roman" w:eastAsia="Times New Roman" w:hAnsi="Times New Roman"/>
      <w:b/>
    </w:rPr>
  </w:style>
  <w:style w:type="paragraph" w:customStyle="1" w:styleId="Section2">
    <w:name w:val="Section_2"/>
    <w:basedOn w:val="Normal"/>
    <w:next w:val="Normal"/>
    <w:uiPriority w:val="99"/>
    <w:rsid w:val="0085433F"/>
    <w:pPr>
      <w:tabs>
        <w:tab w:val="clear" w:pos="794"/>
        <w:tab w:val="clear" w:pos="1191"/>
        <w:tab w:val="clear" w:pos="1588"/>
        <w:tab w:val="clear" w:pos="1985"/>
      </w:tabs>
      <w:spacing w:before="240"/>
      <w:jc w:val="center"/>
      <w:textAlignment w:val="auto"/>
    </w:pPr>
    <w:rPr>
      <w:rFonts w:ascii="Times New Roman" w:eastAsia="Times New Roman" w:hAnsi="Times New Roman"/>
      <w:i/>
    </w:rPr>
  </w:style>
  <w:style w:type="paragraph" w:customStyle="1" w:styleId="TableNotitle">
    <w:name w:val="Table_No &amp; title"/>
    <w:basedOn w:val="Normal"/>
    <w:next w:val="Tablehead"/>
    <w:uiPriority w:val="99"/>
    <w:rsid w:val="0085433F"/>
    <w:pPr>
      <w:keepNext/>
      <w:keepLines/>
      <w:spacing w:before="360" w:after="120"/>
      <w:jc w:val="center"/>
      <w:textAlignment w:val="auto"/>
    </w:pPr>
    <w:rPr>
      <w:rFonts w:ascii="Times New Roman" w:eastAsia="Times New Roman" w:hAnsi="Times New Roman"/>
      <w:b/>
    </w:rPr>
  </w:style>
  <w:style w:type="paragraph" w:customStyle="1" w:styleId="FiguretitleBR">
    <w:name w:val="Figure_title_BR"/>
    <w:basedOn w:val="TabletitleBR"/>
    <w:next w:val="Figurewithouttitle"/>
    <w:uiPriority w:val="99"/>
    <w:rsid w:val="0085433F"/>
    <w:pPr>
      <w:keepNext w:val="0"/>
      <w:spacing w:after="480"/>
    </w:pPr>
  </w:style>
  <w:style w:type="paragraph" w:customStyle="1" w:styleId="FigureNoBR">
    <w:name w:val="Figure_No_BR"/>
    <w:basedOn w:val="Normal"/>
    <w:next w:val="FiguretitleBR"/>
    <w:uiPriority w:val="99"/>
    <w:rsid w:val="0085433F"/>
    <w:pPr>
      <w:keepNext/>
      <w:keepLines/>
      <w:spacing w:before="480" w:after="120"/>
      <w:jc w:val="center"/>
      <w:textAlignment w:val="auto"/>
    </w:pPr>
    <w:rPr>
      <w:rFonts w:ascii="Times New Roman" w:eastAsia="Times New Roman" w:hAnsi="Times New Roman"/>
      <w:caps/>
    </w:rPr>
  </w:style>
  <w:style w:type="paragraph" w:customStyle="1" w:styleId="H2">
    <w:name w:val="H2"/>
    <w:basedOn w:val="Normal"/>
    <w:next w:val="Normal"/>
    <w:uiPriority w:val="99"/>
    <w:rsid w:val="0085433F"/>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2"/>
    </w:pPr>
    <w:rPr>
      <w:rFonts w:ascii="Times New Roman" w:eastAsia="Times New Roman" w:hAnsi="Times New Roman"/>
      <w:b/>
      <w:sz w:val="36"/>
      <w:lang w:val="en-US"/>
    </w:rPr>
  </w:style>
  <w:style w:type="paragraph" w:customStyle="1" w:styleId="Blockquote">
    <w:name w:val="Blockquote"/>
    <w:basedOn w:val="Normal"/>
    <w:uiPriority w:val="99"/>
    <w:rsid w:val="0085433F"/>
    <w:pPr>
      <w:widowControl w:val="0"/>
      <w:tabs>
        <w:tab w:val="clear" w:pos="794"/>
        <w:tab w:val="clear" w:pos="1191"/>
        <w:tab w:val="clear" w:pos="1588"/>
        <w:tab w:val="clear" w:pos="1985"/>
      </w:tabs>
      <w:overflowPunct/>
      <w:autoSpaceDE/>
      <w:autoSpaceDN/>
      <w:adjustRightInd/>
      <w:snapToGrid w:val="0"/>
      <w:spacing w:before="100" w:after="100"/>
      <w:ind w:left="360" w:right="360"/>
      <w:textAlignment w:val="auto"/>
    </w:pPr>
    <w:rPr>
      <w:rFonts w:ascii="Times New Roman" w:eastAsia="Times New Roman" w:hAnsi="Times New Roman"/>
      <w:lang w:val="en-US"/>
    </w:rPr>
  </w:style>
  <w:style w:type="paragraph" w:customStyle="1" w:styleId="H4">
    <w:name w:val="H4"/>
    <w:basedOn w:val="Normal"/>
    <w:next w:val="Normal"/>
    <w:uiPriority w:val="99"/>
    <w:rsid w:val="0085433F"/>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4"/>
    </w:pPr>
    <w:rPr>
      <w:rFonts w:ascii="Times New Roman" w:eastAsia="Times New Roman" w:hAnsi="Times New Roman"/>
      <w:b/>
      <w:lang w:val="en-US"/>
    </w:rPr>
  </w:style>
  <w:style w:type="paragraph" w:customStyle="1" w:styleId="H3">
    <w:name w:val="H3"/>
    <w:basedOn w:val="Normal"/>
    <w:next w:val="Normal"/>
    <w:uiPriority w:val="99"/>
    <w:rsid w:val="0085433F"/>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3"/>
    </w:pPr>
    <w:rPr>
      <w:rFonts w:ascii="Times New Roman" w:eastAsia="Times New Roman" w:hAnsi="Times New Roman"/>
      <w:b/>
      <w:sz w:val="28"/>
      <w:lang w:val="en-US"/>
    </w:rPr>
  </w:style>
  <w:style w:type="paragraph" w:customStyle="1" w:styleId="DefinitionList">
    <w:name w:val="Definition List"/>
    <w:basedOn w:val="Normal"/>
    <w:next w:val="DefinitionTerm"/>
    <w:uiPriority w:val="99"/>
    <w:rsid w:val="0085433F"/>
    <w:pPr>
      <w:widowControl w:val="0"/>
      <w:tabs>
        <w:tab w:val="clear" w:pos="794"/>
        <w:tab w:val="clear" w:pos="1191"/>
        <w:tab w:val="clear" w:pos="1588"/>
        <w:tab w:val="clear" w:pos="1985"/>
      </w:tabs>
      <w:overflowPunct/>
      <w:autoSpaceDE/>
      <w:autoSpaceDN/>
      <w:adjustRightInd/>
      <w:snapToGrid w:val="0"/>
      <w:spacing w:before="0"/>
      <w:ind w:left="360"/>
      <w:textAlignment w:val="auto"/>
    </w:pPr>
    <w:rPr>
      <w:rFonts w:ascii="Times New Roman" w:eastAsia="Times New Roman" w:hAnsi="Times New Roman"/>
      <w:lang w:val="en-US"/>
    </w:rPr>
  </w:style>
  <w:style w:type="paragraph" w:customStyle="1" w:styleId="DefinitionTerm">
    <w:name w:val="Definition Term"/>
    <w:basedOn w:val="Normal"/>
    <w:next w:val="DefinitionList"/>
    <w:uiPriority w:val="99"/>
    <w:rsid w:val="0085433F"/>
    <w:pPr>
      <w:widowControl w:val="0"/>
      <w:tabs>
        <w:tab w:val="clear" w:pos="794"/>
        <w:tab w:val="clear" w:pos="1191"/>
        <w:tab w:val="clear" w:pos="1588"/>
        <w:tab w:val="clear" w:pos="1985"/>
      </w:tabs>
      <w:overflowPunct/>
      <w:autoSpaceDE/>
      <w:autoSpaceDN/>
      <w:adjustRightInd/>
      <w:snapToGrid w:val="0"/>
      <w:spacing w:before="0"/>
      <w:textAlignment w:val="auto"/>
    </w:pPr>
    <w:rPr>
      <w:rFonts w:ascii="Times New Roman" w:eastAsia="Times New Roman" w:hAnsi="Times New Roman"/>
      <w:lang w:val="en-US"/>
    </w:rPr>
  </w:style>
  <w:style w:type="paragraph" w:customStyle="1" w:styleId="H1">
    <w:name w:val="H1"/>
    <w:basedOn w:val="Normal"/>
    <w:next w:val="Normal"/>
    <w:uiPriority w:val="99"/>
    <w:rsid w:val="0085433F"/>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1"/>
    </w:pPr>
    <w:rPr>
      <w:rFonts w:ascii="Times New Roman" w:eastAsia="Times New Roman" w:hAnsi="Times New Roman"/>
      <w:b/>
      <w:kern w:val="36"/>
      <w:sz w:val="48"/>
      <w:lang w:val="en-US"/>
    </w:rPr>
  </w:style>
  <w:style w:type="paragraph" w:customStyle="1" w:styleId="H5">
    <w:name w:val="H5"/>
    <w:basedOn w:val="Normal"/>
    <w:next w:val="Normal"/>
    <w:uiPriority w:val="99"/>
    <w:rsid w:val="0085433F"/>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5"/>
    </w:pPr>
    <w:rPr>
      <w:rFonts w:ascii="Times New Roman" w:eastAsia="Times New Roman" w:hAnsi="Times New Roman"/>
      <w:b/>
      <w:sz w:val="20"/>
      <w:lang w:val="en-US"/>
    </w:rPr>
  </w:style>
  <w:style w:type="paragraph" w:customStyle="1" w:styleId="H6">
    <w:name w:val="H6"/>
    <w:basedOn w:val="Normal"/>
    <w:next w:val="Normal"/>
    <w:uiPriority w:val="99"/>
    <w:rsid w:val="0085433F"/>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6"/>
    </w:pPr>
    <w:rPr>
      <w:rFonts w:ascii="Times New Roman" w:eastAsia="Times New Roman" w:hAnsi="Times New Roman"/>
      <w:b/>
      <w:sz w:val="16"/>
      <w:lang w:val="en-US"/>
    </w:rPr>
  </w:style>
  <w:style w:type="paragraph" w:customStyle="1" w:styleId="Address">
    <w:name w:val="Address"/>
    <w:basedOn w:val="Normal"/>
    <w:next w:val="Normal"/>
    <w:uiPriority w:val="99"/>
    <w:rsid w:val="0085433F"/>
    <w:pPr>
      <w:widowControl w:val="0"/>
      <w:tabs>
        <w:tab w:val="clear" w:pos="794"/>
        <w:tab w:val="clear" w:pos="1191"/>
        <w:tab w:val="clear" w:pos="1588"/>
        <w:tab w:val="clear" w:pos="1985"/>
      </w:tabs>
      <w:overflowPunct/>
      <w:autoSpaceDE/>
      <w:autoSpaceDN/>
      <w:adjustRightInd/>
      <w:snapToGrid w:val="0"/>
      <w:spacing w:before="0"/>
      <w:textAlignment w:val="auto"/>
    </w:pPr>
    <w:rPr>
      <w:rFonts w:ascii="Times New Roman" w:eastAsia="Times New Roman" w:hAnsi="Times New Roman"/>
      <w:i/>
      <w:lang w:val="en-US"/>
    </w:rPr>
  </w:style>
  <w:style w:type="paragraph" w:customStyle="1" w:styleId="Preformatted">
    <w:name w:val="Preformatted"/>
    <w:basedOn w:val="Normal"/>
    <w:uiPriority w:val="99"/>
    <w:rsid w:val="0085433F"/>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napToGrid w:val="0"/>
      <w:spacing w:before="0"/>
      <w:textAlignment w:val="auto"/>
    </w:pPr>
    <w:rPr>
      <w:rFonts w:ascii="Courier New" w:eastAsia="Times New Roman" w:hAnsi="Courier New"/>
      <w:sz w:val="20"/>
      <w:lang w:val="en-US"/>
    </w:rPr>
  </w:style>
  <w:style w:type="paragraph" w:customStyle="1" w:styleId="HeadingA">
    <w:name w:val="Heading_A"/>
    <w:basedOn w:val="Headingb"/>
    <w:uiPriority w:val="99"/>
    <w:qFormat/>
    <w:rsid w:val="0085433F"/>
    <w:pPr>
      <w:spacing w:before="200"/>
      <w:ind w:left="794" w:hanging="794"/>
    </w:pPr>
    <w:rPr>
      <w:rFonts w:eastAsiaTheme="minorEastAsia"/>
      <w:sz w:val="26"/>
      <w:szCs w:val="26"/>
    </w:rPr>
  </w:style>
  <w:style w:type="paragraph" w:customStyle="1" w:styleId="xl29">
    <w:name w:val="xl29"/>
    <w:basedOn w:val="Normal"/>
    <w:uiPriority w:val="99"/>
    <w:rsid w:val="0085433F"/>
    <w:pPr>
      <w:pBdr>
        <w:top w:val="single" w:sz="4" w:space="0" w:color="auto"/>
        <w:bottom w:val="single" w:sz="8" w:space="0" w:color="auto"/>
      </w:pBdr>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24">
    <w:name w:val="xl24"/>
    <w:basedOn w:val="Normal"/>
    <w:uiPriority w:val="99"/>
    <w:rsid w:val="0085433F"/>
    <w:pPr>
      <w:pBdr>
        <w:top w:val="single" w:sz="4" w:space="0" w:color="auto"/>
        <w:bottom w:val="double" w:sz="6" w:space="0" w:color="auto"/>
      </w:pBd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uiPriority w:val="99"/>
    <w:rsid w:val="0085433F"/>
    <w:pPr>
      <w:pBdr>
        <w:top w:val="single" w:sz="4" w:space="0" w:color="auto"/>
        <w:bottom w:val="double" w:sz="6" w:space="0" w:color="auto"/>
      </w:pBd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uiPriority w:val="99"/>
    <w:rsid w:val="0085433F"/>
    <w:pP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7">
    <w:name w:val="xl27"/>
    <w:basedOn w:val="Normal"/>
    <w:uiPriority w:val="99"/>
    <w:rsid w:val="0085433F"/>
    <w:pP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uiPriority w:val="99"/>
    <w:rsid w:val="0085433F"/>
    <w:pP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0">
    <w:name w:val="xl30"/>
    <w:basedOn w:val="Normal"/>
    <w:uiPriority w:val="99"/>
    <w:rsid w:val="0085433F"/>
    <w:pPr>
      <w:pBdr>
        <w:top w:val="single" w:sz="4" w:space="0" w:color="auto"/>
        <w:bottom w:val="single" w:sz="8" w:space="0" w:color="auto"/>
      </w:pBdr>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uiPriority w:val="99"/>
    <w:rsid w:val="0085433F"/>
    <w:pP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9">
    <w:name w:val="xl39"/>
    <w:basedOn w:val="Normal"/>
    <w:uiPriority w:val="99"/>
    <w:rsid w:val="0085433F"/>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uiPriority w:val="99"/>
    <w:rsid w:val="0085433F"/>
    <w:pPr>
      <w:pBdr>
        <w:top w:val="single" w:sz="4" w:space="0" w:color="auto"/>
      </w:pBd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uiPriority w:val="99"/>
    <w:rsid w:val="0085433F"/>
    <w:pPr>
      <w:pBdr>
        <w:top w:val="single" w:sz="4" w:space="0" w:color="auto"/>
      </w:pBdr>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uiPriority w:val="99"/>
    <w:rsid w:val="0085433F"/>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uiPriority w:val="99"/>
    <w:rsid w:val="0085433F"/>
    <w:pP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uiPriority w:val="99"/>
    <w:rsid w:val="0085433F"/>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uiPriority w:val="99"/>
    <w:rsid w:val="0085433F"/>
    <w:pPr>
      <w:shd w:val="clear" w:color="auto" w:fill="FFFFFF"/>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uiPriority w:val="99"/>
    <w:rsid w:val="0085433F"/>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uiPriority w:val="99"/>
    <w:rsid w:val="0085433F"/>
    <w:pP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uiPriority w:val="99"/>
    <w:rsid w:val="0085433F"/>
    <w:pPr>
      <w:pBdr>
        <w:top w:val="single" w:sz="4" w:space="0" w:color="auto"/>
        <w:bottom w:val="single" w:sz="4" w:space="0" w:color="auto"/>
      </w:pBd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uiPriority w:val="99"/>
    <w:rsid w:val="0085433F"/>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uiPriority w:val="99"/>
    <w:rsid w:val="0085433F"/>
    <w:pPr>
      <w:pBdr>
        <w:top w:val="single" w:sz="4" w:space="0" w:color="auto"/>
      </w:pBd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uiPriority w:val="99"/>
    <w:rsid w:val="0085433F"/>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uiPriority w:val="99"/>
    <w:rsid w:val="0085433F"/>
    <w:pP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uiPriority w:val="99"/>
    <w:rsid w:val="0085433F"/>
    <w:pP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uiPriority w:val="99"/>
    <w:rsid w:val="0085433F"/>
    <w:pPr>
      <w:pBdr>
        <w:top w:val="single" w:sz="4" w:space="0" w:color="auto"/>
      </w:pBd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uiPriority w:val="99"/>
    <w:rsid w:val="0085433F"/>
    <w:pPr>
      <w:pBdr>
        <w:top w:val="single" w:sz="4" w:space="0" w:color="auto"/>
        <w:bottom w:val="single" w:sz="4" w:space="0" w:color="auto"/>
      </w:pBd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uiPriority w:val="99"/>
    <w:rsid w:val="0085433F"/>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uiPriority w:val="99"/>
    <w:rsid w:val="0085433F"/>
    <w:pP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uiPriority w:val="99"/>
    <w:rsid w:val="0085433F"/>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uiPriority w:val="99"/>
    <w:rsid w:val="0085433F"/>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uiPriority w:val="99"/>
    <w:rsid w:val="0085433F"/>
    <w:pPr>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uiPriority w:val="99"/>
    <w:rsid w:val="0085433F"/>
    <w:pPr>
      <w:pBdr>
        <w:bottom w:val="single" w:sz="4" w:space="0" w:color="auto"/>
      </w:pBd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uiPriority w:val="99"/>
    <w:rsid w:val="0085433F"/>
    <w:pPr>
      <w:pBdr>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Tabletext1">
    <w:name w:val="Table text"/>
    <w:uiPriority w:val="99"/>
    <w:rsid w:val="0085433F"/>
    <w:pPr>
      <w:spacing w:before="180"/>
      <w:jc w:val="both"/>
    </w:pPr>
    <w:rPr>
      <w:rFonts w:ascii="Calibri" w:eastAsiaTheme="minorEastAsia" w:hAnsi="Calibri"/>
      <w:szCs w:val="18"/>
      <w:lang w:val="en-GB"/>
    </w:rPr>
  </w:style>
  <w:style w:type="paragraph" w:customStyle="1" w:styleId="xl32">
    <w:name w:val="xl32"/>
    <w:basedOn w:val="Normal"/>
    <w:uiPriority w:val="99"/>
    <w:rsid w:val="0085433F"/>
    <w:pPr>
      <w:spacing w:before="100" w:beforeAutospacing="1" w:after="100" w:afterAutospacing="1"/>
      <w:textAlignment w:val="auto"/>
    </w:pPr>
    <w:rPr>
      <w:rFonts w:ascii="Times New Roman" w:eastAsia="Arial Unicode MS" w:hAnsi="Times New Roman"/>
      <w:szCs w:val="24"/>
      <w:lang w:val="en-US"/>
    </w:rPr>
  </w:style>
  <w:style w:type="paragraph" w:customStyle="1" w:styleId="xl107">
    <w:name w:val="xl107"/>
    <w:basedOn w:val="Normal"/>
    <w:rsid w:val="0085433F"/>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8">
    <w:name w:val="xl108"/>
    <w:basedOn w:val="Normal"/>
    <w:rsid w:val="0085433F"/>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9">
    <w:name w:val="xl109"/>
    <w:basedOn w:val="Normal"/>
    <w:rsid w:val="0085433F"/>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10">
    <w:name w:val="xl110"/>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1">
    <w:name w:val="xl111"/>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2">
    <w:name w:val="xl112"/>
    <w:basedOn w:val="Normal"/>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3">
    <w:name w:val="xl113"/>
    <w:basedOn w:val="Normal"/>
    <w:rsid w:val="0085433F"/>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4">
    <w:name w:val="xl114"/>
    <w:basedOn w:val="Normal"/>
    <w:rsid w:val="0085433F"/>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5">
    <w:name w:val="xl115"/>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6">
    <w:name w:val="xl116"/>
    <w:basedOn w:val="Normal"/>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7">
    <w:name w:val="xl117"/>
    <w:basedOn w:val="Normal"/>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8">
    <w:name w:val="xl118"/>
    <w:basedOn w:val="Normal"/>
    <w:rsid w:val="0085433F"/>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9">
    <w:name w:val="xl119"/>
    <w:basedOn w:val="Normal"/>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20">
    <w:name w:val="xl120"/>
    <w:basedOn w:val="Normal"/>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1">
    <w:name w:val="xl121"/>
    <w:basedOn w:val="Normal"/>
    <w:rsid w:val="0085433F"/>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2">
    <w:name w:val="xl122"/>
    <w:basedOn w:val="Normal"/>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3">
    <w:name w:val="xl123"/>
    <w:basedOn w:val="Normal"/>
    <w:rsid w:val="0085433F"/>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4">
    <w:name w:val="xl124"/>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5">
    <w:name w:val="xl125"/>
    <w:basedOn w:val="Normal"/>
    <w:rsid w:val="0085433F"/>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6">
    <w:name w:val="xl126"/>
    <w:basedOn w:val="Normal"/>
    <w:rsid w:val="0085433F"/>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7">
    <w:name w:val="xl127"/>
    <w:basedOn w:val="Normal"/>
    <w:rsid w:val="0085433F"/>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8">
    <w:name w:val="xl128"/>
    <w:basedOn w:val="Normal"/>
    <w:rsid w:val="0085433F"/>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9">
    <w:name w:val="xl129"/>
    <w:basedOn w:val="Normal"/>
    <w:rsid w:val="0085433F"/>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0">
    <w:name w:val="xl130"/>
    <w:basedOn w:val="Normal"/>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1">
    <w:name w:val="xl131"/>
    <w:basedOn w:val="Normal"/>
    <w:rsid w:val="0085433F"/>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2">
    <w:name w:val="xl132"/>
    <w:basedOn w:val="Normal"/>
    <w:rsid w:val="0085433F"/>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3">
    <w:name w:val="xl133"/>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4">
    <w:name w:val="xl134"/>
    <w:basedOn w:val="Normal"/>
    <w:rsid w:val="0085433F"/>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5">
    <w:name w:val="xl135"/>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6">
    <w:name w:val="xl136"/>
    <w:basedOn w:val="Normal"/>
    <w:rsid w:val="0085433F"/>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7">
    <w:name w:val="xl137"/>
    <w:basedOn w:val="Normal"/>
    <w:rsid w:val="0085433F"/>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8">
    <w:name w:val="xl138"/>
    <w:basedOn w:val="Normal"/>
    <w:rsid w:val="0085433F"/>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9">
    <w:name w:val="xl139"/>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40">
    <w:name w:val="xl140"/>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1">
    <w:name w:val="xl141"/>
    <w:basedOn w:val="Normal"/>
    <w:rsid w:val="0085433F"/>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2">
    <w:name w:val="xl142"/>
    <w:basedOn w:val="Normal"/>
    <w:rsid w:val="0085433F"/>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3">
    <w:name w:val="xl143"/>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85433F"/>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85433F"/>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85433F"/>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85433F"/>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85433F"/>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85433F"/>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85433F"/>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85433F"/>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85433F"/>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85433F"/>
    <w:pPr>
      <w:pBdr>
        <w:top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85433F"/>
    <w:pPr>
      <w:pBdr>
        <w:top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85433F"/>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85433F"/>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85433F"/>
    <w:pPr>
      <w:pBdr>
        <w:top w:val="single" w:sz="4" w:space="0" w:color="auto"/>
        <w:left w:val="single" w:sz="4" w:space="0" w:color="auto"/>
        <w:bottom w:val="double" w:sz="6"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85433F"/>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85433F"/>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85433F"/>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85433F"/>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85433F"/>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85433F"/>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85433F"/>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85433F"/>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85433F"/>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85433F"/>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85433F"/>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85433F"/>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85433F"/>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85433F"/>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85433F"/>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85433F"/>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olor w:val="000000"/>
      <w:sz w:val="20"/>
      <w:lang w:val="en-US" w:eastAsia="zh-CN"/>
    </w:rPr>
  </w:style>
  <w:style w:type="paragraph" w:customStyle="1" w:styleId="xl193">
    <w:name w:val="xl193"/>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uiPriority w:val="99"/>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uiPriority w:val="99"/>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uiPriority w:val="99"/>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uiPriority w:val="99"/>
    <w:rsid w:val="0085433F"/>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uiPriority w:val="99"/>
    <w:rsid w:val="0085433F"/>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uiPriority w:val="99"/>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uiPriority w:val="99"/>
    <w:rsid w:val="0085433F"/>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uiPriority w:val="99"/>
    <w:rsid w:val="0085433F"/>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5">
    <w:name w:val="xl205"/>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6">
    <w:name w:val="xl206"/>
    <w:basedOn w:val="Normal"/>
    <w:uiPriority w:val="99"/>
    <w:rsid w:val="0085433F"/>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uiPriority w:val="99"/>
    <w:rsid w:val="0085433F"/>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uiPriority w:val="99"/>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uiPriority w:val="99"/>
    <w:rsid w:val="0085433F"/>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uiPriority w:val="99"/>
    <w:rsid w:val="0085433F"/>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uiPriority w:val="99"/>
    <w:rsid w:val="0085433F"/>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uiPriority w:val="99"/>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4">
    <w:name w:val="xl214"/>
    <w:basedOn w:val="Normal"/>
    <w:uiPriority w:val="99"/>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5">
    <w:name w:val="xl215"/>
    <w:basedOn w:val="Normal"/>
    <w:uiPriority w:val="99"/>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6">
    <w:name w:val="xl216"/>
    <w:basedOn w:val="Normal"/>
    <w:uiPriority w:val="99"/>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7">
    <w:name w:val="xl217"/>
    <w:basedOn w:val="Normal"/>
    <w:uiPriority w:val="99"/>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8">
    <w:name w:val="xl218"/>
    <w:basedOn w:val="Normal"/>
    <w:uiPriority w:val="99"/>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9">
    <w:name w:val="xl219"/>
    <w:basedOn w:val="Normal"/>
    <w:uiPriority w:val="99"/>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0">
    <w:name w:val="xl220"/>
    <w:basedOn w:val="Normal"/>
    <w:uiPriority w:val="99"/>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1">
    <w:name w:val="xl221"/>
    <w:basedOn w:val="Normal"/>
    <w:uiPriority w:val="99"/>
    <w:rsid w:val="0085433F"/>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2">
    <w:name w:val="xl222"/>
    <w:basedOn w:val="Normal"/>
    <w:uiPriority w:val="99"/>
    <w:rsid w:val="0085433F"/>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3">
    <w:name w:val="xl223"/>
    <w:basedOn w:val="Normal"/>
    <w:uiPriority w:val="99"/>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4">
    <w:name w:val="xl224"/>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5">
    <w:name w:val="xl225"/>
    <w:basedOn w:val="Normal"/>
    <w:uiPriority w:val="99"/>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377">
    <w:name w:val="xl2377"/>
    <w:basedOn w:val="Normal"/>
    <w:uiPriority w:val="99"/>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uiPriority w:val="99"/>
    <w:rsid w:val="0085433F"/>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uiPriority w:val="99"/>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uiPriority w:val="99"/>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uiPriority w:val="99"/>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uiPriority w:val="99"/>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uiPriority w:val="99"/>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uiPriority w:val="99"/>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uiPriority w:val="99"/>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uiPriority w:val="99"/>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uiPriority w:val="99"/>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uiPriority w:val="99"/>
    <w:rsid w:val="0085433F"/>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uiPriority w:val="99"/>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uiPriority w:val="99"/>
    <w:rsid w:val="0085433F"/>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uiPriority w:val="99"/>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uiPriority w:val="99"/>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uiPriority w:val="99"/>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uiPriority w:val="99"/>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uiPriority w:val="99"/>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uiPriority w:val="99"/>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uiPriority w:val="99"/>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uiPriority w:val="99"/>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uiPriority w:val="99"/>
    <w:rsid w:val="0085433F"/>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85433F"/>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85433F"/>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85433F"/>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85433F"/>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85433F"/>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85433F"/>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85433F"/>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85433F"/>
    <w:pPr>
      <w:pBdr>
        <w:top w:val="single" w:sz="4" w:space="0" w:color="auto"/>
        <w:left w:val="single" w:sz="4" w:space="0" w:color="auto"/>
        <w:bottom w:val="double" w:sz="6"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85433F"/>
    <w:pPr>
      <w:pBdr>
        <w:top w:val="single" w:sz="4" w:space="0" w:color="auto"/>
        <w:left w:val="single" w:sz="4" w:space="0" w:color="auto"/>
        <w:bottom w:val="double" w:sz="6" w:space="0" w:color="auto"/>
        <w:right w:val="single" w:sz="4"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85433F"/>
    <w:pPr>
      <w:pBdr>
        <w:top w:val="single" w:sz="4" w:space="0" w:color="auto"/>
        <w:left w:val="single" w:sz="4" w:space="0" w:color="auto"/>
        <w:bottom w:val="double" w:sz="6" w:space="0" w:color="auto"/>
        <w:right w:val="single" w:sz="4"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2">
    <w:name w:val="xl2422"/>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3">
    <w:name w:val="xl2423"/>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4">
    <w:name w:val="xl2424"/>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6">
    <w:name w:val="xl2426"/>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8"/>
      <w:szCs w:val="18"/>
      <w:lang w:eastAsia="zh-CN"/>
    </w:rPr>
  </w:style>
  <w:style w:type="paragraph" w:customStyle="1" w:styleId="Pa0">
    <w:name w:val="Pa0"/>
    <w:basedOn w:val="Default"/>
    <w:next w:val="Default"/>
    <w:uiPriority w:val="99"/>
    <w:rsid w:val="0085433F"/>
    <w:pPr>
      <w:spacing w:line="191" w:lineRule="atLeast"/>
    </w:pPr>
    <w:rPr>
      <w:rFonts w:ascii="Calibri Light" w:hAnsi="Calibri Light" w:cs="Times New Roman"/>
      <w:color w:val="auto"/>
      <w:lang w:val="en-GB"/>
    </w:rPr>
  </w:style>
  <w:style w:type="paragraph" w:customStyle="1" w:styleId="xl2431">
    <w:name w:val="xl2431"/>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85433F"/>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85433F"/>
    <w:pPr>
      <w:pBdr>
        <w:top w:val="single" w:sz="4" w:space="0" w:color="auto"/>
        <w:left w:val="single" w:sz="4" w:space="0" w:color="auto"/>
        <w:bottom w:val="single" w:sz="4" w:space="0" w:color="auto"/>
        <w:right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85433F"/>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85433F"/>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85433F"/>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85433F"/>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85433F"/>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85433F"/>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85433F"/>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85433F"/>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85433F"/>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85433F"/>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85433F"/>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85433F"/>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85433F"/>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85433F"/>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85433F"/>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85433F"/>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85433F"/>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85433F"/>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85433F"/>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85433F"/>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85433F"/>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85433F"/>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85433F"/>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85433F"/>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85433F"/>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85433F"/>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85433F"/>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85433F"/>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85433F"/>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85433F"/>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85433F"/>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85433F"/>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85433F"/>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85433F"/>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85433F"/>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85433F"/>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85433F"/>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85433F"/>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85433F"/>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85433F"/>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character" w:styleId="PlaceholderText">
    <w:name w:val="Placeholder Text"/>
    <w:basedOn w:val="DefaultParagraphFont"/>
    <w:uiPriority w:val="99"/>
    <w:semiHidden/>
    <w:rsid w:val="0085433F"/>
    <w:rPr>
      <w:color w:val="808080"/>
    </w:rPr>
  </w:style>
  <w:style w:type="character" w:customStyle="1" w:styleId="lang-en">
    <w:name w:val="lang-en"/>
    <w:basedOn w:val="DefaultParagraphFont"/>
    <w:rsid w:val="0085433F"/>
  </w:style>
  <w:style w:type="character" w:customStyle="1" w:styleId="shorttext">
    <w:name w:val="short_text"/>
    <w:basedOn w:val="DefaultParagraphFont"/>
    <w:rsid w:val="0085433F"/>
  </w:style>
  <w:style w:type="character" w:customStyle="1" w:styleId="labellist">
    <w:name w:val="label_list"/>
    <w:basedOn w:val="DefaultParagraphFont"/>
    <w:rsid w:val="0085433F"/>
  </w:style>
  <w:style w:type="character" w:customStyle="1" w:styleId="Appdef">
    <w:name w:val="App_def"/>
    <w:basedOn w:val="DefaultParagraphFont"/>
    <w:rsid w:val="0085433F"/>
    <w:rPr>
      <w:rFonts w:ascii="Times New Roman" w:hAnsi="Times New Roman" w:cs="Times New Roman" w:hint="default"/>
      <w:b/>
      <w:bCs w:val="0"/>
    </w:rPr>
  </w:style>
  <w:style w:type="character" w:customStyle="1" w:styleId="Appref">
    <w:name w:val="App_ref"/>
    <w:basedOn w:val="DefaultParagraphFont"/>
    <w:rsid w:val="0085433F"/>
  </w:style>
  <w:style w:type="character" w:customStyle="1" w:styleId="Artdef">
    <w:name w:val="Art_def"/>
    <w:basedOn w:val="DefaultParagraphFont"/>
    <w:rsid w:val="0085433F"/>
    <w:rPr>
      <w:rFonts w:ascii="Times New Roman" w:hAnsi="Times New Roman" w:cs="Times New Roman" w:hint="default"/>
      <w:b/>
      <w:bCs w:val="0"/>
    </w:rPr>
  </w:style>
  <w:style w:type="character" w:customStyle="1" w:styleId="Artref">
    <w:name w:val="Art_ref"/>
    <w:basedOn w:val="DefaultParagraphFont"/>
    <w:rsid w:val="0085433F"/>
  </w:style>
  <w:style w:type="character" w:customStyle="1" w:styleId="Recdef">
    <w:name w:val="Rec_def"/>
    <w:basedOn w:val="DefaultParagraphFont"/>
    <w:rsid w:val="0085433F"/>
    <w:rPr>
      <w:b/>
      <w:bCs w:val="0"/>
    </w:rPr>
  </w:style>
  <w:style w:type="character" w:customStyle="1" w:styleId="Resdef">
    <w:name w:val="Res_def"/>
    <w:basedOn w:val="DefaultParagraphFont"/>
    <w:rsid w:val="0085433F"/>
    <w:rPr>
      <w:rFonts w:ascii="Times New Roman" w:hAnsi="Times New Roman" w:cs="Times New Roman" w:hint="default"/>
      <w:b/>
      <w:bCs w:val="0"/>
    </w:rPr>
  </w:style>
  <w:style w:type="character" w:customStyle="1" w:styleId="Tablefreq">
    <w:name w:val="Table_freq"/>
    <w:basedOn w:val="DefaultParagraphFont"/>
    <w:rsid w:val="0085433F"/>
    <w:rPr>
      <w:b/>
      <w:bCs w:val="0"/>
      <w:color w:val="auto"/>
    </w:rPr>
  </w:style>
  <w:style w:type="character" w:customStyle="1" w:styleId="HTMLMarkup">
    <w:name w:val="HTML Markup"/>
    <w:rsid w:val="0085433F"/>
    <w:rPr>
      <w:vanish/>
      <w:webHidden w:val="0"/>
      <w:color w:val="FF0000"/>
      <w:specVanish w:val="0"/>
    </w:rPr>
  </w:style>
  <w:style w:type="character" w:customStyle="1" w:styleId="Definition">
    <w:name w:val="Definition"/>
    <w:rsid w:val="0085433F"/>
    <w:rPr>
      <w:i/>
      <w:iCs w:val="0"/>
    </w:rPr>
  </w:style>
  <w:style w:type="character" w:customStyle="1" w:styleId="CITE">
    <w:name w:val="CITE"/>
    <w:rsid w:val="0085433F"/>
    <w:rPr>
      <w:i/>
      <w:iCs w:val="0"/>
    </w:rPr>
  </w:style>
  <w:style w:type="character" w:customStyle="1" w:styleId="CODE">
    <w:name w:val="CODE"/>
    <w:rsid w:val="0085433F"/>
    <w:rPr>
      <w:rFonts w:ascii="Courier New" w:hAnsi="Courier New" w:cs="Courier New" w:hint="default"/>
      <w:sz w:val="20"/>
    </w:rPr>
  </w:style>
  <w:style w:type="character" w:customStyle="1" w:styleId="Keyboard">
    <w:name w:val="Keyboard"/>
    <w:rsid w:val="0085433F"/>
    <w:rPr>
      <w:rFonts w:ascii="Courier New" w:hAnsi="Courier New" w:cs="Courier New" w:hint="default"/>
      <w:b/>
      <w:bCs w:val="0"/>
      <w:sz w:val="20"/>
    </w:rPr>
  </w:style>
  <w:style w:type="character" w:customStyle="1" w:styleId="Sample">
    <w:name w:val="Sample"/>
    <w:rsid w:val="0085433F"/>
    <w:rPr>
      <w:rFonts w:ascii="Courier New" w:hAnsi="Courier New" w:cs="Courier New" w:hint="default"/>
    </w:rPr>
  </w:style>
  <w:style w:type="character" w:customStyle="1" w:styleId="Typewriter">
    <w:name w:val="Typewriter"/>
    <w:rsid w:val="0085433F"/>
    <w:rPr>
      <w:rFonts w:ascii="Courier New" w:hAnsi="Courier New" w:cs="Courier New" w:hint="default"/>
      <w:sz w:val="20"/>
    </w:rPr>
  </w:style>
  <w:style w:type="character" w:customStyle="1" w:styleId="Variable">
    <w:name w:val="Variable"/>
    <w:rsid w:val="0085433F"/>
    <w:rPr>
      <w:i/>
      <w:iCs w:val="0"/>
    </w:rPr>
  </w:style>
  <w:style w:type="character" w:customStyle="1" w:styleId="Comment">
    <w:name w:val="Comment"/>
    <w:rsid w:val="0085433F"/>
    <w:rPr>
      <w:vanish/>
      <w:webHidden w:val="0"/>
      <w:specVanish w:val="0"/>
    </w:rPr>
  </w:style>
  <w:style w:type="character" w:customStyle="1" w:styleId="TabletitleChar">
    <w:name w:val="Table_title Char"/>
    <w:basedOn w:val="DefaultParagraphFont"/>
    <w:link w:val="Tabletitle"/>
    <w:locked/>
    <w:rsid w:val="0085433F"/>
    <w:rPr>
      <w:rFonts w:ascii="Times New Roman Bold" w:hAnsi="Times New Roman Bold"/>
      <w:b/>
      <w:sz w:val="24"/>
      <w:lang w:val="en-GB" w:eastAsia="en-US"/>
    </w:rPr>
  </w:style>
  <w:style w:type="table" w:customStyle="1" w:styleId="GridTable1Light-Accent51">
    <w:name w:val="Grid Table 1 Light - Accent 51"/>
    <w:basedOn w:val="TableNormal"/>
    <w:uiPriority w:val="46"/>
    <w:rsid w:val="0085433F"/>
    <w:rPr>
      <w:rFonts w:asciiTheme="minorHAnsi" w:eastAsiaTheme="minorEastAsia" w:hAnsiTheme="minorHAnsi" w:cstheme="minorBidi"/>
      <w:sz w:val="22"/>
      <w:szCs w:val="22"/>
      <w:lang w:val="en-GB"/>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1Light-Accent51">
    <w:name w:val="List Table 1 Light - Accent 51"/>
    <w:basedOn w:val="TableNormal"/>
    <w:uiPriority w:val="46"/>
    <w:rsid w:val="0085433F"/>
    <w:rPr>
      <w:rFonts w:asciiTheme="minorHAnsi" w:eastAsiaTheme="minorEastAsia" w:hAnsiTheme="minorHAnsi" w:cstheme="minorBidi"/>
      <w:sz w:val="22"/>
      <w:szCs w:val="22"/>
      <w:lang w:val="en-GB"/>
    </w:rPr>
    <w:tblPr>
      <w:tblStyleRowBandSize w:val="1"/>
      <w:tblStyleColBandSize w:val="1"/>
      <w:tblInd w:w="0" w:type="nil"/>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DarkList1">
    <w:name w:val="Dark List1"/>
    <w:basedOn w:val="TableNormal"/>
    <w:uiPriority w:val="70"/>
    <w:rsid w:val="0085433F"/>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11">
    <w:name w:val="Dark List11"/>
    <w:basedOn w:val="TableNormal"/>
    <w:uiPriority w:val="70"/>
    <w:rsid w:val="0085433F"/>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TableGrid6">
    <w:name w:val="Table Grid6"/>
    <w:basedOn w:val="TableNormal"/>
    <w:uiPriority w:val="59"/>
    <w:rsid w:val="00854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854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854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
    <w:name w:val="AnnexB4"/>
    <w:basedOn w:val="TableNormal"/>
    <w:uiPriority w:val="99"/>
    <w:rsid w:val="0085433F"/>
    <w:rPr>
      <w:rFonts w:ascii="Calibri" w:eastAsiaTheme="minorEastAsia"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3">
    <w:name w:val="Style3"/>
    <w:uiPriority w:val="99"/>
    <w:rsid w:val="0085433F"/>
    <w:pPr>
      <w:numPr>
        <w:numId w:val="18"/>
      </w:numPr>
    </w:pPr>
  </w:style>
  <w:style w:type="numbering" w:customStyle="1" w:styleId="Style2">
    <w:name w:val="Style2"/>
    <w:uiPriority w:val="99"/>
    <w:rsid w:val="0085433F"/>
    <w:pPr>
      <w:numPr>
        <w:numId w:val="19"/>
      </w:numPr>
    </w:pPr>
  </w:style>
  <w:style w:type="paragraph" w:customStyle="1" w:styleId="xl2492">
    <w:name w:val="xl2492"/>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493">
    <w:name w:val="xl2493"/>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494">
    <w:name w:val="xl2494"/>
    <w:basedOn w:val="Normal"/>
    <w:rsid w:val="0085433F"/>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495">
    <w:name w:val="xl2495"/>
    <w:basedOn w:val="Normal"/>
    <w:rsid w:val="0085433F"/>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496">
    <w:name w:val="xl2496"/>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497">
    <w:name w:val="xl2497"/>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8">
    <w:name w:val="xl2498"/>
    <w:basedOn w:val="Normal"/>
    <w:rsid w:val="0085433F"/>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9">
    <w:name w:val="xl2499"/>
    <w:basedOn w:val="Normal"/>
    <w:rsid w:val="0085433F"/>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0">
    <w:name w:val="xl2500"/>
    <w:basedOn w:val="Normal"/>
    <w:rsid w:val="008543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1">
    <w:name w:val="xl2501"/>
    <w:basedOn w:val="Normal"/>
    <w:rsid w:val="0085433F"/>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2">
    <w:name w:val="xl2502"/>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3">
    <w:name w:val="xl2503"/>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4">
    <w:name w:val="xl2504"/>
    <w:basedOn w:val="Normal"/>
    <w:rsid w:val="0085433F"/>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5">
    <w:name w:val="xl2505"/>
    <w:basedOn w:val="Normal"/>
    <w:rsid w:val="0085433F"/>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6">
    <w:name w:val="xl2506"/>
    <w:basedOn w:val="Normal"/>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507">
    <w:name w:val="xl2507"/>
    <w:basedOn w:val="Normal"/>
    <w:rsid w:val="0085433F"/>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8">
    <w:name w:val="xl2508"/>
    <w:basedOn w:val="Normal"/>
    <w:rsid w:val="0085433F"/>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9">
    <w:name w:val="xl2509"/>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0">
    <w:name w:val="xl2510"/>
    <w:basedOn w:val="Normal"/>
    <w:rsid w:val="0085433F"/>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11">
    <w:name w:val="xl2511"/>
    <w:basedOn w:val="Normal"/>
    <w:rsid w:val="0085433F"/>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2">
    <w:name w:val="xl2512"/>
    <w:basedOn w:val="Normal"/>
    <w:rsid w:val="0085433F"/>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3">
    <w:name w:val="xl2513"/>
    <w:basedOn w:val="Normal"/>
    <w:rsid w:val="0085433F"/>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4">
    <w:name w:val="xl2514"/>
    <w:basedOn w:val="Normal"/>
    <w:rsid w:val="0085433F"/>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15">
    <w:name w:val="xl2515"/>
    <w:basedOn w:val="Normal"/>
    <w:rsid w:val="0085433F"/>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6">
    <w:name w:val="xl2516"/>
    <w:basedOn w:val="Normal"/>
    <w:rsid w:val="0085433F"/>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7">
    <w:name w:val="xl2517"/>
    <w:basedOn w:val="Normal"/>
    <w:rsid w:val="0085433F"/>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8">
    <w:name w:val="xl2518"/>
    <w:basedOn w:val="Normal"/>
    <w:rsid w:val="0085433F"/>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9">
    <w:name w:val="xl2519"/>
    <w:basedOn w:val="Normal"/>
    <w:rsid w:val="0085433F"/>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20">
    <w:name w:val="xl2520"/>
    <w:basedOn w:val="Normal"/>
    <w:rsid w:val="0085433F"/>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color w:val="000000"/>
      <w:sz w:val="16"/>
      <w:szCs w:val="16"/>
      <w:lang w:val="en-US" w:eastAsia="zh-CN"/>
    </w:rPr>
  </w:style>
  <w:style w:type="paragraph" w:customStyle="1" w:styleId="xl2521">
    <w:name w:val="xl2521"/>
    <w:basedOn w:val="Normal"/>
    <w:rsid w:val="0085433F"/>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522">
    <w:name w:val="xl2522"/>
    <w:basedOn w:val="Normal"/>
    <w:rsid w:val="0085433F"/>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3">
    <w:name w:val="xl2523"/>
    <w:basedOn w:val="Normal"/>
    <w:rsid w:val="0085433F"/>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4">
    <w:name w:val="xl2524"/>
    <w:basedOn w:val="Normal"/>
    <w:rsid w:val="0085433F"/>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table" w:customStyle="1" w:styleId="TableGrid8">
    <w:name w:val="Table Grid8"/>
    <w:basedOn w:val="TableNormal"/>
    <w:next w:val="TableGrid"/>
    <w:rsid w:val="008543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uiPriority w:val="99"/>
    <w:semiHidden/>
    <w:unhideWhenUsed/>
    <w:rsid w:val="0085433F"/>
    <w:pPr>
      <w:jc w:val="both"/>
      <w:textAlignment w:val="auto"/>
    </w:pPr>
    <w:rPr>
      <w:rFonts w:ascii="Times New Roman" w:hAnsi="Times New Roman" w:cs="Arial"/>
      <w:sz w:val="22"/>
      <w:szCs w:val="22"/>
    </w:rPr>
  </w:style>
  <w:style w:type="paragraph" w:customStyle="1" w:styleId="BodyText1">
    <w:name w:val="Body Text1"/>
    <w:basedOn w:val="Normal"/>
    <w:next w:val="BodyText"/>
    <w:uiPriority w:val="99"/>
    <w:semiHidden/>
    <w:unhideWhenUsed/>
    <w:rsid w:val="0085433F"/>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cs="Arial"/>
      <w:szCs w:val="24"/>
      <w:lang w:val="en-US" w:eastAsia="zh-CN"/>
    </w:rPr>
  </w:style>
  <w:style w:type="paragraph" w:customStyle="1" w:styleId="BodyTextIndent21">
    <w:name w:val="Body Text Indent 21"/>
    <w:basedOn w:val="Normal"/>
    <w:next w:val="BodyTextIndent2"/>
    <w:uiPriority w:val="99"/>
    <w:semiHidden/>
    <w:unhideWhenUsed/>
    <w:rsid w:val="0085433F"/>
    <w:pPr>
      <w:widowControl w:val="0"/>
      <w:tabs>
        <w:tab w:val="clear" w:pos="794"/>
        <w:tab w:val="clear" w:pos="1191"/>
        <w:tab w:val="clear" w:pos="1588"/>
        <w:tab w:val="clear" w:pos="1985"/>
      </w:tabs>
      <w:kinsoku w:val="0"/>
      <w:overflowPunct/>
      <w:autoSpaceDE/>
      <w:autoSpaceDN/>
      <w:adjustRightInd/>
      <w:spacing w:before="0" w:after="120" w:line="480" w:lineRule="auto"/>
      <w:ind w:left="283"/>
      <w:textAlignment w:val="auto"/>
    </w:pPr>
    <w:rPr>
      <w:rFonts w:ascii="Times New Roman" w:hAnsi="Times New Roman" w:cs="Arial"/>
      <w:szCs w:val="24"/>
      <w:lang w:val="en-US" w:eastAsia="zh-CN"/>
    </w:rPr>
  </w:style>
  <w:style w:type="paragraph" w:customStyle="1" w:styleId="Quote1">
    <w:name w:val="Quote1"/>
    <w:basedOn w:val="Normal"/>
    <w:next w:val="Normal"/>
    <w:uiPriority w:val="29"/>
    <w:qFormat/>
    <w:rsid w:val="0085433F"/>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textAlignment w:val="auto"/>
    </w:pPr>
    <w:rPr>
      <w:i/>
      <w:iCs/>
      <w:color w:val="404040"/>
    </w:rPr>
  </w:style>
  <w:style w:type="paragraph" w:customStyle="1" w:styleId="TOCHeading1">
    <w:name w:val="TOC Heading1"/>
    <w:basedOn w:val="Heading1"/>
    <w:next w:val="Normal"/>
    <w:uiPriority w:val="39"/>
    <w:semiHidden/>
    <w:unhideWhenUsed/>
    <w:qFormat/>
    <w:rsid w:val="0085433F"/>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Cambria" w:hAnsi="Cambria"/>
      <w:bCs/>
      <w:color w:val="365F91"/>
      <w:szCs w:val="28"/>
      <w:lang w:val="en-US" w:eastAsia="ja-JP"/>
    </w:rPr>
  </w:style>
  <w:style w:type="table" w:customStyle="1" w:styleId="GridTable1Light-Accent511">
    <w:name w:val="Grid Table 1 Light - Accent 511"/>
    <w:basedOn w:val="TableNormal"/>
    <w:next w:val="GridTable1Light-Accent51"/>
    <w:uiPriority w:val="46"/>
    <w:rsid w:val="0085433F"/>
    <w:rPr>
      <w:rFonts w:ascii="Calibri"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
    <w:name w:val="List Table 1 Light - Accent 511"/>
    <w:basedOn w:val="TableNormal"/>
    <w:next w:val="ListTable1Light-Accent51"/>
    <w:uiPriority w:val="46"/>
    <w:rsid w:val="0085433F"/>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
    <w:name w:val="Dark List12"/>
    <w:basedOn w:val="TableNormal"/>
    <w:uiPriority w:val="70"/>
    <w:rsid w:val="0085433F"/>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
    <w:name w:val="Dark List111"/>
    <w:basedOn w:val="TableNormal"/>
    <w:uiPriority w:val="70"/>
    <w:rsid w:val="0085433F"/>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
    <w:name w:val="Table Grid13"/>
    <w:basedOn w:val="TableNormal"/>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
    <w:name w:val="AnnexB41"/>
    <w:basedOn w:val="TableNormal"/>
    <w:uiPriority w:val="99"/>
    <w:rsid w:val="0085433F"/>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character" w:customStyle="1" w:styleId="EndnoteTextChar1">
    <w:name w:val="Endnote Text Char1"/>
    <w:basedOn w:val="DefaultParagraphFont"/>
    <w:uiPriority w:val="99"/>
    <w:semiHidden/>
    <w:rsid w:val="0085433F"/>
    <w:rPr>
      <w:sz w:val="20"/>
      <w:szCs w:val="20"/>
    </w:rPr>
  </w:style>
  <w:style w:type="character" w:customStyle="1" w:styleId="BodyTextChar1">
    <w:name w:val="Body Text Char1"/>
    <w:basedOn w:val="DefaultParagraphFont"/>
    <w:uiPriority w:val="99"/>
    <w:semiHidden/>
    <w:rsid w:val="0085433F"/>
  </w:style>
  <w:style w:type="character" w:customStyle="1" w:styleId="BodyTextIndent2Char1">
    <w:name w:val="Body Text Indent 2 Char1"/>
    <w:basedOn w:val="DefaultParagraphFont"/>
    <w:uiPriority w:val="99"/>
    <w:semiHidden/>
    <w:rsid w:val="0085433F"/>
  </w:style>
  <w:style w:type="character" w:customStyle="1" w:styleId="QuoteChar1">
    <w:name w:val="Quote Char1"/>
    <w:basedOn w:val="DefaultParagraphFont"/>
    <w:uiPriority w:val="29"/>
    <w:rsid w:val="0085433F"/>
    <w:rPr>
      <w:i/>
      <w:iCs/>
      <w:color w:val="404040"/>
    </w:rPr>
  </w:style>
  <w:style w:type="table" w:customStyle="1" w:styleId="GridTable1Light-Accent52">
    <w:name w:val="Grid Table 1 Light - Accent 52"/>
    <w:basedOn w:val="TableNormal"/>
    <w:next w:val="GridTable1Light-Accent51"/>
    <w:uiPriority w:val="46"/>
    <w:rsid w:val="0085433F"/>
    <w:rPr>
      <w:rFonts w:ascii="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
    <w:name w:val="List Table 1 Light - Accent 52"/>
    <w:basedOn w:val="TableNormal"/>
    <w:next w:val="ListTable1Light-Accent51"/>
    <w:uiPriority w:val="46"/>
    <w:rsid w:val="0085433F"/>
    <w:rPr>
      <w:rFonts w:ascii="Calibri"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5">
    <w:name w:val="Grid Table 1 Light Accent 5"/>
    <w:basedOn w:val="TableNormal"/>
    <w:uiPriority w:val="46"/>
    <w:rsid w:val="008543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8543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9">
    <w:name w:val="Table Grid9"/>
    <w:basedOn w:val="TableNormal"/>
    <w:next w:val="TableGrid"/>
    <w:rsid w:val="008543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85433F"/>
    <w:rPr>
      <w:rFonts w:ascii="Calibri" w:hAnsi="Calibri" w:cs="Arial"/>
      <w:sz w:val="22"/>
      <w:szCs w:val="22"/>
      <w:lang w:val="en-GB"/>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12">
    <w:name w:val="List Table 1 Light - Accent 512"/>
    <w:basedOn w:val="TableNormal"/>
    <w:uiPriority w:val="46"/>
    <w:rsid w:val="0085433F"/>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arkList13">
    <w:name w:val="Dark List13"/>
    <w:basedOn w:val="TableNormal"/>
    <w:uiPriority w:val="70"/>
    <w:rsid w:val="0085433F"/>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2">
    <w:name w:val="Dark List112"/>
    <w:basedOn w:val="TableNormal"/>
    <w:uiPriority w:val="70"/>
    <w:rsid w:val="0085433F"/>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4">
    <w:name w:val="Table Grid14"/>
    <w:basedOn w:val="TableNormal"/>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2">
    <w:name w:val="AnnexB42"/>
    <w:basedOn w:val="TableNormal"/>
    <w:uiPriority w:val="99"/>
    <w:rsid w:val="0085433F"/>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table" w:customStyle="1" w:styleId="TableGrid81">
    <w:name w:val="Table Grid81"/>
    <w:basedOn w:val="TableNormal"/>
    <w:next w:val="TableGrid"/>
    <w:rsid w:val="008543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next w:val="GridTable1Light-Accent51"/>
    <w:uiPriority w:val="46"/>
    <w:rsid w:val="0085433F"/>
    <w:rPr>
      <w:rFonts w:ascii="Calibri"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1">
    <w:name w:val="List Table 1 Light - Accent 5111"/>
    <w:basedOn w:val="TableNormal"/>
    <w:next w:val="ListTable1Light-Accent51"/>
    <w:uiPriority w:val="46"/>
    <w:rsid w:val="0085433F"/>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1">
    <w:name w:val="Dark List121"/>
    <w:basedOn w:val="TableNormal"/>
    <w:uiPriority w:val="70"/>
    <w:rsid w:val="0085433F"/>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1">
    <w:name w:val="Dark List1111"/>
    <w:basedOn w:val="TableNormal"/>
    <w:uiPriority w:val="70"/>
    <w:rsid w:val="0085433F"/>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1">
    <w:name w:val="Table Grid131"/>
    <w:basedOn w:val="TableNormal"/>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85433F"/>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rsid w:val="0085433F"/>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1">
    <w:name w:val="AnnexB411"/>
    <w:basedOn w:val="TableNormal"/>
    <w:uiPriority w:val="99"/>
    <w:rsid w:val="0085433F"/>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table" w:customStyle="1" w:styleId="GridTable1Light-Accent521">
    <w:name w:val="Grid Table 1 Light - Accent 521"/>
    <w:basedOn w:val="TableNormal"/>
    <w:next w:val="GridTable1Light-Accent51"/>
    <w:uiPriority w:val="46"/>
    <w:rsid w:val="0085433F"/>
    <w:rPr>
      <w:rFonts w:ascii="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1">
    <w:name w:val="List Table 1 Light - Accent 521"/>
    <w:basedOn w:val="TableNormal"/>
    <w:next w:val="ListTable1Light-Accent51"/>
    <w:uiPriority w:val="46"/>
    <w:rsid w:val="0085433F"/>
    <w:rPr>
      <w:rFonts w:ascii="Calibri"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3">
    <w:name w:val="Grid Table 1 Light - Accent 53"/>
    <w:basedOn w:val="TableNormal"/>
    <w:next w:val="GridTable1Light-Accent5"/>
    <w:uiPriority w:val="46"/>
    <w:rsid w:val="0085433F"/>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3">
    <w:name w:val="List Table 1 Light - Accent 53"/>
    <w:basedOn w:val="TableNormal"/>
    <w:next w:val="ListTable1Light-Accent5"/>
    <w:uiPriority w:val="46"/>
    <w:rsid w:val="0085433F"/>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st1">
    <w:name w:val="st1"/>
    <w:basedOn w:val="DefaultParagraphFont"/>
    <w:rsid w:val="0085433F"/>
  </w:style>
  <w:style w:type="paragraph" w:styleId="HTMLPreformatted">
    <w:name w:val="HTML Preformatted"/>
    <w:basedOn w:val="Normal"/>
    <w:link w:val="HTMLPreformattedChar"/>
    <w:uiPriority w:val="99"/>
    <w:unhideWhenUsed/>
    <w:rsid w:val="0085433F"/>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rsid w:val="0085433F"/>
    <w:rPr>
      <w:rFonts w:ascii="Courier New" w:eastAsia="Times New Roman" w:hAnsi="Courier New" w:cs="Courier New"/>
      <w:lang w:val="en-GB"/>
    </w:rPr>
  </w:style>
  <w:style w:type="table" w:customStyle="1" w:styleId="TableGrid10">
    <w:name w:val="Table Grid10"/>
    <w:basedOn w:val="TableNormal"/>
    <w:next w:val="TableGrid"/>
    <w:rsid w:val="0085433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
    <w:name w:val="enu"/>
    <w:basedOn w:val="Normal"/>
    <w:rsid w:val="0085433F"/>
    <w:rPr>
      <w:lang w:eastAsia="zh-CN"/>
    </w:rPr>
  </w:style>
  <w:style w:type="character" w:customStyle="1" w:styleId="bri">
    <w:name w:val="bri"/>
    <w:basedOn w:val="DefaultParagraphFont"/>
    <w:rsid w:val="0085433F"/>
  </w:style>
  <w:style w:type="paragraph" w:customStyle="1" w:styleId="headingb1">
    <w:name w:val="heading b"/>
    <w:basedOn w:val="Normal"/>
    <w:rsid w:val="0085433F"/>
    <w:rPr>
      <w:rFonts w:ascii="STKaiti" w:eastAsia="STKaiti" w:hAnsi="STKaiti"/>
      <w:b/>
      <w:bCs/>
      <w:lang w:eastAsia="zh-CN"/>
    </w:rPr>
  </w:style>
  <w:style w:type="character" w:customStyle="1" w:styleId="UnresolvedMention2">
    <w:name w:val="Unresolved Mention2"/>
    <w:basedOn w:val="DefaultParagraphFont"/>
    <w:uiPriority w:val="99"/>
    <w:semiHidden/>
    <w:unhideWhenUsed/>
    <w:rsid w:val="004815CE"/>
    <w:rPr>
      <w:color w:val="605E5C"/>
      <w:shd w:val="clear" w:color="auto" w:fill="E1DFDD"/>
    </w:rPr>
  </w:style>
  <w:style w:type="paragraph" w:customStyle="1" w:styleId="text-justify">
    <w:name w:val="text-justify"/>
    <w:basedOn w:val="Normal"/>
    <w:rsid w:val="004815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DB5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79949125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R/Pages/default.aspx" TargetMode="External"/><Relationship Id="rId21" Type="http://schemas.openxmlformats.org/officeDocument/2006/relationships/image" Target="media/image5.emf"/><Relationship Id="rId42" Type="http://schemas.openxmlformats.org/officeDocument/2006/relationships/footer" Target="footer2.xml"/><Relationship Id="rId47" Type="http://schemas.openxmlformats.org/officeDocument/2006/relationships/hyperlink" Target="https://www.itu.int/md/S22-CL-C-0007/en" TargetMode="External"/><Relationship Id="rId63" Type="http://schemas.openxmlformats.org/officeDocument/2006/relationships/image" Target="media/image16.emf"/><Relationship Id="rId68" Type="http://schemas.openxmlformats.org/officeDocument/2006/relationships/image" Target="media/image21.emf"/><Relationship Id="rId16" Type="http://schemas.openxmlformats.org/officeDocument/2006/relationships/chart" Target="charts/chart5.xml"/><Relationship Id="rId11" Type="http://schemas.openxmlformats.org/officeDocument/2006/relationships/image" Target="media/image2.png"/><Relationship Id="rId24" Type="http://schemas.openxmlformats.org/officeDocument/2006/relationships/image" Target="media/image8.emf"/><Relationship Id="rId32" Type="http://schemas.openxmlformats.org/officeDocument/2006/relationships/hyperlink" Target="https://www.itu.int/online/mm/scripts/gensel11" TargetMode="External"/><Relationship Id="rId37" Type="http://schemas.openxmlformats.org/officeDocument/2006/relationships/hyperlink" Target="https://www.itu.int/md/S16-CL-C-0124/en" TargetMode="External"/><Relationship Id="rId40" Type="http://schemas.openxmlformats.org/officeDocument/2006/relationships/header" Target="header1.xml"/><Relationship Id="rId45" Type="http://schemas.openxmlformats.org/officeDocument/2006/relationships/hyperlink" Target="https://www.itu.int/md/S22-CL-C-0025/en" TargetMode="External"/><Relationship Id="rId53" Type="http://schemas.openxmlformats.org/officeDocument/2006/relationships/footer" Target="footer4.xml"/><Relationship Id="rId58" Type="http://schemas.openxmlformats.org/officeDocument/2006/relationships/image" Target="media/image11.emf"/><Relationship Id="rId66" Type="http://schemas.openxmlformats.org/officeDocument/2006/relationships/image" Target="media/image19.emf"/><Relationship Id="rId74"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image" Target="media/image14.emf"/><Relationship Id="rId19" Type="http://schemas.openxmlformats.org/officeDocument/2006/relationships/image" Target="media/image3.emf"/><Relationship Id="rId14" Type="http://schemas.openxmlformats.org/officeDocument/2006/relationships/chart" Target="charts/chart3.xml"/><Relationship Id="rId22" Type="http://schemas.openxmlformats.org/officeDocument/2006/relationships/image" Target="media/image6.emf"/><Relationship Id="rId27" Type="http://schemas.openxmlformats.org/officeDocument/2006/relationships/hyperlink" Target="https://www.itu.int/en/ITU-T/Pages/default.aspx" TargetMode="External"/><Relationship Id="rId30" Type="http://schemas.openxmlformats.org/officeDocument/2006/relationships/hyperlink" Target="http://www.itu.int/itu-wsis/implementation/" TargetMode="External"/><Relationship Id="rId35" Type="http://schemas.openxmlformats.org/officeDocument/2006/relationships/hyperlink" Target="https://www.itu.int/en/council/Pages/members.aspx" TargetMode="External"/><Relationship Id="rId43" Type="http://schemas.openxmlformats.org/officeDocument/2006/relationships/header" Target="header2.xml"/><Relationship Id="rId48" Type="http://schemas.openxmlformats.org/officeDocument/2006/relationships/hyperlink" Target="https://www.itu.int/en/council/Documents/basic-texts/Convention-C.pdf" TargetMode="External"/><Relationship Id="rId56" Type="http://schemas.openxmlformats.org/officeDocument/2006/relationships/image" Target="media/image9.emf"/><Relationship Id="rId64" Type="http://schemas.openxmlformats.org/officeDocument/2006/relationships/image" Target="media/image17.emf"/><Relationship Id="rId69" Type="http://schemas.openxmlformats.org/officeDocument/2006/relationships/image" Target="media/image22.emf"/><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S22-CL-C-0043/en"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www.unsystem.org/en" TargetMode="External"/><Relationship Id="rId33" Type="http://schemas.openxmlformats.org/officeDocument/2006/relationships/hyperlink" Target="https://www.itu.int/online/mm/scripts/gensel11?_memb=A" TargetMode="External"/><Relationship Id="rId38" Type="http://schemas.openxmlformats.org/officeDocument/2006/relationships/hyperlink" Target="https://www.itu.int/md/S22-CL-C-0046/en" TargetMode="External"/><Relationship Id="rId46" Type="http://schemas.openxmlformats.org/officeDocument/2006/relationships/hyperlink" Target="https://www.itu.int/md/S22-CL-INF-0005/en" TargetMode="External"/><Relationship Id="rId59" Type="http://schemas.openxmlformats.org/officeDocument/2006/relationships/image" Target="media/image12.emf"/><Relationship Id="rId67" Type="http://schemas.openxmlformats.org/officeDocument/2006/relationships/image" Target="media/image20.emf"/><Relationship Id="rId20" Type="http://schemas.openxmlformats.org/officeDocument/2006/relationships/image" Target="media/image4.emf"/><Relationship Id="rId41" Type="http://schemas.openxmlformats.org/officeDocument/2006/relationships/footer" Target="footer1.xml"/><Relationship Id="rId54" Type="http://schemas.openxmlformats.org/officeDocument/2006/relationships/header" Target="header4.xml"/><Relationship Id="rId62" Type="http://schemas.openxmlformats.org/officeDocument/2006/relationships/image" Target="media/image15.emf"/><Relationship Id="rId70" Type="http://schemas.openxmlformats.org/officeDocument/2006/relationships/image" Target="media/image23.emf"/><Relationship Id="rId7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image" Target="media/image7.emf"/><Relationship Id="rId28" Type="http://schemas.openxmlformats.org/officeDocument/2006/relationships/hyperlink" Target="https://www.itu.int/en/ITU-D/Pages/default.aspx" TargetMode="External"/><Relationship Id="rId36" Type="http://schemas.openxmlformats.org/officeDocument/2006/relationships/hyperlink" Target="http://www.itu.int/ITU-R/index.asp?category=conferences&amp;link=rrb&amp;lang=en" TargetMode="External"/><Relationship Id="rId49" Type="http://schemas.openxmlformats.org/officeDocument/2006/relationships/hyperlink" Target="https://www.itu.int/en/council/Documents/Financial-Regulations/S-GEN-REG_RGTFIN-2018-PDF-C.pdf" TargetMode="External"/><Relationship Id="rId57" Type="http://schemas.openxmlformats.org/officeDocument/2006/relationships/image" Target="media/image10.emf"/><Relationship Id="rId10" Type="http://schemas.openxmlformats.org/officeDocument/2006/relationships/hyperlink" Target="https://www.itu.int/en/council/Documents/Financial-Regulations/S-GEN-REG_RGTFIN-2018-PDF-C.pdf" TargetMode="External"/><Relationship Id="rId31" Type="http://schemas.openxmlformats.org/officeDocument/2006/relationships/hyperlink" Target="https://www.itu.int/online/mm/scripts/gensel8" TargetMode="External"/><Relationship Id="rId44" Type="http://schemas.openxmlformats.org/officeDocument/2006/relationships/footer" Target="footer3.xml"/><Relationship Id="rId52" Type="http://schemas.openxmlformats.org/officeDocument/2006/relationships/header" Target="header3.xml"/><Relationship Id="rId60" Type="http://schemas.openxmlformats.org/officeDocument/2006/relationships/image" Target="media/image13.emf"/><Relationship Id="rId65" Type="http://schemas.openxmlformats.org/officeDocument/2006/relationships/image" Target="media/image18.emf"/><Relationship Id="rId73" Type="http://schemas.openxmlformats.org/officeDocument/2006/relationships/footer" Target="footer7.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Convention-C.pdf" TargetMode="External"/><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hyperlink" Target="http://www.unjspf.org" TargetMode="External"/><Relationship Id="rId34" Type="http://schemas.openxmlformats.org/officeDocument/2006/relationships/hyperlink" Target="https://www.itu.int/online/mm/scripts/gensel11?_memb=U" TargetMode="External"/><Relationship Id="rId50" Type="http://schemas.openxmlformats.org/officeDocument/2006/relationships/hyperlink" Target="http://www.itu.int/md/S22-CL-C-0101/en" TargetMode="External"/><Relationship Id="rId55" Type="http://schemas.openxmlformats.org/officeDocument/2006/relationships/footer" Target="footer5.xml"/><Relationship Id="rId76"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www.itu.int/ITUTELECOM/index-en.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C2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21\MAQUETTE%20BOUCLEMENT%202021-clair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21\MAQUETTE%20BOUCLEMENT%202021-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1" Type="http://schemas.openxmlformats.org/officeDocument/2006/relationships/oleObject" Target="file:///C:\COMPTA%20GENERALE\BOUCLEMENT\2021\MAQUETTE%20BOUCLEMENT%202021-09%20mars.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21\MAQUETTE%20BOUCLEMENT%202021-09%20mars.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Highlights'!$B$25</c:f>
              <c:strCache>
                <c:ptCount val="1"/>
                <c:pt idx="0">
                  <c:v>2021</c:v>
                </c:pt>
              </c:strCache>
            </c:strRef>
          </c:tx>
          <c:spPr>
            <a:solidFill>
              <a:schemeClr val="accent1">
                <a:shade val="76000"/>
              </a:schemeClr>
            </a:solidFill>
            <a:ln>
              <a:noFill/>
            </a:ln>
            <a:effectLst/>
          </c:spPr>
          <c:invertIfNegative val="0"/>
          <c:dLbls>
            <c:dLbl>
              <c:idx val="3"/>
              <c:layout>
                <c:manualLayout>
                  <c:x val="-3.3333333333333333E-2"/>
                  <c:y val="-1.9304780298689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F4-4DF3-A8A3-EEF438DCC3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Highlights'!$A$26:$A$29</c:f>
              <c:strCache>
                <c:ptCount val="4"/>
                <c:pt idx="0">
                  <c:v>Assessed contributions</c:v>
                </c:pt>
                <c:pt idx="1">
                  <c:v>Voluntary contributions</c:v>
                </c:pt>
                <c:pt idx="2">
                  <c:v>Other operating revenue</c:v>
                </c:pt>
                <c:pt idx="3">
                  <c:v>Finance revenue</c:v>
                </c:pt>
              </c:strCache>
            </c:strRef>
          </c:cat>
          <c:val>
            <c:numRef>
              <c:f>'Financial Highlights'!$B$26:$B$29</c:f>
              <c:numCache>
                <c:formatCode>_ * #,##0_ ;_ * \-#,##0_ ;_ * "-"??_ ;_ @_ </c:formatCode>
                <c:ptCount val="4"/>
                <c:pt idx="0">
                  <c:v>125610.98</c:v>
                </c:pt>
                <c:pt idx="1">
                  <c:v>13580.689999999999</c:v>
                </c:pt>
                <c:pt idx="2">
                  <c:v>32745.246000000006</c:v>
                </c:pt>
                <c:pt idx="3">
                  <c:v>2792.2799999999997</c:v>
                </c:pt>
              </c:numCache>
            </c:numRef>
          </c:val>
          <c:extLst>
            <c:ext xmlns:c16="http://schemas.microsoft.com/office/drawing/2014/chart" uri="{C3380CC4-5D6E-409C-BE32-E72D297353CC}">
              <c16:uniqueId val="{00000001-02F4-4DF3-A8A3-EEF438DCC3C0}"/>
            </c:ext>
          </c:extLst>
        </c:ser>
        <c:ser>
          <c:idx val="1"/>
          <c:order val="1"/>
          <c:tx>
            <c:strRef>
              <c:f>'Financial Highlights'!$C$25</c:f>
              <c:strCache>
                <c:ptCount val="1"/>
                <c:pt idx="0">
                  <c:v>2020</c:v>
                </c:pt>
              </c:strCache>
            </c:strRef>
          </c:tx>
          <c:spPr>
            <a:solidFill>
              <a:schemeClr val="accent1">
                <a:tint val="77000"/>
              </a:schemeClr>
            </a:solidFill>
            <a:ln>
              <a:noFill/>
            </a:ln>
            <a:effectLst/>
          </c:spPr>
          <c:invertIfNegative val="0"/>
          <c:dLbls>
            <c:dLbl>
              <c:idx val="0"/>
              <c:layout>
                <c:manualLayout>
                  <c:x val="8.611111111111111E-2"/>
                  <c:y val="4.8703762029746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F4-4DF3-A8A3-EEF438DCC3C0}"/>
                </c:ext>
              </c:extLst>
            </c:dLbl>
            <c:dLbl>
              <c:idx val="1"/>
              <c:layout>
                <c:manualLayout>
                  <c:x val="3.6111111111111108E-2"/>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F4-4DF3-A8A3-EEF438DCC3C0}"/>
                </c:ext>
              </c:extLst>
            </c:dLbl>
            <c:dLbl>
              <c:idx val="2"/>
              <c:layout>
                <c:manualLayout>
                  <c:x val="6.6666666666666569E-2"/>
                  <c:y val="4.3148206474190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F4-4DF3-A8A3-EEF438DCC3C0}"/>
                </c:ext>
              </c:extLst>
            </c:dLbl>
            <c:dLbl>
              <c:idx val="3"/>
              <c:layout>
                <c:manualLayout>
                  <c:x val="4.4444444444444446E-2"/>
                  <c:y val="0.107816711590296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F4-4DF3-A8A3-EEF438DCC3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Highlights'!$A$26:$A$29</c:f>
              <c:strCache>
                <c:ptCount val="4"/>
                <c:pt idx="0">
                  <c:v>Assessed contributions</c:v>
                </c:pt>
                <c:pt idx="1">
                  <c:v>Voluntary contributions</c:v>
                </c:pt>
                <c:pt idx="2">
                  <c:v>Other operating revenue</c:v>
                </c:pt>
                <c:pt idx="3">
                  <c:v>Finance revenue</c:v>
                </c:pt>
              </c:strCache>
            </c:strRef>
          </c:cat>
          <c:val>
            <c:numRef>
              <c:f>'Financial Highlights'!$C$26:$C$29</c:f>
              <c:numCache>
                <c:formatCode>_ * #,##0_ ;_ * \-#,##0_ ;_ * "-"??_ ;_ @_ </c:formatCode>
                <c:ptCount val="4"/>
                <c:pt idx="0">
                  <c:v>125740.73</c:v>
                </c:pt>
                <c:pt idx="1">
                  <c:v>8299.5299999999988</c:v>
                </c:pt>
                <c:pt idx="2">
                  <c:v>40198.377000000008</c:v>
                </c:pt>
                <c:pt idx="3">
                  <c:v>-4699.99</c:v>
                </c:pt>
              </c:numCache>
            </c:numRef>
          </c:val>
          <c:extLst>
            <c:ext xmlns:c16="http://schemas.microsoft.com/office/drawing/2014/chart" uri="{C3380CC4-5D6E-409C-BE32-E72D297353CC}">
              <c16:uniqueId val="{00000006-02F4-4DF3-A8A3-EEF438DCC3C0}"/>
            </c:ext>
          </c:extLst>
        </c:ser>
        <c:dLbls>
          <c:showLegendKey val="0"/>
          <c:showVal val="0"/>
          <c:showCatName val="0"/>
          <c:showSerName val="0"/>
          <c:showPercent val="0"/>
          <c:showBubbleSize val="0"/>
        </c:dLbls>
        <c:gapWidth val="219"/>
        <c:overlap val="-27"/>
        <c:axId val="1574879839"/>
        <c:axId val="1574877343"/>
      </c:barChart>
      <c:catAx>
        <c:axId val="1574879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877343"/>
        <c:crosses val="autoZero"/>
        <c:auto val="1"/>
        <c:lblAlgn val="ctr"/>
        <c:lblOffset val="100"/>
        <c:noMultiLvlLbl val="0"/>
      </c:catAx>
      <c:valAx>
        <c:axId val="1574877343"/>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879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071733554675E-2"/>
          <c:y val="0.11012370325195053"/>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130E-438B-A93F-16DD5DD49D2E}"/>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130E-438B-A93F-16DD5DD49D2E}"/>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130E-438B-A93F-16DD5DD49D2E}"/>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130E-438B-A93F-16DD5DD49D2E}"/>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130E-438B-A93F-16DD5DD49D2E}"/>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130E-438B-A93F-16DD5DD49D2E}"/>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130E-438B-A93F-16DD5DD49D2E}"/>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130E-438B-A93F-16DD5DD49D2E}"/>
              </c:ext>
            </c:extLst>
          </c:dPt>
          <c:dLbls>
            <c:dLbl>
              <c:idx val="0"/>
              <c:layout>
                <c:manualLayout>
                  <c:x val="0.11688139579462679"/>
                  <c:y val="-0.12695375183900587"/>
                </c:manualLayout>
              </c:layout>
              <c:tx>
                <c:rich>
                  <a:bodyPr/>
                  <a:lstStyle/>
                  <a:p>
                    <a:r>
                      <a:rPr lang="zh-CN" altLang="en-US" baseline="0">
                        <a:solidFill>
                          <a:schemeClr val="bg1"/>
                        </a:solidFill>
                      </a:rPr>
                      <a:t>分摊会费</a:t>
                    </a:r>
                    <a:br>
                      <a:rPr lang="zh-CN" altLang="en-US" baseline="0">
                        <a:solidFill>
                          <a:schemeClr val="bg1"/>
                        </a:solidFill>
                      </a:rPr>
                    </a:br>
                    <a:r>
                      <a:rPr lang="en-US" altLang="zh-CN" baseline="0">
                        <a:solidFill>
                          <a:schemeClr val="bg1"/>
                        </a:solidFill>
                      </a:rPr>
                      <a:t>72%</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130E-438B-A93F-16DD5DD49D2E}"/>
                </c:ext>
              </c:extLst>
            </c:dLbl>
            <c:dLbl>
              <c:idx val="1"/>
              <c:layout>
                <c:manualLayout>
                  <c:x val="-4.5951165441787366E-2"/>
                  <c:y val="-4.9419172921856103E-2"/>
                </c:manualLayout>
              </c:layout>
              <c:tx>
                <c:rich>
                  <a:bodyPr/>
                  <a:lstStyle/>
                  <a:p>
                    <a:r>
                      <a:rPr lang="zh-CN" altLang="en-US"/>
                      <a:t>自愿捐款</a:t>
                    </a:r>
                    <a:r>
                      <a:rPr lang="zh-CN" altLang="en-US" baseline="0"/>
                      <a:t>
</a:t>
                    </a:r>
                    <a:fld id="{54F94B1E-C1BF-41C3-9541-3972EBB252BB}" type="PERCENTAGE">
                      <a:rPr lang="en-US" altLang="zh-CN" baseline="0"/>
                      <a:pPr/>
                      <a:t>[PERCENTAGE]</a:t>
                    </a:fld>
                    <a:endParaRPr lang="zh-CN" alt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30E-438B-A93F-16DD5DD49D2E}"/>
                </c:ext>
              </c:extLst>
            </c:dLbl>
            <c:dLbl>
              <c:idx val="2"/>
              <c:layout>
                <c:manualLayout>
                  <c:x val="9.322162131868747E-3"/>
                  <c:y val="-2.1066804803912001E-2"/>
                </c:manualLayout>
              </c:layout>
              <c:tx>
                <c:rich>
                  <a:bodyPr/>
                  <a:lstStyle/>
                  <a:p>
                    <a:r>
                      <a:rPr lang="zh-CN" altLang="en-US"/>
                      <a:t>理财收入</a:t>
                    </a:r>
                    <a:r>
                      <a:rPr lang="zh-CN" altLang="en-US" baseline="0"/>
                      <a:t>
</a:t>
                    </a:r>
                    <a:fld id="{C946D024-7D96-4BC9-8CA5-80DE7FAACE10}" type="PERCENTAGE">
                      <a:rPr lang="en-US" altLang="zh-CN" baseline="0"/>
                      <a:pPr/>
                      <a:t>[PERCENTAGE]</a:t>
                    </a:fld>
                    <a:endParaRPr lang="zh-CN" alt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30E-438B-A93F-16DD5DD49D2E}"/>
                </c:ext>
              </c:extLst>
            </c:dLbl>
            <c:dLbl>
              <c:idx val="3"/>
              <c:delete val="1"/>
              <c:extLst>
                <c:ext xmlns:c15="http://schemas.microsoft.com/office/drawing/2012/chart" uri="{CE6537A1-D6FC-4f65-9D91-7224C49458BB}"/>
                <c:ext xmlns:c16="http://schemas.microsoft.com/office/drawing/2014/chart" uri="{C3380CC4-5D6E-409C-BE32-E72D297353CC}">
                  <c16:uniqueId val="{00000007-130E-438B-A93F-16DD5DD49D2E}"/>
                </c:ext>
              </c:extLst>
            </c:dLbl>
            <c:dLbl>
              <c:idx val="4"/>
              <c:layout>
                <c:manualLayout>
                  <c:x val="-0.11445910377775811"/>
                  <c:y val="5.1016893488517396E-3"/>
                </c:manualLayout>
              </c:layout>
              <c:tx>
                <c:rich>
                  <a:bodyPr/>
                  <a:lstStyle/>
                  <a:p>
                    <a:r>
                      <a:rPr lang="zh-CN" altLang="en-US">
                        <a:solidFill>
                          <a:sysClr val="windowText" lastClr="000000"/>
                        </a:solidFill>
                      </a:rPr>
                      <a:t>出版物销售</a:t>
                    </a:r>
                    <a:r>
                      <a:rPr lang="zh-CN" altLang="en-US" baseline="0">
                        <a:solidFill>
                          <a:sysClr val="windowText" lastClr="000000"/>
                        </a:solidFill>
                      </a:rPr>
                      <a:t>
</a:t>
                    </a:r>
                    <a:r>
                      <a:rPr lang="en-US" altLang="zh-CN" baseline="0">
                        <a:solidFill>
                          <a:sysClr val="windowText" lastClr="000000"/>
                        </a:solidFill>
                      </a:rPr>
                      <a:t>59%</a:t>
                    </a:r>
                  </a:p>
                </c:rich>
              </c:tx>
              <c:showLegendKey val="1"/>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130E-438B-A93F-16DD5DD49D2E}"/>
                </c:ext>
              </c:extLst>
            </c:dLbl>
            <c:dLbl>
              <c:idx val="5"/>
              <c:layout>
                <c:manualLayout>
                  <c:x val="-0.13133180526139199"/>
                  <c:y val="9.2599838285307018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zh-CN" altLang="en-US">
                        <a:solidFill>
                          <a:sysClr val="windowText" lastClr="000000"/>
                        </a:solidFill>
                      </a:rPr>
                      <a:t>卫星网络申报</a:t>
                    </a:r>
                    <a:r>
                      <a:rPr lang="zh-CN" altLang="en-US" baseline="0">
                        <a:solidFill>
                          <a:sysClr val="windowText" lastClr="000000"/>
                        </a:solidFill>
                      </a:rPr>
                      <a:t>
</a:t>
                    </a:r>
                    <a:r>
                      <a:rPr lang="en-US" altLang="zh-CN" baseline="0">
                        <a:solidFill>
                          <a:sysClr val="windowText" lastClr="000000"/>
                        </a:solidFill>
                      </a:rPr>
                      <a:t>34%</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1043878468843078"/>
                      <c:h val="0.13562050928781408"/>
                    </c:manualLayout>
                  </c15:layout>
                  <c15:showDataLabelsRange val="0"/>
                </c:ext>
                <c:ext xmlns:c16="http://schemas.microsoft.com/office/drawing/2014/chart" uri="{C3380CC4-5D6E-409C-BE32-E72D297353CC}">
                  <c16:uniqueId val="{0000000B-130E-438B-A93F-16DD5DD49D2E}"/>
                </c:ext>
              </c:extLst>
            </c:dLbl>
            <c:dLbl>
              <c:idx val="6"/>
              <c:layout>
                <c:manualLayout>
                  <c:x val="-0.11299866431286829"/>
                  <c:y val="8.9019991638078805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zh-CN" altLang="en-US" baseline="0">
                        <a:solidFill>
                          <a:sysClr val="windowText" lastClr="000000"/>
                        </a:solidFill>
                      </a:rPr>
                      <a:t>其他营运收入</a:t>
                    </a:r>
                    <a:br>
                      <a:rPr lang="zh-CN" altLang="en-US" baseline="0">
                        <a:solidFill>
                          <a:sysClr val="windowText" lastClr="000000"/>
                        </a:solidFill>
                      </a:rPr>
                    </a:br>
                    <a:r>
                      <a:rPr lang="en-US" altLang="zh-CN" baseline="0">
                        <a:solidFill>
                          <a:sysClr val="windowText" lastClr="000000"/>
                        </a:solidFill>
                      </a:rPr>
                      <a:t>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7312466724577574"/>
                      <c:h val="0.19654397600955001"/>
                    </c:manualLayout>
                  </c15:layout>
                  <c15:showDataLabelsRange val="0"/>
                </c:ext>
                <c:ext xmlns:c16="http://schemas.microsoft.com/office/drawing/2014/chart" uri="{C3380CC4-5D6E-409C-BE32-E72D297353CC}">
                  <c16:uniqueId val="{0000000D-130E-438B-A93F-16DD5DD49D2E}"/>
                </c:ext>
              </c:extLst>
            </c:dLbl>
            <c:dLbl>
              <c:idx val="7"/>
              <c:layout>
                <c:manualLayout>
                  <c:x val="-0.16374886207469616"/>
                  <c:y val="7.9242118384640192E-3"/>
                </c:manualLayout>
              </c:layout>
              <c:tx>
                <c:rich>
                  <a:bodyPr/>
                  <a:lstStyle/>
                  <a:p>
                    <a:r>
                      <a:rPr lang="zh-CN" altLang="en-US" baseline="0">
                        <a:solidFill>
                          <a:sysClr val="windowText" lastClr="000000"/>
                        </a:solidFill>
                      </a:rPr>
                      <a:t>营运收入</a:t>
                    </a:r>
                    <a:r>
                      <a:rPr lang="zh-CN" altLang="en-US" baseline="0">
                        <a:solidFill>
                          <a:schemeClr val="bg1"/>
                        </a:solidFill>
                      </a:rPr>
                      <a:t>
</a:t>
                    </a:r>
                    <a:r>
                      <a:rPr lang="en-US" altLang="zh-CN" baseline="0">
                        <a:solidFill>
                          <a:sysClr val="windowText" lastClr="000000"/>
                        </a:solidFill>
                      </a:rPr>
                      <a:t>19%</a:t>
                    </a:r>
                    <a:endParaRPr lang="zh-CN" altLang="en-US" baseline="0">
                      <a:solidFill>
                        <a:schemeClr val="bg1"/>
                      </a:solidFill>
                    </a:endParaRPr>
                  </a:p>
                </c:rich>
              </c:tx>
              <c:showLegendKey val="1"/>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130E-438B-A93F-16DD5DD49D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125610.98</c:v>
                </c:pt>
                <c:pt idx="1">
                  <c:v>13580.689999999999</c:v>
                </c:pt>
                <c:pt idx="2">
                  <c:v>2792.2799999999997</c:v>
                </c:pt>
                <c:pt idx="3">
                  <c:v>293.73</c:v>
                </c:pt>
                <c:pt idx="4">
                  <c:v>19411.060000000005</c:v>
                </c:pt>
                <c:pt idx="5">
                  <c:v>11240.2</c:v>
                </c:pt>
                <c:pt idx="6" formatCode="General">
                  <c:v>1800.2559999999996</c:v>
                </c:pt>
              </c:numCache>
            </c:numRef>
          </c:val>
          <c:extLst>
            <c:ext xmlns:c16="http://schemas.microsoft.com/office/drawing/2014/chart" uri="{C3380CC4-5D6E-409C-BE32-E72D297353CC}">
              <c16:uniqueId val="{00000010-130E-438B-A93F-16DD5DD49D2E}"/>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Highlights'!$C$61</c:f>
              <c:strCache>
                <c:ptCount val="1"/>
                <c:pt idx="0">
                  <c:v>2021</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7"/>
              <c:layout>
                <c:manualLayout>
                  <c:x val="-9.5522370098038295E-3"/>
                  <c:y val="6.04751619870410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DD-45C3-B89A-FF8F2BBFB5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Highlights'!$A$63:$B$71</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Highlights'!$C$63:$C$71</c:f>
              <c:numCache>
                <c:formatCode>#,##0</c:formatCode>
                <c:ptCount val="9"/>
                <c:pt idx="0">
                  <c:v>150417.14011999991</c:v>
                </c:pt>
                <c:pt idx="1">
                  <c:v>442.76405999999997</c:v>
                </c:pt>
                <c:pt idx="2">
                  <c:v>21037.572230000009</c:v>
                </c:pt>
                <c:pt idx="3">
                  <c:v>1847.0427399999996</c:v>
                </c:pt>
                <c:pt idx="4">
                  <c:v>2296.9423300000008</c:v>
                </c:pt>
                <c:pt idx="5">
                  <c:v>9693.2307500000006</c:v>
                </c:pt>
                <c:pt idx="6">
                  <c:v>1505.1885699999998</c:v>
                </c:pt>
                <c:pt idx="7">
                  <c:v>3735.3796300000004</c:v>
                </c:pt>
                <c:pt idx="8" formatCode="0">
                  <c:v>-561.30999999999995</c:v>
                </c:pt>
              </c:numCache>
            </c:numRef>
          </c:val>
          <c:extLst>
            <c:ext xmlns:c16="http://schemas.microsoft.com/office/drawing/2014/chart" uri="{C3380CC4-5D6E-409C-BE32-E72D297353CC}">
              <c16:uniqueId val="{00000001-15DD-45C3-B89A-FF8F2BBFB581}"/>
            </c:ext>
          </c:extLst>
        </c:ser>
        <c:ser>
          <c:idx val="1"/>
          <c:order val="1"/>
          <c:tx>
            <c:strRef>
              <c:f>'Financial Highlights'!$D$61</c:f>
              <c:strCache>
                <c:ptCount val="1"/>
                <c:pt idx="0">
                  <c:v>2020</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extLst>
              <c:ext xmlns:c16="http://schemas.microsoft.com/office/drawing/2014/chart" uri="{C3380CC4-5D6E-409C-BE32-E72D297353CC}">
                <c16:uniqueId val="{00000002-15DD-45C3-B89A-FF8F2BBFB581}"/>
              </c:ext>
            </c:extLst>
          </c:dPt>
          <c:dLbls>
            <c:dLbl>
              <c:idx val="0"/>
              <c:layout>
                <c:manualLayout>
                  <c:x val="4.4577106045751172E-2"/>
                  <c:y val="2.73560388455749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DD-45C3-B89A-FF8F2BBFB581}"/>
                </c:ext>
              </c:extLst>
            </c:dLbl>
            <c:dLbl>
              <c:idx val="1"/>
              <c:layout>
                <c:manualLayout>
                  <c:x val="-2.2753128555176336E-3"/>
                  <c:y val="-3.10077519379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DD-45C3-B89A-FF8F2BBFB581}"/>
                </c:ext>
              </c:extLst>
            </c:dLbl>
            <c:dLbl>
              <c:idx val="2"/>
              <c:layout>
                <c:manualLayout>
                  <c:x val="4.0955631399317446E-2"/>
                  <c:y val="-2.0671834625323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DD-45C3-B89A-FF8F2BBFB581}"/>
                </c:ext>
              </c:extLst>
            </c:dLbl>
            <c:dLbl>
              <c:idx val="3"/>
              <c:layout>
                <c:manualLayout>
                  <c:x val="2.0477815699658702E-2"/>
                  <c:y val="-3.4453057708871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DD-45C3-B89A-FF8F2BBFB581}"/>
                </c:ext>
              </c:extLst>
            </c:dLbl>
            <c:dLbl>
              <c:idx val="4"/>
              <c:layout>
                <c:manualLayout>
                  <c:x val="2.2753128555175503E-3"/>
                  <c:y val="-7.23514211886305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026157139913825E-2"/>
                      <c:h val="5.1628042618703671E-2"/>
                    </c:manualLayout>
                  </c15:layout>
                </c:ext>
                <c:ext xmlns:c16="http://schemas.microsoft.com/office/drawing/2014/chart" uri="{C3380CC4-5D6E-409C-BE32-E72D297353CC}">
                  <c16:uniqueId val="{00000006-15DD-45C3-B89A-FF8F2BBFB581}"/>
                </c:ext>
              </c:extLst>
            </c:dLbl>
            <c:dLbl>
              <c:idx val="5"/>
              <c:layout>
                <c:manualLayout>
                  <c:x val="6.8259385665529011E-3"/>
                  <c:y val="-2.7562446167097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5DD-45C3-B89A-FF8F2BBFB581}"/>
                </c:ext>
              </c:extLst>
            </c:dLbl>
            <c:dLbl>
              <c:idx val="6"/>
              <c:layout>
                <c:manualLayout>
                  <c:x val="2.0477815699658702E-2"/>
                  <c:y val="-6.2015503875969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5DD-45C3-B89A-FF8F2BBFB5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Highlights'!$A$63:$B$71</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Highlights'!$D$63:$D$71</c:f>
              <c:numCache>
                <c:formatCode>#,##0</c:formatCode>
                <c:ptCount val="9"/>
                <c:pt idx="0">
                  <c:v>153825.00902000011</c:v>
                </c:pt>
                <c:pt idx="1">
                  <c:v>1003.2751899999994</c:v>
                </c:pt>
                <c:pt idx="2">
                  <c:v>14512.124170000001</c:v>
                </c:pt>
                <c:pt idx="3">
                  <c:v>3004.1787800000006</c:v>
                </c:pt>
                <c:pt idx="4">
                  <c:v>2895.7347000000013</c:v>
                </c:pt>
                <c:pt idx="5">
                  <c:v>16598.213210000002</c:v>
                </c:pt>
                <c:pt idx="6">
                  <c:v>1598.8020300000003</c:v>
                </c:pt>
                <c:pt idx="7">
                  <c:v>8306.1690299999991</c:v>
                </c:pt>
                <c:pt idx="8" formatCode="0">
                  <c:v>15069</c:v>
                </c:pt>
              </c:numCache>
            </c:numRef>
          </c:val>
          <c:extLst>
            <c:ext xmlns:c16="http://schemas.microsoft.com/office/drawing/2014/chart" uri="{C3380CC4-5D6E-409C-BE32-E72D297353CC}">
              <c16:uniqueId val="{00000009-15DD-45C3-B89A-FF8F2BBFB581}"/>
            </c:ext>
          </c:extLst>
        </c:ser>
        <c:dLbls>
          <c:showLegendKey val="0"/>
          <c:showVal val="1"/>
          <c:showCatName val="0"/>
          <c:showSerName val="0"/>
          <c:showPercent val="0"/>
          <c:showBubbleSize val="0"/>
        </c:dLbls>
        <c:gapWidth val="100"/>
        <c:overlap val="-24"/>
        <c:axId val="422513544"/>
        <c:axId val="428000744"/>
      </c:barChart>
      <c:catAx>
        <c:axId val="422513544"/>
        <c:scaling>
          <c:orientation val="minMax"/>
        </c:scaling>
        <c:delete val="1"/>
        <c:axPos val="b"/>
        <c:numFmt formatCode="General" sourceLinked="1"/>
        <c:majorTickMark val="none"/>
        <c:minorTickMark val="none"/>
        <c:tickLblPos val="nextTo"/>
        <c:crossAx val="428000744"/>
        <c:crosses val="autoZero"/>
        <c:auto val="1"/>
        <c:lblAlgn val="ctr"/>
        <c:lblOffset val="100"/>
        <c:noMultiLvlLbl val="0"/>
      </c:catAx>
      <c:valAx>
        <c:axId val="428000744"/>
        <c:scaling>
          <c:orientation val="minMax"/>
          <c:max val="220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513544"/>
        <c:crosses val="autoZero"/>
        <c:crossBetween val="between"/>
      </c:valAx>
      <c:spPr>
        <a:noFill/>
        <a:ln>
          <a:noFill/>
        </a:ln>
        <a:effectLst/>
      </c:spPr>
    </c:plotArea>
    <c:legend>
      <c:legendPos val="b"/>
      <c:layout>
        <c:manualLayout>
          <c:xMode val="edge"/>
          <c:yMode val="edge"/>
          <c:x val="0.35721999767093954"/>
          <c:y val="0.94186005819040064"/>
          <c:w val="0.15359185903809805"/>
          <c:h val="5.81399418095993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70006971784777"/>
          <c:y val="6.2360744067455093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DAC-47E4-8EF3-2F8A25079FD9}"/>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DAC-47E4-8EF3-2F8A25079FD9}"/>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DAC-47E4-8EF3-2F8A25079FD9}"/>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DAC-47E4-8EF3-2F8A25079FD9}"/>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DAC-47E4-8EF3-2F8A25079FD9}"/>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DAC-47E4-8EF3-2F8A25079FD9}"/>
              </c:ext>
            </c:extLst>
          </c:dPt>
          <c:dLbls>
            <c:dLbl>
              <c:idx val="0"/>
              <c:tx>
                <c:rich>
                  <a:bodyPr/>
                  <a:lstStyle/>
                  <a:p>
                    <a:r>
                      <a:rPr lang="zh-CN" altLang="en-US"/>
                      <a:t>现金和</a:t>
                    </a:r>
                    <a:br>
                      <a:rPr lang="zh-CN" altLang="en-US"/>
                    </a:br>
                    <a:r>
                      <a:rPr lang="zh-CN" altLang="en-US"/>
                      <a:t>现金等价物</a:t>
                    </a:r>
                    <a:r>
                      <a:rPr lang="zh-CN" altLang="en-US" baseline="0"/>
                      <a:t>
</a:t>
                    </a:r>
                    <a:fld id="{6E5AB468-BF68-4F1C-AB23-9E2368EB4DBE}" type="PERCENTAGE">
                      <a:rPr lang="en-US" altLang="zh-CN" baseline="0"/>
                      <a:pPr/>
                      <a:t>[PERCENTAGE]</a:t>
                    </a:fld>
                    <a:endParaRPr lang="zh-CN" alt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DAC-47E4-8EF3-2F8A25079FD9}"/>
                </c:ext>
              </c:extLst>
            </c:dLbl>
            <c:dLbl>
              <c:idx val="1"/>
              <c:tx>
                <c:rich>
                  <a:bodyPr/>
                  <a:lstStyle/>
                  <a:p>
                    <a:r>
                      <a:rPr lang="zh-CN" altLang="en-US"/>
                      <a:t>投资</a:t>
                    </a:r>
                    <a:r>
                      <a:rPr lang="zh-CN" altLang="en-US" baseline="0"/>
                      <a:t>
</a:t>
                    </a:r>
                    <a:fld id="{42BAE189-C090-4D99-8FC4-37A4A738C2B8}" type="PERCENTAGE">
                      <a:rPr lang="en-US" altLang="zh-CN" baseline="0"/>
                      <a:pPr/>
                      <a:t>[PERCENTAGE]</a:t>
                    </a:fld>
                    <a:endParaRPr lang="zh-CN" alt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DAC-47E4-8EF3-2F8A25079FD9}"/>
                </c:ext>
              </c:extLst>
            </c:dLbl>
            <c:dLbl>
              <c:idx val="2"/>
              <c:tx>
                <c:rich>
                  <a:bodyPr/>
                  <a:lstStyle/>
                  <a:p>
                    <a:r>
                      <a:rPr lang="zh-CN" altLang="en-US"/>
                      <a:t>应收款项</a:t>
                    </a:r>
                    <a:r>
                      <a:rPr lang="zh-CN" altLang="en-US" baseline="0"/>
                      <a:t>
</a:t>
                    </a:r>
                    <a:fld id="{DC17DE92-CFA6-49D2-8BEB-E0EE2B2D8055}" type="PERCENTAGE">
                      <a:rPr lang="en-US" altLang="zh-CN" baseline="0"/>
                      <a:pPr/>
                      <a:t>[PERCENTAGE]</a:t>
                    </a:fld>
                    <a:endParaRPr lang="zh-CN" alt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DAC-47E4-8EF3-2F8A25079FD9}"/>
                </c:ext>
              </c:extLst>
            </c:dLbl>
            <c:dLbl>
              <c:idx val="3"/>
              <c:tx>
                <c:rich>
                  <a:bodyPr/>
                  <a:lstStyle/>
                  <a:p>
                    <a:r>
                      <a:rPr lang="zh-CN" altLang="en-US"/>
                      <a:t>其它应收款项</a:t>
                    </a:r>
                    <a:r>
                      <a:rPr lang="zh-CN" altLang="en-US" baseline="0"/>
                      <a:t>
</a:t>
                    </a:r>
                    <a:fld id="{D915AF17-8144-419F-A3D8-9BDD261FFB26}" type="PERCENTAGE">
                      <a:rPr lang="en-US" altLang="zh-CN" baseline="0"/>
                      <a:pPr/>
                      <a:t>[PERCENTAGE]</a:t>
                    </a:fld>
                    <a:endParaRPr lang="zh-CN" altLang="en-US" baseline="0"/>
                  </a:p>
                </c:rich>
              </c:tx>
              <c:dLblPos val="outEnd"/>
              <c:showLegendKey val="0"/>
              <c:showVal val="0"/>
              <c:showCatName val="1"/>
              <c:showSerName val="0"/>
              <c:showPercent val="1"/>
              <c:showBubbleSize val="0"/>
              <c:extLst>
                <c:ext xmlns:c15="http://schemas.microsoft.com/office/drawing/2012/chart" uri="{CE6537A1-D6FC-4f65-9D91-7224C49458BB}">
                  <c15:layout>
                    <c:manualLayout>
                      <c:w val="0.22492753623188405"/>
                      <c:h val="0.10563685157332861"/>
                    </c:manualLayout>
                  </c15:layout>
                  <c15:dlblFieldTable/>
                  <c15:showDataLabelsRange val="0"/>
                </c:ext>
                <c:ext xmlns:c16="http://schemas.microsoft.com/office/drawing/2014/chart" uri="{C3380CC4-5D6E-409C-BE32-E72D297353CC}">
                  <c16:uniqueId val="{00000007-5DAC-47E4-8EF3-2F8A25079FD9}"/>
                </c:ext>
              </c:extLst>
            </c:dLbl>
            <c:dLbl>
              <c:idx val="4"/>
              <c:tx>
                <c:rich>
                  <a:bodyPr/>
                  <a:lstStyle/>
                  <a:p>
                    <a:r>
                      <a:rPr lang="zh-CN" altLang="en-US"/>
                      <a:t>物业、机器和设备</a:t>
                    </a:r>
                    <a:r>
                      <a:rPr lang="zh-CN" altLang="en-US" baseline="0"/>
                      <a:t>
</a:t>
                    </a:r>
                    <a:fld id="{650D0BC9-604F-4005-9B5B-E2AFD5FB812B}" type="PERCENTAGE">
                      <a:rPr lang="en-US" altLang="zh-CN" baseline="0"/>
                      <a:pPr/>
                      <a:t>[PERCENTAGE]</a:t>
                    </a:fld>
                    <a:endParaRPr lang="zh-CN" altLang="en-US" baseline="0"/>
                  </a:p>
                </c:rich>
              </c:tx>
              <c:dLblPos val="outEnd"/>
              <c:showLegendKey val="0"/>
              <c:showVal val="0"/>
              <c:showCatName val="1"/>
              <c:showSerName val="0"/>
              <c:showPercent val="1"/>
              <c:showBubbleSize val="0"/>
              <c:extLst>
                <c:ext xmlns:c15="http://schemas.microsoft.com/office/drawing/2012/chart" uri="{CE6537A1-D6FC-4f65-9D91-7224C49458BB}">
                  <c15:layout>
                    <c:manualLayout>
                      <c:w val="0.23258979206049149"/>
                      <c:h val="0.15432599015010764"/>
                    </c:manualLayout>
                  </c15:layout>
                  <c15:dlblFieldTable/>
                  <c15:showDataLabelsRange val="0"/>
                </c:ext>
                <c:ext xmlns:c16="http://schemas.microsoft.com/office/drawing/2014/chart" uri="{C3380CC4-5D6E-409C-BE32-E72D297353CC}">
                  <c16:uniqueId val="{00000009-5DAC-47E4-8EF3-2F8A25079FD9}"/>
                </c:ext>
              </c:extLst>
            </c:dLbl>
            <c:dLbl>
              <c:idx val="5"/>
              <c:layout>
                <c:manualLayout>
                  <c:x val="-1.6666666666666691E-2"/>
                  <c:y val="-0.102418192386108"/>
                </c:manualLayout>
              </c:layout>
              <c:tx>
                <c:rich>
                  <a:bodyPr/>
                  <a:lstStyle/>
                  <a:p>
                    <a:r>
                      <a:rPr lang="zh-CN" altLang="en-US"/>
                      <a:t>其他资产</a:t>
                    </a:r>
                    <a:r>
                      <a:rPr lang="zh-CN" altLang="en-US" baseline="0"/>
                      <a:t>
</a:t>
                    </a:r>
                    <a:fld id="{F9E6C638-C134-46E4-B8E5-5735E790A251}" type="PERCENTAGE">
                      <a:rPr lang="en-US" altLang="zh-CN" baseline="0"/>
                      <a:pPr/>
                      <a:t>[PERCENTAGE]</a:t>
                    </a:fld>
                    <a:endParaRPr lang="zh-CN" alt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DAC-47E4-8EF3-2F8A25079FD9}"/>
                </c:ext>
              </c:extLst>
            </c:dLbl>
            <c:dLbl>
              <c:idx val="6"/>
              <c:layout>
                <c:manualLayout>
                  <c:x val="0.13802083333333323"/>
                  <c:y val="-2.188782175385221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5DAC-47E4-8EF3-2F8A25079FD9}"/>
                </c:ext>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Highlights'!$C$88:$C$93</c:f>
              <c:numCache>
                <c:formatCode>_ * #,##0_ ;_ * \-#,##0_ ;_ * "-"??_ ;_ @_ </c:formatCode>
                <c:ptCount val="6"/>
                <c:pt idx="0">
                  <c:v>130392.23895</c:v>
                </c:pt>
                <c:pt idx="1">
                  <c:v>95033</c:v>
                </c:pt>
                <c:pt idx="2">
                  <c:v>87920</c:v>
                </c:pt>
                <c:pt idx="3">
                  <c:v>24935.984669999998</c:v>
                </c:pt>
                <c:pt idx="4">
                  <c:v>71670.769</c:v>
                </c:pt>
                <c:pt idx="5">
                  <c:v>14523.922000000002</c:v>
                </c:pt>
              </c:numCache>
            </c:numRef>
          </c:val>
          <c:extLst>
            <c:ext xmlns:c16="http://schemas.microsoft.com/office/drawing/2014/chart" uri="{C3380CC4-5D6E-409C-BE32-E72D297353CC}">
              <c16:uniqueId val="{0000000D-5DAC-47E4-8EF3-2F8A25079FD9}"/>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Highlights'!$C$86:$C$87</c:f>
              <c:strCache>
                <c:ptCount val="2"/>
                <c:pt idx="0">
                  <c:v>2021</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Highlights'!$C$88:$C$93</c:f>
              <c:numCache>
                <c:formatCode>_ * #,##0_ ;_ * \-#,##0_ ;_ * "-"??_ ;_ @_ </c:formatCode>
                <c:ptCount val="6"/>
                <c:pt idx="0">
                  <c:v>130392.23895</c:v>
                </c:pt>
                <c:pt idx="1">
                  <c:v>95033</c:v>
                </c:pt>
                <c:pt idx="2">
                  <c:v>87920</c:v>
                </c:pt>
                <c:pt idx="3">
                  <c:v>24935.984669999998</c:v>
                </c:pt>
                <c:pt idx="4">
                  <c:v>71670.769</c:v>
                </c:pt>
                <c:pt idx="5">
                  <c:v>14523.922000000002</c:v>
                </c:pt>
              </c:numCache>
            </c:numRef>
          </c:val>
          <c:extLst>
            <c:ext xmlns:c16="http://schemas.microsoft.com/office/drawing/2014/chart" uri="{C3380CC4-5D6E-409C-BE32-E72D297353CC}">
              <c16:uniqueId val="{00000000-C7EE-419C-80B9-E4B2E1C87C32}"/>
            </c:ext>
          </c:extLst>
        </c:ser>
        <c:ser>
          <c:idx val="1"/>
          <c:order val="1"/>
          <c:tx>
            <c:strRef>
              <c:f>'Financial Highlights'!$D$86:$D$87</c:f>
              <c:strCache>
                <c:ptCount val="2"/>
                <c:pt idx="0">
                  <c:v>2020</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Highlights'!$B$88:$B$93</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Highlights'!$D$88:$D$93</c:f>
              <c:numCache>
                <c:formatCode>_ * #,##0_ ;_ * \-#,##0_ ;_ * "-"??_ ;_ @_ </c:formatCode>
                <c:ptCount val="6"/>
                <c:pt idx="0">
                  <c:v>99405.760019999987</c:v>
                </c:pt>
                <c:pt idx="1">
                  <c:v>95516.27</c:v>
                </c:pt>
                <c:pt idx="2">
                  <c:v>97787.19</c:v>
                </c:pt>
                <c:pt idx="3">
                  <c:v>26879.8835</c:v>
                </c:pt>
                <c:pt idx="4">
                  <c:v>78040.295000000013</c:v>
                </c:pt>
                <c:pt idx="5">
                  <c:v>10885.637999999999</c:v>
                </c:pt>
              </c:numCache>
            </c:numRef>
          </c:val>
          <c:extLst>
            <c:ext xmlns:c16="http://schemas.microsoft.com/office/drawing/2014/chart" uri="{C3380CC4-5D6E-409C-BE32-E72D297353CC}">
              <c16:uniqueId val="{00000001-C7EE-419C-80B9-E4B2E1C87C32}"/>
            </c:ext>
          </c:extLst>
        </c:ser>
        <c:dLbls>
          <c:showLegendKey val="0"/>
          <c:showVal val="0"/>
          <c:showCatName val="0"/>
          <c:showSerName val="0"/>
          <c:showPercent val="0"/>
          <c:showBubbleSize val="0"/>
        </c:dLbls>
        <c:gapWidth val="100"/>
        <c:overlap val="-24"/>
        <c:axId val="427995648"/>
        <c:axId val="427996040"/>
      </c:barChart>
      <c:catAx>
        <c:axId val="42799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996040"/>
        <c:crosses val="autoZero"/>
        <c:auto val="1"/>
        <c:lblAlgn val="ctr"/>
        <c:lblOffset val="100"/>
        <c:noMultiLvlLbl val="0"/>
      </c:catAx>
      <c:valAx>
        <c:axId val="427996040"/>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99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5"/>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2BC-496A-982B-63F0D777C75A}"/>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2BC-496A-982B-63F0D777C75A}"/>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2BC-496A-982B-63F0D777C75A}"/>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2BC-496A-982B-63F0D777C75A}"/>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2BC-496A-982B-63F0D777C75A}"/>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2BC-496A-982B-63F0D777C75A}"/>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2BC-496A-982B-63F0D777C75A}"/>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2BC-496A-982B-63F0D777C75A}"/>
              </c:ext>
            </c:extLst>
          </c:dPt>
          <c:dLbls>
            <c:dLbl>
              <c:idx val="0"/>
              <c:layout>
                <c:manualLayout>
                  <c:x val="-2.7777777777777779E-3"/>
                  <c:y val="-8.36901366151784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a:t>应付账款</a:t>
                    </a:r>
                    <a:br>
                      <a:rPr lang="zh-CN" altLang="en-US"/>
                    </a:br>
                    <a:r>
                      <a:rPr lang="zh-CN" altLang="en-US"/>
                      <a:t>及应计费用</a:t>
                    </a:r>
                    <a:r>
                      <a:rPr lang="zh-CN" altLang="en-US" baseline="0"/>
                      <a:t>
</a:t>
                    </a:r>
                    <a:fld id="{8855862D-B6B1-49F2-AE91-701CAF4FADE6}" type="PERCENTAGE">
                      <a:rPr lang="en-US" altLang="zh-CN"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2BC-496A-982B-63F0D777C75A}"/>
                </c:ext>
              </c:extLst>
            </c:dLbl>
            <c:dLbl>
              <c:idx val="1"/>
              <c:layout>
                <c:manualLayout>
                  <c:x val="-8.0555555555555561E-2"/>
                  <c:y val="-3.268539473340412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a:t>递延收入</a:t>
                    </a:r>
                    <a:r>
                      <a:rPr lang="zh-CN" altLang="en-US" baseline="0"/>
                      <a:t>
</a:t>
                    </a:r>
                    <a:fld id="{A98BCEF3-5C1C-4347-9170-D22587416C11}" type="PERCENTAGE">
                      <a:rPr lang="en-US" altLang="zh-CN"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2BC-496A-982B-63F0D777C75A}"/>
                </c:ext>
              </c:extLst>
            </c:dLbl>
            <c:dLbl>
              <c:idx val="2"/>
              <c:layout>
                <c:manualLayout>
                  <c:x val="-2.7777777777777776E-2"/>
                  <c:y val="-0.1058302956073413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a:t>其它负债</a:t>
                    </a:r>
                    <a:r>
                      <a:rPr lang="zh-CN" altLang="en-US" baseline="0"/>
                      <a:t>
</a:t>
                    </a:r>
                    <a:fld id="{96EA1AE8-74F4-4F3E-B32E-05558FF48B9B}" type="PERCENTAGE">
                      <a:rPr lang="en-US" altLang="zh-CN"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2BC-496A-982B-63F0D777C75A}"/>
                </c:ext>
              </c:extLst>
            </c:dLbl>
            <c:dLbl>
              <c:idx val="3"/>
              <c:layout>
                <c:manualLayout>
                  <c:x val="2.9337051618547581E-2"/>
                  <c:y val="-2.946223223521831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a:t>借贷</a:t>
                    </a:r>
                    <a:r>
                      <a:rPr lang="zh-CN" altLang="en-US" baseline="0"/>
                      <a:t>
</a:t>
                    </a:r>
                    <a:fld id="{A565E836-9E55-4B64-98D8-201B6B1D8C97}" type="PERCENTAGE">
                      <a:rPr lang="en-US" altLang="zh-CN"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2BC-496A-982B-63F0D777C75A}"/>
                </c:ext>
              </c:extLst>
            </c:dLbl>
            <c:dLbl>
              <c:idx val="4"/>
              <c:layout>
                <c:manualLayout>
                  <c:x val="-5.2942475940507452E-2"/>
                  <c:y val="-8.398566008713753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a:t>职员福利</a:t>
                    </a:r>
                    <a:r>
                      <a:rPr lang="zh-CN" altLang="en-US" baseline="0"/>
                      <a:t>
</a:t>
                    </a:r>
                    <a:fld id="{7C48292C-BBC0-4929-99AE-AB773B7D025E}" type="PERCENTAGE">
                      <a:rPr lang="en-US" altLang="zh-CN"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2BC-496A-982B-63F0D777C75A}"/>
                </c:ext>
              </c:extLst>
            </c:dLbl>
            <c:dLbl>
              <c:idx val="5"/>
              <c:layout>
                <c:manualLayout>
                  <c:x val="-7.5991907261592301E-2"/>
                  <c:y val="-6.310606270399268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a:t>第三方基金</a:t>
                    </a:r>
                    <a:r>
                      <a:rPr lang="zh-CN" altLang="en-US" baseline="0"/>
                      <a:t>
</a:t>
                    </a:r>
                    <a:fld id="{AD0DC816-A04D-49B5-A259-15A18F0EF7C6}" type="PERCENTAGE">
                      <a:rPr lang="en-US" altLang="zh-CN"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2BC-496A-982B-63F0D777C75A}"/>
                </c:ext>
              </c:extLst>
            </c:dLbl>
            <c:dLbl>
              <c:idx val="6"/>
              <c:layout>
                <c:manualLayout>
                  <c:x val="-1.9444444444444445E-2"/>
                  <c:y val="0.2000121406645255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2BC-496A-982B-63F0D777C75A}"/>
                </c:ext>
              </c:extLst>
            </c:dLbl>
            <c:dLbl>
              <c:idx val="7"/>
              <c:layout>
                <c:manualLayout>
                  <c:x val="-0.16944444444444448"/>
                  <c:y val="-3.1984013030337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2BC-496A-982B-63F0D777C75A}"/>
                </c:ext>
              </c:extLst>
            </c:dLbl>
            <c:dLbl>
              <c:idx val="9"/>
              <c:layout>
                <c:manualLayout>
                  <c:x val="-5.5555555555555558E-3"/>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72BC-496A-982B-63F0D777C7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Highlights'!$C$113:$C$119</c:f>
              <c:strCache>
                <c:ptCount val="6"/>
                <c:pt idx="0">
                  <c:v>Payables and accruals</c:v>
                </c:pt>
                <c:pt idx="1">
                  <c:v>Deferred revenue</c:v>
                </c:pt>
                <c:pt idx="2">
                  <c:v>Other liabilities</c:v>
                </c:pt>
                <c:pt idx="3">
                  <c:v>Borrowings</c:v>
                </c:pt>
                <c:pt idx="4">
                  <c:v>Employee benefits</c:v>
                </c:pt>
                <c:pt idx="5">
                  <c:v>Third party funds</c:v>
                </c:pt>
              </c:strCache>
            </c:strRef>
          </c:cat>
          <c:val>
            <c:numRef>
              <c:f>'Financial Highlights'!$D$113:$D$119</c:f>
              <c:numCache>
                <c:formatCode>_ * #,##0_ ;_ * \-#,##0_ ;_ * "-"??_ ;_ @_ </c:formatCode>
                <c:ptCount val="7"/>
                <c:pt idx="0">
                  <c:v>8167.8900000000012</c:v>
                </c:pt>
                <c:pt idx="1">
                  <c:v>132415.60320000001</c:v>
                </c:pt>
                <c:pt idx="2">
                  <c:v>24161.186139999998</c:v>
                </c:pt>
                <c:pt idx="3">
                  <c:v>53381.880000000005</c:v>
                </c:pt>
                <c:pt idx="4">
                  <c:v>570507.03792000015</c:v>
                </c:pt>
                <c:pt idx="5">
                  <c:v>50020.04</c:v>
                </c:pt>
              </c:numCache>
            </c:numRef>
          </c:val>
          <c:extLst>
            <c:ext xmlns:c16="http://schemas.microsoft.com/office/drawing/2014/chart" uri="{C3380CC4-5D6E-409C-BE32-E72D297353CC}">
              <c16:uniqueId val="{00000011-72BC-496A-982B-63F0D777C75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Highlights'!$D$112</c:f>
              <c:strCache>
                <c:ptCount val="1"/>
                <c:pt idx="0">
                  <c:v>2021</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Highlights'!$C$113:$C$118</c:f>
              <c:strCache>
                <c:ptCount val="6"/>
                <c:pt idx="0">
                  <c:v>Payables and accruals</c:v>
                </c:pt>
                <c:pt idx="1">
                  <c:v>Deferred revenue</c:v>
                </c:pt>
                <c:pt idx="2">
                  <c:v>Other liabilities</c:v>
                </c:pt>
                <c:pt idx="3">
                  <c:v>Borrowings</c:v>
                </c:pt>
                <c:pt idx="4">
                  <c:v>Employee benefits</c:v>
                </c:pt>
                <c:pt idx="5">
                  <c:v>Third party funds</c:v>
                </c:pt>
              </c:strCache>
            </c:strRef>
          </c:cat>
          <c:val>
            <c:numRef>
              <c:f>'Financial Highlights'!$D$113:$D$118</c:f>
              <c:numCache>
                <c:formatCode>_ * #,##0_ ;_ * \-#,##0_ ;_ * "-"??_ ;_ @_ </c:formatCode>
                <c:ptCount val="6"/>
                <c:pt idx="0">
                  <c:v>8167.8900000000012</c:v>
                </c:pt>
                <c:pt idx="1">
                  <c:v>132415.60320000001</c:v>
                </c:pt>
                <c:pt idx="2">
                  <c:v>24161.186139999998</c:v>
                </c:pt>
                <c:pt idx="3">
                  <c:v>53381.880000000005</c:v>
                </c:pt>
                <c:pt idx="4">
                  <c:v>570507.03792000015</c:v>
                </c:pt>
                <c:pt idx="5">
                  <c:v>50020.04</c:v>
                </c:pt>
              </c:numCache>
            </c:numRef>
          </c:val>
          <c:extLst>
            <c:ext xmlns:c16="http://schemas.microsoft.com/office/drawing/2014/chart" uri="{C3380CC4-5D6E-409C-BE32-E72D297353CC}">
              <c16:uniqueId val="{00000000-7487-4E09-A379-7F6497B0E842}"/>
            </c:ext>
          </c:extLst>
        </c:ser>
        <c:ser>
          <c:idx val="1"/>
          <c:order val="1"/>
          <c:tx>
            <c:strRef>
              <c:f>'Financial Highlights'!$E$112</c:f>
              <c:strCache>
                <c:ptCount val="1"/>
                <c:pt idx="0">
                  <c:v>2020</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Highlights'!$C$113:$C$118</c:f>
              <c:strCache>
                <c:ptCount val="6"/>
                <c:pt idx="0">
                  <c:v>Payables and accruals</c:v>
                </c:pt>
                <c:pt idx="1">
                  <c:v>Deferred revenue</c:v>
                </c:pt>
                <c:pt idx="2">
                  <c:v>Other liabilities</c:v>
                </c:pt>
                <c:pt idx="3">
                  <c:v>Borrowings</c:v>
                </c:pt>
                <c:pt idx="4">
                  <c:v>Employee benefits</c:v>
                </c:pt>
                <c:pt idx="5">
                  <c:v>Third party funds</c:v>
                </c:pt>
              </c:strCache>
            </c:strRef>
          </c:cat>
          <c:val>
            <c:numRef>
              <c:f>'Financial Highlights'!$E$113:$E$118</c:f>
              <c:numCache>
                <c:formatCode>_ * #,##0_ ;_ * \-#,##0_ ;_ * "-"??_ ;_ @_ </c:formatCode>
                <c:ptCount val="6"/>
                <c:pt idx="0">
                  <c:v>7119.92</c:v>
                </c:pt>
                <c:pt idx="1">
                  <c:v>132565.67879000001</c:v>
                </c:pt>
                <c:pt idx="2">
                  <c:v>23933.065930000001</c:v>
                </c:pt>
                <c:pt idx="3">
                  <c:v>47109.79</c:v>
                </c:pt>
                <c:pt idx="4">
                  <c:v>656030.80000000005</c:v>
                </c:pt>
                <c:pt idx="5">
                  <c:v>42782.91</c:v>
                </c:pt>
              </c:numCache>
            </c:numRef>
          </c:val>
          <c:extLst>
            <c:ext xmlns:c16="http://schemas.microsoft.com/office/drawing/2014/chart" uri="{C3380CC4-5D6E-409C-BE32-E72D297353CC}">
              <c16:uniqueId val="{00000001-7487-4E09-A379-7F6497B0E842}"/>
            </c:ext>
          </c:extLst>
        </c:ser>
        <c:dLbls>
          <c:showLegendKey val="0"/>
          <c:showVal val="0"/>
          <c:showCatName val="0"/>
          <c:showSerName val="0"/>
          <c:showPercent val="0"/>
          <c:showBubbleSize val="0"/>
        </c:dLbls>
        <c:gapWidth val="100"/>
        <c:overlap val="-24"/>
        <c:axId val="356761288"/>
        <c:axId val="356762464"/>
      </c:barChart>
      <c:catAx>
        <c:axId val="356761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6762464"/>
        <c:crosses val="autoZero"/>
        <c:auto val="1"/>
        <c:lblAlgn val="ctr"/>
        <c:lblOffset val="100"/>
        <c:noMultiLvlLbl val="0"/>
      </c:catAx>
      <c:valAx>
        <c:axId val="356762464"/>
        <c:scaling>
          <c:orientation val="minMax"/>
          <c:max val="65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56761288"/>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0.16462</cdr:x>
      <cdr:y>0.77409</cdr:y>
    </cdr:from>
    <cdr:to>
      <cdr:x>0.9816</cdr:x>
      <cdr:y>0.87686</cdr:y>
    </cdr:to>
    <cdr:sp macro="" textlink="">
      <cdr:nvSpPr>
        <cdr:cNvPr id="2" name="文本框 1"/>
        <cdr:cNvSpPr txBox="1"/>
      </cdr:nvSpPr>
      <cdr:spPr>
        <a:xfrm xmlns:a="http://schemas.openxmlformats.org/drawingml/2006/main">
          <a:off x="752626" y="2209007"/>
          <a:ext cx="3735232" cy="293281"/>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000"/>
            <a:t>分摊会费</a:t>
          </a:r>
          <a:r>
            <a:rPr lang="en-US" altLang="zh-CN" sz="1000"/>
            <a:t>	 </a:t>
          </a:r>
          <a:r>
            <a:rPr lang="zh-CN" altLang="en-US" sz="1000"/>
            <a:t>自愿捐款</a:t>
          </a:r>
          <a:r>
            <a:rPr lang="en-US" altLang="zh-CN" sz="1000"/>
            <a:t>	</a:t>
          </a:r>
          <a:r>
            <a:rPr lang="zh-CN" altLang="en-US" sz="1000"/>
            <a:t>其它营运收入</a:t>
          </a:r>
          <a:r>
            <a:rPr lang="en-US" altLang="zh-CN" sz="1000"/>
            <a:t>	  </a:t>
          </a:r>
          <a:r>
            <a:rPr lang="zh-CN" altLang="en-US" sz="1000"/>
            <a:t>理财收入</a:t>
          </a:r>
          <a:endParaRPr 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0.05975</cdr:x>
      <cdr:y>0.55861</cdr:y>
    </cdr:from>
    <cdr:to>
      <cdr:x>0.1062</cdr:x>
      <cdr:y>0.82415</cdr:y>
    </cdr:to>
    <cdr:sp macro="" textlink="">
      <cdr:nvSpPr>
        <cdr:cNvPr id="2" name="Text Box 498"/>
        <cdr:cNvSpPr txBox="1"/>
      </cdr:nvSpPr>
      <cdr:spPr>
        <a:xfrm xmlns:a="http://schemas.openxmlformats.org/drawingml/2006/main" rot="18853490">
          <a:off x="-26277" y="2418908"/>
          <a:ext cx="978820" cy="259287"/>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hangingPunct="0">
            <a:spcBef>
              <a:spcPts val="600"/>
            </a:spcBef>
            <a:spcAft>
              <a:spcPts val="0"/>
            </a:spcAft>
          </a:pPr>
          <a:r>
            <a:rPr lang="en-GB" sz="900">
              <a:effectLst/>
              <a:ea typeface="Times New Roman" panose="02020603050405020304" pitchFamily="18" charset="0"/>
              <a:cs typeface="Times New Roman" panose="02020603050405020304" pitchFamily="18" charset="0"/>
            </a:rPr>
            <a:t>人员支出</a:t>
          </a:r>
          <a:endParaRPr lang="en-US" sz="1200">
            <a:effectLst/>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0.16848</cdr:x>
      <cdr:y>0.54084</cdr:y>
    </cdr:from>
    <cdr:to>
      <cdr:x>0.21019</cdr:x>
      <cdr:y>0.8389</cdr:y>
    </cdr:to>
    <cdr:sp macro="" textlink="">
      <cdr:nvSpPr>
        <cdr:cNvPr id="3" name="Text Box 499"/>
        <cdr:cNvSpPr txBox="1"/>
      </cdr:nvSpPr>
      <cdr:spPr>
        <a:xfrm xmlns:a="http://schemas.openxmlformats.org/drawingml/2006/main" rot="18853490">
          <a:off x="507440" y="2426572"/>
          <a:ext cx="1098720" cy="232834"/>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hangingPunct="0">
            <a:spcBef>
              <a:spcPts val="600"/>
            </a:spcBef>
            <a:spcAft>
              <a:spcPts val="0"/>
            </a:spcAft>
          </a:pPr>
          <a:r>
            <a:rPr lang="en-GB" sz="900">
              <a:effectLst/>
              <a:ea typeface="Times New Roman" panose="02020603050405020304" pitchFamily="18" charset="0"/>
              <a:cs typeface="Times New Roman" panose="02020603050405020304" pitchFamily="18" charset="0"/>
            </a:rPr>
            <a:t>差旅支出</a:t>
          </a:r>
          <a:endParaRPr lang="en-US" sz="1200">
            <a:effectLst/>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0.26369</cdr:x>
      <cdr:y>0.55554</cdr:y>
    </cdr:from>
    <cdr:to>
      <cdr:x>0.30539</cdr:x>
      <cdr:y>0.85361</cdr:y>
    </cdr:to>
    <cdr:sp macro="" textlink="">
      <cdr:nvSpPr>
        <cdr:cNvPr id="4" name="Text Box 21"/>
        <cdr:cNvSpPr txBox="1"/>
      </cdr:nvSpPr>
      <cdr:spPr>
        <a:xfrm xmlns:a="http://schemas.openxmlformats.org/drawingml/2006/main" rot="18853490">
          <a:off x="1038844" y="2480800"/>
          <a:ext cx="1098720" cy="232773"/>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zh-CN" sz="900">
              <a:effectLst/>
              <a:ea typeface="宋体" panose="02010600030101010101" pitchFamily="2" charset="-122"/>
              <a:cs typeface="Times New Roman" panose="02020603050405020304" pitchFamily="18" charset="0"/>
            </a:rPr>
            <a:t>合同服务</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0.45238</cdr:x>
      <cdr:y>0.53558</cdr:y>
    </cdr:from>
    <cdr:to>
      <cdr:x>0.4905</cdr:x>
      <cdr:y>0.88202</cdr:y>
    </cdr:to>
    <cdr:sp macro="" textlink="">
      <cdr:nvSpPr>
        <cdr:cNvPr id="5" name="Text Box 19"/>
        <cdr:cNvSpPr txBox="1"/>
      </cdr:nvSpPr>
      <cdr:spPr>
        <a:xfrm xmlns:a="http://schemas.openxmlformats.org/drawingml/2006/main" rot="18853490">
          <a:off x="1992906" y="2506379"/>
          <a:ext cx="1277027" cy="212758"/>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zh-CN" sz="900">
              <a:effectLst/>
              <a:ea typeface="宋体" panose="02010600030101010101" pitchFamily="2" charset="-122"/>
              <a:cs typeface="Times New Roman" panose="02020603050405020304" pitchFamily="18" charset="0"/>
            </a:rPr>
            <a:t>设备和用品</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0.39044</cdr:x>
      <cdr:y>0.72879</cdr:y>
    </cdr:from>
    <cdr:to>
      <cdr:x>0.69344</cdr:x>
      <cdr:y>0.76466</cdr:y>
    </cdr:to>
    <cdr:sp macro="" textlink="">
      <cdr:nvSpPr>
        <cdr:cNvPr id="6" name="Text Box 18"/>
        <cdr:cNvSpPr txBox="1"/>
      </cdr:nvSpPr>
      <cdr:spPr>
        <a:xfrm xmlns:a="http://schemas.openxmlformats.org/drawingml/2006/main" rot="18935195">
          <a:off x="2179273" y="2686443"/>
          <a:ext cx="1691290" cy="132237"/>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hangingPunct="0">
            <a:lnSpc>
              <a:spcPts val="900"/>
            </a:lnSpc>
            <a:spcBef>
              <a:spcPts val="600"/>
            </a:spcBef>
            <a:spcAft>
              <a:spcPts val="0"/>
            </a:spcAft>
            <a:tabLst>
              <a:tab pos="504190" algn="l"/>
              <a:tab pos="756285" algn="l"/>
              <a:tab pos="1008380" algn="l"/>
              <a:tab pos="1260475" algn="l"/>
            </a:tabLst>
          </a:pPr>
          <a:r>
            <a:rPr lang="zh-CN" sz="900">
              <a:effectLst/>
              <a:ea typeface="宋体" panose="02010600030101010101" pitchFamily="2" charset="-122"/>
              <a:cs typeface="Times New Roman" panose="02020603050405020304" pitchFamily="18" charset="0"/>
            </a:rPr>
            <a:t>折旧和减值损失</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0.62888</cdr:x>
      <cdr:y>0.52664</cdr:y>
    </cdr:from>
    <cdr:to>
      <cdr:x>0.68083</cdr:x>
      <cdr:y>1</cdr:y>
    </cdr:to>
    <cdr:sp macro="" textlink="">
      <cdr:nvSpPr>
        <cdr:cNvPr id="7" name="Text Box 17"/>
        <cdr:cNvSpPr txBox="1"/>
      </cdr:nvSpPr>
      <cdr:spPr>
        <a:xfrm xmlns:a="http://schemas.openxmlformats.org/drawingml/2006/main" rot="18853490">
          <a:off x="2759438" y="2761637"/>
          <a:ext cx="1791485" cy="289975"/>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zh-CN" sz="900">
              <a:effectLst/>
              <a:ea typeface="宋体" panose="02010600030101010101" pitchFamily="2" charset="-122"/>
              <a:cs typeface="Times New Roman" panose="02020603050405020304" pitchFamily="18" charset="0"/>
            </a:rPr>
            <a:t>运输、通信及</a:t>
          </a:r>
          <a:r>
            <a:rPr lang="zh-CN" altLang="en-US" sz="900">
              <a:effectLst/>
              <a:ea typeface="宋体" panose="02010600030101010101" pitchFamily="2" charset="-122"/>
              <a:cs typeface="Times New Roman" panose="02020603050405020304" pitchFamily="18" charset="0"/>
            </a:rPr>
            <a:t>服务</a:t>
          </a:r>
          <a:r>
            <a:rPr lang="en-US" sz="900">
              <a:effectLst/>
              <a:ea typeface="宋体" panose="02010600030101010101" pitchFamily="2" charset="-122"/>
              <a:cs typeface="Times New Roman" panose="02020603050405020304" pitchFamily="18" charset="0"/>
            </a:rPr>
            <a:t>...</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0.67253</cdr:x>
      <cdr:y>0.68382</cdr:y>
    </cdr:from>
    <cdr:to>
      <cdr:x>0.8887</cdr:x>
      <cdr:y>0.74697</cdr:y>
    </cdr:to>
    <cdr:sp macro="" textlink="">
      <cdr:nvSpPr>
        <cdr:cNvPr id="8" name="Text Box 16"/>
        <cdr:cNvSpPr txBox="1"/>
      </cdr:nvSpPr>
      <cdr:spPr>
        <a:xfrm xmlns:a="http://schemas.openxmlformats.org/drawingml/2006/main" rot="19021458">
          <a:off x="3753848" y="2520697"/>
          <a:ext cx="1206587" cy="232763"/>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zh-CN" sz="900">
              <a:effectLst/>
              <a:ea typeface="宋体" panose="02010600030101010101" pitchFamily="2" charset="-122"/>
              <a:cs typeface="Times New Roman" panose="02020603050405020304" pitchFamily="18" charset="0"/>
            </a:rPr>
            <a:t>其它支出</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0.86855</cdr:x>
      <cdr:y>0.5522</cdr:y>
    </cdr:from>
    <cdr:to>
      <cdr:x>0.91025</cdr:x>
      <cdr:y>0.85025</cdr:y>
    </cdr:to>
    <cdr:sp macro="" textlink="">
      <cdr:nvSpPr>
        <cdr:cNvPr id="9" name="Text Box 15"/>
        <cdr:cNvSpPr txBox="1"/>
      </cdr:nvSpPr>
      <cdr:spPr>
        <a:xfrm xmlns:a="http://schemas.openxmlformats.org/drawingml/2006/main" rot="18853490">
          <a:off x="4414989" y="2468449"/>
          <a:ext cx="1098686" cy="232773"/>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zh-CN" altLang="en-US" sz="900">
              <a:effectLst/>
              <a:ea typeface="宋体" panose="02010600030101010101" pitchFamily="2" charset="-122"/>
              <a:cs typeface="Times New Roman" panose="02020603050405020304" pitchFamily="18" charset="0"/>
            </a:rPr>
            <a:t>理财</a:t>
          </a:r>
          <a:r>
            <a:rPr lang="zh-CN" sz="900">
              <a:effectLst/>
              <a:ea typeface="宋体" panose="02010600030101010101" pitchFamily="2" charset="-122"/>
              <a:cs typeface="Times New Roman" panose="02020603050405020304" pitchFamily="18" charset="0"/>
            </a:rPr>
            <a:t>费用</a:t>
          </a:r>
          <a:endParaRPr lang="en-US" sz="1200">
            <a:effectLst/>
            <a:ea typeface="宋体" panose="02010600030101010101" pitchFamily="2" charset="-122"/>
            <a:cs typeface="Times New Roman" panose="02020603050405020304" pitchFamily="18" charset="0"/>
          </a:endParaRPr>
        </a:p>
      </cdr:txBody>
    </cdr:sp>
  </cdr:relSizeAnchor>
  <cdr:relSizeAnchor xmlns:cdr="http://schemas.openxmlformats.org/drawingml/2006/chartDrawing">
    <cdr:from>
      <cdr:x>0.30736</cdr:x>
      <cdr:y>0.49165</cdr:y>
    </cdr:from>
    <cdr:to>
      <cdr:x>0.34593</cdr:x>
      <cdr:y>1</cdr:y>
    </cdr:to>
    <cdr:sp macro="" textlink="">
      <cdr:nvSpPr>
        <cdr:cNvPr id="11" name="Text Box 21"/>
        <cdr:cNvSpPr txBox="1"/>
      </cdr:nvSpPr>
      <cdr:spPr>
        <a:xfrm xmlns:a="http://schemas.openxmlformats.org/drawingml/2006/main" rot="18853490">
          <a:off x="861269" y="2826354"/>
          <a:ext cx="1923892" cy="215237"/>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hangingPunct="0">
            <a:spcBef>
              <a:spcPts val="600"/>
            </a:spcBef>
            <a:spcAft>
              <a:spcPts val="0"/>
            </a:spcAft>
            <a:tabLst>
              <a:tab pos="504190" algn="l"/>
              <a:tab pos="756285" algn="l"/>
              <a:tab pos="1008380" algn="l"/>
              <a:tab pos="1260475" algn="l"/>
            </a:tabLst>
          </a:pPr>
          <a:r>
            <a:rPr lang="zh-CN" altLang="en-US" sz="900">
              <a:effectLst/>
              <a:ea typeface="宋体" panose="02010600030101010101" pitchFamily="2" charset="-122"/>
              <a:cs typeface="Times New Roman" panose="02020603050405020304" pitchFamily="18" charset="0"/>
            </a:rPr>
            <a:t>办公设施租用和维护</a:t>
          </a:r>
          <a:endParaRPr lang="en-US" sz="1200">
            <a:effectLst/>
            <a:ea typeface="宋体" panose="02010600030101010101" pitchFamily="2" charset="-122"/>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0.0572</cdr:x>
      <cdr:y>0.7857</cdr:y>
    </cdr:from>
    <cdr:to>
      <cdr:x>0.9755</cdr:x>
      <cdr:y>0.92127</cdr:y>
    </cdr:to>
    <cdr:sp macro="" textlink="">
      <cdr:nvSpPr>
        <cdr:cNvPr id="2" name="Text Box 497"/>
        <cdr:cNvSpPr txBox="1"/>
      </cdr:nvSpPr>
      <cdr:spPr>
        <a:xfrm xmlns:a="http://schemas.openxmlformats.org/drawingml/2006/main">
          <a:off x="294200" y="2454694"/>
          <a:ext cx="4723262" cy="423553"/>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72000" tIns="0" rIns="72000" bIns="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hangingPunct="0">
            <a:spcBef>
              <a:spcPts val="600"/>
            </a:spcBef>
            <a:spcAft>
              <a:spcPts val="0"/>
            </a:spcAft>
            <a:tabLst>
              <a:tab pos="408940" algn="l"/>
              <a:tab pos="900430" algn="l"/>
              <a:tab pos="1244600" algn="l"/>
              <a:tab pos="1786890" algn="l"/>
              <a:tab pos="2444750" algn="l"/>
              <a:tab pos="3060700" algn="l"/>
              <a:tab pos="3768725" algn="l"/>
            </a:tabLst>
          </a:pPr>
          <a:r>
            <a:rPr lang="en-GB" sz="900">
              <a:effectLst/>
              <a:ea typeface="Times New Roman" panose="02020603050405020304" pitchFamily="18" charset="0"/>
              <a:cs typeface="Times New Roman" panose="02020603050405020304" pitchFamily="18" charset="0"/>
            </a:rPr>
            <a:t>	   现金和		投资	应收款项	        其它	      物业、机器          其它资产</a:t>
          </a:r>
          <a:r>
            <a:rPr lang="en-GB" sz="900" baseline="0">
              <a:effectLst/>
              <a:ea typeface="Times New Roman" panose="02020603050405020304" pitchFamily="18" charset="0"/>
              <a:cs typeface="Times New Roman" panose="02020603050405020304" pitchFamily="18" charset="0"/>
            </a:rPr>
            <a:t>   	</a:t>
          </a:r>
          <a:r>
            <a:rPr lang="en-GB" sz="900">
              <a:effectLst/>
              <a:ea typeface="Times New Roman" panose="02020603050405020304" pitchFamily="18" charset="0"/>
              <a:cs typeface="Times New Roman" panose="02020603050405020304" pitchFamily="18" charset="0"/>
            </a:rPr>
            <a:t>现金等价物			     应收款项	           和设备	</a:t>
          </a:r>
          <a:endParaRPr lang="en-US" sz="1200">
            <a:effectLst/>
            <a:ea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0.13334</cdr:x>
      <cdr:y>0.77101</cdr:y>
    </cdr:from>
    <cdr:to>
      <cdr:x>1</cdr:x>
      <cdr:y>0.8816</cdr:y>
    </cdr:to>
    <cdr:sp macro="" textlink="">
      <cdr:nvSpPr>
        <cdr:cNvPr id="2" name="Text Box 496"/>
        <cdr:cNvSpPr txBox="1"/>
      </cdr:nvSpPr>
      <cdr:spPr>
        <a:xfrm xmlns:a="http://schemas.openxmlformats.org/drawingml/2006/main">
          <a:off x="609631" y="2191419"/>
          <a:ext cx="3962369" cy="314310"/>
        </a:xfrm>
        <a:prstGeom xmlns:a="http://schemas.openxmlformats.org/drawingml/2006/main" prst="rect">
          <a:avLst/>
        </a:prstGeom>
        <a:solidFill xmlns:a="http://schemas.openxmlformats.org/drawingml/2006/main">
          <a:schemeClr val="lt1"/>
        </a:solidFill>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0" rIns="91440" bIns="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hangingPunct="0">
            <a:spcBef>
              <a:spcPts val="600"/>
            </a:spcBef>
            <a:spcAft>
              <a:spcPts val="0"/>
            </a:spcAft>
            <a:tabLst>
              <a:tab pos="270510" algn="l"/>
              <a:tab pos="693420" algn="l"/>
              <a:tab pos="1350645" algn="l"/>
              <a:tab pos="1710690" algn="l"/>
              <a:tab pos="2080260" algn="l"/>
              <a:tab pos="2613660" algn="l"/>
              <a:tab pos="3191510" algn="l"/>
            </a:tabLst>
          </a:pPr>
          <a:r>
            <a:rPr lang="en-GB" sz="900">
              <a:effectLst/>
              <a:ea typeface="Times New Roman" panose="02020603050405020304" pitchFamily="18" charset="0"/>
              <a:cs typeface="Times New Roman" panose="02020603050405020304" pitchFamily="18" charset="0"/>
            </a:rPr>
            <a:t>应付账款及	递延收入	其它负债	借贷	职员福利	第三方基金</a:t>
          </a:r>
          <a:br>
            <a:rPr lang="en-GB" sz="900">
              <a:effectLst/>
              <a:ea typeface="Times New Roman" panose="02020603050405020304" pitchFamily="18" charset="0"/>
              <a:cs typeface="Times New Roman" panose="02020603050405020304" pitchFamily="18" charset="0"/>
            </a:rPr>
          </a:br>
          <a:r>
            <a:rPr lang="en-GB" sz="900">
              <a:effectLst/>
              <a:ea typeface="Times New Roman" panose="02020603050405020304" pitchFamily="18" charset="0"/>
              <a:cs typeface="Times New Roman" panose="02020603050405020304" pitchFamily="18" charset="0"/>
            </a:rPr>
            <a:t>应计费用</a:t>
          </a:r>
          <a:endParaRPr lang="en-US" sz="1200">
            <a:effectLst/>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E1662-F0CF-49F0-8326-A3F9D222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12</TotalTime>
  <Pages>110</Pages>
  <Words>51078</Words>
  <Characters>36073</Characters>
  <Application>Microsoft Office Word</Application>
  <DocSecurity>0</DocSecurity>
  <Lines>300</Lines>
  <Paragraphs>173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86978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2022</dc:subject>
  <dc:creator>Chen, meng</dc:creator>
  <cp:keywords>C2022, C22, Council-22</cp:keywords>
  <dc:description/>
  <cp:lastModifiedBy>Kong, Hongli</cp:lastModifiedBy>
  <cp:revision>6</cp:revision>
  <cp:lastPrinted>2015-02-24T13:23:00Z</cp:lastPrinted>
  <dcterms:created xsi:type="dcterms:W3CDTF">2022-09-12T11:24:00Z</dcterms:created>
  <dcterms:modified xsi:type="dcterms:W3CDTF">2023-04-18T14:19:00Z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